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F4649E">
      <w:pPr>
        <w:widowControl w:val="0"/>
        <w:adjustRightInd w:val="0"/>
        <w:snapToGrid w:val="0"/>
        <w:jc w:val="center"/>
        <w:outlineLvl w:val="0"/>
        <w:rPr>
          <w:rFonts w:hint="default" w:ascii="Times New Roman" w:hAnsi="Times New Roman" w:eastAsia="方正小标宋_GBK" w:cs="Times New Roman"/>
          <w:bCs/>
          <w:color w:val="auto"/>
          <w:sz w:val="72"/>
          <w:szCs w:val="72"/>
          <w:highlight w:val="none"/>
        </w:rPr>
      </w:pPr>
      <w:bookmarkStart w:id="50" w:name="_GoBack"/>
      <w:bookmarkEnd w:id="50"/>
      <w:r>
        <w:rPr>
          <w:rFonts w:hint="default" w:ascii="Times New Roman" w:hAnsi="Times New Roman" w:cs="Times New Roman"/>
          <w:color w:val="auto"/>
        </w:rPr>
        <mc:AlternateContent>
          <mc:Choice Requires="wps">
            <w:drawing>
              <wp:anchor distT="0" distB="0" distL="114300" distR="114300" simplePos="0" relativeHeight="251662336" behindDoc="1" locked="0" layoutInCell="1" allowOverlap="1">
                <wp:simplePos x="0" y="0"/>
                <wp:positionH relativeFrom="column">
                  <wp:posOffset>3695065</wp:posOffset>
                </wp:positionH>
                <wp:positionV relativeFrom="paragraph">
                  <wp:posOffset>383540</wp:posOffset>
                </wp:positionV>
                <wp:extent cx="1650365" cy="348615"/>
                <wp:effectExtent l="0" t="0" r="6985" b="13335"/>
                <wp:wrapTight wrapText="bothSides">
                  <wp:wrapPolygon>
                    <wp:start x="0" y="0"/>
                    <wp:lineTo x="0" y="20734"/>
                    <wp:lineTo x="21442" y="20734"/>
                    <wp:lineTo x="21442" y="0"/>
                    <wp:lineTo x="0" y="0"/>
                  </wp:wrapPolygon>
                </wp:wrapTight>
                <wp:docPr id="8" name="矩形 8"/>
                <wp:cNvGraphicFramePr/>
                <a:graphic xmlns:a="http://schemas.openxmlformats.org/drawingml/2006/main">
                  <a:graphicData uri="http://schemas.microsoft.com/office/word/2010/wordprocessingShape">
                    <wps:wsp>
                      <wps:cNvSpPr>
                        <a:spLocks noChangeArrowheads="1"/>
                      </wps:cNvSpPr>
                      <wps:spPr bwMode="auto">
                        <a:xfrm>
                          <a:off x="0" y="0"/>
                          <a:ext cx="1650365" cy="348615"/>
                        </a:xfrm>
                        <a:prstGeom prst="rect">
                          <a:avLst/>
                        </a:prstGeom>
                        <a:solidFill>
                          <a:srgbClr val="FFFFFF"/>
                        </a:solidFill>
                        <a:ln>
                          <a:noFill/>
                        </a:ln>
                      </wps:spPr>
                      <wps:txbx>
                        <w:txbxContent>
                          <w:p w14:paraId="4FF1B19C">
                            <w:pPr>
                              <w:adjustRightInd w:val="0"/>
                              <w:snapToGrid w:val="0"/>
                              <w:rPr>
                                <w:rFonts w:hint="default" w:ascii="黑体" w:hAnsi="黑体" w:eastAsia="黑体"/>
                                <w:b/>
                                <w:bCs/>
                                <w:color w:val="FF0000"/>
                                <w:spacing w:val="24"/>
                                <w:sz w:val="30"/>
                                <w:szCs w:val="30"/>
                                <w:lang w:val="en-US" w:eastAsia="zh-CN"/>
                              </w:rPr>
                            </w:pPr>
                            <w:r>
                              <w:rPr>
                                <w:rFonts w:hint="eastAsia" w:ascii="黑体" w:hAnsi="黑体" w:eastAsia="黑体"/>
                                <w:b/>
                                <w:bCs/>
                                <w:color w:val="FF0000"/>
                                <w:spacing w:val="24"/>
                                <w:sz w:val="30"/>
                                <w:szCs w:val="30"/>
                              </w:rPr>
                              <w:t>D</w:t>
                            </w:r>
                            <w:r>
                              <w:rPr>
                                <w:rFonts w:ascii="黑体" w:hAnsi="黑体" w:eastAsia="黑体"/>
                                <w:b/>
                                <w:bCs/>
                                <w:color w:val="FF0000"/>
                                <w:spacing w:val="24"/>
                                <w:sz w:val="30"/>
                                <w:szCs w:val="30"/>
                              </w:rPr>
                              <w:t>HHP-0</w:t>
                            </w:r>
                            <w:r>
                              <w:rPr>
                                <w:rFonts w:hint="eastAsia" w:ascii="黑体" w:hAnsi="黑体" w:eastAsia="黑体"/>
                                <w:b/>
                                <w:bCs/>
                                <w:color w:val="FF0000"/>
                                <w:spacing w:val="24"/>
                                <w:sz w:val="30"/>
                                <w:szCs w:val="30"/>
                                <w:lang w:val="en-US" w:eastAsia="zh-CN"/>
                              </w:rPr>
                              <w:t>2</w:t>
                            </w:r>
                            <w:r>
                              <w:rPr>
                                <w:rFonts w:ascii="黑体" w:hAnsi="黑体" w:eastAsia="黑体"/>
                                <w:b/>
                                <w:bCs/>
                                <w:color w:val="FF0000"/>
                                <w:spacing w:val="24"/>
                                <w:sz w:val="30"/>
                                <w:szCs w:val="30"/>
                              </w:rPr>
                              <w:t>-25</w:t>
                            </w:r>
                            <w:r>
                              <w:rPr>
                                <w:rFonts w:hint="eastAsia" w:ascii="黑体" w:hAnsi="黑体" w:eastAsia="黑体"/>
                                <w:b/>
                                <w:bCs/>
                                <w:color w:val="FF0000"/>
                                <w:spacing w:val="24"/>
                                <w:sz w:val="30"/>
                                <w:szCs w:val="30"/>
                                <w:lang w:val="en-US" w:eastAsia="zh-CN"/>
                              </w:rPr>
                              <w:t>27</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90.95pt;margin-top:30.2pt;height:27.45pt;width:129.95pt;mso-wrap-distance-left:9pt;mso-wrap-distance-right:9pt;z-index:-251654144;mso-width-relative:page;mso-height-relative:page;" fillcolor="#FFFFFF" filled="t" stroked="f" coordsize="21600,21600" wrapcoords="0 0 0 20734 21442 20734 21442 0 0 0" o:gfxdata="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bfLYPX&#10;AAAACgEAAA8AAAAAAAAAAQAgAAAAIgAAAGRycy9kb3ducmV2LnhtbFBLAQIUABQAAAAIAIdO4kCa&#10;MrjpIQIAADEEAAAOAAAAAAAAAAEAIAAAACYBAABkcnMvZTJvRG9jLnhtbFBLBQYAAAAABgAGAFkB&#10;AAC5BQAAAAA=&#10;">
                <v:fill on="t" focussize="0,0"/>
                <v:stroke on="f"/>
                <v:imagedata o:title=""/>
                <o:lock v:ext="edit" aspectratio="f"/>
                <v:textbox>
                  <w:txbxContent>
                    <w:p w14:paraId="4FF1B19C">
                      <w:pPr>
                        <w:adjustRightInd w:val="0"/>
                        <w:snapToGrid w:val="0"/>
                        <w:rPr>
                          <w:rFonts w:hint="default" w:ascii="黑体" w:hAnsi="黑体" w:eastAsia="黑体"/>
                          <w:b/>
                          <w:bCs/>
                          <w:color w:val="FF0000"/>
                          <w:spacing w:val="24"/>
                          <w:sz w:val="30"/>
                          <w:szCs w:val="30"/>
                          <w:lang w:val="en-US" w:eastAsia="zh-CN"/>
                        </w:rPr>
                      </w:pPr>
                      <w:r>
                        <w:rPr>
                          <w:rFonts w:hint="eastAsia" w:ascii="黑体" w:hAnsi="黑体" w:eastAsia="黑体"/>
                          <w:b/>
                          <w:bCs/>
                          <w:color w:val="FF0000"/>
                          <w:spacing w:val="24"/>
                          <w:sz w:val="30"/>
                          <w:szCs w:val="30"/>
                        </w:rPr>
                        <w:t>D</w:t>
                      </w:r>
                      <w:r>
                        <w:rPr>
                          <w:rFonts w:ascii="黑体" w:hAnsi="黑体" w:eastAsia="黑体"/>
                          <w:b/>
                          <w:bCs/>
                          <w:color w:val="FF0000"/>
                          <w:spacing w:val="24"/>
                          <w:sz w:val="30"/>
                          <w:szCs w:val="30"/>
                        </w:rPr>
                        <w:t>HHP-0</w:t>
                      </w:r>
                      <w:r>
                        <w:rPr>
                          <w:rFonts w:hint="eastAsia" w:ascii="黑体" w:hAnsi="黑体" w:eastAsia="黑体"/>
                          <w:b/>
                          <w:bCs/>
                          <w:color w:val="FF0000"/>
                          <w:spacing w:val="24"/>
                          <w:sz w:val="30"/>
                          <w:szCs w:val="30"/>
                          <w:lang w:val="en-US" w:eastAsia="zh-CN"/>
                        </w:rPr>
                        <w:t>2</w:t>
                      </w:r>
                      <w:r>
                        <w:rPr>
                          <w:rFonts w:ascii="黑体" w:hAnsi="黑体" w:eastAsia="黑体"/>
                          <w:b/>
                          <w:bCs/>
                          <w:color w:val="FF0000"/>
                          <w:spacing w:val="24"/>
                          <w:sz w:val="30"/>
                          <w:szCs w:val="30"/>
                        </w:rPr>
                        <w:t>-25</w:t>
                      </w:r>
                      <w:r>
                        <w:rPr>
                          <w:rFonts w:hint="eastAsia" w:ascii="黑体" w:hAnsi="黑体" w:eastAsia="黑体"/>
                          <w:b/>
                          <w:bCs/>
                          <w:color w:val="FF0000"/>
                          <w:spacing w:val="24"/>
                          <w:sz w:val="30"/>
                          <w:szCs w:val="30"/>
                          <w:lang w:val="en-US" w:eastAsia="zh-CN"/>
                        </w:rPr>
                        <w:t>27</w:t>
                      </w:r>
                    </w:p>
                  </w:txbxContent>
                </v:textbox>
                <w10:wrap type="tight"/>
              </v:rect>
            </w:pict>
          </mc:Fallback>
        </mc:AlternateContent>
      </w:r>
      <w:r>
        <w:rPr>
          <w:rFonts w:hint="default" w:ascii="Times New Roman" w:hAnsi="Times New Roman" w:cs="Times New Roman"/>
          <w:color w:val="auto"/>
        </w:rPr>
        <w:drawing>
          <wp:anchor distT="0" distB="0" distL="114300" distR="114300" simplePos="0" relativeHeight="251659264" behindDoc="1" locked="0" layoutInCell="1" allowOverlap="1">
            <wp:simplePos x="0" y="0"/>
            <wp:positionH relativeFrom="column">
              <wp:posOffset>3853815</wp:posOffset>
            </wp:positionH>
            <wp:positionV relativeFrom="paragraph">
              <wp:posOffset>-31750</wp:posOffset>
            </wp:positionV>
            <wp:extent cx="1416685" cy="403860"/>
            <wp:effectExtent l="0" t="0" r="12065" b="15240"/>
            <wp:wrapNone/>
            <wp:docPr id="6" name="图片 6" descr="89cd6500ee51ec12c134c26c67fd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9cd6500ee51ec12c134c26c67fd018"/>
                    <pic:cNvPicPr>
                      <a:picLocks noChangeAspect="1"/>
                    </pic:cNvPicPr>
                  </pic:nvPicPr>
                  <pic:blipFill>
                    <a:blip r:embed="rId11">
                      <a:clrChange>
                        <a:clrFrom>
                          <a:srgbClr val="FFFFFF">
                            <a:alpha val="100000"/>
                          </a:srgbClr>
                        </a:clrFrom>
                        <a:clrTo>
                          <a:srgbClr val="FFFFFF">
                            <a:alpha val="100000"/>
                            <a:alpha val="0"/>
                          </a:srgbClr>
                        </a:clrTo>
                      </a:clrChange>
                    </a:blip>
                    <a:srcRect l="29671" t="35103" r="31485" b="45188"/>
                    <a:stretch>
                      <a:fillRect/>
                    </a:stretch>
                  </pic:blipFill>
                  <pic:spPr>
                    <a:xfrm>
                      <a:off x="0" y="0"/>
                      <a:ext cx="1416685" cy="403860"/>
                    </a:xfrm>
                    <a:prstGeom prst="rect">
                      <a:avLst/>
                    </a:prstGeom>
                    <a:ln>
                      <a:noFill/>
                    </a:ln>
                  </pic:spPr>
                </pic:pic>
              </a:graphicData>
            </a:graphic>
          </wp:anchor>
        </w:drawing>
      </w:r>
    </w:p>
    <w:p w14:paraId="39D17D1A">
      <w:pPr>
        <w:widowControl w:val="0"/>
        <w:adjustRightInd w:val="0"/>
        <w:snapToGrid w:val="0"/>
        <w:jc w:val="center"/>
        <w:outlineLvl w:val="0"/>
        <w:rPr>
          <w:rFonts w:hint="default" w:ascii="Times New Roman" w:hAnsi="Times New Roman" w:eastAsia="方正小标宋_GBK" w:cs="Times New Roman"/>
          <w:bCs/>
          <w:color w:val="auto"/>
          <w:sz w:val="72"/>
          <w:szCs w:val="72"/>
          <w:highlight w:val="none"/>
        </w:rPr>
      </w:pPr>
    </w:p>
    <w:p w14:paraId="04226574">
      <w:pPr>
        <w:widowControl w:val="0"/>
        <w:adjustRightInd w:val="0"/>
        <w:snapToGrid w:val="0"/>
        <w:jc w:val="center"/>
        <w:outlineLvl w:val="0"/>
        <w:rPr>
          <w:rFonts w:hint="default" w:ascii="Times New Roman" w:hAnsi="Times New Roman" w:eastAsia="方正小标宋_GBK" w:cs="Times New Roman"/>
          <w:bCs/>
          <w:color w:val="auto"/>
          <w:sz w:val="72"/>
          <w:szCs w:val="72"/>
          <w:highlight w:val="none"/>
        </w:rPr>
      </w:pPr>
      <w:r>
        <w:rPr>
          <w:rFonts w:hint="default" w:ascii="Times New Roman" w:hAnsi="Times New Roman" w:eastAsia="方正小标宋_GBK" w:cs="Times New Roman"/>
          <w:bCs/>
          <w:color w:val="auto"/>
          <w:sz w:val="72"/>
          <w:szCs w:val="72"/>
          <w:highlight w:val="none"/>
        </w:rPr>
        <w:t>建设项目环境影响报告表</w:t>
      </w:r>
    </w:p>
    <w:p w14:paraId="1072A9A5">
      <w:pPr>
        <w:widowControl w:val="0"/>
        <w:adjustRightInd w:val="0"/>
        <w:snapToGrid w:val="0"/>
        <w:spacing w:before="192" w:beforeLines="80"/>
        <w:jc w:val="center"/>
        <w:rPr>
          <w:rFonts w:hint="default" w:ascii="Times New Roman" w:hAnsi="Times New Roman" w:eastAsia="楷体_GB2312" w:cs="Times New Roman"/>
          <w:bCs/>
          <w:color w:val="auto"/>
          <w:sz w:val="48"/>
          <w:szCs w:val="48"/>
          <w:highlight w:val="none"/>
        </w:rPr>
      </w:pPr>
    </w:p>
    <w:p w14:paraId="2BE84F88">
      <w:pPr>
        <w:widowControl w:val="0"/>
        <w:adjustRightInd w:val="0"/>
        <w:snapToGrid w:val="0"/>
        <w:spacing w:before="192" w:beforeLines="80"/>
        <w:jc w:val="center"/>
        <w:rPr>
          <w:rFonts w:hint="default" w:ascii="Times New Roman" w:hAnsi="Times New Roman" w:cs="Times New Roman"/>
          <w:color w:val="auto"/>
          <w:highlight w:val="none"/>
        </w:rPr>
      </w:pPr>
      <w:r>
        <w:rPr>
          <w:rFonts w:hint="default" w:ascii="Times New Roman" w:hAnsi="Times New Roman" w:eastAsia="楷体_GB2312" w:cs="Times New Roman"/>
          <w:bCs/>
          <w:color w:val="auto"/>
          <w:sz w:val="48"/>
          <w:szCs w:val="48"/>
          <w:highlight w:val="none"/>
        </w:rPr>
        <w:t>（生态影响类）</w:t>
      </w:r>
      <w:bookmarkStart w:id="0" w:name="OLE_LINK1"/>
    </w:p>
    <w:p w14:paraId="09E6BE78">
      <w:pPr>
        <w:pStyle w:val="7"/>
        <w:widowControl w:val="0"/>
        <w:spacing w:line="48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报批</w:t>
      </w:r>
      <w:r>
        <w:rPr>
          <w:rFonts w:hint="default" w:ascii="Times New Roman" w:hAnsi="Times New Roman" w:cs="Times New Roman"/>
          <w:color w:val="auto"/>
          <w:highlight w:val="none"/>
          <w:lang w:val="en-US" w:eastAsia="zh-CN"/>
        </w:rPr>
        <w:t>稿</w:t>
      </w:r>
      <w:r>
        <w:rPr>
          <w:rFonts w:hint="default" w:ascii="Times New Roman" w:hAnsi="Times New Roman" w:cs="Times New Roman"/>
          <w:color w:val="auto"/>
          <w:highlight w:val="none"/>
        </w:rPr>
        <w:t>）</w:t>
      </w:r>
    </w:p>
    <w:bookmarkEnd w:id="0"/>
    <w:p w14:paraId="23CA3BC3">
      <w:pPr>
        <w:widowControl w:val="0"/>
        <w:ind w:firstLine="1040" w:firstLineChars="0"/>
        <w:jc w:val="both"/>
        <w:rPr>
          <w:rFonts w:hint="default" w:ascii="Times New Roman" w:hAnsi="Times New Roman" w:eastAsia="仿宋" w:cs="Times New Roman"/>
          <w:color w:val="auto"/>
          <w:sz w:val="44"/>
          <w:szCs w:val="44"/>
          <w:highlight w:val="none"/>
        </w:rPr>
      </w:pPr>
      <w:bookmarkStart w:id="1" w:name="_Hlk57883728"/>
    </w:p>
    <w:p w14:paraId="28B647CD">
      <w:pPr>
        <w:pStyle w:val="4"/>
        <w:rPr>
          <w:rFonts w:hint="default" w:ascii="Times New Roman" w:hAnsi="Times New Roman" w:cs="Times New Roman"/>
          <w:color w:val="auto"/>
        </w:rPr>
      </w:pPr>
    </w:p>
    <w:p w14:paraId="0E599CE5">
      <w:pPr>
        <w:widowControl w:val="0"/>
        <w:ind w:firstLine="1040" w:firstLineChars="0"/>
        <w:jc w:val="both"/>
        <w:rPr>
          <w:rFonts w:hint="default" w:ascii="Times New Roman" w:hAnsi="Times New Roman" w:eastAsia="仿宋" w:cs="Times New Roman"/>
          <w:color w:val="auto"/>
          <w:sz w:val="44"/>
          <w:szCs w:val="44"/>
          <w:highlight w:val="none"/>
        </w:rPr>
      </w:pPr>
    </w:p>
    <w:p w14:paraId="3A629D98">
      <w:pPr>
        <w:widowControl w:val="0"/>
        <w:ind w:firstLine="1040" w:firstLineChars="0"/>
        <w:jc w:val="both"/>
        <w:rPr>
          <w:rFonts w:hint="default" w:ascii="Times New Roman" w:hAnsi="Times New Roman" w:eastAsia="仿宋" w:cs="Times New Roman"/>
          <w:color w:val="auto"/>
          <w:sz w:val="44"/>
          <w:szCs w:val="44"/>
          <w:highlight w:val="none"/>
        </w:rPr>
      </w:pPr>
    </w:p>
    <w:p w14:paraId="2FD9597A">
      <w:pPr>
        <w:widowControl w:val="0"/>
        <w:ind w:firstLine="1040" w:firstLineChars="0"/>
        <w:jc w:val="both"/>
        <w:rPr>
          <w:rFonts w:hint="default" w:ascii="Times New Roman" w:hAnsi="Times New Roman" w:eastAsia="仿宋" w:cs="Times New Roman"/>
          <w:color w:val="auto"/>
          <w:sz w:val="44"/>
          <w:szCs w:val="44"/>
          <w:highlight w:val="none"/>
        </w:rPr>
      </w:pPr>
    </w:p>
    <w:p w14:paraId="0E1D3331">
      <w:pPr>
        <w:pStyle w:val="4"/>
        <w:rPr>
          <w:rFonts w:hint="default" w:ascii="Times New Roman" w:hAnsi="Times New Roman" w:cs="Times New Roman"/>
          <w:color w:val="auto"/>
        </w:rPr>
      </w:pPr>
    </w:p>
    <w:bookmarkEnd w:id="1"/>
    <w:p w14:paraId="0B3CBA5C">
      <w:pPr>
        <w:keepNext w:val="0"/>
        <w:keepLines w:val="0"/>
        <w:pageBreakBefore w:val="0"/>
        <w:widowControl w:val="0"/>
        <w:kinsoku w:val="0"/>
        <w:wordWrap/>
        <w:overflowPunct/>
        <w:topLinePunct w:val="0"/>
        <w:autoSpaceDE w:val="0"/>
        <w:autoSpaceDN w:val="0"/>
        <w:bidi w:val="0"/>
        <w:adjustRightInd w:val="0"/>
        <w:snapToGrid w:val="0"/>
        <w:spacing w:line="360" w:lineRule="auto"/>
        <w:ind w:left="1600" w:hanging="1600" w:hangingChars="500"/>
        <w:jc w:val="both"/>
        <w:textAlignment w:val="baseline"/>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项目名称：</w:t>
      </w:r>
      <w:r>
        <w:rPr>
          <w:rFonts w:hint="default" w:ascii="Times New Roman" w:hAnsi="Times New Roman" w:eastAsia="仿宋_GB2312" w:cs="Times New Roman"/>
          <w:color w:val="auto"/>
          <w:sz w:val="32"/>
          <w:szCs w:val="32"/>
          <w:highlight w:val="none"/>
          <w:u w:val="single"/>
          <w:lang w:val="en-US" w:eastAsia="zh-CN"/>
        </w:rPr>
        <w:t xml:space="preserve">萨探区块4平台萨105-11-7井等20口钻试工程项目                                    </w:t>
      </w:r>
      <w:r>
        <w:rPr>
          <w:rFonts w:hint="eastAsia" w:ascii="Times New Roman" w:hAnsi="Times New Roman" w:eastAsia="仿宋_GB2312" w:cs="Times New Roman"/>
          <w:color w:val="auto"/>
          <w:sz w:val="32"/>
          <w:szCs w:val="32"/>
          <w:highlight w:val="none"/>
          <w:u w:val="single"/>
          <w:lang w:val="en-US" w:eastAsia="zh-CN"/>
        </w:rPr>
        <w:t xml:space="preserve">                                         </w:t>
      </w:r>
      <w:r>
        <w:rPr>
          <w:rFonts w:hint="default" w:ascii="Times New Roman" w:hAnsi="Times New Roman" w:eastAsia="仿宋_GB2312" w:cs="Times New Roman"/>
          <w:color w:val="auto"/>
          <w:sz w:val="32"/>
          <w:szCs w:val="32"/>
          <w:highlight w:val="none"/>
          <w:u w:val="single"/>
          <w:lang w:val="en-US" w:eastAsia="zh-CN"/>
        </w:rPr>
        <w:t xml:space="preserve">   </w:t>
      </w:r>
      <w:r>
        <w:rPr>
          <w:rFonts w:hint="default" w:ascii="Times New Roman" w:hAnsi="Times New Roman" w:eastAsia="仿宋_GB2312" w:cs="Times New Roman"/>
          <w:color w:val="auto"/>
          <w:sz w:val="32"/>
          <w:szCs w:val="32"/>
          <w:highlight w:val="none"/>
          <w:lang w:val="en-US" w:eastAsia="zh-CN"/>
        </w:rPr>
        <w:t xml:space="preserve"> </w:t>
      </w:r>
    </w:p>
    <w:p w14:paraId="4B2AC506">
      <w:pPr>
        <w:keepNext w:val="0"/>
        <w:keepLines w:val="0"/>
        <w:pageBreakBefore w:val="0"/>
        <w:widowControl w:val="0"/>
        <w:kinsoku w:val="0"/>
        <w:wordWrap/>
        <w:overflowPunct/>
        <w:topLinePunct w:val="0"/>
        <w:autoSpaceDE w:val="0"/>
        <w:autoSpaceDN w:val="0"/>
        <w:bidi w:val="0"/>
        <w:adjustRightInd w:val="0"/>
        <w:snapToGrid w:val="0"/>
        <w:spacing w:line="360" w:lineRule="auto"/>
        <w:ind w:left="1600" w:hanging="1600" w:hangingChars="500"/>
        <w:jc w:val="both"/>
        <w:textAlignment w:val="baseline"/>
        <w:rPr>
          <w:rFonts w:hint="default" w:ascii="Times New Roman" w:hAnsi="Times New Roman" w:eastAsia="仿宋_GB2312" w:cs="Times New Roman"/>
          <w:color w:val="auto"/>
          <w:sz w:val="32"/>
          <w:szCs w:val="32"/>
          <w:highlight w:val="none"/>
          <w:u w:val="single"/>
          <w:lang w:val="en-US" w:eastAsia="zh-CN"/>
        </w:rPr>
      </w:pPr>
      <w:r>
        <w:rPr>
          <w:rFonts w:hint="default" w:ascii="Times New Roman" w:hAnsi="Times New Roman" w:eastAsia="仿宋_GB2312" w:cs="Times New Roman"/>
          <w:color w:val="auto"/>
          <w:sz w:val="32"/>
          <w:szCs w:val="32"/>
          <w:highlight w:val="none"/>
        </w:rPr>
        <w:t>建设单位（盖章）：</w:t>
      </w:r>
      <w:r>
        <w:rPr>
          <w:rFonts w:hint="default" w:ascii="Times New Roman" w:hAnsi="Times New Roman" w:eastAsia="仿宋_GB2312" w:cs="Times New Roman"/>
          <w:color w:val="auto"/>
          <w:sz w:val="32"/>
          <w:szCs w:val="32"/>
          <w:highlight w:val="none"/>
          <w:u w:val="single"/>
          <w:lang w:val="zh-CN"/>
        </w:rPr>
        <w:t>中国石油天然气股份有限公司</w:t>
      </w:r>
      <w:r>
        <w:rPr>
          <w:rFonts w:hint="default" w:ascii="Times New Roman" w:hAnsi="Times New Roman" w:eastAsia="仿宋_GB2312" w:cs="Times New Roman"/>
          <w:color w:val="auto"/>
          <w:sz w:val="32"/>
          <w:szCs w:val="32"/>
          <w:highlight w:val="none"/>
          <w:u w:val="single"/>
        </w:rPr>
        <w:t>吐哈油田分公司</w:t>
      </w:r>
      <w:r>
        <w:rPr>
          <w:rFonts w:hint="default" w:ascii="Times New Roman" w:hAnsi="Times New Roman" w:eastAsia="仿宋_GB2312" w:cs="Times New Roman"/>
          <w:color w:val="auto"/>
          <w:sz w:val="32"/>
          <w:szCs w:val="32"/>
          <w:highlight w:val="none"/>
          <w:u w:val="single"/>
          <w:lang w:val="en-US" w:eastAsia="zh-CN"/>
        </w:rPr>
        <w:t xml:space="preserve">准东采油管理区  </w:t>
      </w:r>
      <w:r>
        <w:rPr>
          <w:rFonts w:hint="eastAsia" w:ascii="Times New Roman" w:hAnsi="Times New Roman" w:eastAsia="仿宋_GB2312" w:cs="Times New Roman"/>
          <w:color w:val="auto"/>
          <w:sz w:val="32"/>
          <w:szCs w:val="32"/>
          <w:highlight w:val="none"/>
          <w:u w:val="single"/>
          <w:lang w:val="en-US" w:eastAsia="zh-CN"/>
        </w:rPr>
        <w:t xml:space="preserve">           </w:t>
      </w:r>
      <w:r>
        <w:rPr>
          <w:rFonts w:hint="default" w:ascii="Times New Roman" w:hAnsi="Times New Roman" w:eastAsia="仿宋_GB2312" w:cs="Times New Roman"/>
          <w:color w:val="auto"/>
          <w:sz w:val="32"/>
          <w:szCs w:val="32"/>
          <w:highlight w:val="none"/>
          <w:u w:val="single"/>
          <w:lang w:val="en-US" w:eastAsia="zh-CN"/>
        </w:rPr>
        <w:t xml:space="preserve">   </w:t>
      </w:r>
      <w:r>
        <w:rPr>
          <w:rFonts w:hint="eastAsia" w:ascii="Times New Roman" w:hAnsi="Times New Roman" w:eastAsia="仿宋_GB2312" w:cs="Times New Roman"/>
          <w:color w:val="auto"/>
          <w:sz w:val="32"/>
          <w:szCs w:val="32"/>
          <w:highlight w:val="none"/>
          <w:u w:val="single"/>
          <w:lang w:val="en-US" w:eastAsia="zh-CN"/>
        </w:rPr>
        <w:t xml:space="preserve">   </w:t>
      </w:r>
      <w:r>
        <w:rPr>
          <w:rFonts w:hint="default" w:ascii="Times New Roman" w:hAnsi="Times New Roman" w:eastAsia="仿宋_GB2312" w:cs="Times New Roman"/>
          <w:color w:val="auto"/>
          <w:sz w:val="32"/>
          <w:szCs w:val="32"/>
          <w:highlight w:val="none"/>
          <w:u w:val="single"/>
          <w:lang w:val="en-US" w:eastAsia="zh-CN"/>
        </w:rPr>
        <w:t xml:space="preserve">       </w:t>
      </w:r>
      <w:r>
        <w:rPr>
          <w:rFonts w:hint="eastAsia" w:ascii="Times New Roman" w:hAnsi="Times New Roman" w:eastAsia="仿宋_GB2312" w:cs="Times New Roman"/>
          <w:color w:val="auto"/>
          <w:sz w:val="32"/>
          <w:szCs w:val="32"/>
          <w:highlight w:val="none"/>
          <w:u w:val="single"/>
          <w:lang w:val="en-US" w:eastAsia="zh-CN"/>
        </w:rPr>
        <w:t xml:space="preserve">           </w:t>
      </w:r>
      <w:r>
        <w:rPr>
          <w:rFonts w:hint="default" w:ascii="Times New Roman" w:hAnsi="Times New Roman" w:eastAsia="仿宋_GB2312" w:cs="Times New Roman"/>
          <w:color w:val="auto"/>
          <w:sz w:val="32"/>
          <w:szCs w:val="32"/>
          <w:highlight w:val="none"/>
          <w:u w:val="single"/>
          <w:lang w:val="en-US" w:eastAsia="zh-CN"/>
        </w:rPr>
        <w:t xml:space="preserve">  </w:t>
      </w:r>
    </w:p>
    <w:p w14:paraId="1D4E7436">
      <w:pPr>
        <w:keepNext w:val="0"/>
        <w:keepLines w:val="0"/>
        <w:pageBreakBefore w:val="0"/>
        <w:widowControl w:val="0"/>
        <w:kinsoku w:val="0"/>
        <w:wordWrap/>
        <w:overflowPunct/>
        <w:topLinePunct w:val="0"/>
        <w:autoSpaceDE w:val="0"/>
        <w:autoSpaceDN w:val="0"/>
        <w:bidi w:val="0"/>
        <w:adjustRightInd w:val="0"/>
        <w:snapToGrid w:val="0"/>
        <w:spacing w:line="360" w:lineRule="auto"/>
        <w:ind w:left="0" w:firstLine="0" w:firstLineChars="0"/>
        <w:jc w:val="both"/>
        <w:textAlignment w:val="baseline"/>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编制日期：</w:t>
      </w:r>
      <w:r>
        <w:rPr>
          <w:rFonts w:hint="default" w:ascii="Times New Roman" w:hAnsi="Times New Roman" w:eastAsia="仿宋_GB2312" w:cs="Times New Roman"/>
          <w:color w:val="auto"/>
          <w:sz w:val="32"/>
          <w:szCs w:val="32"/>
          <w:highlight w:val="none"/>
          <w:u w:val="single"/>
          <w:lang w:val="en-US" w:eastAsia="zh-CN"/>
        </w:rPr>
        <w:t xml:space="preserve">           </w:t>
      </w:r>
      <w:r>
        <w:rPr>
          <w:rFonts w:hint="eastAsia" w:ascii="Times New Roman" w:hAnsi="Times New Roman" w:eastAsia="仿宋_GB2312" w:cs="Times New Roman"/>
          <w:color w:val="auto"/>
          <w:sz w:val="32"/>
          <w:szCs w:val="32"/>
          <w:highlight w:val="none"/>
          <w:u w:val="single"/>
          <w:lang w:val="en-US" w:eastAsia="zh-CN"/>
        </w:rPr>
        <w:t xml:space="preserve">                     </w:t>
      </w:r>
      <w:r>
        <w:rPr>
          <w:rFonts w:hint="default" w:ascii="Times New Roman" w:hAnsi="Times New Roman" w:eastAsia="仿宋_GB2312" w:cs="Times New Roman"/>
          <w:color w:val="auto"/>
          <w:sz w:val="32"/>
          <w:szCs w:val="32"/>
          <w:highlight w:val="none"/>
          <w:u w:val="single"/>
          <w:lang w:val="en-US" w:eastAsia="zh-CN"/>
        </w:rPr>
        <w:t xml:space="preserve"> </w:t>
      </w:r>
      <w:r>
        <w:rPr>
          <w:rFonts w:hint="default" w:ascii="Times New Roman" w:hAnsi="Times New Roman" w:eastAsia="仿宋_GB2312" w:cs="Times New Roman"/>
          <w:color w:val="auto"/>
          <w:sz w:val="32"/>
          <w:szCs w:val="32"/>
          <w:highlight w:val="none"/>
          <w:u w:val="single"/>
        </w:rPr>
        <w:t>2025年</w:t>
      </w:r>
      <w:r>
        <w:rPr>
          <w:rFonts w:hint="eastAsia" w:ascii="Times New Roman" w:hAnsi="Times New Roman" w:eastAsia="仿宋_GB2312" w:cs="Times New Roman"/>
          <w:color w:val="auto"/>
          <w:sz w:val="32"/>
          <w:szCs w:val="32"/>
          <w:highlight w:val="none"/>
          <w:u w:val="single"/>
          <w:lang w:val="en-US" w:eastAsia="zh-CN"/>
        </w:rPr>
        <w:t>10</w:t>
      </w:r>
      <w:r>
        <w:rPr>
          <w:rFonts w:hint="default" w:ascii="Times New Roman" w:hAnsi="Times New Roman" w:eastAsia="仿宋_GB2312" w:cs="Times New Roman"/>
          <w:color w:val="auto"/>
          <w:sz w:val="32"/>
          <w:szCs w:val="32"/>
          <w:highlight w:val="none"/>
          <w:u w:val="single"/>
        </w:rPr>
        <w:t>月</w:t>
      </w:r>
      <w:r>
        <w:rPr>
          <w:rFonts w:hint="default" w:ascii="Times New Roman" w:hAnsi="Times New Roman" w:eastAsia="仿宋_GB2312" w:cs="Times New Roman"/>
          <w:color w:val="auto"/>
          <w:sz w:val="32"/>
          <w:szCs w:val="32"/>
          <w:highlight w:val="none"/>
          <w:u w:val="single"/>
          <w:lang w:val="en-US" w:eastAsia="zh-CN"/>
        </w:rPr>
        <w:t xml:space="preserve">                    </w:t>
      </w:r>
      <w:r>
        <w:rPr>
          <w:rFonts w:hint="eastAsia" w:ascii="Times New Roman" w:hAnsi="Times New Roman" w:eastAsia="仿宋_GB2312" w:cs="Times New Roman"/>
          <w:color w:val="auto"/>
          <w:sz w:val="32"/>
          <w:szCs w:val="32"/>
          <w:highlight w:val="none"/>
          <w:u w:val="single"/>
          <w:lang w:val="en-US" w:eastAsia="zh-CN"/>
        </w:rPr>
        <w:t xml:space="preserve">            </w:t>
      </w:r>
      <w:r>
        <w:rPr>
          <w:rFonts w:hint="eastAsia" w:ascii="Times New Roman" w:hAnsi="Times New Roman" w:eastAsia="仿宋_GB2312" w:cs="Times New Roman"/>
          <w:color w:val="auto"/>
          <w:sz w:val="32"/>
          <w:szCs w:val="32"/>
          <w:highlight w:val="none"/>
          <w:lang w:val="en-US" w:eastAsia="zh-CN"/>
        </w:rPr>
        <w:t xml:space="preserve">       </w:t>
      </w:r>
      <w:r>
        <w:rPr>
          <w:rFonts w:hint="default" w:ascii="Times New Roman" w:hAnsi="Times New Roman" w:eastAsia="仿宋_GB2312" w:cs="Times New Roman"/>
          <w:color w:val="auto"/>
          <w:sz w:val="32"/>
          <w:szCs w:val="32"/>
          <w:highlight w:val="none"/>
          <w:lang w:val="en-US" w:eastAsia="zh-CN"/>
        </w:rPr>
        <w:t xml:space="preserve">  </w:t>
      </w:r>
    </w:p>
    <w:p w14:paraId="3BB910E9">
      <w:pPr>
        <w:widowControl w:val="0"/>
        <w:adjustRightInd w:val="0"/>
        <w:snapToGrid w:val="0"/>
        <w:spacing w:line="360" w:lineRule="auto"/>
        <w:ind w:left="1600" w:hanging="1600" w:hangingChars="500"/>
        <w:jc w:val="both"/>
        <w:rPr>
          <w:rFonts w:hint="default" w:ascii="Times New Roman" w:hAnsi="Times New Roman" w:eastAsia="仿宋_GB2312" w:cs="Times New Roman"/>
          <w:color w:val="auto"/>
          <w:sz w:val="32"/>
          <w:szCs w:val="32"/>
          <w:highlight w:val="none"/>
        </w:rPr>
      </w:pPr>
    </w:p>
    <w:p w14:paraId="3C5A7A00">
      <w:pPr>
        <w:widowControl w:val="0"/>
        <w:adjustRightInd w:val="0"/>
        <w:snapToGrid w:val="0"/>
        <w:spacing w:line="288" w:lineRule="auto"/>
        <w:ind w:firstLine="1040" w:firstLineChars="0"/>
        <w:jc w:val="both"/>
        <w:rPr>
          <w:rFonts w:hint="default" w:ascii="Times New Roman" w:hAnsi="Times New Roman" w:eastAsia="仿宋_GB2312" w:cs="Times New Roman"/>
          <w:color w:val="auto"/>
          <w:sz w:val="36"/>
          <w:szCs w:val="36"/>
          <w:highlight w:val="none"/>
        </w:rPr>
      </w:pPr>
    </w:p>
    <w:p w14:paraId="2358F48A">
      <w:pPr>
        <w:widowControl w:val="0"/>
        <w:adjustRightInd w:val="0"/>
        <w:snapToGrid w:val="0"/>
        <w:spacing w:line="288" w:lineRule="auto"/>
        <w:ind w:firstLine="1040" w:firstLineChars="0"/>
        <w:jc w:val="both"/>
        <w:rPr>
          <w:rFonts w:hint="default" w:ascii="Times New Roman" w:hAnsi="Times New Roman" w:eastAsia="仿宋_GB2312" w:cs="Times New Roman"/>
          <w:color w:val="auto"/>
          <w:sz w:val="36"/>
          <w:szCs w:val="36"/>
          <w:highlight w:val="none"/>
        </w:rPr>
      </w:pPr>
    </w:p>
    <w:p w14:paraId="234CE2CC">
      <w:pPr>
        <w:widowControl w:val="0"/>
        <w:adjustRightInd w:val="0"/>
        <w:snapToGrid w:val="0"/>
        <w:spacing w:line="288" w:lineRule="auto"/>
        <w:ind w:firstLine="1040" w:firstLineChars="0"/>
        <w:jc w:val="both"/>
        <w:rPr>
          <w:rFonts w:hint="default" w:ascii="Times New Roman" w:hAnsi="Times New Roman" w:eastAsia="仿宋_GB2312" w:cs="Times New Roman"/>
          <w:color w:val="auto"/>
          <w:sz w:val="36"/>
          <w:szCs w:val="36"/>
          <w:highlight w:val="none"/>
        </w:rPr>
      </w:pPr>
    </w:p>
    <w:p w14:paraId="79754C65">
      <w:pPr>
        <w:widowControl w:val="0"/>
        <w:adjustRightInd w:val="0"/>
        <w:spacing w:line="288" w:lineRule="auto"/>
        <w:jc w:val="center"/>
        <w:rPr>
          <w:rFonts w:hint="default" w:ascii="Times New Roman" w:hAnsi="Times New Roman" w:cs="Times New Roman"/>
          <w:color w:val="auto"/>
          <w:highlight w:val="none"/>
        </w:rPr>
      </w:pPr>
      <w:r>
        <w:rPr>
          <w:rFonts w:hint="default" w:ascii="Times New Roman" w:hAnsi="Times New Roman" w:eastAsia="楷体_GB2312" w:cs="Times New Roman"/>
          <w:color w:val="auto"/>
          <w:sz w:val="36"/>
          <w:szCs w:val="36"/>
          <w:highlight w:val="none"/>
        </w:rPr>
        <w:t>中华人民共和国生态环境部制</w:t>
      </w:r>
    </w:p>
    <w:p w14:paraId="2D85E1D3">
      <w:pPr>
        <w:spacing w:before="100" w:line="224" w:lineRule="auto"/>
        <w:jc w:val="both"/>
        <w:outlineLvl w:val="0"/>
        <w:rPr>
          <w:rFonts w:hint="default" w:ascii="Times New Roman" w:hAnsi="Times New Roman" w:eastAsia="宋体" w:cs="Times New Roman"/>
          <w:b/>
          <w:bCs/>
          <w:color w:val="auto"/>
          <w:spacing w:val="6"/>
          <w:sz w:val="30"/>
          <w:szCs w:val="30"/>
          <w:highlight w:val="none"/>
        </w:rPr>
        <w:sectPr>
          <w:headerReference r:id="rId5" w:type="default"/>
          <w:footerReference r:id="rId6" w:type="default"/>
          <w:pgSz w:w="11906" w:h="16840"/>
          <w:pgMar w:top="1440" w:right="1803" w:bottom="1440" w:left="1803" w:header="850" w:footer="992" w:gutter="0"/>
          <w:pgBorders>
            <w:top w:val="none" w:sz="0" w:space="0"/>
            <w:left w:val="none" w:sz="0" w:space="0"/>
            <w:bottom w:val="none" w:sz="0" w:space="0"/>
            <w:right w:val="none" w:sz="0" w:space="0"/>
          </w:pgBorders>
          <w:cols w:space="720" w:num="1"/>
        </w:sectPr>
      </w:pPr>
    </w:p>
    <w:p w14:paraId="00D47F23">
      <w:pPr>
        <w:numPr>
          <w:ilvl w:val="0"/>
          <w:numId w:val="1"/>
        </w:numPr>
        <w:spacing w:before="100" w:line="360" w:lineRule="auto"/>
        <w:jc w:val="center"/>
        <w:outlineLvl w:val="0"/>
        <w:rPr>
          <w:rFonts w:hint="default" w:ascii="Times New Roman" w:hAnsi="Times New Roman" w:eastAsia="宋体" w:cs="Times New Roman"/>
          <w:b/>
          <w:bCs/>
          <w:color w:val="auto"/>
          <w:spacing w:val="6"/>
          <w:sz w:val="30"/>
          <w:szCs w:val="30"/>
          <w:highlight w:val="none"/>
        </w:rPr>
      </w:pPr>
      <w:r>
        <w:rPr>
          <w:rFonts w:hint="default" w:ascii="Times New Roman" w:hAnsi="Times New Roman" w:eastAsia="宋体" w:cs="Times New Roman"/>
          <w:b/>
          <w:bCs/>
          <w:color w:val="auto"/>
          <w:spacing w:val="6"/>
          <w:sz w:val="30"/>
          <w:szCs w:val="30"/>
          <w:highlight w:val="none"/>
        </w:rPr>
        <w:t>建设项目基本情况</w:t>
      </w:r>
    </w:p>
    <w:tbl>
      <w:tblPr>
        <w:tblStyle w:val="12"/>
        <w:tblW w:w="85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7"/>
        <w:gridCol w:w="2603"/>
        <w:gridCol w:w="1842"/>
        <w:gridCol w:w="2332"/>
      </w:tblGrid>
      <w:tr w14:paraId="0A12F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87" w:type="dxa"/>
            <w:vAlign w:val="center"/>
          </w:tcPr>
          <w:p w14:paraId="5F199DF9">
            <w:pPr>
              <w:widowControl w:val="0"/>
              <w:snapToGrid w:val="0"/>
              <w:spacing w:line="4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6777" w:type="dxa"/>
            <w:gridSpan w:val="3"/>
            <w:vAlign w:val="center"/>
          </w:tcPr>
          <w:p w14:paraId="3E8E8ECD">
            <w:pPr>
              <w:widowControl w:val="0"/>
              <w:snapToGrid w:val="0"/>
              <w:spacing w:line="4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萨探区块4平台萨105-11-7井等20口钻试工程项目</w:t>
            </w:r>
          </w:p>
        </w:tc>
      </w:tr>
      <w:tr w14:paraId="5B3FF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7" w:type="dxa"/>
            <w:vAlign w:val="center"/>
          </w:tcPr>
          <w:p w14:paraId="61C162A1">
            <w:pPr>
              <w:widowControl w:val="0"/>
              <w:snapToGrid w:val="0"/>
              <w:spacing w:line="4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6777" w:type="dxa"/>
            <w:gridSpan w:val="3"/>
            <w:vAlign w:val="center"/>
          </w:tcPr>
          <w:p w14:paraId="0823D9D9">
            <w:pPr>
              <w:widowControl w:val="0"/>
              <w:snapToGrid w:val="0"/>
              <w:spacing w:line="4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无</w:t>
            </w:r>
          </w:p>
        </w:tc>
      </w:tr>
      <w:tr w14:paraId="65EE1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7" w:type="dxa"/>
            <w:vAlign w:val="center"/>
          </w:tcPr>
          <w:p w14:paraId="30FE6220">
            <w:pPr>
              <w:widowControl w:val="0"/>
              <w:snapToGrid w:val="0"/>
              <w:spacing w:line="4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1"/>
                <w:sz w:val="24"/>
                <w:szCs w:val="24"/>
                <w:highlight w:val="none"/>
              </w:rPr>
              <w:t>建设单位联系人</w:t>
            </w:r>
          </w:p>
        </w:tc>
        <w:tc>
          <w:tcPr>
            <w:tcW w:w="2603" w:type="dxa"/>
            <w:vAlign w:val="center"/>
          </w:tcPr>
          <w:p w14:paraId="7AECB3CD">
            <w:pPr>
              <w:pStyle w:val="16"/>
              <w:widowControl w:val="0"/>
              <w:spacing w:before="84" w:line="228" w:lineRule="auto"/>
              <w:ind w:left="785" w:leftChars="0"/>
              <w:jc w:val="both"/>
              <w:rPr>
                <w:rFonts w:hint="default" w:ascii="Times New Roman" w:hAnsi="Times New Roman" w:eastAsia="宋体" w:cs="Times New Roman"/>
                <w:color w:val="auto"/>
                <w:spacing w:val="-11"/>
                <w:sz w:val="24"/>
                <w:szCs w:val="24"/>
                <w:highlight w:val="none"/>
              </w:rPr>
            </w:pPr>
            <w:r>
              <w:rPr>
                <w:rFonts w:hint="default" w:ascii="Times New Roman" w:hAnsi="Times New Roman" w:eastAsia="宋体" w:cs="Times New Roman"/>
                <w:color w:val="auto"/>
                <w:spacing w:val="6"/>
                <w:sz w:val="24"/>
                <w:szCs w:val="24"/>
                <w:highlight w:val="none"/>
              </w:rPr>
              <w:t>王建伟</w:t>
            </w:r>
          </w:p>
        </w:tc>
        <w:tc>
          <w:tcPr>
            <w:tcW w:w="1842" w:type="dxa"/>
            <w:vAlign w:val="center"/>
          </w:tcPr>
          <w:p w14:paraId="22A158ED">
            <w:pPr>
              <w:pStyle w:val="16"/>
              <w:widowControl w:val="0"/>
              <w:spacing w:before="84" w:line="229" w:lineRule="auto"/>
              <w:jc w:val="center"/>
              <w:rPr>
                <w:rFonts w:hint="default" w:ascii="Times New Roman" w:hAnsi="Times New Roman" w:eastAsia="宋体" w:cs="Times New Roman"/>
                <w:color w:val="auto"/>
                <w:spacing w:val="-11"/>
                <w:sz w:val="24"/>
                <w:szCs w:val="24"/>
                <w:highlight w:val="none"/>
              </w:rPr>
            </w:pPr>
            <w:r>
              <w:rPr>
                <w:rFonts w:hint="default" w:ascii="Times New Roman" w:hAnsi="Times New Roman" w:eastAsia="宋体" w:cs="Times New Roman"/>
                <w:color w:val="auto"/>
                <w:spacing w:val="17"/>
                <w:sz w:val="24"/>
                <w:szCs w:val="24"/>
                <w:highlight w:val="none"/>
              </w:rPr>
              <w:t>联系方式</w:t>
            </w:r>
          </w:p>
        </w:tc>
        <w:tc>
          <w:tcPr>
            <w:tcW w:w="2332" w:type="dxa"/>
            <w:vAlign w:val="center"/>
          </w:tcPr>
          <w:p w14:paraId="6969A599">
            <w:pPr>
              <w:widowControl w:val="0"/>
              <w:spacing w:before="120" w:line="195" w:lineRule="auto"/>
              <w:jc w:val="center"/>
              <w:rPr>
                <w:rFonts w:hint="default" w:ascii="Times New Roman" w:hAnsi="Times New Roman" w:eastAsia="宋体" w:cs="Times New Roman"/>
                <w:color w:val="auto"/>
                <w:spacing w:val="-11"/>
                <w:sz w:val="24"/>
                <w:szCs w:val="24"/>
                <w:highlight w:val="none"/>
              </w:rPr>
            </w:pPr>
            <w:r>
              <w:rPr>
                <w:rFonts w:hint="default" w:ascii="Times New Roman" w:hAnsi="Times New Roman" w:eastAsia="宋体" w:cs="Times New Roman"/>
                <w:color w:val="auto"/>
                <w:spacing w:val="2"/>
                <w:sz w:val="24"/>
                <w:szCs w:val="24"/>
                <w:highlight w:val="none"/>
              </w:rPr>
              <w:t>13899311159</w:t>
            </w:r>
          </w:p>
        </w:tc>
      </w:tr>
      <w:tr w14:paraId="2C6A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7" w:type="dxa"/>
            <w:vAlign w:val="center"/>
          </w:tcPr>
          <w:p w14:paraId="320A347E">
            <w:pPr>
              <w:pStyle w:val="16"/>
              <w:widowControl w:val="0"/>
              <w:spacing w:before="84" w:line="228" w:lineRule="auto"/>
              <w:jc w:val="center"/>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rPr>
              <w:t>建设地点</w:t>
            </w:r>
          </w:p>
        </w:tc>
        <w:tc>
          <w:tcPr>
            <w:tcW w:w="6777" w:type="dxa"/>
            <w:gridSpan w:val="3"/>
            <w:vAlign w:val="center"/>
          </w:tcPr>
          <w:p w14:paraId="72340DBE">
            <w:pPr>
              <w:pStyle w:val="16"/>
              <w:widowControl w:val="0"/>
              <w:spacing w:before="84" w:line="228" w:lineRule="auto"/>
              <w:jc w:val="both"/>
              <w:rPr>
                <w:rFonts w:hint="default" w:ascii="Times New Roman" w:hAnsi="Times New Roman" w:eastAsia="宋体" w:cs="Times New Roman"/>
                <w:color w:val="auto"/>
                <w:spacing w:val="6"/>
                <w:sz w:val="24"/>
                <w:szCs w:val="24"/>
                <w:highlight w:val="none"/>
                <w:lang w:val="en-US" w:eastAsia="zh-CN"/>
              </w:rPr>
            </w:pPr>
            <w:r>
              <w:rPr>
                <w:rFonts w:hint="default" w:ascii="Times New Roman" w:hAnsi="Times New Roman" w:eastAsia="宋体" w:cs="Times New Roman"/>
                <w:color w:val="auto"/>
                <w:spacing w:val="6"/>
                <w:sz w:val="24"/>
                <w:szCs w:val="24"/>
                <w:highlight w:val="none"/>
                <w:lang w:val="en-US" w:eastAsia="zh-CN"/>
              </w:rPr>
              <w:t>新疆维吾尔自治区昌吉回族自治州吉木萨尔县、奇台县</w:t>
            </w:r>
          </w:p>
        </w:tc>
      </w:tr>
      <w:tr w14:paraId="366A4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jc w:val="center"/>
        </w:trPr>
        <w:tc>
          <w:tcPr>
            <w:tcW w:w="1787" w:type="dxa"/>
            <w:vAlign w:val="center"/>
          </w:tcPr>
          <w:p w14:paraId="15C2D6EF">
            <w:pPr>
              <w:widowControl w:val="0"/>
              <w:adjustRightInd w:val="0"/>
              <w:snapToGrid w:val="0"/>
              <w:spacing w:line="4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6777" w:type="dxa"/>
            <w:gridSpan w:val="3"/>
            <w:vAlign w:val="center"/>
          </w:tcPr>
          <w:p w14:paraId="783E02F5">
            <w:pPr>
              <w:widowControl w:val="0"/>
              <w:adjustRightInd w:val="0"/>
              <w:snapToGrid w:val="0"/>
              <w:spacing w:line="400" w:lineRule="exact"/>
              <w:ind w:left="479" w:leftChars="228" w:firstLine="0" w:firstLineChars="0"/>
              <w:jc w:val="both"/>
              <w:rPr>
                <w:rFonts w:hint="default" w:ascii="Times New Roman" w:hAnsi="Times New Roman" w:cs="Times New Roman"/>
                <w:color w:val="auto"/>
                <w:lang w:val="en-US" w:eastAsia="zh-CN"/>
              </w:rPr>
            </w:pPr>
          </w:p>
        </w:tc>
      </w:tr>
      <w:tr w14:paraId="78672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7" w:type="dxa"/>
            <w:vAlign w:val="center"/>
          </w:tcPr>
          <w:p w14:paraId="1AE81D87">
            <w:pPr>
              <w:widowControl w:val="0"/>
              <w:adjustRightInd w:val="0"/>
              <w:snapToGrid w:val="0"/>
              <w:spacing w:line="4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14:paraId="180EF240">
            <w:pPr>
              <w:widowControl w:val="0"/>
              <w:adjustRightInd w:val="0"/>
              <w:snapToGrid w:val="0"/>
              <w:spacing w:line="4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603" w:type="dxa"/>
            <w:vAlign w:val="center"/>
          </w:tcPr>
          <w:p w14:paraId="33A0DB9C">
            <w:pPr>
              <w:widowControl w:val="0"/>
              <w:adjustRightInd w:val="0"/>
              <w:snapToGrid w:val="0"/>
              <w:spacing w:line="40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四十六、专业技术服务业99陆地矿产资源地质勘查（含油气资源勘探）</w:t>
            </w:r>
          </w:p>
        </w:tc>
        <w:tc>
          <w:tcPr>
            <w:tcW w:w="1842" w:type="dxa"/>
            <w:vAlign w:val="center"/>
          </w:tcPr>
          <w:p w14:paraId="47B33317">
            <w:pPr>
              <w:widowControl w:val="0"/>
              <w:adjustRightInd w:val="0"/>
              <w:snapToGrid w:val="0"/>
              <w:spacing w:line="4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用地面积（m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p>
        </w:tc>
        <w:tc>
          <w:tcPr>
            <w:tcW w:w="2332" w:type="dxa"/>
            <w:vAlign w:val="center"/>
          </w:tcPr>
          <w:p w14:paraId="25527060">
            <w:pPr>
              <w:widowControl w:val="0"/>
              <w:adjustRightInd w:val="0"/>
              <w:snapToGrid w:val="0"/>
              <w:spacing w:line="4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118737.71</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（临时用地）</w:t>
            </w:r>
          </w:p>
        </w:tc>
      </w:tr>
      <w:tr w14:paraId="777C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7" w:type="dxa"/>
            <w:vAlign w:val="center"/>
          </w:tcPr>
          <w:p w14:paraId="07363CE2">
            <w:pPr>
              <w:widowControl w:val="0"/>
              <w:adjustRightInd w:val="0"/>
              <w:snapToGrid w:val="0"/>
              <w:spacing w:line="4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2603" w:type="dxa"/>
            <w:vAlign w:val="center"/>
          </w:tcPr>
          <w:p w14:paraId="6247AA89">
            <w:pPr>
              <w:widowControl w:val="0"/>
              <w:kinsoku/>
              <w:autoSpaceDE/>
              <w:autoSpaceDN/>
              <w:adjustRightInd w:val="0"/>
              <w:snapToGrid w:val="0"/>
              <w:spacing w:line="400" w:lineRule="exact"/>
              <w:jc w:val="left"/>
              <w:textAlignment w:val="auto"/>
              <w:rPr>
                <w:rFonts w:hint="default" w:ascii="Times New Roman" w:hAnsi="Times New Roman" w:eastAsia="宋体" w:cs="Times New Roman"/>
                <w:snapToGrid/>
                <w:color w:val="auto"/>
                <w:kern w:val="2"/>
                <w:sz w:val="24"/>
                <w:szCs w:val="24"/>
                <w:highlight w:val="none"/>
                <w:lang w:eastAsia="zh-CN"/>
              </w:rPr>
            </w:pPr>
            <w:r>
              <w:rPr>
                <w:rFonts w:hint="default" w:ascii="Times New Roman" w:hAnsi="Times New Roman" w:eastAsia="宋体" w:cs="Times New Roman"/>
                <w:snapToGrid/>
                <w:color w:val="auto"/>
                <w:kern w:val="2"/>
                <w:sz w:val="24"/>
                <w:szCs w:val="24"/>
                <w:highlight w:val="none"/>
                <w:lang w:eastAsia="zh-CN"/>
              </w:rPr>
              <w:sym w:font="Wingdings 2" w:char="0052"/>
            </w:r>
            <w:r>
              <w:rPr>
                <w:rFonts w:hint="default" w:ascii="Times New Roman" w:hAnsi="Times New Roman" w:eastAsia="宋体" w:cs="Times New Roman"/>
                <w:snapToGrid/>
                <w:color w:val="auto"/>
                <w:kern w:val="2"/>
                <w:sz w:val="24"/>
                <w:szCs w:val="24"/>
                <w:highlight w:val="none"/>
                <w:lang w:eastAsia="zh-CN"/>
              </w:rPr>
              <w:t>新建（迁建）</w:t>
            </w:r>
          </w:p>
          <w:p w14:paraId="2675C0DD">
            <w:pPr>
              <w:widowControl w:val="0"/>
              <w:kinsoku/>
              <w:autoSpaceDE/>
              <w:autoSpaceDN/>
              <w:adjustRightInd w:val="0"/>
              <w:snapToGrid w:val="0"/>
              <w:spacing w:line="400" w:lineRule="exact"/>
              <w:jc w:val="left"/>
              <w:textAlignment w:val="auto"/>
              <w:rPr>
                <w:rFonts w:hint="default" w:ascii="Times New Roman" w:hAnsi="Times New Roman" w:eastAsia="宋体" w:cs="Times New Roman"/>
                <w:snapToGrid/>
                <w:color w:val="auto"/>
                <w:kern w:val="2"/>
                <w:sz w:val="24"/>
                <w:szCs w:val="24"/>
                <w:highlight w:val="none"/>
                <w:lang w:eastAsia="zh-CN"/>
              </w:rPr>
            </w:pPr>
            <w:r>
              <w:rPr>
                <w:rFonts w:hint="default" w:ascii="Times New Roman" w:hAnsi="Times New Roman" w:eastAsia="宋体" w:cs="Times New Roman"/>
                <w:snapToGrid/>
                <w:color w:val="auto"/>
                <w:kern w:val="2"/>
                <w:sz w:val="24"/>
                <w:szCs w:val="24"/>
                <w:highlight w:val="none"/>
                <w:lang w:eastAsia="zh-CN"/>
              </w:rPr>
              <w:t>□改建</w:t>
            </w:r>
          </w:p>
          <w:p w14:paraId="49F53462">
            <w:pPr>
              <w:widowControl w:val="0"/>
              <w:kinsoku/>
              <w:autoSpaceDE/>
              <w:autoSpaceDN/>
              <w:adjustRightInd w:val="0"/>
              <w:snapToGrid w:val="0"/>
              <w:spacing w:line="400" w:lineRule="exact"/>
              <w:jc w:val="left"/>
              <w:textAlignment w:val="auto"/>
              <w:rPr>
                <w:rFonts w:hint="default" w:ascii="Times New Roman" w:hAnsi="Times New Roman" w:eastAsia="宋体" w:cs="Times New Roman"/>
                <w:snapToGrid/>
                <w:color w:val="auto"/>
                <w:kern w:val="2"/>
                <w:sz w:val="24"/>
                <w:szCs w:val="24"/>
                <w:highlight w:val="none"/>
                <w:lang w:eastAsia="zh-CN"/>
              </w:rPr>
            </w:pPr>
            <w:r>
              <w:rPr>
                <w:rFonts w:hint="default" w:ascii="Times New Roman" w:hAnsi="Times New Roman" w:eastAsia="宋体" w:cs="Times New Roman"/>
                <w:snapToGrid/>
                <w:color w:val="auto"/>
                <w:kern w:val="2"/>
                <w:sz w:val="24"/>
                <w:szCs w:val="24"/>
                <w:highlight w:val="none"/>
                <w:lang w:eastAsia="zh-CN"/>
              </w:rPr>
              <w:t>□扩建</w:t>
            </w:r>
          </w:p>
          <w:p w14:paraId="17598E5E">
            <w:pPr>
              <w:widowControl w:val="0"/>
              <w:kinsoku/>
              <w:autoSpaceDE/>
              <w:autoSpaceDN/>
              <w:adjustRightInd w:val="0"/>
              <w:snapToGrid w:val="0"/>
              <w:spacing w:line="400" w:lineRule="exact"/>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napToGrid/>
                <w:color w:val="auto"/>
                <w:kern w:val="2"/>
                <w:sz w:val="24"/>
                <w:szCs w:val="24"/>
                <w:highlight w:val="none"/>
                <w:lang w:eastAsia="zh-CN"/>
              </w:rPr>
              <w:t>□技术改造</w:t>
            </w:r>
          </w:p>
        </w:tc>
        <w:tc>
          <w:tcPr>
            <w:tcW w:w="1842" w:type="dxa"/>
            <w:vAlign w:val="center"/>
          </w:tcPr>
          <w:p w14:paraId="0786EFD0">
            <w:pPr>
              <w:widowControl w:val="0"/>
              <w:adjustRightInd w:val="0"/>
              <w:snapToGrid w:val="0"/>
              <w:spacing w:line="4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14:paraId="720499EA">
            <w:pPr>
              <w:widowControl w:val="0"/>
              <w:adjustRightInd w:val="0"/>
              <w:snapToGrid w:val="0"/>
              <w:spacing w:line="4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2332" w:type="dxa"/>
            <w:vAlign w:val="center"/>
          </w:tcPr>
          <w:p w14:paraId="1D040C1A">
            <w:pPr>
              <w:widowControl w:val="0"/>
              <w:adjustRightInd w:val="0"/>
              <w:snapToGrid w:val="0"/>
              <w:spacing w:line="400" w:lineRule="exact"/>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1"/>
                <w:sz w:val="24"/>
                <w:szCs w:val="24"/>
                <w:highlight w:val="none"/>
              </w:rPr>
              <w:sym w:font="Wingdings 2" w:char="0052"/>
            </w:r>
            <w:r>
              <w:rPr>
                <w:rFonts w:hint="default" w:ascii="Times New Roman" w:hAnsi="Times New Roman" w:eastAsia="宋体" w:cs="Times New Roman"/>
                <w:color w:val="auto"/>
                <w:sz w:val="24"/>
                <w:szCs w:val="24"/>
                <w:highlight w:val="none"/>
              </w:rPr>
              <w:t>首次申报项目</w:t>
            </w:r>
          </w:p>
          <w:p w14:paraId="31CCBF78">
            <w:pPr>
              <w:widowControl w:val="0"/>
              <w:kinsoku/>
              <w:autoSpaceDE/>
              <w:autoSpaceDN/>
              <w:adjustRightInd w:val="0"/>
              <w:snapToGrid w:val="0"/>
              <w:spacing w:line="400" w:lineRule="exact"/>
              <w:jc w:val="left"/>
              <w:textAlignment w:val="auto"/>
              <w:rPr>
                <w:rFonts w:hint="default" w:ascii="Times New Roman" w:hAnsi="Times New Roman" w:eastAsia="宋体" w:cs="Times New Roman"/>
                <w:snapToGrid/>
                <w:color w:val="auto"/>
                <w:kern w:val="2"/>
                <w:sz w:val="24"/>
                <w:szCs w:val="24"/>
                <w:highlight w:val="none"/>
                <w:lang w:eastAsia="zh-CN"/>
              </w:rPr>
            </w:pPr>
            <w:r>
              <w:rPr>
                <w:rFonts w:hint="default" w:ascii="Times New Roman" w:hAnsi="Times New Roman" w:eastAsia="宋体" w:cs="Times New Roman"/>
                <w:snapToGrid/>
                <w:color w:val="auto"/>
                <w:kern w:val="2"/>
                <w:sz w:val="24"/>
                <w:szCs w:val="24"/>
                <w:highlight w:val="none"/>
                <w:lang w:eastAsia="zh-CN"/>
              </w:rPr>
              <w:t>□不予批准后再次申报项目</w:t>
            </w:r>
          </w:p>
          <w:p w14:paraId="72D51186">
            <w:pPr>
              <w:widowControl w:val="0"/>
              <w:kinsoku/>
              <w:autoSpaceDE/>
              <w:autoSpaceDN/>
              <w:adjustRightInd w:val="0"/>
              <w:snapToGrid w:val="0"/>
              <w:spacing w:line="400" w:lineRule="exact"/>
              <w:jc w:val="left"/>
              <w:textAlignment w:val="auto"/>
              <w:rPr>
                <w:rFonts w:hint="default" w:ascii="Times New Roman" w:hAnsi="Times New Roman" w:eastAsia="宋体" w:cs="Times New Roman"/>
                <w:snapToGrid/>
                <w:color w:val="auto"/>
                <w:kern w:val="2"/>
                <w:sz w:val="24"/>
                <w:szCs w:val="24"/>
                <w:highlight w:val="none"/>
                <w:lang w:eastAsia="zh-CN"/>
              </w:rPr>
            </w:pPr>
            <w:r>
              <w:rPr>
                <w:rFonts w:hint="default" w:ascii="Times New Roman" w:hAnsi="Times New Roman" w:eastAsia="宋体" w:cs="Times New Roman"/>
                <w:snapToGrid/>
                <w:color w:val="auto"/>
                <w:kern w:val="2"/>
                <w:sz w:val="24"/>
                <w:szCs w:val="24"/>
                <w:highlight w:val="none"/>
                <w:lang w:eastAsia="zh-CN"/>
              </w:rPr>
              <w:t>□超五年重新审核项目</w:t>
            </w:r>
          </w:p>
          <w:p w14:paraId="1C3E1C40">
            <w:pPr>
              <w:widowControl w:val="0"/>
              <w:kinsoku/>
              <w:autoSpaceDE/>
              <w:autoSpaceDN/>
              <w:adjustRightInd w:val="0"/>
              <w:snapToGrid w:val="0"/>
              <w:spacing w:line="400" w:lineRule="exact"/>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napToGrid/>
                <w:color w:val="auto"/>
                <w:kern w:val="2"/>
                <w:sz w:val="24"/>
                <w:szCs w:val="24"/>
                <w:highlight w:val="none"/>
                <w:lang w:eastAsia="zh-CN"/>
              </w:rPr>
              <w:t>□重大变动重新报批项目</w:t>
            </w:r>
          </w:p>
        </w:tc>
      </w:tr>
      <w:tr w14:paraId="43B5A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7" w:type="dxa"/>
            <w:vAlign w:val="center"/>
          </w:tcPr>
          <w:p w14:paraId="2A3CE423">
            <w:pPr>
              <w:widowControl w:val="0"/>
              <w:adjustRightInd w:val="0"/>
              <w:snapToGrid w:val="0"/>
              <w:spacing w:line="4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项目审批（核准/备案）部门</w:t>
            </w:r>
          </w:p>
        </w:tc>
        <w:tc>
          <w:tcPr>
            <w:tcW w:w="2603" w:type="dxa"/>
            <w:vAlign w:val="center"/>
          </w:tcPr>
          <w:p w14:paraId="61C22318">
            <w:pPr>
              <w:widowControl w:val="0"/>
              <w:adjustRightInd w:val="0"/>
              <w:snapToGrid w:val="0"/>
              <w:spacing w:line="4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无</w:t>
            </w:r>
          </w:p>
        </w:tc>
        <w:tc>
          <w:tcPr>
            <w:tcW w:w="1842" w:type="dxa"/>
            <w:vAlign w:val="center"/>
          </w:tcPr>
          <w:p w14:paraId="68CD77C3">
            <w:pPr>
              <w:widowControl w:val="0"/>
              <w:adjustRightInd w:val="0"/>
              <w:snapToGrid w:val="0"/>
              <w:spacing w:line="4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项目审批（核准/备案）文号</w:t>
            </w:r>
          </w:p>
        </w:tc>
        <w:tc>
          <w:tcPr>
            <w:tcW w:w="2332" w:type="dxa"/>
            <w:vAlign w:val="center"/>
          </w:tcPr>
          <w:p w14:paraId="405D0236">
            <w:pPr>
              <w:widowControl w:val="0"/>
              <w:adjustRightInd w:val="0"/>
              <w:snapToGrid w:val="0"/>
              <w:spacing w:line="4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无</w:t>
            </w:r>
          </w:p>
        </w:tc>
      </w:tr>
      <w:tr w14:paraId="56209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7" w:type="dxa"/>
            <w:vAlign w:val="center"/>
          </w:tcPr>
          <w:p w14:paraId="379C42E3">
            <w:pPr>
              <w:widowControl w:val="0"/>
              <w:adjustRightInd w:val="0"/>
              <w:snapToGrid w:val="0"/>
              <w:spacing w:line="4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w:t>
            </w:r>
          </w:p>
          <w:p w14:paraId="47CE8F2C">
            <w:pPr>
              <w:widowControl w:val="0"/>
              <w:adjustRightInd w:val="0"/>
              <w:snapToGrid w:val="0"/>
              <w:spacing w:line="4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（万元）</w:t>
            </w:r>
          </w:p>
        </w:tc>
        <w:tc>
          <w:tcPr>
            <w:tcW w:w="2603" w:type="dxa"/>
            <w:vAlign w:val="center"/>
          </w:tcPr>
          <w:p w14:paraId="7D7E731D">
            <w:pPr>
              <w:widowControl w:val="0"/>
              <w:adjustRightInd w:val="0"/>
              <w:snapToGrid w:val="0"/>
              <w:spacing w:line="40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22000</w:t>
            </w:r>
          </w:p>
        </w:tc>
        <w:tc>
          <w:tcPr>
            <w:tcW w:w="1842" w:type="dxa"/>
            <w:vAlign w:val="center"/>
          </w:tcPr>
          <w:p w14:paraId="470574BE">
            <w:pPr>
              <w:widowControl w:val="0"/>
              <w:adjustRightInd w:val="0"/>
              <w:snapToGrid w:val="0"/>
              <w:spacing w:line="4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w:t>
            </w:r>
          </w:p>
          <w:p w14:paraId="26D5A199">
            <w:pPr>
              <w:widowControl w:val="0"/>
              <w:adjustRightInd w:val="0"/>
              <w:snapToGrid w:val="0"/>
              <w:spacing w:line="4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（万元）</w:t>
            </w:r>
          </w:p>
        </w:tc>
        <w:tc>
          <w:tcPr>
            <w:tcW w:w="2332" w:type="dxa"/>
            <w:vAlign w:val="center"/>
          </w:tcPr>
          <w:p w14:paraId="6750881D">
            <w:pPr>
              <w:widowControl w:val="0"/>
              <w:adjustRightInd w:val="0"/>
              <w:snapToGrid w:val="0"/>
              <w:spacing w:line="40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1148</w:t>
            </w:r>
          </w:p>
        </w:tc>
      </w:tr>
      <w:tr w14:paraId="463CF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7" w:type="dxa"/>
            <w:vAlign w:val="center"/>
          </w:tcPr>
          <w:p w14:paraId="7EEB49E4">
            <w:pPr>
              <w:widowControl w:val="0"/>
              <w:adjustRightInd w:val="0"/>
              <w:snapToGrid w:val="0"/>
              <w:spacing w:line="4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2603" w:type="dxa"/>
            <w:vAlign w:val="center"/>
          </w:tcPr>
          <w:p w14:paraId="510A9B04">
            <w:pPr>
              <w:widowControl w:val="0"/>
              <w:adjustRightInd w:val="0"/>
              <w:snapToGrid w:val="0"/>
              <w:spacing w:line="40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5.2</w:t>
            </w:r>
          </w:p>
        </w:tc>
        <w:tc>
          <w:tcPr>
            <w:tcW w:w="1842" w:type="dxa"/>
            <w:vAlign w:val="center"/>
          </w:tcPr>
          <w:p w14:paraId="24A2A8C1">
            <w:pPr>
              <w:widowControl w:val="0"/>
              <w:adjustRightInd w:val="0"/>
              <w:snapToGrid w:val="0"/>
              <w:spacing w:line="4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2332" w:type="dxa"/>
            <w:vAlign w:val="center"/>
          </w:tcPr>
          <w:p w14:paraId="4FF09C88">
            <w:pPr>
              <w:widowControl w:val="0"/>
              <w:adjustRightInd w:val="0"/>
              <w:snapToGrid w:val="0"/>
              <w:spacing w:line="40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单井</w:t>
            </w:r>
            <w:r>
              <w:rPr>
                <w:rFonts w:hint="default" w:ascii="Times New Roman" w:hAnsi="Times New Roman" w:eastAsia="宋体" w:cs="Times New Roman"/>
                <w:color w:val="auto"/>
                <w:sz w:val="24"/>
                <w:szCs w:val="24"/>
                <w:highlight w:val="none"/>
              </w:rPr>
              <w:t>钻井期</w:t>
            </w:r>
            <w:r>
              <w:rPr>
                <w:rFonts w:hint="eastAsia" w:ascii="Times New Roman" w:hAnsi="Times New Roman" w:eastAsia="宋体"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rPr>
              <w:t>天，</w:t>
            </w:r>
            <w:r>
              <w:rPr>
                <w:rFonts w:hint="eastAsia" w:ascii="Times New Roman" w:hAnsi="Times New Roman" w:eastAsia="宋体" w:cs="Times New Roman"/>
                <w:color w:val="auto"/>
                <w:sz w:val="24"/>
                <w:szCs w:val="24"/>
                <w:highlight w:val="none"/>
                <w:lang w:val="en-US" w:eastAsia="zh-CN"/>
              </w:rPr>
              <w:t>7口井同时开钻；</w:t>
            </w:r>
            <w:r>
              <w:rPr>
                <w:rFonts w:hint="default" w:ascii="Times New Roman" w:hAnsi="Times New Roman" w:eastAsia="宋体" w:cs="Times New Roman"/>
                <w:color w:val="auto"/>
                <w:sz w:val="24"/>
                <w:szCs w:val="24"/>
                <w:highlight w:val="none"/>
              </w:rPr>
              <w:t>试油期为</w:t>
            </w:r>
            <w:r>
              <w:rPr>
                <w:rFonts w:hint="default" w:ascii="Times New Roman" w:hAnsi="Times New Roman" w:eastAsia="宋体" w:cs="Times New Roman"/>
                <w:color w:val="auto"/>
                <w:sz w:val="24"/>
                <w:szCs w:val="24"/>
                <w:highlight w:val="none"/>
                <w:lang w:val="en-US" w:eastAsia="zh-CN"/>
              </w:rPr>
              <w:t>180</w:t>
            </w:r>
            <w:r>
              <w:rPr>
                <w:rFonts w:hint="default" w:ascii="Times New Roman" w:hAnsi="Times New Roman" w:eastAsia="宋体" w:cs="Times New Roman"/>
                <w:color w:val="auto"/>
                <w:sz w:val="24"/>
                <w:szCs w:val="24"/>
                <w:highlight w:val="none"/>
              </w:rPr>
              <w:t>天。</w:t>
            </w:r>
          </w:p>
        </w:tc>
      </w:tr>
      <w:tr w14:paraId="729FD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7" w:type="dxa"/>
            <w:vAlign w:val="center"/>
          </w:tcPr>
          <w:p w14:paraId="4D17B777">
            <w:pPr>
              <w:widowControl w:val="0"/>
              <w:kinsoku/>
              <w:autoSpaceDE/>
              <w:autoSpaceDN/>
              <w:adjustRightInd w:val="0"/>
              <w:snapToGrid w:val="0"/>
              <w:spacing w:line="400" w:lineRule="exact"/>
              <w:jc w:val="left"/>
              <w:textAlignment w:val="auto"/>
              <w:rPr>
                <w:rFonts w:hint="default" w:ascii="Times New Roman" w:hAnsi="Times New Roman" w:eastAsia="宋体" w:cs="Times New Roman"/>
                <w:snapToGrid/>
                <w:color w:val="auto"/>
                <w:kern w:val="2"/>
                <w:sz w:val="24"/>
                <w:szCs w:val="24"/>
                <w:highlight w:val="none"/>
                <w:lang w:eastAsia="zh-CN"/>
              </w:rPr>
            </w:pPr>
            <w:r>
              <w:rPr>
                <w:rFonts w:hint="default" w:ascii="Times New Roman" w:hAnsi="Times New Roman" w:eastAsia="宋体" w:cs="Times New Roman"/>
                <w:snapToGrid/>
                <w:color w:val="auto"/>
                <w:kern w:val="2"/>
                <w:sz w:val="24"/>
                <w:szCs w:val="24"/>
                <w:highlight w:val="none"/>
                <w:lang w:eastAsia="zh-CN"/>
              </w:rPr>
              <w:t>是否开工建设</w:t>
            </w:r>
          </w:p>
        </w:tc>
        <w:tc>
          <w:tcPr>
            <w:tcW w:w="6777" w:type="dxa"/>
            <w:gridSpan w:val="3"/>
            <w:vAlign w:val="center"/>
          </w:tcPr>
          <w:p w14:paraId="780B9595">
            <w:pPr>
              <w:widowControl w:val="0"/>
              <w:kinsoku/>
              <w:autoSpaceDE/>
              <w:autoSpaceDN/>
              <w:adjustRightInd w:val="0"/>
              <w:snapToGrid w:val="0"/>
              <w:spacing w:line="400" w:lineRule="exact"/>
              <w:jc w:val="left"/>
              <w:textAlignment w:val="auto"/>
              <w:rPr>
                <w:rFonts w:hint="default" w:ascii="Times New Roman" w:hAnsi="Times New Roman" w:eastAsia="宋体" w:cs="Times New Roman"/>
                <w:snapToGrid/>
                <w:color w:val="auto"/>
                <w:kern w:val="2"/>
                <w:sz w:val="24"/>
                <w:szCs w:val="24"/>
                <w:highlight w:val="none"/>
                <w:lang w:eastAsia="zh-CN"/>
              </w:rPr>
            </w:pPr>
            <w:r>
              <w:rPr>
                <w:rFonts w:hint="default" w:ascii="Times New Roman" w:hAnsi="Times New Roman" w:eastAsia="宋体" w:cs="Times New Roman"/>
                <w:snapToGrid/>
                <w:color w:val="auto"/>
                <w:kern w:val="2"/>
                <w:sz w:val="24"/>
                <w:szCs w:val="24"/>
                <w:highlight w:val="none"/>
                <w:lang w:eastAsia="zh-CN"/>
              </w:rPr>
              <w:sym w:font="Wingdings 2" w:char="0052"/>
            </w:r>
            <w:r>
              <w:rPr>
                <w:rFonts w:hint="default" w:ascii="Times New Roman" w:hAnsi="Times New Roman" w:eastAsia="宋体" w:cs="Times New Roman"/>
                <w:snapToGrid/>
                <w:color w:val="auto"/>
                <w:kern w:val="2"/>
                <w:sz w:val="24"/>
                <w:szCs w:val="24"/>
                <w:highlight w:val="none"/>
                <w:lang w:eastAsia="zh-CN"/>
              </w:rPr>
              <w:t>否</w:t>
            </w:r>
          </w:p>
          <w:p w14:paraId="4EEBB50E">
            <w:pPr>
              <w:widowControl w:val="0"/>
              <w:kinsoku/>
              <w:autoSpaceDE/>
              <w:autoSpaceDN/>
              <w:adjustRightInd w:val="0"/>
              <w:snapToGrid w:val="0"/>
              <w:spacing w:line="400" w:lineRule="exact"/>
              <w:jc w:val="left"/>
              <w:textAlignment w:val="auto"/>
              <w:rPr>
                <w:rFonts w:hint="default" w:ascii="Times New Roman" w:hAnsi="Times New Roman" w:eastAsia="宋体" w:cs="Times New Roman"/>
                <w:snapToGrid/>
                <w:color w:val="auto"/>
                <w:kern w:val="2"/>
                <w:sz w:val="24"/>
                <w:szCs w:val="24"/>
                <w:highlight w:val="none"/>
                <w:lang w:eastAsia="zh-CN"/>
              </w:rPr>
            </w:pPr>
            <w:r>
              <w:rPr>
                <w:rFonts w:hint="default" w:ascii="Times New Roman" w:hAnsi="Times New Roman" w:eastAsia="宋体" w:cs="Times New Roman"/>
                <w:snapToGrid/>
                <w:color w:val="auto"/>
                <w:kern w:val="2"/>
                <w:sz w:val="24"/>
                <w:szCs w:val="24"/>
                <w:highlight w:val="none"/>
                <w:lang w:eastAsia="zh-CN"/>
              </w:rPr>
              <w:t>□是：</w:t>
            </w:r>
          </w:p>
        </w:tc>
      </w:tr>
      <w:tr w14:paraId="4CD0F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7" w:type="dxa"/>
            <w:vAlign w:val="center"/>
          </w:tcPr>
          <w:p w14:paraId="1C54075F">
            <w:pPr>
              <w:widowControl w:val="0"/>
              <w:autoSpaceDE w:val="0"/>
              <w:autoSpaceDN w:val="0"/>
              <w:adjustRightInd w:val="0"/>
              <w:snapToGrid w:val="0"/>
              <w:spacing w:line="400" w:lineRule="exact"/>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专项评价</w:t>
            </w:r>
          </w:p>
          <w:p w14:paraId="6C733F55">
            <w:pPr>
              <w:widowControl w:val="0"/>
              <w:autoSpaceDE w:val="0"/>
              <w:autoSpaceDN w:val="0"/>
              <w:adjustRightInd w:val="0"/>
              <w:snapToGrid w:val="0"/>
              <w:spacing w:line="4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rPr>
              <w:t>设置情况</w:t>
            </w:r>
          </w:p>
        </w:tc>
        <w:tc>
          <w:tcPr>
            <w:tcW w:w="6777" w:type="dxa"/>
            <w:gridSpan w:val="3"/>
            <w:vAlign w:val="center"/>
          </w:tcPr>
          <w:p w14:paraId="26E89283">
            <w:pPr>
              <w:widowControl w:val="0"/>
              <w:autoSpaceDE w:val="0"/>
              <w:autoSpaceDN w:val="0"/>
              <w:adjustRightInd w:val="0"/>
              <w:snapToGrid w:val="0"/>
              <w:spacing w:line="4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rPr>
              <w:t>无</w:t>
            </w:r>
          </w:p>
        </w:tc>
      </w:tr>
      <w:tr w14:paraId="7D2D0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2" w:hRule="atLeast"/>
          <w:jc w:val="center"/>
        </w:trPr>
        <w:tc>
          <w:tcPr>
            <w:tcW w:w="1787" w:type="dxa"/>
            <w:vAlign w:val="center"/>
          </w:tcPr>
          <w:p w14:paraId="778521D0">
            <w:pPr>
              <w:widowControl w:val="0"/>
              <w:autoSpaceDE w:val="0"/>
              <w:autoSpaceDN w:val="0"/>
              <w:adjustRightInd w:val="0"/>
              <w:snapToGrid w:val="0"/>
              <w:spacing w:line="4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规划情况</w:t>
            </w:r>
          </w:p>
        </w:tc>
        <w:tc>
          <w:tcPr>
            <w:tcW w:w="6777" w:type="dxa"/>
            <w:gridSpan w:val="3"/>
            <w:vAlign w:val="center"/>
          </w:tcPr>
          <w:p w14:paraId="61C1A365">
            <w:pPr>
              <w:widowControl w:val="0"/>
              <w:snapToGrid w:val="0"/>
              <w:spacing w:line="360" w:lineRule="auto"/>
              <w:ind w:firstLine="4" w:firstLineChars="0"/>
              <w:jc w:val="both"/>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1</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rPr>
              <w:t>规划名称：《新疆维吾尔自治区矿产资源总体规划（2021-2025年）》；</w:t>
            </w:r>
          </w:p>
          <w:p w14:paraId="33F0EE91">
            <w:pPr>
              <w:widowControl w:val="0"/>
              <w:snapToGrid w:val="0"/>
              <w:spacing w:line="360" w:lineRule="auto"/>
              <w:ind w:firstLine="4" w:firstLineChars="0"/>
              <w:jc w:val="both"/>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审批机关：自然资源部；</w:t>
            </w:r>
          </w:p>
          <w:p w14:paraId="11E8E5D1">
            <w:pPr>
              <w:widowControl w:val="0"/>
              <w:snapToGrid w:val="0"/>
              <w:spacing w:line="360" w:lineRule="auto"/>
              <w:ind w:firstLine="4" w:firstLineChars="0"/>
              <w:jc w:val="both"/>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审批文号：自然资函〔2022〕1092号。</w:t>
            </w:r>
          </w:p>
          <w:p w14:paraId="0E40F34C">
            <w:pPr>
              <w:widowControl w:val="0"/>
              <w:snapToGrid w:val="0"/>
              <w:spacing w:line="360" w:lineRule="auto"/>
              <w:ind w:firstLine="4" w:firstLineChars="0"/>
              <w:jc w:val="both"/>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2</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rPr>
              <w:t>规划名称：《新疆维吾尔自治区昌吉回族自治州矿产资源总体规划（2021-2025年）》；</w:t>
            </w:r>
          </w:p>
          <w:p w14:paraId="283697C3">
            <w:pPr>
              <w:widowControl w:val="0"/>
              <w:snapToGrid w:val="0"/>
              <w:spacing w:line="360" w:lineRule="auto"/>
              <w:ind w:firstLine="4" w:firstLineChars="0"/>
              <w:jc w:val="both"/>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规划编制单位：昌吉回族自治州人民政府。</w:t>
            </w:r>
          </w:p>
          <w:p w14:paraId="4E968A14">
            <w:pPr>
              <w:pStyle w:val="16"/>
              <w:widowControl w:val="0"/>
              <w:spacing w:before="3" w:line="360" w:lineRule="auto"/>
              <w:ind w:right="3"/>
              <w:jc w:val="both"/>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规划名称：《吐哈油田公司勘探与生产业务“十四五”发展规划》；</w:t>
            </w:r>
          </w:p>
          <w:p w14:paraId="4693302C">
            <w:pPr>
              <w:pStyle w:val="4"/>
              <w:keepNext w:val="0"/>
              <w:keepLines w:val="0"/>
              <w:pageBreakBefore w:val="0"/>
              <w:widowControl w:val="0"/>
              <w:kinsoku/>
              <w:wordWrap/>
              <w:overflowPunct w:val="0"/>
              <w:topLinePunct w:val="0"/>
              <w:autoSpaceDE w:val="0"/>
              <w:autoSpaceDN w:val="0"/>
              <w:bidi w:val="0"/>
              <w:adjustRightInd w:val="0"/>
              <w:snapToGrid w:val="0"/>
              <w:ind w:left="0" w:leftChars="0" w:firstLine="0" w:firstLineChars="0"/>
              <w:textAlignment w:val="baseline"/>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rPr>
              <w:t>规划编制单位：</w:t>
            </w:r>
            <w:r>
              <w:rPr>
                <w:rFonts w:hint="default" w:ascii="Times New Roman" w:hAnsi="Times New Roman" w:eastAsia="宋体" w:cs="Times New Roman"/>
                <w:color w:val="auto"/>
                <w:sz w:val="24"/>
                <w:szCs w:val="24"/>
                <w:highlight w:val="none"/>
                <w:lang w:val="en-US" w:eastAsia="zh-CN"/>
              </w:rPr>
              <w:t>中国石油天然气股份有限公司吐哈油田分公司</w:t>
            </w:r>
            <w:r>
              <w:rPr>
                <w:rFonts w:hint="default" w:ascii="Times New Roman" w:hAnsi="Times New Roman" w:eastAsia="宋体" w:cs="Times New Roman"/>
                <w:color w:val="auto"/>
                <w:sz w:val="24"/>
                <w:szCs w:val="24"/>
                <w:highlight w:val="none"/>
              </w:rPr>
              <w:t>。</w:t>
            </w:r>
          </w:p>
        </w:tc>
      </w:tr>
      <w:tr w14:paraId="167D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7" w:type="dxa"/>
            <w:shd w:val="clear" w:color="auto" w:fill="auto"/>
            <w:vAlign w:val="center"/>
          </w:tcPr>
          <w:p w14:paraId="2A3B3AB7">
            <w:pPr>
              <w:widowControl w:val="0"/>
              <w:autoSpaceDE w:val="0"/>
              <w:autoSpaceDN w:val="0"/>
              <w:adjustRightInd w:val="0"/>
              <w:snapToGrid w:val="0"/>
              <w:spacing w:line="4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规划环境影响</w:t>
            </w:r>
          </w:p>
          <w:p w14:paraId="4D17E825">
            <w:pPr>
              <w:widowControl w:val="0"/>
              <w:autoSpaceDE w:val="0"/>
              <w:autoSpaceDN w:val="0"/>
              <w:adjustRightInd w:val="0"/>
              <w:snapToGrid w:val="0"/>
              <w:spacing w:line="400" w:lineRule="exact"/>
              <w:jc w:val="center"/>
              <w:rPr>
                <w:rFonts w:hint="default" w:ascii="Times New Roman" w:hAnsi="Times New Roman" w:eastAsia="宋体" w:cs="Times New Roman"/>
                <w:snapToGrid w:val="0"/>
                <w:color w:val="auto"/>
                <w:kern w:val="0"/>
                <w:sz w:val="24"/>
                <w:szCs w:val="24"/>
                <w:highlight w:val="none"/>
                <w:lang w:val="en-US" w:eastAsia="en-US" w:bidi="ar-SA"/>
              </w:rPr>
            </w:pPr>
            <w:r>
              <w:rPr>
                <w:rFonts w:hint="default" w:ascii="Times New Roman" w:hAnsi="Times New Roman" w:eastAsia="宋体" w:cs="Times New Roman"/>
                <w:color w:val="auto"/>
                <w:sz w:val="24"/>
                <w:szCs w:val="24"/>
                <w:highlight w:val="none"/>
              </w:rPr>
              <w:t>评价情况</w:t>
            </w:r>
          </w:p>
        </w:tc>
        <w:tc>
          <w:tcPr>
            <w:tcW w:w="6777" w:type="dxa"/>
            <w:gridSpan w:val="3"/>
            <w:shd w:val="clear" w:color="auto" w:fill="auto"/>
            <w:vAlign w:val="center"/>
          </w:tcPr>
          <w:p w14:paraId="0E0B8ACC">
            <w:pPr>
              <w:widowControl w:val="0"/>
              <w:snapToGrid w:val="0"/>
              <w:spacing w:line="360" w:lineRule="auto"/>
              <w:ind w:firstLine="4" w:firstLineChars="0"/>
              <w:jc w:val="both"/>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1.</w:t>
            </w:r>
            <w:r>
              <w:rPr>
                <w:rFonts w:hint="default" w:ascii="Times New Roman" w:hAnsi="Times New Roman" w:eastAsia="宋体" w:cs="Times New Roman"/>
                <w:color w:val="auto"/>
                <w:kern w:val="0"/>
                <w:sz w:val="24"/>
                <w:szCs w:val="24"/>
                <w:highlight w:val="none"/>
              </w:rPr>
              <w:t>环评文件名称：《新疆维吾尔自治区矿产资源总体规划（2021-2025年）环境影响报告书》；</w:t>
            </w:r>
          </w:p>
          <w:p w14:paraId="08D39EE6">
            <w:pPr>
              <w:widowControl w:val="0"/>
              <w:snapToGrid w:val="0"/>
              <w:spacing w:line="360" w:lineRule="auto"/>
              <w:ind w:firstLine="4" w:firstLineChars="0"/>
              <w:jc w:val="both"/>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审查机关：生态环境部；</w:t>
            </w:r>
          </w:p>
          <w:p w14:paraId="5101A1E5">
            <w:pPr>
              <w:widowControl w:val="0"/>
              <w:snapToGrid w:val="0"/>
              <w:spacing w:line="360" w:lineRule="auto"/>
              <w:ind w:firstLine="4" w:firstLineChars="0"/>
              <w:jc w:val="both"/>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rPr>
              <w:t>审查文件名称及文号：关于《新疆维吾尔自治区矿产资源总体规划（2021-2025年）环境影响报告书》的审查意见（环审〔2022〕124号）</w:t>
            </w:r>
            <w:r>
              <w:rPr>
                <w:rFonts w:hint="default" w:ascii="Times New Roman" w:hAnsi="Times New Roman" w:eastAsia="宋体" w:cs="Times New Roman"/>
                <w:color w:val="auto"/>
                <w:kern w:val="0"/>
                <w:sz w:val="24"/>
                <w:szCs w:val="24"/>
                <w:highlight w:val="none"/>
                <w:lang w:eastAsia="zh-CN"/>
              </w:rPr>
              <w:t>。</w:t>
            </w:r>
          </w:p>
          <w:p w14:paraId="7A389F68">
            <w:pPr>
              <w:widowControl w:val="0"/>
              <w:snapToGrid w:val="0"/>
              <w:spacing w:line="360" w:lineRule="auto"/>
              <w:ind w:firstLine="4" w:firstLineChars="0"/>
              <w:jc w:val="both"/>
              <w:rPr>
                <w:rFonts w:hint="default"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rPr>
              <w:t>环评文件名称：《新疆维吾尔自治区昌吉回族自治州矿产资源总体规划（2021—2025年）环境影响报告书》；</w:t>
            </w:r>
          </w:p>
          <w:p w14:paraId="0C917D6E">
            <w:pPr>
              <w:widowControl w:val="0"/>
              <w:snapToGrid w:val="0"/>
              <w:spacing w:line="360" w:lineRule="auto"/>
              <w:ind w:firstLine="4" w:firstLineChars="0"/>
              <w:jc w:val="both"/>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审查机关：昌吉回族自治州生态环境局；</w:t>
            </w:r>
          </w:p>
          <w:p w14:paraId="07C39980">
            <w:pPr>
              <w:widowControl w:val="0"/>
              <w:snapToGrid w:val="0"/>
              <w:spacing w:line="360" w:lineRule="auto"/>
              <w:ind w:firstLine="4" w:firstLineChars="0"/>
              <w:jc w:val="both"/>
              <w:rPr>
                <w:rFonts w:hint="default" w:ascii="Times New Roman" w:hAnsi="Times New Roman" w:eastAsia="宋体" w:cs="Times New Roman"/>
                <w:snapToGrid w:val="0"/>
                <w:color w:val="auto"/>
                <w:kern w:val="0"/>
                <w:sz w:val="24"/>
                <w:szCs w:val="24"/>
                <w:highlight w:val="none"/>
                <w:lang w:val="en-US" w:eastAsia="en-US" w:bidi="ar-SA"/>
              </w:rPr>
            </w:pPr>
            <w:r>
              <w:rPr>
                <w:rFonts w:hint="default" w:ascii="Times New Roman" w:hAnsi="Times New Roman" w:eastAsia="宋体" w:cs="Times New Roman"/>
                <w:color w:val="auto"/>
                <w:kern w:val="0"/>
                <w:sz w:val="24"/>
                <w:szCs w:val="24"/>
                <w:highlight w:val="none"/>
              </w:rPr>
              <w:t>审查文件名称及文号：关于《新疆维吾尔自治区昌吉回族自治州矿产资源总体规划（2021—2025年）环境影响报告书》的审查意见（昌州环函〔2023〕40号）。</w:t>
            </w:r>
          </w:p>
        </w:tc>
      </w:tr>
      <w:tr w14:paraId="06C01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7" w:type="dxa"/>
            <w:shd w:val="clear" w:color="auto" w:fill="auto"/>
            <w:vAlign w:val="center"/>
          </w:tcPr>
          <w:p w14:paraId="4D2B7105">
            <w:pPr>
              <w:widowControl w:val="0"/>
              <w:autoSpaceDE w:val="0"/>
              <w:autoSpaceDN w:val="0"/>
              <w:adjustRightInd w:val="0"/>
              <w:snapToGrid w:val="0"/>
              <w:spacing w:line="430" w:lineRule="exact"/>
              <w:jc w:val="center"/>
              <w:rPr>
                <w:rFonts w:hint="default" w:ascii="Times New Roman" w:hAnsi="Times New Roman" w:eastAsia="宋体" w:cs="Times New Roman"/>
                <w:snapToGrid w:val="0"/>
                <w:color w:val="auto"/>
                <w:kern w:val="0"/>
                <w:sz w:val="24"/>
                <w:szCs w:val="24"/>
                <w:highlight w:val="none"/>
                <w:lang w:val="en-US" w:eastAsia="en-US" w:bidi="ar-SA"/>
              </w:rPr>
            </w:pPr>
            <w:r>
              <w:rPr>
                <w:rFonts w:hint="default" w:ascii="Times New Roman" w:hAnsi="Times New Roman" w:eastAsia="宋体" w:cs="Times New Roman"/>
                <w:color w:val="auto"/>
                <w:kern w:val="0"/>
                <w:sz w:val="24"/>
                <w:szCs w:val="24"/>
                <w:highlight w:val="none"/>
              </w:rPr>
              <w:t>规划及</w:t>
            </w:r>
            <w:r>
              <w:rPr>
                <w:rFonts w:hint="default" w:ascii="Times New Roman" w:hAnsi="Times New Roman" w:eastAsia="宋体" w:cs="Times New Roman"/>
                <w:color w:val="auto"/>
                <w:sz w:val="24"/>
                <w:szCs w:val="24"/>
                <w:highlight w:val="none"/>
              </w:rPr>
              <w:t>规划环境影响评价</w:t>
            </w:r>
            <w:r>
              <w:rPr>
                <w:rFonts w:hint="default" w:ascii="Times New Roman" w:hAnsi="Times New Roman" w:eastAsia="宋体" w:cs="Times New Roman"/>
                <w:color w:val="auto"/>
                <w:kern w:val="0"/>
                <w:sz w:val="24"/>
                <w:szCs w:val="24"/>
                <w:highlight w:val="none"/>
              </w:rPr>
              <w:t>符合性分析</w:t>
            </w:r>
          </w:p>
        </w:tc>
        <w:tc>
          <w:tcPr>
            <w:tcW w:w="6777" w:type="dxa"/>
            <w:gridSpan w:val="3"/>
            <w:shd w:val="clear" w:color="auto" w:fill="auto"/>
            <w:vAlign w:val="center"/>
          </w:tcPr>
          <w:p w14:paraId="6E6ADC62">
            <w:pPr>
              <w:pStyle w:val="20"/>
              <w:widowControl w:val="0"/>
              <w:spacing w:line="360" w:lineRule="auto"/>
              <w:ind w:left="0" w:leftChars="0" w:firstLine="0" w:firstLineChars="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与《新疆维吾尔自治区矿产资源总体规划（2021—2025年）》及规划环评的符合性分析</w:t>
            </w:r>
          </w:p>
          <w:p w14:paraId="2737D9B2">
            <w:pPr>
              <w:pStyle w:val="20"/>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新疆矿产资源丰富，是我国重要的能源资源开发区。规划将石油、天然气列为重点勘查开采矿种，鼓励勘探和开发；并且依据矿产资源分布特点及勘查开发利用现状，按照</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深化北疆东疆，加快南疆勘查开发</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的总体思路，划分了环准噶尔、环塔里木、阿尔泰、东准噶尔、西准噶尔、东天山、西天山、西南天山、西昆仑、东昆仑—阿尔金等</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两环八带</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十个勘查开发区。规划环评要求对产生的污染物采取相应的治理措施，对实施过程中产生的生态影响采取有效的减缓措施。</w:t>
            </w:r>
          </w:p>
          <w:p w14:paraId="628FAC75">
            <w:pPr>
              <w:pStyle w:val="20"/>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本项目拟部署的</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口勘探井占地位于</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两环八带</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十个勘查开发区</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中的环准噶尔能源矿产勘查开发区，且属于陆地矿产资源地质勘查（含油气资源勘探），符合规划要求；</w:t>
            </w:r>
          </w:p>
          <w:p w14:paraId="5F085B0F">
            <w:pPr>
              <w:pStyle w:val="20"/>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同时，本项目严格</w:t>
            </w:r>
            <w:r>
              <w:rPr>
                <w:rFonts w:hint="default" w:ascii="Times New Roman" w:hAnsi="Times New Roman" w:eastAsia="宋体" w:cs="Times New Roman"/>
                <w:color w:val="auto"/>
                <w:sz w:val="24"/>
                <w:szCs w:val="24"/>
                <w:highlight w:val="none"/>
              </w:rPr>
              <w:t>按照《新疆维吾尔自治区矿产资源总体规划（2021-2025年）环境影响报告书》要求对施工期产生的</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三废</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、噪声及生态影响均提出了相应的治理或减缓措施，符合规划环评相关要求。</w:t>
            </w:r>
          </w:p>
          <w:p w14:paraId="39D6B895">
            <w:pPr>
              <w:pStyle w:val="20"/>
              <w:widowControl w:val="0"/>
              <w:spacing w:line="360" w:lineRule="auto"/>
              <w:ind w:left="0" w:leftChars="0" w:firstLine="0" w:firstLineChars="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与《新疆维吾尔自治区昌吉回族自治州矿产资源总体规划（2021—2025年）》及规划环评的符合性分析</w:t>
            </w:r>
          </w:p>
          <w:p w14:paraId="1C9F10B5">
            <w:pPr>
              <w:pStyle w:val="20"/>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将石油、天然气列为鼓励勘察开采的矿种。以油气、煤、地热、硅质原料、饰面石材等矿产资源勘查开发为主，重点加强准噶尔南缘、准东冲断带等地区石油、天然气、页岩气等常规能源勘查，有序开发准东、准南等地区煤炭、煤层气资源，延伸煤炭产业链，推进煤电煤化工一体化等综合资源开发，助力天山北坡城市群经济高质量发展。拟部署勘探井位于准噶尔盆地吉南油田萨探区块，属于陆地石油勘探，符合规划相关要求。</w:t>
            </w:r>
          </w:p>
          <w:p w14:paraId="27BC53E4">
            <w:pPr>
              <w:pStyle w:val="20"/>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施工期将采取严格的生态保护和恢复措施，严格控制施工区扰动范围，废水、废气、固体废物均按照国家标准进行分类收集、集中处理，尽可能减少生态扰动和环境污染。</w:t>
            </w:r>
          </w:p>
          <w:p w14:paraId="5B143D85">
            <w:pPr>
              <w:pStyle w:val="20"/>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因此，本项目在选址、建设内容、生态保护措施等方面与《新疆维吾尔自治区昌吉回族自治州矿产资源总体规划（2021—2025年）》及其环境影响报告书的相关要求保持一致，符合规划及其规划环评的相关导向与管理要求。</w:t>
            </w:r>
          </w:p>
          <w:p w14:paraId="032BA7CF">
            <w:pPr>
              <w:pStyle w:val="20"/>
              <w:widowControl w:val="0"/>
              <w:spacing w:line="360" w:lineRule="auto"/>
              <w:ind w:left="0" w:leftChars="0" w:firstLine="0" w:firstLineChars="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与《吐哈油田公司勘探与生产业务</w:t>
            </w:r>
            <w:r>
              <w:rPr>
                <w:rFonts w:hint="eastAsia"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十四五</w:t>
            </w:r>
            <w:r>
              <w:rPr>
                <w:rFonts w:hint="eastAsia"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发展规划》的符合性分析</w:t>
            </w:r>
          </w:p>
          <w:p w14:paraId="7DAF8251">
            <w:pPr>
              <w:pStyle w:val="20"/>
              <w:widowControl w:val="0"/>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根据《吐哈油田公司勘探与生产业务</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十四五</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发展规划》中</w:t>
            </w:r>
            <w:r>
              <w:rPr>
                <w:rFonts w:hint="eastAsia" w:ascii="Times New Roman" w:hAnsi="Times New Roman" w:eastAsia="宋体" w:cs="Times New Roman"/>
                <w:color w:val="auto"/>
                <w:sz w:val="24"/>
                <w:szCs w:val="24"/>
                <w:highlight w:val="none"/>
                <w:lang w:val="en-US" w:eastAsia="zh-CN"/>
              </w:rPr>
              <w:t>““十四五”规划</w:t>
            </w:r>
            <w:r>
              <w:rPr>
                <w:rFonts w:hint="default" w:ascii="Times New Roman" w:hAnsi="Times New Roman" w:eastAsia="宋体" w:cs="Times New Roman"/>
                <w:color w:val="auto"/>
                <w:sz w:val="24"/>
                <w:szCs w:val="24"/>
                <w:highlight w:val="none"/>
                <w:lang w:val="en-US" w:eastAsia="zh-CN"/>
              </w:rPr>
              <w:t>方案</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中</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规划部署内容</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：（一）坚持资源战略，大打勘探发现进攻仗，筑牢高质量发展的根基。始终将勘探作为各项工作</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龙头</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打好勘探发现进攻仗，发现并落实2～3个5000万吨级整装规模储量区，确保探明储量替换率石油&gt;1.5、天然气&gt;2.5。加大四新领域风险勘探和甩开预探，进一步解放思想，强化基础研究与整体研究，优选突破方向，落实有利勘探领域及区带6～8个，每年采纳风险井位3-5口，力争实现具有战略意义的重大突破。瞄准吐哈盆地中下侏罗系岩性油气藏、胜北致密气、石钱滩天然气、准东和三塘湖页岩油、阜康断裂带东部等领域和区带，加大集中勘探力度，努力将当前发现的好苗头转化为效益建产的规模储量，力争</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十四五</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新增探明石油储量1.35亿吨、天然气储量900亿方，为新区上产奠定坚实的资源基础。</w:t>
            </w:r>
          </w:p>
          <w:p w14:paraId="20F2C985">
            <w:pPr>
              <w:widowControl w:val="0"/>
              <w:adjustRightInd w:val="0"/>
              <w:snapToGrid w:val="0"/>
              <w:spacing w:line="360" w:lineRule="auto"/>
              <w:ind w:firstLine="480" w:firstLineChars="200"/>
              <w:jc w:val="both"/>
              <w:rPr>
                <w:rFonts w:hint="default" w:ascii="Times New Roman" w:hAnsi="Times New Roman" w:eastAsia="宋体" w:cs="Times New Roman"/>
                <w:snapToGrid w:val="0"/>
                <w:color w:val="auto"/>
                <w:kern w:val="0"/>
                <w:sz w:val="24"/>
                <w:szCs w:val="24"/>
                <w:highlight w:val="none"/>
                <w:lang w:val="en-US" w:eastAsia="en-US" w:bidi="ar-SA"/>
              </w:rPr>
            </w:pPr>
            <w:r>
              <w:rPr>
                <w:rFonts w:hint="default" w:ascii="Times New Roman" w:hAnsi="Times New Roman" w:eastAsia="宋体" w:cs="Times New Roman"/>
                <w:color w:val="auto"/>
                <w:sz w:val="24"/>
                <w:szCs w:val="24"/>
                <w:highlight w:val="none"/>
                <w:lang w:val="en-US" w:eastAsia="zh-CN"/>
              </w:rPr>
              <w:t>本项目位于准噶尔盆地吉南油田萨探区块，</w:t>
            </w:r>
            <w:r>
              <w:rPr>
                <w:color w:val="auto"/>
                <w:spacing w:val="-2"/>
                <w:sz w:val="24"/>
                <w:szCs w:val="24"/>
              </w:rPr>
              <w:t>属于《吐哈油田公司勘探与生产业务</w:t>
            </w:r>
            <w:r>
              <w:rPr>
                <w:rFonts w:hint="eastAsia" w:eastAsia="宋体"/>
                <w:color w:val="auto"/>
                <w:spacing w:val="-2"/>
                <w:sz w:val="24"/>
                <w:szCs w:val="24"/>
                <w:lang w:eastAsia="zh-CN"/>
              </w:rPr>
              <w:t>“</w:t>
            </w:r>
            <w:r>
              <w:rPr>
                <w:color w:val="auto"/>
                <w:spacing w:val="-2"/>
                <w:sz w:val="24"/>
                <w:szCs w:val="24"/>
              </w:rPr>
              <w:t>十四五</w:t>
            </w:r>
            <w:r>
              <w:rPr>
                <w:rFonts w:hint="eastAsia" w:eastAsia="宋体"/>
                <w:color w:val="auto"/>
                <w:spacing w:val="-2"/>
                <w:sz w:val="24"/>
                <w:szCs w:val="24"/>
                <w:lang w:eastAsia="zh-CN"/>
              </w:rPr>
              <w:t>”</w:t>
            </w:r>
            <w:r>
              <w:rPr>
                <w:color w:val="auto"/>
                <w:spacing w:val="-2"/>
                <w:sz w:val="24"/>
                <w:szCs w:val="24"/>
              </w:rPr>
              <w:t>发</w:t>
            </w:r>
            <w:r>
              <w:rPr>
                <w:color w:val="auto"/>
                <w:sz w:val="24"/>
                <w:szCs w:val="24"/>
              </w:rPr>
              <w:t>展规划》重点开发的吉南区块</w:t>
            </w:r>
            <w:r>
              <w:rPr>
                <w:rFonts w:hint="eastAsia" w:eastAsia="宋体"/>
                <w:color w:val="auto"/>
                <w:sz w:val="24"/>
                <w:szCs w:val="24"/>
                <w:lang w:eastAsia="zh-CN"/>
              </w:rPr>
              <w:t>，</w:t>
            </w:r>
            <w:r>
              <w:rPr>
                <w:rFonts w:hint="default" w:ascii="Times New Roman" w:hAnsi="Times New Roman" w:eastAsia="宋体" w:cs="Times New Roman"/>
                <w:color w:val="auto"/>
                <w:sz w:val="24"/>
                <w:szCs w:val="24"/>
                <w:highlight w:val="none"/>
                <w:lang w:val="en-US" w:eastAsia="zh-CN"/>
              </w:rPr>
              <w:t>符合此规划要求。</w:t>
            </w:r>
          </w:p>
        </w:tc>
      </w:tr>
      <w:tr w14:paraId="6A1D9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7" w:type="dxa"/>
            <w:vAlign w:val="center"/>
          </w:tcPr>
          <w:p w14:paraId="5408114C">
            <w:pPr>
              <w:widowControl w:val="0"/>
              <w:autoSpaceDE w:val="0"/>
              <w:autoSpaceDN w:val="0"/>
              <w:adjustRightInd w:val="0"/>
              <w:snapToGrid w:val="0"/>
              <w:spacing w:line="4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rPr>
              <w:t>其他符合性分析</w:t>
            </w:r>
          </w:p>
        </w:tc>
        <w:tc>
          <w:tcPr>
            <w:tcW w:w="6777" w:type="dxa"/>
            <w:gridSpan w:val="3"/>
            <w:vAlign w:val="center"/>
          </w:tcPr>
          <w:p w14:paraId="2F8A46FC">
            <w:pPr>
              <w:widowControl w:val="0"/>
              <w:adjustRightInd w:val="0"/>
              <w:snapToGrid w:val="0"/>
              <w:spacing w:line="360" w:lineRule="auto"/>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产业政策符合性分析</w:t>
            </w:r>
          </w:p>
          <w:p w14:paraId="14D4DC9C">
            <w:pPr>
              <w:widowControl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根据国家发展和改革委员会发布的《产业结构调整指导目录（2024年本）》，本项目为勘探井项目，属于第一类“鼓励类”中的第七条</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石油天然气</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中第1项</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常规石油、天然气勘探与开采</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类项目，为国家鼓励发展的产业。因此，本项目符合国家产业政策。</w:t>
            </w:r>
          </w:p>
          <w:p w14:paraId="35EACF3F">
            <w:pPr>
              <w:widowControl w:val="0"/>
              <w:adjustRightInd w:val="0"/>
              <w:snapToGrid w:val="0"/>
              <w:spacing w:line="360" w:lineRule="auto"/>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w:t>
            </w:r>
            <w:r>
              <w:rPr>
                <w:rFonts w:hint="default" w:ascii="Times New Roman" w:hAnsi="Times New Roman" w:eastAsia="宋体"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en-US" w:eastAsia="zh-CN"/>
              </w:rPr>
              <w:t>生态环境分区管控</w:t>
            </w:r>
            <w:r>
              <w:rPr>
                <w:rFonts w:hint="default" w:ascii="Times New Roman" w:hAnsi="Times New Roman" w:eastAsia="宋体" w:cs="Times New Roman"/>
                <w:b/>
                <w:bCs/>
                <w:color w:val="auto"/>
                <w:sz w:val="24"/>
                <w:szCs w:val="24"/>
                <w:highlight w:val="none"/>
              </w:rPr>
              <w:t>符合性分析</w:t>
            </w:r>
          </w:p>
          <w:p w14:paraId="2BBFCEDB">
            <w:pPr>
              <w:widowControl w:val="0"/>
              <w:adjustRightInd w:val="0"/>
              <w:snapToGrid w:val="0"/>
              <w:spacing w:line="360" w:lineRule="auto"/>
              <w:ind w:firstLine="482"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（1）与《新疆维吾尔自治区生态环境分区管控动态更新成果》（新环环评发〔2024〕157号）的符合性分析</w:t>
            </w:r>
          </w:p>
          <w:p w14:paraId="042107FB">
            <w:pPr>
              <w:widowControl w:val="0"/>
              <w:adjustRightInd w:val="0"/>
              <w:snapToGrid w:val="0"/>
              <w:spacing w:line="360" w:lineRule="auto"/>
              <w:ind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项目</w:t>
            </w:r>
            <w:r>
              <w:rPr>
                <w:rFonts w:hint="default" w:ascii="Times New Roman" w:hAnsi="Times New Roman" w:eastAsia="宋体" w:cs="Times New Roman"/>
                <w:b w:val="0"/>
                <w:bCs w:val="0"/>
                <w:color w:val="auto"/>
                <w:sz w:val="24"/>
                <w:szCs w:val="24"/>
                <w:highlight w:val="none"/>
              </w:rPr>
              <w:t>与《新疆维吾尔自治区生态环境分区管控动态更新成果》（新环环评发〔2024〕157号）的符合性分析</w:t>
            </w:r>
            <w:r>
              <w:rPr>
                <w:rFonts w:hint="eastAsia" w:ascii="Times New Roman" w:hAnsi="Times New Roman" w:eastAsia="宋体" w:cs="Times New Roman"/>
                <w:b w:val="0"/>
                <w:bCs w:val="0"/>
                <w:color w:val="auto"/>
                <w:sz w:val="24"/>
                <w:szCs w:val="24"/>
                <w:highlight w:val="none"/>
                <w:lang w:val="en-US" w:eastAsia="zh-CN"/>
              </w:rPr>
              <w:t>具体见表1-1。</w:t>
            </w:r>
          </w:p>
          <w:p w14:paraId="76EDD45D">
            <w:pPr>
              <w:widowControl w:val="0"/>
              <w:adjustRightInd w:val="0"/>
              <w:snapToGrid w:val="0"/>
              <w:spacing w:line="400" w:lineRule="exac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表1-1 本项目与《新疆维吾尔自治区生态环境分区管控动态更新成果》（新环环评发〔2024〕157号）的符合性分析</w:t>
            </w:r>
          </w:p>
          <w:tbl>
            <w:tblPr>
              <w:tblStyle w:val="12"/>
              <w:tblW w:w="66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388"/>
              <w:gridCol w:w="408"/>
              <w:gridCol w:w="2579"/>
              <w:gridCol w:w="1920"/>
              <w:gridCol w:w="652"/>
            </w:tblGrid>
            <w:tr w14:paraId="028A5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672" w:type="dxa"/>
                  <w:vAlign w:val="center"/>
                </w:tcPr>
                <w:p w14:paraId="3B2FBE37">
                  <w:pPr>
                    <w:pStyle w:val="16"/>
                    <w:widowControl w:val="0"/>
                    <w:spacing w:before="65" w:line="228" w:lineRule="auto"/>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pacing w:val="6"/>
                      <w:sz w:val="21"/>
                      <w:szCs w:val="21"/>
                      <w:highlight w:val="none"/>
                    </w:rPr>
                    <w:t>文件名称</w:t>
                  </w:r>
                </w:p>
              </w:tc>
              <w:tc>
                <w:tcPr>
                  <w:tcW w:w="3375" w:type="dxa"/>
                  <w:gridSpan w:val="3"/>
                  <w:vAlign w:val="center"/>
                </w:tcPr>
                <w:p w14:paraId="3D423673">
                  <w:pPr>
                    <w:pStyle w:val="16"/>
                    <w:widowControl w:val="0"/>
                    <w:spacing w:before="65" w:line="228" w:lineRule="auto"/>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pacing w:val="8"/>
                      <w:sz w:val="21"/>
                      <w:szCs w:val="21"/>
                      <w:highlight w:val="none"/>
                    </w:rPr>
                    <w:t>环境管理政策有关要求</w:t>
                  </w:r>
                </w:p>
              </w:tc>
              <w:tc>
                <w:tcPr>
                  <w:tcW w:w="1920" w:type="dxa"/>
                  <w:vAlign w:val="center"/>
                </w:tcPr>
                <w:p w14:paraId="013F5A30">
                  <w:pPr>
                    <w:pStyle w:val="16"/>
                    <w:widowControl w:val="0"/>
                    <w:spacing w:before="65" w:line="228" w:lineRule="auto"/>
                    <w:jc w:val="center"/>
                    <w:rPr>
                      <w:rFonts w:hint="default" w:ascii="Times New Roman" w:hAnsi="Times New Roman" w:eastAsia="宋体" w:cs="Times New Roman"/>
                      <w:b/>
                      <w:bCs/>
                      <w:color w:val="auto"/>
                      <w:spacing w:val="6"/>
                      <w:sz w:val="21"/>
                      <w:szCs w:val="21"/>
                      <w:highlight w:val="none"/>
                      <w:lang w:val="en-US" w:eastAsia="zh-CN"/>
                    </w:rPr>
                  </w:pPr>
                  <w:r>
                    <w:rPr>
                      <w:rFonts w:hint="default" w:ascii="Times New Roman" w:hAnsi="Times New Roman" w:eastAsia="宋体" w:cs="Times New Roman"/>
                      <w:b/>
                      <w:bCs/>
                      <w:color w:val="auto"/>
                      <w:spacing w:val="6"/>
                      <w:sz w:val="21"/>
                      <w:szCs w:val="21"/>
                      <w:highlight w:val="none"/>
                      <w:lang w:val="en-US" w:eastAsia="zh-CN"/>
                    </w:rPr>
                    <w:t>本项目情况</w:t>
                  </w:r>
                </w:p>
              </w:tc>
              <w:tc>
                <w:tcPr>
                  <w:tcW w:w="652" w:type="dxa"/>
                  <w:vAlign w:val="center"/>
                </w:tcPr>
                <w:p w14:paraId="25D732DD">
                  <w:pPr>
                    <w:pStyle w:val="16"/>
                    <w:widowControl w:val="0"/>
                    <w:spacing w:before="65" w:line="228" w:lineRule="auto"/>
                    <w:jc w:val="center"/>
                    <w:rPr>
                      <w:rFonts w:hint="default" w:ascii="Times New Roman" w:hAnsi="Times New Roman" w:eastAsia="宋体" w:cs="Times New Roman"/>
                      <w:b/>
                      <w:bCs/>
                      <w:color w:val="auto"/>
                      <w:spacing w:val="6"/>
                      <w:sz w:val="21"/>
                      <w:szCs w:val="21"/>
                      <w:highlight w:val="none"/>
                      <w:lang w:eastAsia="zh-CN"/>
                    </w:rPr>
                  </w:pPr>
                  <w:r>
                    <w:rPr>
                      <w:rFonts w:hint="default" w:ascii="Times New Roman" w:hAnsi="Times New Roman" w:eastAsia="宋体" w:cs="Times New Roman"/>
                      <w:b/>
                      <w:bCs/>
                      <w:color w:val="auto"/>
                      <w:spacing w:val="6"/>
                      <w:sz w:val="21"/>
                      <w:szCs w:val="21"/>
                      <w:highlight w:val="none"/>
                      <w:lang w:val="en-US" w:eastAsia="zh-CN"/>
                    </w:rPr>
                    <w:t>符合性</w:t>
                  </w:r>
                </w:p>
              </w:tc>
            </w:tr>
            <w:tr w14:paraId="1B6C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trPr>
              <w:tc>
                <w:tcPr>
                  <w:tcW w:w="672" w:type="dxa"/>
                  <w:vMerge w:val="restart"/>
                  <w:vAlign w:val="center"/>
                </w:tcPr>
                <w:p w14:paraId="1344E2D4">
                  <w:pPr>
                    <w:widowControl w:val="0"/>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关于印发《新疆维吾尔自治区生态环境分区管控动态更新成果》的通知</w:t>
                  </w:r>
                </w:p>
              </w:tc>
              <w:tc>
                <w:tcPr>
                  <w:tcW w:w="388" w:type="dxa"/>
                  <w:vMerge w:val="restart"/>
                  <w:vAlign w:val="center"/>
                </w:tcPr>
                <w:p w14:paraId="0DE6FFD7">
                  <w:pPr>
                    <w:widowControl w:val="0"/>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自治区总体管控</w:t>
                  </w:r>
                </w:p>
              </w:tc>
              <w:tc>
                <w:tcPr>
                  <w:tcW w:w="408" w:type="dxa"/>
                  <w:vMerge w:val="restart"/>
                  <w:vAlign w:val="center"/>
                </w:tcPr>
                <w:p w14:paraId="2CBA2C7A">
                  <w:pPr>
                    <w:widowControl w:val="0"/>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空间布局约束</w:t>
                  </w:r>
                </w:p>
                <w:p w14:paraId="6F0648A3">
                  <w:pPr>
                    <w:widowControl w:val="0"/>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2579" w:type="dxa"/>
                  <w:vAlign w:val="center"/>
                </w:tcPr>
                <w:p w14:paraId="6CABFC8D">
                  <w:pPr>
                    <w:widowControl w:val="0"/>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〔A1.1-1〕禁止新建、扩建《产业结构调整指导目录(2024年本)》中淘汰类项目。禁止引入《市场准入负面清单(2022年版)》禁止准入类事项。</w:t>
                  </w:r>
                </w:p>
              </w:tc>
              <w:tc>
                <w:tcPr>
                  <w:tcW w:w="1920" w:type="dxa"/>
                  <w:vAlign w:val="center"/>
                </w:tcPr>
                <w:p w14:paraId="1872107A">
                  <w:pPr>
                    <w:widowControl w:val="0"/>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本项目不属于《产业结构调整指导目录</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2024年本</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》中淘汰类项目，也不属于《市场准入负面清单(2025年版)》，禁止准入类事项。</w:t>
                  </w:r>
                </w:p>
              </w:tc>
              <w:tc>
                <w:tcPr>
                  <w:tcW w:w="652" w:type="dxa"/>
                  <w:vAlign w:val="center"/>
                </w:tcPr>
                <w:p w14:paraId="58E838E9">
                  <w:pPr>
                    <w:widowControl w:val="0"/>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373C4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dxa"/>
                  <w:vMerge w:val="continue"/>
                  <w:vAlign w:val="center"/>
                </w:tcPr>
                <w:p w14:paraId="1A1AC2D5">
                  <w:pPr>
                    <w:widowControl w:val="0"/>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388" w:type="dxa"/>
                  <w:vMerge w:val="continue"/>
                  <w:vAlign w:val="center"/>
                </w:tcPr>
                <w:p w14:paraId="78BD6063">
                  <w:pPr>
                    <w:widowControl w:val="0"/>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408" w:type="dxa"/>
                  <w:vMerge w:val="continue"/>
                  <w:vAlign w:val="center"/>
                </w:tcPr>
                <w:p w14:paraId="27AC9B7A">
                  <w:pPr>
                    <w:widowControl w:val="0"/>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2579" w:type="dxa"/>
                  <w:vAlign w:val="center"/>
                </w:tcPr>
                <w:p w14:paraId="7AEB3A02">
                  <w:pPr>
                    <w:widowControl w:val="0"/>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A1.4-1〕一切开发建设活动应符合国家、自治区主体功能区规划自治区和各地颁布实施的生态环境功能区划、国民经济发展规划、产业发展规划、国土空间规划等相关规划及重点生态功能区负面清单要求，符合区域或产业规划环评要求。</w:t>
                  </w:r>
                </w:p>
              </w:tc>
              <w:tc>
                <w:tcPr>
                  <w:tcW w:w="1920" w:type="dxa"/>
                  <w:vAlign w:val="center"/>
                </w:tcPr>
                <w:p w14:paraId="369F9287">
                  <w:pPr>
                    <w:widowControl w:val="0"/>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本项目建设活动符合《新疆维吾尔自治区矿产资源总体规划（2021-2025年）》规划要求，符合生态环境功能区划、国民经济发展规划、产业发展规划、国土空间规划等相关规划及重点生态功能区负面清单要求。</w:t>
                  </w:r>
                </w:p>
              </w:tc>
              <w:tc>
                <w:tcPr>
                  <w:tcW w:w="652" w:type="dxa"/>
                  <w:vAlign w:val="center"/>
                </w:tcPr>
                <w:p w14:paraId="1B1659DD">
                  <w:pPr>
                    <w:widowControl w:val="0"/>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14:paraId="15E0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672" w:type="dxa"/>
                  <w:vMerge w:val="continue"/>
                  <w:vAlign w:val="center"/>
                </w:tcPr>
                <w:p w14:paraId="4250F697">
                  <w:pPr>
                    <w:widowControl w:val="0"/>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388" w:type="dxa"/>
                  <w:vMerge w:val="continue"/>
                  <w:vAlign w:val="center"/>
                </w:tcPr>
                <w:p w14:paraId="48558770">
                  <w:pPr>
                    <w:widowControl w:val="0"/>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408" w:type="dxa"/>
                  <w:vMerge w:val="continue"/>
                  <w:vAlign w:val="center"/>
                </w:tcPr>
                <w:p w14:paraId="0821F1B4">
                  <w:pPr>
                    <w:widowControl w:val="0"/>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2579" w:type="dxa"/>
                  <w:vAlign w:val="center"/>
                </w:tcPr>
                <w:p w14:paraId="023363DC">
                  <w:pPr>
                    <w:widowControl w:val="0"/>
                    <w:autoSpaceDE w:val="0"/>
                    <w:autoSpaceDN w:val="0"/>
                    <w:adjustRightInd w:val="0"/>
                    <w:snapToGrid w:val="0"/>
                    <w:spacing w:line="300" w:lineRule="exact"/>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A1.2-2〕建设项目用地原则上不得占用永久基本农田，确需占用永久基本农田的建设项目须符合《中华人民共和国基本农田保护条例》中相关要求，占用耕地、林地或草地的建设项目须按照国家、自治区相关补偿要求进行补偿。</w:t>
                  </w:r>
                </w:p>
              </w:tc>
              <w:tc>
                <w:tcPr>
                  <w:tcW w:w="1920" w:type="dxa"/>
                  <w:vAlign w:val="center"/>
                </w:tcPr>
                <w:p w14:paraId="3233F939">
                  <w:pPr>
                    <w:widowControl w:val="0"/>
                    <w:autoSpaceDE w:val="0"/>
                    <w:autoSpaceDN w:val="0"/>
                    <w:adjustRightInd w:val="0"/>
                    <w:snapToGrid w:val="0"/>
                    <w:spacing w:line="300" w:lineRule="exact"/>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本项目不占用基本农田和耕地，占用</w:t>
                  </w:r>
                  <w:r>
                    <w:rPr>
                      <w:rFonts w:hint="eastAsia" w:ascii="Times New Roman" w:hAnsi="Times New Roman" w:eastAsia="宋体" w:cs="Times New Roman"/>
                      <w:color w:val="auto"/>
                      <w:kern w:val="0"/>
                      <w:sz w:val="21"/>
                      <w:szCs w:val="21"/>
                      <w:highlight w:val="none"/>
                      <w:lang w:val="en-US" w:eastAsia="zh-CN"/>
                    </w:rPr>
                    <w:t>水浇地、内陆滩涂、其他林地</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环评提出</w:t>
                  </w:r>
                  <w:r>
                    <w:rPr>
                      <w:rFonts w:hint="default" w:ascii="Times New Roman" w:hAnsi="Times New Roman" w:eastAsia="宋体" w:cs="Times New Roman"/>
                      <w:color w:val="auto"/>
                      <w:kern w:val="0"/>
                      <w:sz w:val="21"/>
                      <w:szCs w:val="21"/>
                      <w:highlight w:val="none"/>
                      <w:lang w:val="en-US" w:eastAsia="zh-CN"/>
                    </w:rPr>
                    <w:t>按照国家、自治区相关补偿要求进行补偿。</w:t>
                  </w:r>
                </w:p>
              </w:tc>
              <w:tc>
                <w:tcPr>
                  <w:tcW w:w="652" w:type="dxa"/>
                  <w:vAlign w:val="center"/>
                </w:tcPr>
                <w:p w14:paraId="5FF1FAC6">
                  <w:pPr>
                    <w:widowControl w:val="0"/>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14:paraId="1F40D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dxa"/>
                  <w:vMerge w:val="continue"/>
                  <w:vAlign w:val="center"/>
                </w:tcPr>
                <w:p w14:paraId="772CDBCF">
                  <w:pPr>
                    <w:widowControl w:val="0"/>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388" w:type="dxa"/>
                  <w:vMerge w:val="continue"/>
                  <w:vAlign w:val="center"/>
                </w:tcPr>
                <w:p w14:paraId="6E7F4AE5">
                  <w:pPr>
                    <w:widowControl w:val="0"/>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408" w:type="dxa"/>
                  <w:vMerge w:val="restart"/>
                  <w:vAlign w:val="center"/>
                </w:tcPr>
                <w:p w14:paraId="1B9C6580">
                  <w:pPr>
                    <w:widowControl w:val="0"/>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污染物排放管理</w:t>
                  </w:r>
                </w:p>
              </w:tc>
              <w:tc>
                <w:tcPr>
                  <w:tcW w:w="2579" w:type="dxa"/>
                  <w:vAlign w:val="center"/>
                </w:tcPr>
                <w:p w14:paraId="50EC08E8">
                  <w:pPr>
                    <w:widowControl w:val="0"/>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〔A2.1-1〕新、改、扩建重点行业建设项目应符合</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三线一单</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、产业政策、区域环评、规划环评和行业环境准入管控要求。</w:t>
                  </w:r>
                </w:p>
              </w:tc>
              <w:tc>
                <w:tcPr>
                  <w:tcW w:w="1920" w:type="dxa"/>
                  <w:vAlign w:val="center"/>
                </w:tcPr>
                <w:p w14:paraId="709AD7F8">
                  <w:pPr>
                    <w:widowControl w:val="0"/>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本项目的建设符合</w:t>
                  </w:r>
                  <w:r>
                    <w:rPr>
                      <w:rFonts w:hint="eastAsia" w:ascii="Times New Roman" w:hAnsi="Times New Roman" w:eastAsia="宋体" w:cs="Times New Roman"/>
                      <w:color w:val="auto"/>
                      <w:sz w:val="21"/>
                      <w:szCs w:val="21"/>
                      <w:highlight w:val="none"/>
                      <w:lang w:val="en-US" w:eastAsia="zh-CN"/>
                    </w:rPr>
                    <w:t>生态环境分区管控</w:t>
                  </w:r>
                  <w:r>
                    <w:rPr>
                      <w:rFonts w:hint="default" w:ascii="Times New Roman" w:hAnsi="Times New Roman" w:eastAsia="宋体" w:cs="Times New Roman"/>
                      <w:color w:val="auto"/>
                      <w:sz w:val="21"/>
                      <w:szCs w:val="21"/>
                      <w:highlight w:val="none"/>
                      <w:lang w:val="en-US" w:eastAsia="zh-CN"/>
                    </w:rPr>
                    <w:t>要求，符合《产业结构调整指导目录</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2024年本</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》，符合《新疆维吾尔自治区矿产资源总体规划（2021-2025年）环境影响报告书》及审查意见。</w:t>
                  </w:r>
                </w:p>
              </w:tc>
              <w:tc>
                <w:tcPr>
                  <w:tcW w:w="652" w:type="dxa"/>
                  <w:vAlign w:val="center"/>
                </w:tcPr>
                <w:p w14:paraId="2AD150AE">
                  <w:pPr>
                    <w:widowControl w:val="0"/>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14:paraId="2FBA5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4" w:hRule="atLeast"/>
              </w:trPr>
              <w:tc>
                <w:tcPr>
                  <w:tcW w:w="672" w:type="dxa"/>
                  <w:vMerge w:val="continue"/>
                  <w:vAlign w:val="center"/>
                </w:tcPr>
                <w:p w14:paraId="199A1CA3">
                  <w:pPr>
                    <w:widowControl w:val="0"/>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388" w:type="dxa"/>
                  <w:vMerge w:val="continue"/>
                  <w:vAlign w:val="center"/>
                </w:tcPr>
                <w:p w14:paraId="441E6BBE">
                  <w:pPr>
                    <w:widowControl w:val="0"/>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408" w:type="dxa"/>
                  <w:vMerge w:val="continue"/>
                  <w:vAlign w:val="center"/>
                </w:tcPr>
                <w:p w14:paraId="7A5DDBF6">
                  <w:pPr>
                    <w:widowControl w:val="0"/>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2579" w:type="dxa"/>
                  <w:vAlign w:val="center"/>
                </w:tcPr>
                <w:p w14:paraId="51197873">
                  <w:pPr>
                    <w:widowControl w:val="0"/>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〔A2.2-8〕严控土壤重金属污染，加强油(气)田开发土壤污染防治，以历史遗留工业企业污染场地为重点，开展土壤污染风险管控与修复工程。</w:t>
                  </w:r>
                </w:p>
              </w:tc>
              <w:tc>
                <w:tcPr>
                  <w:tcW w:w="1920" w:type="dxa"/>
                  <w:vAlign w:val="center"/>
                </w:tcPr>
                <w:p w14:paraId="1D5EA8BC">
                  <w:pPr>
                    <w:widowControl w:val="0"/>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本项目陆地矿产资源地质勘查，</w:t>
                  </w:r>
                  <w:r>
                    <w:rPr>
                      <w:rFonts w:hint="eastAsia" w:ascii="Times New Roman" w:hAnsi="Times New Roman" w:eastAsia="宋体" w:cs="Times New Roman"/>
                      <w:color w:val="auto"/>
                      <w:sz w:val="21"/>
                      <w:szCs w:val="21"/>
                      <w:highlight w:val="none"/>
                      <w:lang w:val="en-US" w:eastAsia="zh-CN"/>
                    </w:rPr>
                    <w:t>二开段</w:t>
                  </w:r>
                  <w:r>
                    <w:rPr>
                      <w:rFonts w:hint="default" w:ascii="Times New Roman" w:hAnsi="Times New Roman" w:eastAsia="宋体" w:cs="Times New Roman"/>
                      <w:color w:val="auto"/>
                      <w:sz w:val="21"/>
                      <w:szCs w:val="21"/>
                      <w:highlight w:val="none"/>
                      <w:lang w:val="en-US" w:eastAsia="zh-CN"/>
                    </w:rPr>
                    <w:t>油基钻井岩屑</w:t>
                  </w:r>
                  <w:r>
                    <w:rPr>
                      <w:rFonts w:hint="eastAsia" w:ascii="Times New Roman" w:hAnsi="Times New Roman" w:eastAsia="宋体" w:cs="Times New Roman"/>
                      <w:color w:val="auto"/>
                      <w:sz w:val="21"/>
                      <w:szCs w:val="21"/>
                      <w:highlight w:val="none"/>
                      <w:lang w:val="en-US" w:eastAsia="zh-CN"/>
                    </w:rPr>
                    <w:t>和三开段沾油水基钻井岩屑</w:t>
                  </w:r>
                  <w:r>
                    <w:rPr>
                      <w:rFonts w:hint="default" w:ascii="Times New Roman" w:hAnsi="Times New Roman" w:eastAsia="宋体" w:cs="Times New Roman"/>
                      <w:color w:val="auto"/>
                      <w:sz w:val="21"/>
                      <w:szCs w:val="21"/>
                      <w:highlight w:val="none"/>
                      <w:lang w:val="en-US" w:eastAsia="zh-CN"/>
                    </w:rPr>
                    <w:t>属于危废，委托新疆中建环能北庭环保科技有限公司进行处置。落地油100%回收，废防渗材料、废润滑油、废润滑油桶集中收集后暂存于危废</w:t>
                  </w:r>
                  <w:r>
                    <w:rPr>
                      <w:rFonts w:hint="eastAsia" w:ascii="Times New Roman" w:hAnsi="Times New Roman" w:eastAsia="宋体" w:cs="Times New Roman"/>
                      <w:color w:val="auto"/>
                      <w:sz w:val="21"/>
                      <w:szCs w:val="21"/>
                      <w:highlight w:val="none"/>
                      <w:lang w:val="en-US" w:eastAsia="zh-CN"/>
                    </w:rPr>
                    <w:t>贮存点</w:t>
                  </w:r>
                  <w:r>
                    <w:rPr>
                      <w:rFonts w:hint="default" w:ascii="Times New Roman" w:hAnsi="Times New Roman" w:eastAsia="宋体" w:cs="Times New Roman"/>
                      <w:color w:val="auto"/>
                      <w:sz w:val="21"/>
                      <w:szCs w:val="21"/>
                      <w:highlight w:val="none"/>
                      <w:lang w:val="en-US" w:eastAsia="zh-CN"/>
                    </w:rPr>
                    <w:t>，定期委托</w:t>
                  </w:r>
                  <w:r>
                    <w:rPr>
                      <w:rFonts w:hint="eastAsia" w:ascii="Times New Roman" w:hAnsi="Times New Roman" w:eastAsia="宋体" w:cs="Times New Roman"/>
                      <w:color w:val="auto"/>
                      <w:sz w:val="21"/>
                      <w:szCs w:val="21"/>
                      <w:highlight w:val="none"/>
                      <w:lang w:val="en-US" w:eastAsia="zh-CN"/>
                    </w:rPr>
                    <w:t>有</w:t>
                  </w:r>
                  <w:r>
                    <w:rPr>
                      <w:rFonts w:hint="default" w:ascii="Times New Roman" w:hAnsi="Times New Roman" w:eastAsia="宋体" w:cs="Times New Roman"/>
                      <w:color w:val="auto"/>
                      <w:sz w:val="21"/>
                      <w:szCs w:val="21"/>
                      <w:highlight w:val="none"/>
                      <w:lang w:val="en-US" w:eastAsia="zh-CN"/>
                    </w:rPr>
                    <w:t>资质的单位处理。固废均得到了合理处置。不会对土壤环境造成严重的污染。</w:t>
                  </w:r>
                </w:p>
              </w:tc>
              <w:tc>
                <w:tcPr>
                  <w:tcW w:w="652" w:type="dxa"/>
                  <w:vAlign w:val="center"/>
                </w:tcPr>
                <w:p w14:paraId="73FEB21C">
                  <w:pPr>
                    <w:widowControl w:val="0"/>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14:paraId="5C45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0" w:hRule="atLeast"/>
              </w:trPr>
              <w:tc>
                <w:tcPr>
                  <w:tcW w:w="672" w:type="dxa"/>
                  <w:vMerge w:val="continue"/>
                  <w:vAlign w:val="center"/>
                </w:tcPr>
                <w:p w14:paraId="36769EE8">
                  <w:pPr>
                    <w:widowControl w:val="0"/>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388" w:type="dxa"/>
                  <w:vMerge w:val="continue"/>
                  <w:vAlign w:val="center"/>
                </w:tcPr>
                <w:p w14:paraId="0BA213A6">
                  <w:pPr>
                    <w:widowControl w:val="0"/>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408" w:type="dxa"/>
                  <w:vAlign w:val="center"/>
                </w:tcPr>
                <w:p w14:paraId="7AB9D10A">
                  <w:pPr>
                    <w:widowControl w:val="0"/>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环境风险防控</w:t>
                  </w:r>
                </w:p>
              </w:tc>
              <w:tc>
                <w:tcPr>
                  <w:tcW w:w="2579" w:type="dxa"/>
                  <w:vAlign w:val="center"/>
                </w:tcPr>
                <w:p w14:paraId="7925D506">
                  <w:pPr>
                    <w:widowControl w:val="0"/>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A3.2-4〕加强环境风险预警防控。加强涉危险废物企业、涉重金属企业、化工园区、集中式饮用水水源地及重点流域环境风险调查评估，实施分类分级风险管控，协同推进重点区域、流域生态环境污染综合防治、风险防控与生态修复。</w:t>
                  </w:r>
                </w:p>
              </w:tc>
              <w:tc>
                <w:tcPr>
                  <w:tcW w:w="1920" w:type="dxa"/>
                  <w:vAlign w:val="center"/>
                </w:tcPr>
                <w:p w14:paraId="5EC4693D">
                  <w:pPr>
                    <w:widowControl w:val="0"/>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本环评对项目可能产生的环境风险进行了分析，并提出了相应的风险防范措施和应急措施。</w:t>
                  </w:r>
                </w:p>
              </w:tc>
              <w:tc>
                <w:tcPr>
                  <w:tcW w:w="652" w:type="dxa"/>
                  <w:vAlign w:val="center"/>
                </w:tcPr>
                <w:p w14:paraId="6AABB68B">
                  <w:pPr>
                    <w:widowControl w:val="0"/>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14:paraId="21F6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4" w:hRule="atLeast"/>
              </w:trPr>
              <w:tc>
                <w:tcPr>
                  <w:tcW w:w="672" w:type="dxa"/>
                  <w:vMerge w:val="continue"/>
                  <w:vAlign w:val="center"/>
                </w:tcPr>
                <w:p w14:paraId="26164326">
                  <w:pPr>
                    <w:widowControl w:val="0"/>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388" w:type="dxa"/>
                  <w:vMerge w:val="continue"/>
                  <w:vAlign w:val="center"/>
                </w:tcPr>
                <w:p w14:paraId="124346F2">
                  <w:pPr>
                    <w:widowControl w:val="0"/>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408" w:type="dxa"/>
                  <w:vAlign w:val="center"/>
                </w:tcPr>
                <w:p w14:paraId="3051B6EF">
                  <w:pPr>
                    <w:widowControl w:val="0"/>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资源利用效率</w:t>
                  </w:r>
                </w:p>
              </w:tc>
              <w:tc>
                <w:tcPr>
                  <w:tcW w:w="2579" w:type="dxa"/>
                  <w:vAlign w:val="center"/>
                </w:tcPr>
                <w:p w14:paraId="7F3946B5">
                  <w:pPr>
                    <w:widowControl w:val="0"/>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A4.5-1〕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等模式。以尾矿和共伴生矿、煤矸石、炉渣、粉煤灰、脱硫石膏、冶炼渣、建筑垃圾等为重点，持续推进固体废物综合利用和环境整治不断提高大宗固体废物资源化利用水平。推行生活垃圾分类，加快建设县(市)生活垃圾处理设施，到2025年，全疆城市生活垃圾无害化处理率达到99%以上。</w:t>
                  </w:r>
                </w:p>
              </w:tc>
              <w:tc>
                <w:tcPr>
                  <w:tcW w:w="1920" w:type="dxa"/>
                  <w:vAlign w:val="center"/>
                </w:tcPr>
                <w:p w14:paraId="1942A1F6">
                  <w:pPr>
                    <w:widowControl w:val="0"/>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w:t>
                  </w:r>
                  <w:r>
                    <w:rPr>
                      <w:rFonts w:hint="eastAsia" w:ascii="Times New Roman" w:hAnsi="Times New Roman" w:eastAsia="宋体" w:cs="Times New Roman"/>
                      <w:color w:val="auto"/>
                      <w:sz w:val="21"/>
                      <w:szCs w:val="21"/>
                      <w:highlight w:val="none"/>
                      <w:lang w:val="en-US" w:eastAsia="zh-CN"/>
                    </w:rPr>
                    <w:t>属于</w:t>
                  </w:r>
                  <w:r>
                    <w:rPr>
                      <w:rFonts w:hint="default" w:ascii="Times New Roman" w:hAnsi="Times New Roman" w:eastAsia="宋体" w:cs="Times New Roman"/>
                      <w:color w:val="auto"/>
                      <w:sz w:val="21"/>
                      <w:szCs w:val="21"/>
                      <w:highlight w:val="none"/>
                      <w:lang w:val="en-US" w:eastAsia="zh-CN"/>
                    </w:rPr>
                    <w:t>陆地矿产资源地质勘查，</w:t>
                  </w:r>
                  <w:r>
                    <w:rPr>
                      <w:rFonts w:hint="eastAsia" w:ascii="Times New Roman" w:hAnsi="Times New Roman" w:eastAsia="宋体" w:cs="Times New Roman"/>
                      <w:color w:val="auto"/>
                      <w:sz w:val="21"/>
                      <w:szCs w:val="21"/>
                      <w:highlight w:val="none"/>
                      <w:lang w:val="en-US" w:eastAsia="zh-CN"/>
                    </w:rPr>
                    <w:t>二开段</w:t>
                  </w:r>
                  <w:r>
                    <w:rPr>
                      <w:rFonts w:hint="default" w:ascii="Times New Roman" w:hAnsi="Times New Roman" w:eastAsia="宋体" w:cs="Times New Roman"/>
                      <w:color w:val="auto"/>
                      <w:sz w:val="21"/>
                      <w:szCs w:val="21"/>
                      <w:highlight w:val="none"/>
                      <w:lang w:val="en-US" w:eastAsia="zh-CN"/>
                    </w:rPr>
                    <w:t>产生的油基钻井岩屑</w:t>
                  </w:r>
                  <w:r>
                    <w:rPr>
                      <w:rFonts w:hint="eastAsia" w:ascii="Times New Roman" w:hAnsi="Times New Roman" w:eastAsia="宋体" w:cs="Times New Roman"/>
                      <w:color w:val="auto"/>
                      <w:sz w:val="21"/>
                      <w:szCs w:val="21"/>
                      <w:highlight w:val="none"/>
                      <w:lang w:val="en-US" w:eastAsia="zh-CN"/>
                    </w:rPr>
                    <w:t>、三开段产生的沾油水基钻井岩屑</w:t>
                  </w:r>
                  <w:r>
                    <w:rPr>
                      <w:rFonts w:hint="default" w:ascii="Times New Roman" w:hAnsi="Times New Roman" w:eastAsia="宋体" w:cs="Times New Roman"/>
                      <w:color w:val="auto"/>
                      <w:sz w:val="21"/>
                      <w:szCs w:val="21"/>
                      <w:highlight w:val="none"/>
                      <w:lang w:val="en-US" w:eastAsia="zh-CN"/>
                    </w:rPr>
                    <w:t>、沾油废防渗材料、废润滑油、废润滑油桶均为危废。集中收集后暂存于危废</w:t>
                  </w:r>
                  <w:r>
                    <w:rPr>
                      <w:rFonts w:hint="eastAsia" w:ascii="Times New Roman" w:hAnsi="Times New Roman" w:eastAsia="宋体" w:cs="Times New Roman"/>
                      <w:color w:val="auto"/>
                      <w:sz w:val="21"/>
                      <w:szCs w:val="21"/>
                      <w:highlight w:val="none"/>
                      <w:lang w:val="en-US" w:eastAsia="zh-CN"/>
                    </w:rPr>
                    <w:t>贮存点</w:t>
                  </w:r>
                  <w:r>
                    <w:rPr>
                      <w:rFonts w:hint="default" w:ascii="Times New Roman" w:hAnsi="Times New Roman" w:eastAsia="宋体" w:cs="Times New Roman"/>
                      <w:color w:val="auto"/>
                      <w:sz w:val="21"/>
                      <w:szCs w:val="21"/>
                      <w:highlight w:val="none"/>
                      <w:lang w:val="en-US" w:eastAsia="zh-CN"/>
                    </w:rPr>
                    <w:t>，定期委托</w:t>
                  </w:r>
                  <w:r>
                    <w:rPr>
                      <w:rFonts w:hint="eastAsia" w:ascii="Times New Roman" w:hAnsi="Times New Roman" w:eastAsia="宋体" w:cs="Times New Roman"/>
                      <w:color w:val="auto"/>
                      <w:sz w:val="21"/>
                      <w:szCs w:val="21"/>
                      <w:highlight w:val="none"/>
                      <w:lang w:val="en-US" w:eastAsia="zh-CN"/>
                    </w:rPr>
                    <w:t>有</w:t>
                  </w:r>
                  <w:r>
                    <w:rPr>
                      <w:rFonts w:hint="default" w:ascii="Times New Roman" w:hAnsi="Times New Roman" w:eastAsia="宋体" w:cs="Times New Roman"/>
                      <w:color w:val="auto"/>
                      <w:sz w:val="21"/>
                      <w:szCs w:val="21"/>
                      <w:highlight w:val="none"/>
                      <w:lang w:val="en-US" w:eastAsia="zh-CN"/>
                    </w:rPr>
                    <w:t>资质的单位处理。落地油100%回收。固废均得到了合理处置。</w:t>
                  </w:r>
                </w:p>
              </w:tc>
              <w:tc>
                <w:tcPr>
                  <w:tcW w:w="652" w:type="dxa"/>
                  <w:vAlign w:val="center"/>
                </w:tcPr>
                <w:p w14:paraId="0022328F">
                  <w:pPr>
                    <w:widowControl w:val="0"/>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bl>
          <w:p w14:paraId="7E8834E2">
            <w:pPr>
              <w:widowControl w:val="0"/>
              <w:adjustRightInd w:val="0"/>
              <w:snapToGrid w:val="0"/>
              <w:spacing w:line="360" w:lineRule="auto"/>
              <w:ind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（2）与《关于发布昌吉回族自治州生态环境分区管控动态更新成果的公告》的符合性分析</w:t>
            </w:r>
          </w:p>
          <w:p w14:paraId="584CC664">
            <w:pPr>
              <w:widowControl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①生态保护红线</w:t>
            </w:r>
          </w:p>
          <w:p w14:paraId="4F8CB419">
            <w:pPr>
              <w:widowControl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val="en-US" w:eastAsia="zh-CN"/>
              </w:rPr>
              <w:t>用地周围无国家公园、自然保护区、森林公园的生态保育区和核心景观区、地质公园的地质遗迹保护区、世界自然遗产的核心区和缓冲区、湿地公园的湿地保育区和恢复重建区、饮用水水源地一级保护区、水产种质资源保护区的核心区以及其他类型禁止开发区的核心保护区域。项目建设不会占用生态红线保护区。</w:t>
            </w:r>
          </w:p>
          <w:p w14:paraId="118976D0">
            <w:pPr>
              <w:widowControl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②环境质量底线</w:t>
            </w:r>
          </w:p>
          <w:p w14:paraId="1E0EF4A9">
            <w:pPr>
              <w:widowControl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本项目为陆地石油勘探项目，无运营期；钻试期产生的污染影响随施工结束而停止，对区域环境质量影响小，不会突破区域环境质量底线。本工程建设不会改变环境功能区，能够严守环境质量底线。</w:t>
            </w:r>
          </w:p>
          <w:p w14:paraId="26AF3693">
            <w:pPr>
              <w:widowControl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③资源利用上线</w:t>
            </w:r>
          </w:p>
          <w:p w14:paraId="7FC1A789">
            <w:pPr>
              <w:widowControl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本工程为陆地矿产资源勘查项目，无运营期。本工程占地包括井场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临时道路</w:t>
            </w:r>
            <w:r>
              <w:rPr>
                <w:rFonts w:hint="eastAsia" w:ascii="Times New Roman" w:hAnsi="Times New Roman" w:eastAsia="宋体" w:cs="Times New Roman"/>
                <w:color w:val="auto"/>
                <w:sz w:val="24"/>
                <w:szCs w:val="24"/>
                <w:highlight w:val="none"/>
                <w:lang w:val="en-US" w:eastAsia="zh-CN"/>
              </w:rPr>
              <w:t>及其生活营地等</w:t>
            </w:r>
            <w:r>
              <w:rPr>
                <w:rFonts w:hint="default" w:ascii="Times New Roman" w:hAnsi="Times New Roman" w:eastAsia="宋体" w:cs="Times New Roman"/>
                <w:color w:val="auto"/>
                <w:sz w:val="24"/>
                <w:szCs w:val="24"/>
                <w:highlight w:val="none"/>
                <w:lang w:val="en-US" w:eastAsia="zh-CN"/>
              </w:rPr>
              <w:t>，均为临时占地，项目建设占用土地资源相对区域资源利用较少；符合资源利用上限的要求。</w:t>
            </w:r>
          </w:p>
          <w:p w14:paraId="17CAE60F">
            <w:pPr>
              <w:widowControl w:val="0"/>
              <w:numPr>
                <w:ilvl w:val="0"/>
                <w:numId w:val="0"/>
              </w:numPr>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④生态环境准入清单</w:t>
            </w:r>
          </w:p>
          <w:p w14:paraId="015F4260">
            <w:pPr>
              <w:widowControl w:val="0"/>
              <w:numPr>
                <w:ilvl w:val="0"/>
                <w:numId w:val="0"/>
              </w:numPr>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根据《关于发布昌吉回族自治州生态环境分区管控动态更新成果的公告》，自治州共划定193个环境管控单元，分为优先保护单元94个、重点管控单元92个和一般管控单元7个，实施分类管控。昌吉州</w:t>
            </w:r>
            <w:r>
              <w:rPr>
                <w:rFonts w:hint="eastAsia" w:ascii="Times New Roman" w:hAnsi="Times New Roman" w:eastAsia="宋体" w:cs="Times New Roman"/>
                <w:color w:val="auto"/>
                <w:sz w:val="24"/>
                <w:szCs w:val="24"/>
                <w:highlight w:val="none"/>
                <w:lang w:val="en-US" w:eastAsia="zh-CN"/>
              </w:rPr>
              <w:t>生态环境分区</w:t>
            </w:r>
            <w:r>
              <w:rPr>
                <w:rFonts w:hint="default" w:ascii="Times New Roman" w:hAnsi="Times New Roman" w:eastAsia="宋体" w:cs="Times New Roman"/>
                <w:color w:val="auto"/>
                <w:sz w:val="24"/>
                <w:szCs w:val="24"/>
                <w:highlight w:val="none"/>
                <w:lang w:val="en-US" w:eastAsia="zh-CN"/>
              </w:rPr>
              <w:t>管控单元图见附图1。</w:t>
            </w:r>
          </w:p>
          <w:p w14:paraId="0543E13C">
            <w:pPr>
              <w:widowControl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本项目1号、</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号和4号</w:t>
            </w:r>
            <w:r>
              <w:rPr>
                <w:rFonts w:hint="eastAsia" w:ascii="Times New Roman" w:hAnsi="Times New Roman" w:eastAsia="宋体" w:cs="Times New Roman"/>
                <w:color w:val="auto"/>
                <w:sz w:val="24"/>
                <w:szCs w:val="24"/>
                <w:highlight w:val="none"/>
                <w:lang w:val="en-US" w:eastAsia="zh-CN"/>
              </w:rPr>
              <w:t>钻试场</w:t>
            </w:r>
            <w:r>
              <w:rPr>
                <w:rFonts w:hint="default" w:ascii="Times New Roman" w:hAnsi="Times New Roman" w:eastAsia="宋体" w:cs="Times New Roman"/>
                <w:color w:val="auto"/>
                <w:sz w:val="24"/>
                <w:szCs w:val="24"/>
                <w:highlight w:val="none"/>
                <w:lang w:val="en-US" w:eastAsia="zh-CN"/>
              </w:rPr>
              <w:t>位于吉木萨尔县环境管控单元生态环境准入清单动态更新成果（重点管控单元ZH65232720005-吉木萨尔县限采区），</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号</w:t>
            </w:r>
            <w:r>
              <w:rPr>
                <w:rFonts w:hint="eastAsia" w:ascii="Times New Roman" w:hAnsi="Times New Roman" w:eastAsia="宋体" w:cs="Times New Roman"/>
                <w:color w:val="auto"/>
                <w:sz w:val="24"/>
                <w:szCs w:val="24"/>
                <w:highlight w:val="none"/>
                <w:lang w:val="en-US" w:eastAsia="zh-CN"/>
              </w:rPr>
              <w:t>钻试场</w:t>
            </w:r>
            <w:r>
              <w:rPr>
                <w:rFonts w:hint="default" w:ascii="Times New Roman" w:hAnsi="Times New Roman" w:eastAsia="宋体" w:cs="Times New Roman"/>
                <w:color w:val="auto"/>
                <w:sz w:val="24"/>
                <w:szCs w:val="24"/>
                <w:highlight w:val="none"/>
                <w:lang w:val="en-US" w:eastAsia="zh-CN"/>
              </w:rPr>
              <w:t>位于奇台县环境管控单元生态环境准入清单动态更新成果（重点管控单元ZH65232520007-奇台县限采区），其具体分析见表1-2。</w:t>
            </w:r>
          </w:p>
          <w:p w14:paraId="7B560588">
            <w:pPr>
              <w:widowControl w:val="0"/>
              <w:adjustRightInd w:val="0"/>
              <w:snapToGrid w:val="0"/>
              <w:spacing w:line="400" w:lineRule="exac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表1-2 项目与《昌吉回族自治州生态环境分区管控方案》符合性分析一览表</w:t>
            </w:r>
          </w:p>
          <w:tbl>
            <w:tblPr>
              <w:tblStyle w:val="12"/>
              <w:tblW w:w="6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705"/>
              <w:gridCol w:w="2225"/>
              <w:gridCol w:w="2150"/>
              <w:gridCol w:w="680"/>
            </w:tblGrid>
            <w:tr w14:paraId="4B81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Align w:val="center"/>
                </w:tcPr>
                <w:p w14:paraId="22BD2DD2">
                  <w:pPr>
                    <w:widowControl w:val="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val="en-US" w:eastAsia="zh-CN"/>
                    </w:rPr>
                    <w:t>管控单元名称</w:t>
                  </w:r>
                </w:p>
              </w:tc>
              <w:tc>
                <w:tcPr>
                  <w:tcW w:w="705" w:type="dxa"/>
                  <w:vAlign w:val="center"/>
                </w:tcPr>
                <w:p w14:paraId="233F5D54">
                  <w:pPr>
                    <w:widowControl w:val="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环境管控</w:t>
                  </w:r>
                </w:p>
              </w:tc>
              <w:tc>
                <w:tcPr>
                  <w:tcW w:w="2225" w:type="dxa"/>
                  <w:shd w:val="clear" w:color="auto" w:fill="auto"/>
                  <w:vAlign w:val="center"/>
                </w:tcPr>
                <w:p w14:paraId="23DFA5CD">
                  <w:pPr>
                    <w:widowControl w:val="0"/>
                    <w:autoSpaceDE w:val="0"/>
                    <w:autoSpaceDN w:val="0"/>
                    <w:adjustRightInd w:val="0"/>
                    <w:snapToGrid w:val="0"/>
                    <w:spacing w:line="300" w:lineRule="exact"/>
                    <w:jc w:val="center"/>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管控要求</w:t>
                  </w:r>
                </w:p>
              </w:tc>
              <w:tc>
                <w:tcPr>
                  <w:tcW w:w="2150" w:type="dxa"/>
                  <w:shd w:val="clear" w:color="auto" w:fill="auto"/>
                  <w:vAlign w:val="center"/>
                </w:tcPr>
                <w:p w14:paraId="4E89E03C">
                  <w:pPr>
                    <w:widowControl w:val="0"/>
                    <w:autoSpaceDE w:val="0"/>
                    <w:autoSpaceDN w:val="0"/>
                    <w:adjustRightInd w:val="0"/>
                    <w:snapToGrid w:val="0"/>
                    <w:spacing w:line="300" w:lineRule="exact"/>
                    <w:jc w:val="center"/>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项目情况</w:t>
                  </w:r>
                </w:p>
              </w:tc>
              <w:tc>
                <w:tcPr>
                  <w:tcW w:w="680" w:type="dxa"/>
                  <w:shd w:val="clear" w:color="auto" w:fill="auto"/>
                  <w:vAlign w:val="center"/>
                </w:tcPr>
                <w:p w14:paraId="00E03813">
                  <w:pPr>
                    <w:widowControl w:val="0"/>
                    <w:autoSpaceDE w:val="0"/>
                    <w:autoSpaceDN w:val="0"/>
                    <w:adjustRightInd w:val="0"/>
                    <w:snapToGrid w:val="0"/>
                    <w:spacing w:line="300" w:lineRule="exact"/>
                    <w:jc w:val="center"/>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相符性</w:t>
                  </w:r>
                </w:p>
              </w:tc>
            </w:tr>
            <w:tr w14:paraId="68860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restart"/>
                  <w:vAlign w:val="center"/>
                </w:tcPr>
                <w:p w14:paraId="52AFBC8D">
                  <w:pPr>
                    <w:widowControl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吉木萨尔县重点管控单元ZH65232720005-</w:t>
                  </w:r>
                  <w:r>
                    <w:rPr>
                      <w:rFonts w:hint="eastAsia" w:ascii="Times New Roman" w:hAnsi="Times New Roman" w:eastAsia="宋体" w:cs="Times New Roman"/>
                      <w:b w:val="0"/>
                      <w:bCs w:val="0"/>
                      <w:color w:val="auto"/>
                      <w:sz w:val="21"/>
                      <w:szCs w:val="21"/>
                      <w:highlight w:val="none"/>
                      <w:lang w:val="en-US" w:eastAsia="zh-CN"/>
                    </w:rPr>
                    <w:t>吉</w:t>
                  </w:r>
                  <w:r>
                    <w:rPr>
                      <w:rFonts w:hint="default" w:ascii="Times New Roman" w:hAnsi="Times New Roman" w:eastAsia="宋体" w:cs="Times New Roman"/>
                      <w:b w:val="0"/>
                      <w:bCs w:val="0"/>
                      <w:color w:val="auto"/>
                      <w:sz w:val="21"/>
                      <w:szCs w:val="21"/>
                      <w:highlight w:val="none"/>
                      <w:lang w:val="en-US" w:eastAsia="zh-CN"/>
                    </w:rPr>
                    <w:t>木萨尔县限采区</w:t>
                  </w:r>
                </w:p>
                <w:p w14:paraId="1F17C44B">
                  <w:pPr>
                    <w:pStyle w:val="4"/>
                    <w:widowControl w:val="0"/>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/奇台县重点管控单元ZH65232520007-奇台县限采区</w:t>
                  </w:r>
                </w:p>
              </w:tc>
              <w:tc>
                <w:tcPr>
                  <w:tcW w:w="705" w:type="dxa"/>
                  <w:vAlign w:val="center"/>
                </w:tcPr>
                <w:p w14:paraId="13264056">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lang w:val="en-US" w:bidi="ar-SA"/>
                    </w:rPr>
                    <w:t>空间布局约束</w:t>
                  </w:r>
                </w:p>
              </w:tc>
              <w:tc>
                <w:tcPr>
                  <w:tcW w:w="2225" w:type="dxa"/>
                  <w:vAlign w:val="center"/>
                </w:tcPr>
                <w:p w14:paraId="485161AF">
                  <w:pPr>
                    <w:widowControl w:val="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1、严格控制缺水地区、水污染严重区域和敏感区域高耗水、高污染行业发展。</w:t>
                  </w:r>
                </w:p>
              </w:tc>
              <w:tc>
                <w:tcPr>
                  <w:tcW w:w="2150" w:type="dxa"/>
                  <w:vAlign w:val="center"/>
                </w:tcPr>
                <w:p w14:paraId="32662494">
                  <w:pPr>
                    <w:widowControl w:val="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本工程属于油气勘探项目，属于国家产业政策</w:t>
                  </w:r>
                  <w:r>
                    <w:rPr>
                      <w:rFonts w:hint="eastAsia" w:ascii="Times New Roman" w:hAnsi="Times New Roman" w:eastAsia="宋体" w:cs="Times New Roman"/>
                      <w:b w:val="0"/>
                      <w:bCs w:val="0"/>
                      <w:color w:val="auto"/>
                      <w:sz w:val="21"/>
                      <w:szCs w:val="21"/>
                      <w:highlight w:val="none"/>
                      <w:lang w:val="en-US" w:eastAsia="zh-CN"/>
                    </w:rPr>
                    <w:t>中</w:t>
                  </w:r>
                  <w:r>
                    <w:rPr>
                      <w:rFonts w:hint="default" w:ascii="Times New Roman" w:hAnsi="Times New Roman" w:eastAsia="宋体" w:cs="Times New Roman"/>
                      <w:b w:val="0"/>
                      <w:bCs w:val="0"/>
                      <w:color w:val="auto"/>
                      <w:sz w:val="21"/>
                      <w:szCs w:val="21"/>
                      <w:highlight w:val="none"/>
                      <w:lang w:val="en-US" w:eastAsia="zh-CN"/>
                    </w:rPr>
                    <w:t>鼓励类项目，符合《产业结构调整指导目录（2024年本）》《市场准入负面清单（2025年版）》；施工期严格实行区域用水总量和强度控制，加强用水定额管理；施工期严格控制污染物排放，确保</w:t>
                  </w:r>
                  <w:r>
                    <w:rPr>
                      <w:rFonts w:hint="default" w:ascii="Times New Roman" w:hAnsi="Times New Roman" w:eastAsia="宋体" w:cs="Times New Roman"/>
                      <w:color w:val="auto"/>
                      <w:sz w:val="21"/>
                      <w:szCs w:val="21"/>
                      <w:highlight w:val="none"/>
                      <w:lang w:val="en-US" w:eastAsia="zh-CN"/>
                    </w:rPr>
                    <w:t>各污染物达标排放。</w:t>
                  </w:r>
                </w:p>
              </w:tc>
              <w:tc>
                <w:tcPr>
                  <w:tcW w:w="680" w:type="dxa"/>
                  <w:vAlign w:val="center"/>
                </w:tcPr>
                <w:p w14:paraId="003EB058">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符合</w:t>
                  </w:r>
                </w:p>
              </w:tc>
            </w:tr>
            <w:tr w14:paraId="701B1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vAlign w:val="center"/>
                </w:tcPr>
                <w:p w14:paraId="7CBEA2A6">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705" w:type="dxa"/>
                  <w:vAlign w:val="center"/>
                </w:tcPr>
                <w:p w14:paraId="5DDCCB80">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lang w:val="en-US" w:bidi="ar-SA"/>
                    </w:rPr>
                    <w:t>污染物排放管控</w:t>
                  </w:r>
                </w:p>
              </w:tc>
              <w:tc>
                <w:tcPr>
                  <w:tcW w:w="2225" w:type="dxa"/>
                </w:tcPr>
                <w:p w14:paraId="417FF48F">
                  <w:pPr>
                    <w:widowControl w:val="0"/>
                    <w:jc w:val="both"/>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lang w:val="en-US" w:bidi="ar-SA"/>
                    </w:rPr>
                    <w:t>1、推进地表水与地下水协同防治。以傍河型地下水饮用水水源为重点，防范受污染河段侧渗和垂直补给对地下水污染。加强化学品生产企业、工业聚集区、矿山开采区等污染源的地表、地下协同防治与环境风险管控。加强工业污染防治。推动重点行业、重点企业绿色发展，严格落实水污染物排放标准和排污许可制度。加强农副食品加工、化工、印染、棉浆粕、粘胶纤维、制糖等企业综合治理和清洁化改造。支持企业积极实施节水技术改造，加强工业园区污水集中处理设施运行管理，加快再生水回用设施建设，提升园区水资源循环利用水平。</w:t>
                  </w:r>
                </w:p>
              </w:tc>
              <w:tc>
                <w:tcPr>
                  <w:tcW w:w="2150" w:type="dxa"/>
                  <w:vAlign w:val="center"/>
                </w:tcPr>
                <w:p w14:paraId="04A3874C">
                  <w:pPr>
                    <w:widowControl w:val="0"/>
                    <w:jc w:val="both"/>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本项目生活污水经防渗收集池收集后定期</w:t>
                  </w:r>
                  <w:r>
                    <w:rPr>
                      <w:rFonts w:hint="eastAsia" w:ascii="Times New Roman" w:hAnsi="Times New Roman" w:eastAsia="宋体" w:cs="Times New Roman"/>
                      <w:color w:val="auto"/>
                      <w:sz w:val="21"/>
                      <w:szCs w:val="21"/>
                      <w:highlight w:val="none"/>
                      <w:lang w:val="en-US" w:eastAsia="zh-CN"/>
                    </w:rPr>
                    <w:t>由施工队</w:t>
                  </w:r>
                  <w:r>
                    <w:rPr>
                      <w:rFonts w:hint="default" w:ascii="Times New Roman" w:hAnsi="Times New Roman" w:eastAsia="宋体" w:cs="Times New Roman"/>
                      <w:color w:val="auto"/>
                      <w:sz w:val="21"/>
                      <w:szCs w:val="21"/>
                      <w:highlight w:val="none"/>
                      <w:lang w:val="en-US" w:eastAsia="zh-CN"/>
                    </w:rPr>
                    <w:t>拉运至吉木萨尔污水处理厂处理；项目井下作业废水拉运至吉康脱水站处理后回注，不外排。生活垃圾集中收集，清运至吉木萨尔县生活垃圾填埋场。项目建立环境风险监管制度、环境风险预警制度、突发环境事件应急预案、环境风险应急保障制度等环境风险防控体系。组织人员进行应急演练。</w:t>
                  </w:r>
                  <w:r>
                    <w:rPr>
                      <w:rFonts w:hint="default" w:ascii="Times New Roman" w:hAnsi="Times New Roman" w:eastAsia="宋体" w:cs="Times New Roman"/>
                      <w:snapToGrid w:val="0"/>
                      <w:color w:val="auto"/>
                      <w:kern w:val="0"/>
                      <w:sz w:val="21"/>
                      <w:szCs w:val="21"/>
                      <w:lang w:val="en-US" w:eastAsia="zh-CN" w:bidi="ar"/>
                    </w:rPr>
                    <w:t>项目推行清洁生产、降低生产水耗，从源头上控制污染物的产生。</w:t>
                  </w:r>
                </w:p>
              </w:tc>
              <w:tc>
                <w:tcPr>
                  <w:tcW w:w="680" w:type="dxa"/>
                  <w:vAlign w:val="center"/>
                </w:tcPr>
                <w:p w14:paraId="15311D6A">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符合</w:t>
                  </w:r>
                </w:p>
              </w:tc>
            </w:tr>
            <w:tr w14:paraId="7AD13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vAlign w:val="center"/>
                </w:tcPr>
                <w:p w14:paraId="4E6B8E46">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705" w:type="dxa"/>
                  <w:vAlign w:val="center"/>
                </w:tcPr>
                <w:p w14:paraId="54240CF6">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lang w:val="en-US" w:bidi="ar-SA"/>
                    </w:rPr>
                    <w:t>环境风险防控</w:t>
                  </w:r>
                </w:p>
              </w:tc>
              <w:tc>
                <w:tcPr>
                  <w:tcW w:w="2225" w:type="dxa"/>
                  <w:vAlign w:val="center"/>
                </w:tcPr>
                <w:p w14:paraId="1ABF4874">
                  <w:pPr>
                    <w:widowControl w:val="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lang w:val="en-US" w:bidi="ar-SA"/>
                    </w:rPr>
                    <w:t>1、强化重点区域地下水环境风险管控。对化学品生产企业、工业集聚区、尾矿库、矿山开采区、危险废物处置场、垃圾填埋场等地下水污染源及周边区域，逐步开展地下水环境状况调查评估，加强风险管控。</w:t>
                  </w:r>
                </w:p>
              </w:tc>
              <w:tc>
                <w:tcPr>
                  <w:tcW w:w="2150" w:type="dxa"/>
                  <w:vAlign w:val="center"/>
                </w:tcPr>
                <w:p w14:paraId="4DF698FC">
                  <w:pPr>
                    <w:widowControl w:val="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本工程属于油气勘探项目，项目建立环境风险监管制度、环境风险预警制度、突发环境事件应急预案、环境风险应急保障制度等环境风险防控体系。项目采用油基钻井液</w:t>
                  </w:r>
                  <w:r>
                    <w:rPr>
                      <w:rFonts w:hint="eastAsia" w:ascii="Times New Roman" w:hAnsi="Times New Roman" w:eastAsia="宋体" w:cs="Times New Roman"/>
                      <w:color w:val="auto"/>
                      <w:sz w:val="21"/>
                      <w:szCs w:val="21"/>
                      <w:highlight w:val="none"/>
                      <w:lang w:val="en-US" w:eastAsia="zh-CN"/>
                    </w:rPr>
                    <w:t>和水基钻井液</w:t>
                  </w:r>
                  <w:r>
                    <w:rPr>
                      <w:rFonts w:hint="default" w:ascii="Times New Roman" w:hAnsi="Times New Roman" w:eastAsia="宋体" w:cs="Times New Roman"/>
                      <w:color w:val="auto"/>
                      <w:sz w:val="21"/>
                      <w:szCs w:val="21"/>
                      <w:highlight w:val="none"/>
                      <w:lang w:val="en-US" w:eastAsia="zh-CN"/>
                    </w:rPr>
                    <w:t>，钻井岩屑经不落地系统处理分离出的液相回用于钻井液配置，分离出固相属于危废，暂存于岩屑储罐贮存罐区，委托新疆中建环能北庭环保科技有限公司进行处置。项目产生的生活垃圾集中收集后清运至吉木萨尔县生活垃圾填埋场。</w:t>
                  </w:r>
                </w:p>
              </w:tc>
              <w:tc>
                <w:tcPr>
                  <w:tcW w:w="680" w:type="dxa"/>
                  <w:vAlign w:val="center"/>
                </w:tcPr>
                <w:p w14:paraId="55B71467">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符合</w:t>
                  </w:r>
                </w:p>
              </w:tc>
            </w:tr>
            <w:tr w14:paraId="797D0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dxa"/>
                  <w:vMerge w:val="continue"/>
                  <w:vAlign w:val="center"/>
                </w:tcPr>
                <w:p w14:paraId="5778876F">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705" w:type="dxa"/>
                  <w:vAlign w:val="center"/>
                </w:tcPr>
                <w:p w14:paraId="2BC3A727">
                  <w:pPr>
                    <w:widowControl w:val="0"/>
                    <w:jc w:val="center"/>
                    <w:rPr>
                      <w:rFonts w:hint="default" w:ascii="Times New Roman" w:hAnsi="Times New Roman" w:eastAsia="宋体" w:cs="Times New Roman"/>
                      <w:b w:val="0"/>
                      <w:bCs w:val="0"/>
                      <w:color w:val="auto"/>
                      <w:sz w:val="21"/>
                      <w:szCs w:val="21"/>
                      <w:lang w:val="en-US" w:bidi="ar-SA"/>
                    </w:rPr>
                  </w:pPr>
                  <w:r>
                    <w:rPr>
                      <w:rFonts w:hint="default" w:ascii="Times New Roman" w:hAnsi="Times New Roman" w:eastAsia="宋体" w:cs="Times New Roman"/>
                      <w:b w:val="0"/>
                      <w:bCs w:val="0"/>
                      <w:color w:val="auto"/>
                      <w:sz w:val="21"/>
                      <w:szCs w:val="21"/>
                      <w:lang w:val="en-US" w:bidi="ar-SA"/>
                    </w:rPr>
                    <w:t>资源开发效率要求</w:t>
                  </w:r>
                </w:p>
              </w:tc>
              <w:tc>
                <w:tcPr>
                  <w:tcW w:w="2225" w:type="dxa"/>
                  <w:vAlign w:val="center"/>
                </w:tcPr>
                <w:p w14:paraId="3E30F133">
                  <w:pPr>
                    <w:widowControl w:val="0"/>
                    <w:jc w:val="both"/>
                    <w:rPr>
                      <w:rFonts w:hint="default" w:ascii="Times New Roman" w:hAnsi="Times New Roman" w:eastAsia="宋体" w:cs="Times New Roman"/>
                      <w:color w:val="auto"/>
                      <w:sz w:val="21"/>
                      <w:szCs w:val="21"/>
                      <w:lang w:val="en-US" w:bidi="ar-SA"/>
                    </w:rPr>
                  </w:pPr>
                  <w:r>
                    <w:rPr>
                      <w:rFonts w:hint="default" w:ascii="Times New Roman" w:hAnsi="Times New Roman" w:eastAsia="宋体" w:cs="Times New Roman"/>
                      <w:color w:val="auto"/>
                      <w:sz w:val="21"/>
                      <w:szCs w:val="21"/>
                      <w:lang w:val="en-US" w:bidi="ar-SA"/>
                    </w:rPr>
                    <w:t>1、县级以上人民政府水行政主管部门应当合理配置地表水、地下水，从严控制地下水取水总量。</w:t>
                  </w:r>
                  <w:r>
                    <w:rPr>
                      <w:rFonts w:hint="default" w:ascii="Times New Roman" w:hAnsi="Times New Roman" w:eastAsia="宋体" w:cs="Times New Roman"/>
                      <w:color w:val="auto"/>
                      <w:sz w:val="21"/>
                      <w:szCs w:val="21"/>
                      <w:lang w:val="en-US" w:bidi="ar-SA"/>
                    </w:rPr>
                    <w:br w:type="textWrapping"/>
                  </w:r>
                  <w:r>
                    <w:rPr>
                      <w:rFonts w:hint="default" w:ascii="Times New Roman" w:hAnsi="Times New Roman" w:eastAsia="宋体" w:cs="Times New Roman"/>
                      <w:color w:val="auto"/>
                      <w:sz w:val="21"/>
                      <w:szCs w:val="21"/>
                      <w:lang w:val="en-US" w:bidi="ar-SA"/>
                    </w:rPr>
                    <w:t>2、严守水资源开发利用控制、用水效率控制和水功能区限制纳污“三条红线”，严格实行区域用水总量和强度控制，强化用水定额管理。推进地下水超采综合治理。</w:t>
                  </w:r>
                </w:p>
              </w:tc>
              <w:tc>
                <w:tcPr>
                  <w:tcW w:w="2150" w:type="dxa"/>
                  <w:vAlign w:val="center"/>
                </w:tcPr>
                <w:p w14:paraId="46758B4E">
                  <w:pPr>
                    <w:widowControl w:val="0"/>
                    <w:jc w:val="both"/>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本项目施工期严格实行区域用水总量和强度控制，加强用水定额管理；用水通过罐车拉运，用水量较少；项目实行节水制度，降低生产水耗，从源头上控制污染物的产生。本项目不涉及地下水开采。</w:t>
                  </w:r>
                </w:p>
              </w:tc>
              <w:tc>
                <w:tcPr>
                  <w:tcW w:w="680" w:type="dxa"/>
                  <w:vAlign w:val="center"/>
                </w:tcPr>
                <w:p w14:paraId="6184BDA1">
                  <w:pPr>
                    <w:widowControl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符合</w:t>
                  </w:r>
                </w:p>
              </w:tc>
            </w:tr>
          </w:tbl>
          <w:p w14:paraId="379A28CA">
            <w:pPr>
              <w:keepNext w:val="0"/>
              <w:keepLines w:val="0"/>
              <w:widowControl/>
              <w:suppressLineNumbers w:val="0"/>
              <w:spacing w:line="360" w:lineRule="auto"/>
              <w:ind w:firstLine="480" w:firstLineChars="200"/>
              <w:jc w:val="left"/>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snapToGrid w:val="0"/>
                <w:color w:val="auto"/>
                <w:kern w:val="0"/>
                <w:sz w:val="24"/>
                <w:szCs w:val="24"/>
                <w:lang w:val="en-US" w:eastAsia="zh-CN" w:bidi="ar"/>
              </w:rPr>
              <w:t>综上，本项目建设符合</w:t>
            </w:r>
            <w:r>
              <w:rPr>
                <w:rFonts w:hint="eastAsia" w:ascii="Times New Roman" w:hAnsi="Times New Roman" w:eastAsia="宋体" w:cs="Times New Roman"/>
                <w:snapToGrid w:val="0"/>
                <w:color w:val="auto"/>
                <w:kern w:val="0"/>
                <w:sz w:val="24"/>
                <w:szCs w:val="24"/>
                <w:lang w:val="en-US" w:eastAsia="zh-CN" w:bidi="ar"/>
              </w:rPr>
              <w:t>生态环境分区管控要求</w:t>
            </w:r>
            <w:r>
              <w:rPr>
                <w:rFonts w:hint="default" w:ascii="Times New Roman" w:hAnsi="Times New Roman" w:eastAsia="宋体" w:cs="Times New Roman"/>
                <w:snapToGrid w:val="0"/>
                <w:color w:val="auto"/>
                <w:kern w:val="0"/>
                <w:sz w:val="24"/>
                <w:szCs w:val="24"/>
                <w:lang w:val="en-US" w:eastAsia="zh-CN" w:bidi="ar"/>
              </w:rPr>
              <w:t>。</w:t>
            </w:r>
          </w:p>
          <w:p w14:paraId="182EEE78">
            <w:pPr>
              <w:pStyle w:val="16"/>
              <w:widowControl w:val="0"/>
              <w:numPr>
                <w:ilvl w:val="0"/>
                <w:numId w:val="2"/>
              </w:numPr>
              <w:spacing w:before="42" w:line="360" w:lineRule="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与《石油天然气开采业污染防治技术政策》的符合性</w:t>
            </w:r>
          </w:p>
          <w:p w14:paraId="540807BB">
            <w:pPr>
              <w:pStyle w:val="16"/>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cs="Times New Roman"/>
                <w:b w:val="0"/>
                <w:bCs w:val="0"/>
                <w:color w:val="auto"/>
                <w:kern w:val="2"/>
                <w:sz w:val="24"/>
                <w:szCs w:val="24"/>
                <w:highlight w:val="none"/>
                <w:lang w:val="en-US" w:eastAsia="zh-CN" w:bidi="ar-SA"/>
              </w:rPr>
              <w:t>项目与</w:t>
            </w:r>
            <w:r>
              <w:rPr>
                <w:rFonts w:hint="default" w:ascii="Times New Roman" w:hAnsi="Times New Roman" w:eastAsia="宋体" w:cs="Times New Roman"/>
                <w:b w:val="0"/>
                <w:bCs w:val="0"/>
                <w:color w:val="auto"/>
                <w:kern w:val="2"/>
                <w:sz w:val="24"/>
                <w:szCs w:val="24"/>
                <w:highlight w:val="none"/>
                <w:lang w:val="en-US" w:eastAsia="zh-CN" w:bidi="ar-SA"/>
              </w:rPr>
              <w:t>《石油天然气开采业污染防治技术政策》的符合性</w:t>
            </w:r>
            <w:r>
              <w:rPr>
                <w:rFonts w:hint="eastAsia" w:ascii="Times New Roman" w:hAnsi="Times New Roman" w:cs="Times New Roman"/>
                <w:b w:val="0"/>
                <w:bCs w:val="0"/>
                <w:color w:val="auto"/>
                <w:kern w:val="2"/>
                <w:sz w:val="24"/>
                <w:szCs w:val="24"/>
                <w:highlight w:val="none"/>
                <w:lang w:val="en-US" w:eastAsia="zh-CN" w:bidi="ar-SA"/>
              </w:rPr>
              <w:t>分析见表1-3。</w:t>
            </w:r>
          </w:p>
          <w:p w14:paraId="6F79D576">
            <w:pPr>
              <w:widowControl w:val="0"/>
              <w:adjustRightInd w:val="0"/>
              <w:snapToGrid w:val="0"/>
              <w:spacing w:line="40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表1-</w:t>
            </w:r>
            <w:r>
              <w:rPr>
                <w:rFonts w:hint="default" w:ascii="Times New Roman" w:hAnsi="Times New Roman" w:eastAsia="宋体" w:cs="Times New Roman"/>
                <w:b/>
                <w:bCs/>
                <w:color w:val="auto"/>
                <w:sz w:val="21"/>
                <w:szCs w:val="21"/>
                <w:highlight w:val="none"/>
                <w:lang w:val="en-US" w:eastAsia="zh-CN"/>
              </w:rPr>
              <w:t xml:space="preserve">3 </w:t>
            </w:r>
            <w:r>
              <w:rPr>
                <w:rFonts w:hint="default" w:ascii="Times New Roman" w:hAnsi="Times New Roman" w:eastAsia="宋体" w:cs="Times New Roman"/>
                <w:b/>
                <w:bCs/>
                <w:color w:val="auto"/>
                <w:sz w:val="21"/>
                <w:szCs w:val="21"/>
                <w:highlight w:val="none"/>
              </w:rPr>
              <w:t>项目与《石油天然气开采业污染防治技术政策》</w:t>
            </w:r>
          </w:p>
          <w:p w14:paraId="24519A60">
            <w:pPr>
              <w:widowControl w:val="0"/>
              <w:adjustRightInd w:val="0"/>
              <w:snapToGrid w:val="0"/>
              <w:spacing w:line="40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符合性分析一览表</w:t>
            </w:r>
          </w:p>
          <w:tbl>
            <w:tblPr>
              <w:tblStyle w:val="15"/>
              <w:tblW w:w="655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2"/>
              <w:gridCol w:w="2709"/>
              <w:gridCol w:w="607"/>
            </w:tblGrid>
            <w:tr w14:paraId="71794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242" w:type="dxa"/>
                  <w:vAlign w:val="center"/>
                </w:tcPr>
                <w:p w14:paraId="1484E880">
                  <w:pPr>
                    <w:autoSpaceDE w:val="0"/>
                    <w:autoSpaceDN w:val="0"/>
                    <w:adjustRightInd w:val="0"/>
                    <w:snapToGrid w:val="0"/>
                    <w:spacing w:line="300" w:lineRule="exac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《石油天然气开采业污染防治技术政策》</w:t>
                  </w:r>
                </w:p>
              </w:tc>
              <w:tc>
                <w:tcPr>
                  <w:tcW w:w="2709" w:type="dxa"/>
                  <w:vAlign w:val="center"/>
                </w:tcPr>
                <w:p w14:paraId="24D17CA9">
                  <w:pPr>
                    <w:autoSpaceDE w:val="0"/>
                    <w:autoSpaceDN w:val="0"/>
                    <w:adjustRightInd w:val="0"/>
                    <w:snapToGrid w:val="0"/>
                    <w:spacing w:line="300" w:lineRule="exac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本项目</w:t>
                  </w:r>
                </w:p>
              </w:tc>
              <w:tc>
                <w:tcPr>
                  <w:tcW w:w="607" w:type="dxa"/>
                  <w:vAlign w:val="center"/>
                </w:tcPr>
                <w:p w14:paraId="72E592F5">
                  <w:pPr>
                    <w:autoSpaceDE w:val="0"/>
                    <w:autoSpaceDN w:val="0"/>
                    <w:adjustRightInd w:val="0"/>
                    <w:snapToGrid w:val="0"/>
                    <w:spacing w:line="300" w:lineRule="exac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符合性</w:t>
                  </w:r>
                </w:p>
              </w:tc>
            </w:tr>
            <w:tr w14:paraId="02964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4" w:hRule="atLeast"/>
              </w:trPr>
              <w:tc>
                <w:tcPr>
                  <w:tcW w:w="3242" w:type="dxa"/>
                  <w:vAlign w:val="center"/>
                </w:tcPr>
                <w:p w14:paraId="2F909596">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到2015年末，行业新、改、扩建项目均采用清洁生产工艺和技术，工业废水回用率达到90%以上，工业固体废物资源化及无害化处理处置率达到100%。要遏制重大、杜绝特别重大环境污染和生态破坏事故的发生。要逐步实现对行业排放的石油类污染物进行总量控制。</w:t>
                  </w:r>
                </w:p>
              </w:tc>
              <w:tc>
                <w:tcPr>
                  <w:tcW w:w="2709" w:type="dxa"/>
                  <w:vAlign w:val="center"/>
                </w:tcPr>
                <w:p w14:paraId="13B312C6">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本项目试油期井下作业废水拉运至吉康脱水站污水处理系统处理后回注，工业废水回用率大</w:t>
                  </w:r>
                  <w:r>
                    <w:rPr>
                      <w:rFonts w:hint="eastAsia" w:ascii="Times New Roman" w:hAnsi="Times New Roman" w:eastAsia="宋体" w:cs="Times New Roman"/>
                      <w:color w:val="auto"/>
                      <w:sz w:val="21"/>
                      <w:szCs w:val="21"/>
                      <w:highlight w:val="none"/>
                      <w:lang w:val="en-US" w:eastAsia="zh-CN"/>
                    </w:rPr>
                    <w:t>于</w:t>
                  </w:r>
                  <w:r>
                    <w:rPr>
                      <w:rFonts w:hint="default" w:ascii="Times New Roman" w:hAnsi="Times New Roman" w:eastAsia="宋体" w:cs="Times New Roman"/>
                      <w:color w:val="auto"/>
                      <w:sz w:val="21"/>
                      <w:szCs w:val="21"/>
                      <w:highlight w:val="none"/>
                      <w:lang w:val="en-US" w:eastAsia="zh-CN"/>
                    </w:rPr>
                    <w:t>90%；本环评对项目可能产生的环境风险进行了分析，并提出了相应的风险防范措施和应急预案。</w:t>
                  </w:r>
                </w:p>
              </w:tc>
              <w:tc>
                <w:tcPr>
                  <w:tcW w:w="607" w:type="dxa"/>
                  <w:vAlign w:val="center"/>
                </w:tcPr>
                <w:p w14:paraId="4E8321E8">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6FABE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6" w:hRule="atLeast"/>
              </w:trPr>
              <w:tc>
                <w:tcPr>
                  <w:tcW w:w="3242" w:type="dxa"/>
                  <w:vAlign w:val="center"/>
                </w:tcPr>
                <w:p w14:paraId="5115C081">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油气田开发不得使用含有国际公约禁用化学物质的油气田化学剂，逐步淘汰微毒及以上油气田化学剂，鼓励使用无毒油气田化学剂。</w:t>
                  </w:r>
                </w:p>
              </w:tc>
              <w:tc>
                <w:tcPr>
                  <w:tcW w:w="2709" w:type="dxa"/>
                  <w:vAlign w:val="center"/>
                </w:tcPr>
                <w:p w14:paraId="738B48E4">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本项目不涉及禁用的化学物质。</w:t>
                  </w:r>
                </w:p>
              </w:tc>
              <w:tc>
                <w:tcPr>
                  <w:tcW w:w="607" w:type="dxa"/>
                  <w:vAlign w:val="center"/>
                </w:tcPr>
                <w:p w14:paraId="56BA1CBD">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379D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5" w:hRule="atLeast"/>
              </w:trPr>
              <w:tc>
                <w:tcPr>
                  <w:tcW w:w="3242" w:type="dxa"/>
                  <w:vAlign w:val="center"/>
                </w:tcPr>
                <w:p w14:paraId="1BF959AD">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落地原油。其中井下作业过程中应配备泄油器、刮油器等。落地原油应及时回收，落地原油回收率应达到100%。</w:t>
                  </w:r>
                </w:p>
              </w:tc>
              <w:tc>
                <w:tcPr>
                  <w:tcW w:w="2709" w:type="dxa"/>
                  <w:vAlign w:val="center"/>
                </w:tcPr>
                <w:p w14:paraId="6334070C">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井下作业时带罐，井口敷设防渗膜，防止产生落地油。产生的落地油，及时回收，做到100%回收。</w:t>
                  </w:r>
                </w:p>
              </w:tc>
              <w:tc>
                <w:tcPr>
                  <w:tcW w:w="607" w:type="dxa"/>
                  <w:vAlign w:val="center"/>
                </w:tcPr>
                <w:p w14:paraId="5E0D8F73">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6689F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6" w:hRule="atLeast"/>
              </w:trPr>
              <w:tc>
                <w:tcPr>
                  <w:tcW w:w="3242" w:type="dxa"/>
                  <w:vAlign w:val="center"/>
                </w:tcPr>
                <w:p w14:paraId="0349CA76">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在钻井过程中，鼓励采用环境友好的钻井液体系；配备完善的固控设备，钻井液循环率达到95%以上；钻井过程产生的废水应回用。</w:t>
                  </w:r>
                </w:p>
              </w:tc>
              <w:tc>
                <w:tcPr>
                  <w:tcW w:w="2709" w:type="dxa"/>
                  <w:vAlign w:val="center"/>
                </w:tcPr>
                <w:p w14:paraId="6F335A6C">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本项目使用的钻井液为环境友好钻井液体系，全井实施钻井液不落地技术。</w:t>
                  </w:r>
                </w:p>
              </w:tc>
              <w:tc>
                <w:tcPr>
                  <w:tcW w:w="607" w:type="dxa"/>
                  <w:vAlign w:val="center"/>
                </w:tcPr>
                <w:p w14:paraId="633CE63C">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55842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1" w:hRule="atLeast"/>
              </w:trPr>
              <w:tc>
                <w:tcPr>
                  <w:tcW w:w="3242" w:type="dxa"/>
                  <w:vAlign w:val="center"/>
                </w:tcPr>
                <w:p w14:paraId="022D3E51">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在井下作业过程中，酸化液和压裂酸化返排液宜集中配制，酸化残液、压裂残液和返排液应回收利用或进行无害化处置，压裂放喷返排入罐率应达到100%。</w:t>
                  </w:r>
                </w:p>
              </w:tc>
              <w:tc>
                <w:tcPr>
                  <w:tcW w:w="2709" w:type="dxa"/>
                  <w:vAlign w:val="center"/>
                </w:tcPr>
                <w:p w14:paraId="57C08928">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本项目井下作业过程中，严格按照环境保护规定的要求，带罐作业，100%回收。井下作业废水</w:t>
                  </w:r>
                  <w:r>
                    <w:rPr>
                      <w:rFonts w:hint="eastAsia" w:ascii="Times New Roman" w:hAnsi="Times New Roman" w:eastAsia="宋体" w:cs="Times New Roman"/>
                      <w:color w:val="auto"/>
                      <w:sz w:val="21"/>
                      <w:szCs w:val="21"/>
                      <w:highlight w:val="none"/>
                      <w:lang w:val="en-US" w:eastAsia="zh-CN"/>
                    </w:rPr>
                    <w:t>不</w:t>
                  </w:r>
                  <w:r>
                    <w:rPr>
                      <w:rFonts w:hint="default" w:ascii="Times New Roman" w:hAnsi="Times New Roman" w:eastAsia="宋体" w:cs="Times New Roman"/>
                      <w:color w:val="auto"/>
                      <w:sz w:val="21"/>
                      <w:szCs w:val="21"/>
                      <w:highlight w:val="none"/>
                      <w:lang w:val="en-US" w:eastAsia="zh-CN"/>
                    </w:rPr>
                    <w:t>外排，作业单位自带回收罐回收作业废水，运至吉康脱水站处理达标后回注。</w:t>
                  </w:r>
                </w:p>
              </w:tc>
              <w:tc>
                <w:tcPr>
                  <w:tcW w:w="607" w:type="dxa"/>
                  <w:vAlign w:val="center"/>
                </w:tcPr>
                <w:p w14:paraId="1D0B91B0">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47A55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3242" w:type="dxa"/>
                  <w:vAlign w:val="center"/>
                </w:tcPr>
                <w:p w14:paraId="720D2BFE">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在钻井和井下作业过程中，鼓励污油、污水进入生产流程循环利用。</w:t>
                  </w:r>
                </w:p>
              </w:tc>
              <w:tc>
                <w:tcPr>
                  <w:tcW w:w="2709" w:type="dxa"/>
                  <w:vAlign w:val="center"/>
                </w:tcPr>
                <w:p w14:paraId="53A0BFBB">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本项目井下作业废水经吉康脱水站污水处理系统处理达标后，全部回注油藏；落地油100%回收</w:t>
                  </w:r>
                  <w:r>
                    <w:rPr>
                      <w:rFonts w:hint="eastAsia" w:ascii="Times New Roman" w:hAnsi="Times New Roman" w:eastAsia="宋体" w:cs="Times New Roman"/>
                      <w:color w:val="auto"/>
                      <w:sz w:val="21"/>
                      <w:szCs w:val="21"/>
                      <w:highlight w:val="none"/>
                      <w:lang w:val="en-US" w:eastAsia="zh-CN"/>
                    </w:rPr>
                    <w:t>。</w:t>
                  </w:r>
                </w:p>
              </w:tc>
              <w:tc>
                <w:tcPr>
                  <w:tcW w:w="607" w:type="dxa"/>
                  <w:vAlign w:val="center"/>
                </w:tcPr>
                <w:p w14:paraId="45496DA7">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27E01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8" w:hRule="atLeast"/>
              </w:trPr>
              <w:tc>
                <w:tcPr>
                  <w:tcW w:w="3242" w:type="dxa"/>
                  <w:vAlign w:val="center"/>
                </w:tcPr>
                <w:p w14:paraId="36140BCE">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应回收落地原油，以及原油处理、废水处理产生的油泥（砂）等中的油类物质，含油污泥资源化利用率应达到90%以上，残余固体废物应按照《国家危险废物名录》和危险废物鉴别标准识别，根据识别结果资源化利用或无害化处置。</w:t>
                  </w:r>
                </w:p>
              </w:tc>
              <w:tc>
                <w:tcPr>
                  <w:tcW w:w="2709" w:type="dxa"/>
                  <w:vAlign w:val="center"/>
                </w:tcPr>
                <w:p w14:paraId="49C03CF5">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井下作业必须带罐（车）操作，将落地油100%进行回收</w:t>
                  </w:r>
                  <w:r>
                    <w:rPr>
                      <w:rFonts w:hint="eastAsia" w:ascii="Times New Roman" w:hAnsi="Times New Roman" w:eastAsia="宋体" w:cs="Times New Roman"/>
                      <w:color w:val="auto"/>
                      <w:sz w:val="21"/>
                      <w:szCs w:val="21"/>
                      <w:highlight w:val="none"/>
                      <w:lang w:val="en-US" w:eastAsia="zh-CN"/>
                    </w:rPr>
                    <w:t>。</w:t>
                  </w:r>
                </w:p>
              </w:tc>
              <w:tc>
                <w:tcPr>
                  <w:tcW w:w="607" w:type="dxa"/>
                  <w:vAlign w:val="center"/>
                </w:tcPr>
                <w:p w14:paraId="3414CC1A">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64E08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3242" w:type="dxa"/>
                  <w:tcBorders>
                    <w:bottom w:val="single" w:color="000000" w:sz="6" w:space="0"/>
                  </w:tcBorders>
                  <w:shd w:val="clear" w:color="auto" w:fill="auto"/>
                  <w:vAlign w:val="center"/>
                </w:tcPr>
                <w:p w14:paraId="19118B96">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加强油气田建设、勘探开发过程的环境监督管理。油气田建设过程应开展工程环境监理。</w:t>
                  </w:r>
                </w:p>
              </w:tc>
              <w:tc>
                <w:tcPr>
                  <w:tcW w:w="2709" w:type="dxa"/>
                  <w:tcBorders>
                    <w:bottom w:val="single" w:color="000000" w:sz="6" w:space="0"/>
                  </w:tcBorders>
                  <w:shd w:val="clear" w:color="auto" w:fill="auto"/>
                  <w:vAlign w:val="center"/>
                </w:tcPr>
                <w:p w14:paraId="6449A58B">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环评要求项目开展工程环境监理，并拟定了开发期环境监理计划。</w:t>
                  </w:r>
                </w:p>
              </w:tc>
              <w:tc>
                <w:tcPr>
                  <w:tcW w:w="607" w:type="dxa"/>
                  <w:tcBorders>
                    <w:bottom w:val="single" w:color="000000" w:sz="6" w:space="0"/>
                  </w:tcBorders>
                  <w:vAlign w:val="center"/>
                </w:tcPr>
                <w:p w14:paraId="432A7744">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14:paraId="7864C3BF">
            <w:pPr>
              <w:pStyle w:val="16"/>
              <w:widowControl w:val="0"/>
              <w:spacing w:before="42" w:line="360" w:lineRule="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4</w:t>
            </w:r>
            <w:r>
              <w:rPr>
                <w:rFonts w:hint="default" w:ascii="Times New Roman" w:hAnsi="Times New Roman"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kern w:val="2"/>
                <w:sz w:val="24"/>
                <w:szCs w:val="24"/>
                <w:highlight w:val="none"/>
                <w:lang w:val="en-US" w:eastAsia="zh-CN" w:bidi="ar-SA"/>
              </w:rPr>
              <w:t>与《关于进一步加强石油天然气行业环境影响评价管理的通知》（环办环评函〔2019〕910号）符合性分析</w:t>
            </w:r>
          </w:p>
          <w:p w14:paraId="7DCC117A">
            <w:pPr>
              <w:pStyle w:val="16"/>
              <w:widowControl w:val="0"/>
              <w:tabs>
                <w:tab w:val="left" w:pos="121"/>
              </w:tabs>
              <w:spacing w:before="6" w:line="376" w:lineRule="auto"/>
              <w:ind w:left="1" w:firstLine="420"/>
              <w:jc w:val="both"/>
              <w:rPr>
                <w:rFonts w:hint="eastAsia" w:ascii="Times New Roman" w:hAnsi="Times New Roman" w:cs="Times New Roman"/>
                <w:color w:val="auto"/>
                <w:spacing w:val="5"/>
                <w:sz w:val="24"/>
                <w:szCs w:val="24"/>
                <w:highlight w:val="none"/>
                <w:lang w:eastAsia="zh-CN"/>
              </w:rPr>
            </w:pPr>
            <w:r>
              <w:rPr>
                <w:rFonts w:hint="default" w:ascii="Times New Roman" w:hAnsi="Times New Roman" w:eastAsia="宋体" w:cs="Times New Roman"/>
                <w:color w:val="auto"/>
                <w:spacing w:val="5"/>
                <w:sz w:val="24"/>
                <w:szCs w:val="24"/>
                <w:highlight w:val="none"/>
              </w:rPr>
              <w:t>该文件中要求：未确定产能建设规模的陆地油气开采新区块，</w:t>
            </w:r>
            <w:r>
              <w:rPr>
                <w:rFonts w:hint="default" w:ascii="Times New Roman" w:hAnsi="Times New Roman" w:eastAsia="宋体" w:cs="Times New Roman"/>
                <w:color w:val="auto"/>
                <w:spacing w:val="4"/>
                <w:sz w:val="24"/>
                <w:szCs w:val="24"/>
                <w:highlight w:val="none"/>
              </w:rPr>
              <w:t>建设评价井</w:t>
            </w:r>
            <w:r>
              <w:rPr>
                <w:rFonts w:hint="default" w:ascii="Times New Roman" w:hAnsi="Times New Roman" w:eastAsia="宋体" w:cs="Times New Roman"/>
                <w:color w:val="auto"/>
                <w:spacing w:val="5"/>
                <w:sz w:val="24"/>
                <w:szCs w:val="24"/>
                <w:highlight w:val="none"/>
              </w:rPr>
              <w:t>应当编制环境影响报告表。项目为油气勘探项目，经编制环境影响报告表后报主管部门作为项目环境保护管理的依据，可以满足该文件的要求</w:t>
            </w:r>
            <w:r>
              <w:rPr>
                <w:rFonts w:hint="eastAsia" w:ascii="Times New Roman" w:hAnsi="Times New Roman" w:cs="Times New Roman"/>
                <w:color w:val="auto"/>
                <w:spacing w:val="5"/>
                <w:sz w:val="24"/>
                <w:szCs w:val="24"/>
                <w:highlight w:val="none"/>
                <w:lang w:eastAsia="zh-CN"/>
              </w:rPr>
              <w:t>。</w:t>
            </w:r>
          </w:p>
          <w:p w14:paraId="61A31177">
            <w:pPr>
              <w:pStyle w:val="16"/>
              <w:widowControl w:val="0"/>
              <w:tabs>
                <w:tab w:val="left" w:pos="121"/>
              </w:tabs>
              <w:spacing w:before="6" w:line="376" w:lineRule="auto"/>
              <w:ind w:left="1" w:firstLine="42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5"/>
                <w:sz w:val="24"/>
                <w:szCs w:val="24"/>
                <w:highlight w:val="none"/>
              </w:rPr>
              <w:t>本项目与《关</w:t>
            </w:r>
            <w:r>
              <w:rPr>
                <w:rFonts w:hint="default" w:ascii="Times New Roman" w:hAnsi="Times New Roman" w:eastAsia="宋体" w:cs="Times New Roman"/>
                <w:color w:val="auto"/>
                <w:spacing w:val="1"/>
                <w:sz w:val="24"/>
                <w:szCs w:val="24"/>
                <w:highlight w:val="none"/>
              </w:rPr>
              <w:t>于进一步加强石油天然气行业环境影响评价管理的通知》</w:t>
            </w:r>
            <w:r>
              <w:rPr>
                <w:rFonts w:hint="default" w:ascii="Times New Roman" w:hAnsi="Times New Roman" w:eastAsia="宋体" w:cs="Times New Roman"/>
                <w:color w:val="auto"/>
                <w:sz w:val="24"/>
                <w:szCs w:val="24"/>
                <w:highlight w:val="none"/>
              </w:rPr>
              <w:t>相符性见表</w:t>
            </w:r>
            <w:r>
              <w:rPr>
                <w:rFonts w:hint="eastAsia" w:ascii="Times New Roman" w:hAnsi="Times New Roman" w:cs="Times New Roman"/>
                <w:color w:val="auto"/>
                <w:sz w:val="24"/>
                <w:szCs w:val="24"/>
                <w:highlight w:val="none"/>
                <w:lang w:val="en-US" w:eastAsia="zh-CN"/>
              </w:rPr>
              <w:t>1-4</w:t>
            </w:r>
            <w:r>
              <w:rPr>
                <w:rFonts w:hint="default" w:ascii="Times New Roman" w:hAnsi="Times New Roman" w:eastAsia="宋体" w:cs="Times New Roman"/>
                <w:color w:val="auto"/>
                <w:sz w:val="24"/>
                <w:szCs w:val="24"/>
                <w:highlight w:val="none"/>
              </w:rPr>
              <w:t>。</w:t>
            </w:r>
          </w:p>
          <w:p w14:paraId="548AE206">
            <w:pPr>
              <w:widowControl w:val="0"/>
              <w:adjustRightInd w:val="0"/>
              <w:snapToGrid w:val="0"/>
              <w:spacing w:line="400" w:lineRule="exact"/>
              <w:ind w:firstLine="422" w:firstLineChars="20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表1-</w:t>
            </w:r>
            <w:r>
              <w:rPr>
                <w:rFonts w:hint="default" w:ascii="Times New Roman" w:hAnsi="Times New Roman" w:eastAsia="宋体" w:cs="Times New Roman"/>
                <w:b/>
                <w:bCs/>
                <w:color w:val="auto"/>
                <w:sz w:val="21"/>
                <w:szCs w:val="21"/>
                <w:highlight w:val="none"/>
                <w:lang w:val="en-US" w:eastAsia="zh-CN"/>
              </w:rPr>
              <w:t xml:space="preserve">4 </w:t>
            </w:r>
            <w:r>
              <w:rPr>
                <w:rFonts w:hint="default" w:ascii="Times New Roman" w:hAnsi="Times New Roman" w:eastAsia="宋体" w:cs="Times New Roman"/>
                <w:b/>
                <w:bCs/>
                <w:color w:val="auto"/>
                <w:sz w:val="21"/>
                <w:szCs w:val="21"/>
                <w:highlight w:val="none"/>
              </w:rPr>
              <w:t>项目与《关于进一步加强石油天然气行业环境影响评价管理的通知》符合性分析一览表</w:t>
            </w:r>
          </w:p>
          <w:tbl>
            <w:tblPr>
              <w:tblStyle w:val="15"/>
              <w:tblW w:w="65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6"/>
              <w:gridCol w:w="3081"/>
              <w:gridCol w:w="2193"/>
              <w:gridCol w:w="608"/>
            </w:tblGrid>
            <w:tr w14:paraId="40160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1" w:hRule="atLeast"/>
                <w:jc w:val="center"/>
              </w:trPr>
              <w:tc>
                <w:tcPr>
                  <w:tcW w:w="656" w:type="dxa"/>
                  <w:vAlign w:val="center"/>
                </w:tcPr>
                <w:p w14:paraId="523A127A">
                  <w:pPr>
                    <w:autoSpaceDE w:val="0"/>
                    <w:autoSpaceDN w:val="0"/>
                    <w:adjustRightInd w:val="0"/>
                    <w:snapToGrid w:val="0"/>
                    <w:spacing w:line="300" w:lineRule="exac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3081" w:type="dxa"/>
                  <w:vAlign w:val="center"/>
                </w:tcPr>
                <w:p w14:paraId="5B3A7764">
                  <w:pPr>
                    <w:autoSpaceDE w:val="0"/>
                    <w:autoSpaceDN w:val="0"/>
                    <w:adjustRightInd w:val="0"/>
                    <w:snapToGrid w:val="0"/>
                    <w:spacing w:line="300" w:lineRule="exac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《关于进一步加强石油天然气行业环境影响评价管理的通知》</w:t>
                  </w:r>
                </w:p>
              </w:tc>
              <w:tc>
                <w:tcPr>
                  <w:tcW w:w="2193" w:type="dxa"/>
                  <w:vAlign w:val="center"/>
                </w:tcPr>
                <w:p w14:paraId="7C9C667B">
                  <w:pPr>
                    <w:autoSpaceDE w:val="0"/>
                    <w:autoSpaceDN w:val="0"/>
                    <w:adjustRightInd w:val="0"/>
                    <w:snapToGrid w:val="0"/>
                    <w:spacing w:line="300" w:lineRule="exac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本项目</w:t>
                  </w:r>
                </w:p>
              </w:tc>
              <w:tc>
                <w:tcPr>
                  <w:tcW w:w="608" w:type="dxa"/>
                  <w:vAlign w:val="center"/>
                </w:tcPr>
                <w:p w14:paraId="59F94A1B">
                  <w:pPr>
                    <w:autoSpaceDE w:val="0"/>
                    <w:autoSpaceDN w:val="0"/>
                    <w:adjustRightInd w:val="0"/>
                    <w:snapToGrid w:val="0"/>
                    <w:spacing w:line="300" w:lineRule="exac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符合性</w:t>
                  </w:r>
                </w:p>
              </w:tc>
            </w:tr>
            <w:tr w14:paraId="4C8A1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1" w:hRule="atLeast"/>
                <w:jc w:val="center"/>
              </w:trPr>
              <w:tc>
                <w:tcPr>
                  <w:tcW w:w="656" w:type="dxa"/>
                  <w:vAlign w:val="center"/>
                </w:tcPr>
                <w:p w14:paraId="60ED9128">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3081" w:type="dxa"/>
                  <w:vAlign w:val="center"/>
                </w:tcPr>
                <w:p w14:paraId="4F73181B">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确定产能建设规模后，原则上不得以勘探名义继续开展单井环评。</w:t>
                  </w:r>
                </w:p>
              </w:tc>
              <w:tc>
                <w:tcPr>
                  <w:tcW w:w="2193" w:type="dxa"/>
                  <w:vAlign w:val="center"/>
                </w:tcPr>
                <w:p w14:paraId="26E93B98">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本项目共计划勘探20口井，目前均未勘探，正在环评报告编制阶段</w:t>
                  </w:r>
                </w:p>
              </w:tc>
              <w:tc>
                <w:tcPr>
                  <w:tcW w:w="608" w:type="dxa"/>
                  <w:vAlign w:val="center"/>
                </w:tcPr>
                <w:p w14:paraId="516EBD60">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5CE69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1" w:hRule="atLeast"/>
                <w:jc w:val="center"/>
              </w:trPr>
              <w:tc>
                <w:tcPr>
                  <w:tcW w:w="656" w:type="dxa"/>
                  <w:vAlign w:val="center"/>
                </w:tcPr>
                <w:p w14:paraId="1557BEDE">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3081" w:type="dxa"/>
                  <w:vAlign w:val="center"/>
                </w:tcPr>
                <w:p w14:paraId="5C958039">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项目环评应当深入评价项目建设、运营带来的环境影响和环境风险，提出有效的生态环境保护和环境风险防范措施。</w:t>
                  </w:r>
                </w:p>
              </w:tc>
              <w:tc>
                <w:tcPr>
                  <w:tcW w:w="2193" w:type="dxa"/>
                  <w:vAlign w:val="center"/>
                </w:tcPr>
                <w:p w14:paraId="6834AB58">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en-US" w:eastAsia="zh-CN"/>
                    </w:rPr>
                    <w:t>深入评价项目建设、带来的环境影响和环境风险，提出有效的生态环境保护和环境风险防范措施。</w:t>
                  </w:r>
                </w:p>
              </w:tc>
              <w:tc>
                <w:tcPr>
                  <w:tcW w:w="608" w:type="dxa"/>
                  <w:vAlign w:val="center"/>
                </w:tcPr>
                <w:p w14:paraId="4AC79157">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BEED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5" w:hRule="atLeast"/>
                <w:jc w:val="center"/>
              </w:trPr>
              <w:tc>
                <w:tcPr>
                  <w:tcW w:w="656" w:type="dxa"/>
                  <w:vAlign w:val="center"/>
                </w:tcPr>
                <w:p w14:paraId="5D555701">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3081" w:type="dxa"/>
                  <w:vAlign w:val="center"/>
                </w:tcPr>
                <w:p w14:paraId="79039C54">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依托其他防治设施的或者委托第三方处置的，应当论证其可行性和有效性。</w:t>
                  </w:r>
                </w:p>
              </w:tc>
              <w:tc>
                <w:tcPr>
                  <w:tcW w:w="2193" w:type="dxa"/>
                  <w:vAlign w:val="center"/>
                </w:tcPr>
                <w:p w14:paraId="1156A49B">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本项目依托工程及其可行性分析详见</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第二章：依托工程</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p>
              </w:tc>
              <w:tc>
                <w:tcPr>
                  <w:tcW w:w="608" w:type="dxa"/>
                  <w:vAlign w:val="center"/>
                </w:tcPr>
                <w:p w14:paraId="044227E1">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F74F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2" w:hRule="atLeast"/>
                <w:jc w:val="center"/>
              </w:trPr>
              <w:tc>
                <w:tcPr>
                  <w:tcW w:w="656" w:type="dxa"/>
                  <w:vAlign w:val="center"/>
                </w:tcPr>
                <w:p w14:paraId="7BA3D534">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3081" w:type="dxa"/>
                  <w:vAlign w:val="center"/>
                </w:tcPr>
                <w:p w14:paraId="77DE80F3">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涉及废水回注的，应当论证回注的环境可行性，采取切实可行的地下水污染防治和监控措施，不得回注与油气开采无关的废水，严禁造成地下水污染。</w:t>
                  </w:r>
                </w:p>
              </w:tc>
              <w:tc>
                <w:tcPr>
                  <w:tcW w:w="2193" w:type="dxa"/>
                  <w:vAlign w:val="center"/>
                </w:tcPr>
                <w:p w14:paraId="329AA87F">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本项目井下作业废水经吉康脱水站污水处理系统处理达标后用于回注，依托工程及其可行性分析详见</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第二章：依托工程</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。本项目采取了地下水污染防治和监控措施，防止造成地下水污染，详见报告环保措施章节。</w:t>
                  </w:r>
                </w:p>
              </w:tc>
              <w:tc>
                <w:tcPr>
                  <w:tcW w:w="608" w:type="dxa"/>
                  <w:vAlign w:val="center"/>
                </w:tcPr>
                <w:p w14:paraId="3873201F">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F3A2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4" w:hRule="atLeast"/>
                <w:jc w:val="center"/>
              </w:trPr>
              <w:tc>
                <w:tcPr>
                  <w:tcW w:w="656" w:type="dxa"/>
                  <w:vAlign w:val="center"/>
                </w:tcPr>
                <w:p w14:paraId="1517F117">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3081" w:type="dxa"/>
                  <w:vAlign w:val="center"/>
                </w:tcPr>
                <w:p w14:paraId="5914A270">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油气开采产生的废弃油基泥浆、含油钻屑及其他固体废物，应当遵循减量化、资源化、无害化原则，按照国家和地方有关固体废物的管理规定进行处置。</w:t>
                  </w:r>
                </w:p>
              </w:tc>
              <w:tc>
                <w:tcPr>
                  <w:tcW w:w="2193" w:type="dxa"/>
                  <w:vAlign w:val="center"/>
                </w:tcPr>
                <w:p w14:paraId="4E1A9310">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本项目产生的油基岩屑、落地油泥、废防渗材料、废润滑油、废润滑油桶</w:t>
                  </w:r>
                  <w:r>
                    <w:rPr>
                      <w:rFonts w:hint="eastAsia" w:ascii="Times New Roman" w:hAnsi="Times New Roman" w:eastAsia="宋体" w:cs="Times New Roman"/>
                      <w:color w:val="auto"/>
                      <w:sz w:val="21"/>
                      <w:szCs w:val="21"/>
                      <w:highlight w:val="none"/>
                      <w:lang w:val="en-US" w:eastAsia="zh-CN"/>
                    </w:rPr>
                    <w:t>贮存于危废贮存点后定期交由有资质的单位处置。</w:t>
                  </w:r>
                </w:p>
              </w:tc>
              <w:tc>
                <w:tcPr>
                  <w:tcW w:w="608" w:type="dxa"/>
                  <w:vAlign w:val="center"/>
                </w:tcPr>
                <w:p w14:paraId="35D73A2D">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22A9F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6" w:hRule="atLeast"/>
                <w:jc w:val="center"/>
              </w:trPr>
              <w:tc>
                <w:tcPr>
                  <w:tcW w:w="656" w:type="dxa"/>
                  <w:tcBorders>
                    <w:bottom w:val="single" w:color="000000" w:sz="6" w:space="0"/>
                  </w:tcBorders>
                  <w:shd w:val="clear" w:color="auto" w:fill="auto"/>
                  <w:vAlign w:val="center"/>
                </w:tcPr>
                <w:p w14:paraId="35F39ACC">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3081" w:type="dxa"/>
                  <w:tcBorders>
                    <w:bottom w:val="single" w:color="000000" w:sz="6" w:space="0"/>
                  </w:tcBorders>
                  <w:shd w:val="clear" w:color="auto" w:fill="auto"/>
                  <w:vAlign w:val="center"/>
                </w:tcPr>
                <w:p w14:paraId="20D1E173">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施工期应当尽量减少施工占地、缩短施工时间、选择合理施工方式、落实环境敏感区管控要求以及其他生态环境保护措施，降低生态环境影响。</w:t>
                  </w:r>
                </w:p>
              </w:tc>
              <w:tc>
                <w:tcPr>
                  <w:tcW w:w="2193" w:type="dxa"/>
                  <w:tcBorders>
                    <w:bottom w:val="single" w:color="000000" w:sz="6" w:space="0"/>
                  </w:tcBorders>
                  <w:shd w:val="clear" w:color="auto" w:fill="auto"/>
                  <w:vAlign w:val="center"/>
                </w:tcPr>
                <w:p w14:paraId="5B802B65">
                  <w:pPr>
                    <w:keepNext w:val="0"/>
                    <w:keepLines w:val="0"/>
                    <w:pageBreakBefore w:val="0"/>
                    <w:widowControl/>
                    <w:kinsoku/>
                    <w:wordWrap/>
                    <w:overflowPunct w:val="0"/>
                    <w:topLinePunct w:val="0"/>
                    <w:autoSpaceDE w:val="0"/>
                    <w:autoSpaceDN w:val="0"/>
                    <w:bidi w:val="0"/>
                    <w:adjustRightInd w:val="0"/>
                    <w:snapToGrid w:val="0"/>
                    <w:spacing w:line="300" w:lineRule="exact"/>
                    <w:jc w:val="both"/>
                    <w:textAlignment w:val="baseline"/>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施工期严格控制占地面积，施工单位在占地范围内施工，严格控制和管理运输车辆及重型机械施工作业范围。</w:t>
                  </w:r>
                </w:p>
              </w:tc>
              <w:tc>
                <w:tcPr>
                  <w:tcW w:w="608" w:type="dxa"/>
                  <w:tcBorders>
                    <w:bottom w:val="single" w:color="000000" w:sz="6" w:space="0"/>
                  </w:tcBorders>
                  <w:shd w:val="clear" w:color="auto" w:fill="auto"/>
                  <w:vAlign w:val="center"/>
                </w:tcPr>
                <w:p w14:paraId="6452E1AD">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符合</w:t>
                  </w:r>
                </w:p>
              </w:tc>
            </w:tr>
          </w:tbl>
          <w:p w14:paraId="6160D3A3">
            <w:pPr>
              <w:pStyle w:val="16"/>
              <w:widowControl w:val="0"/>
              <w:numPr>
                <w:ilvl w:val="0"/>
                <w:numId w:val="2"/>
              </w:numPr>
              <w:spacing w:before="42" w:line="360" w:lineRule="auto"/>
              <w:ind w:left="0" w:leftChars="0" w:firstLine="0" w:firstLineChars="0"/>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与《陆上石油天然气开采业绿色矿山建设规范》（DZ/T0317-2018）符合性分析</w:t>
            </w:r>
          </w:p>
          <w:p w14:paraId="1054B00A">
            <w:pPr>
              <w:pStyle w:val="16"/>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leftChars="0" w:firstLine="480" w:firstLineChars="200"/>
              <w:textAlignment w:val="baseline"/>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cs="Times New Roman"/>
                <w:b w:val="0"/>
                <w:bCs w:val="0"/>
                <w:color w:val="auto"/>
                <w:kern w:val="2"/>
                <w:sz w:val="24"/>
                <w:szCs w:val="24"/>
                <w:highlight w:val="none"/>
                <w:lang w:val="en-US" w:eastAsia="zh-CN" w:bidi="ar-SA"/>
              </w:rPr>
              <w:t>项目</w:t>
            </w:r>
            <w:r>
              <w:rPr>
                <w:rFonts w:hint="default" w:ascii="Times New Roman" w:hAnsi="Times New Roman" w:eastAsia="宋体" w:cs="Times New Roman"/>
                <w:b w:val="0"/>
                <w:bCs w:val="0"/>
                <w:color w:val="auto"/>
                <w:kern w:val="2"/>
                <w:sz w:val="24"/>
                <w:szCs w:val="24"/>
                <w:highlight w:val="none"/>
                <w:lang w:val="en-US" w:eastAsia="zh-CN" w:bidi="ar-SA"/>
              </w:rPr>
              <w:t>与《陆上石油天然气开采业绿色矿山建设规范》（DZ/T0317-2018）符合性分析</w:t>
            </w:r>
            <w:r>
              <w:rPr>
                <w:rFonts w:hint="eastAsia" w:ascii="Times New Roman" w:hAnsi="Times New Roman" w:cs="Times New Roman"/>
                <w:b w:val="0"/>
                <w:bCs w:val="0"/>
                <w:color w:val="auto"/>
                <w:kern w:val="2"/>
                <w:sz w:val="24"/>
                <w:szCs w:val="24"/>
                <w:highlight w:val="none"/>
                <w:lang w:val="en-US" w:eastAsia="zh-CN" w:bidi="ar-SA"/>
              </w:rPr>
              <w:t>见表1-5。</w:t>
            </w:r>
          </w:p>
          <w:p w14:paraId="3DBBB30B">
            <w:pPr>
              <w:pStyle w:val="16"/>
              <w:widowControl w:val="0"/>
              <w:spacing w:line="360" w:lineRule="auto"/>
              <w:jc w:val="center"/>
              <w:rPr>
                <w:rFonts w:hint="default" w:ascii="Times New Roman" w:hAnsi="Times New Roman" w:eastAsia="宋体" w:cs="Times New Roman"/>
                <w:b/>
                <w:bCs/>
                <w:color w:val="auto"/>
                <w:spacing w:val="6"/>
                <w:sz w:val="21"/>
                <w:szCs w:val="21"/>
                <w:highlight w:val="none"/>
              </w:rPr>
            </w:pPr>
            <w:r>
              <w:rPr>
                <w:rFonts w:hint="default" w:ascii="Times New Roman" w:hAnsi="Times New Roman" w:eastAsia="宋体" w:cs="Times New Roman"/>
                <w:b/>
                <w:bCs/>
                <w:color w:val="auto"/>
                <w:spacing w:val="6"/>
                <w:sz w:val="21"/>
                <w:szCs w:val="21"/>
                <w:highlight w:val="none"/>
              </w:rPr>
              <w:t>表1-</w:t>
            </w:r>
            <w:r>
              <w:rPr>
                <w:rFonts w:hint="default" w:ascii="Times New Roman" w:hAnsi="Times New Roman" w:cs="Times New Roman"/>
                <w:b/>
                <w:bCs/>
                <w:color w:val="auto"/>
                <w:spacing w:val="6"/>
                <w:sz w:val="21"/>
                <w:szCs w:val="21"/>
                <w:highlight w:val="none"/>
                <w:lang w:val="en-US" w:eastAsia="zh-CN"/>
              </w:rPr>
              <w:t>5</w:t>
            </w:r>
            <w:r>
              <w:rPr>
                <w:rFonts w:hint="default" w:ascii="Times New Roman" w:hAnsi="Times New Roman" w:eastAsia="宋体" w:cs="Times New Roman"/>
                <w:b/>
                <w:bCs/>
                <w:color w:val="auto"/>
                <w:spacing w:val="6"/>
                <w:sz w:val="21"/>
                <w:szCs w:val="21"/>
                <w:highlight w:val="none"/>
                <w:lang w:val="en-US" w:eastAsia="zh-CN"/>
              </w:rPr>
              <w:t xml:space="preserve"> </w:t>
            </w:r>
            <w:r>
              <w:rPr>
                <w:rFonts w:hint="default" w:ascii="Times New Roman" w:hAnsi="Times New Roman" w:eastAsia="宋体" w:cs="Times New Roman"/>
                <w:b/>
                <w:bCs/>
                <w:color w:val="auto"/>
                <w:spacing w:val="6"/>
                <w:sz w:val="21"/>
                <w:szCs w:val="21"/>
                <w:highlight w:val="none"/>
              </w:rPr>
              <w:t>项目与《陆上石油天然气开采业绿色矿山建设规范》</w:t>
            </w:r>
          </w:p>
          <w:p w14:paraId="39677015">
            <w:pPr>
              <w:pStyle w:val="16"/>
              <w:widowControl w:val="0"/>
              <w:spacing w:line="226"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pacing w:val="7"/>
                <w:sz w:val="21"/>
                <w:szCs w:val="21"/>
                <w:highlight w:val="none"/>
              </w:rPr>
              <w:t>符合性分析一览表</w:t>
            </w:r>
          </w:p>
          <w:tbl>
            <w:tblPr>
              <w:tblStyle w:val="15"/>
              <w:tblW w:w="655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60"/>
              <w:gridCol w:w="2937"/>
              <w:gridCol w:w="561"/>
            </w:tblGrid>
            <w:tr w14:paraId="421EA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3060" w:type="dxa"/>
                  <w:vAlign w:val="center"/>
                </w:tcPr>
                <w:p w14:paraId="00364851">
                  <w:pPr>
                    <w:autoSpaceDE w:val="0"/>
                    <w:autoSpaceDN w:val="0"/>
                    <w:adjustRightInd w:val="0"/>
                    <w:snapToGrid w:val="0"/>
                    <w:spacing w:line="300" w:lineRule="exac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《陆上石油天然气开采业绿色矿山建设规范》</w:t>
                  </w:r>
                </w:p>
              </w:tc>
              <w:tc>
                <w:tcPr>
                  <w:tcW w:w="2937" w:type="dxa"/>
                  <w:vAlign w:val="center"/>
                </w:tcPr>
                <w:p w14:paraId="6CDDAFE6">
                  <w:pPr>
                    <w:autoSpaceDE w:val="0"/>
                    <w:autoSpaceDN w:val="0"/>
                    <w:adjustRightInd w:val="0"/>
                    <w:snapToGrid w:val="0"/>
                    <w:spacing w:line="300" w:lineRule="exac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本项目</w:t>
                  </w:r>
                </w:p>
              </w:tc>
              <w:tc>
                <w:tcPr>
                  <w:tcW w:w="561" w:type="dxa"/>
                  <w:vAlign w:val="center"/>
                </w:tcPr>
                <w:p w14:paraId="4CF068F4">
                  <w:pPr>
                    <w:autoSpaceDE w:val="0"/>
                    <w:autoSpaceDN w:val="0"/>
                    <w:adjustRightInd w:val="0"/>
                    <w:snapToGrid w:val="0"/>
                    <w:spacing w:line="300" w:lineRule="exac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符合性</w:t>
                  </w:r>
                </w:p>
              </w:tc>
            </w:tr>
            <w:tr w14:paraId="48152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9" w:hRule="atLeast"/>
              </w:trPr>
              <w:tc>
                <w:tcPr>
                  <w:tcW w:w="3060" w:type="dxa"/>
                  <w:vAlign w:val="center"/>
                </w:tcPr>
                <w:p w14:paraId="7A8E7B8B">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应实施绿色钻井技术体系，科学选择钻井方式、环境友好型钻井液及井控措施配备完善的固控系统，及时妥善处置钻井泥浆。</w:t>
                  </w:r>
                </w:p>
              </w:tc>
              <w:tc>
                <w:tcPr>
                  <w:tcW w:w="2937" w:type="dxa"/>
                  <w:vAlign w:val="center"/>
                </w:tcPr>
                <w:p w14:paraId="6AFF786C">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w:t>
                  </w:r>
                  <w:r>
                    <w:rPr>
                      <w:rFonts w:hint="eastAsia"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lang w:val="en-US" w:eastAsia="zh-CN"/>
                    </w:rPr>
                    <w:t>采用环境友好钻井液及井控措施。</w:t>
                  </w:r>
                </w:p>
              </w:tc>
              <w:tc>
                <w:tcPr>
                  <w:tcW w:w="561" w:type="dxa"/>
                  <w:vAlign w:val="center"/>
                </w:tcPr>
                <w:p w14:paraId="4B456CA1">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3645C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3" w:hRule="atLeast"/>
              </w:trPr>
              <w:tc>
                <w:tcPr>
                  <w:tcW w:w="3060" w:type="dxa"/>
                  <w:vAlign w:val="center"/>
                </w:tcPr>
                <w:p w14:paraId="6FED42AA">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应按照矿山地质环境保护与土地复垦方案进行地质环境治理和土地复垦。</w:t>
                  </w:r>
                </w:p>
              </w:tc>
              <w:tc>
                <w:tcPr>
                  <w:tcW w:w="2937" w:type="dxa"/>
                  <w:vAlign w:val="center"/>
                </w:tcPr>
                <w:p w14:paraId="515364E6">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本次</w:t>
                  </w:r>
                  <w:r>
                    <w:rPr>
                      <w:rFonts w:hint="default" w:ascii="Times New Roman" w:hAnsi="Times New Roman" w:eastAsia="宋体" w:cs="Times New Roman"/>
                      <w:color w:val="auto"/>
                      <w:sz w:val="21"/>
                      <w:szCs w:val="21"/>
                      <w:highlight w:val="none"/>
                      <w:lang w:val="en-US" w:eastAsia="zh-CN"/>
                    </w:rPr>
                    <w:t>环评要求工程结束后恢复至原貌。</w:t>
                  </w:r>
                </w:p>
              </w:tc>
              <w:tc>
                <w:tcPr>
                  <w:tcW w:w="561" w:type="dxa"/>
                  <w:vAlign w:val="center"/>
                </w:tcPr>
                <w:p w14:paraId="5A7EA4EB">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6DAA9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5" w:hRule="atLeast"/>
              </w:trPr>
              <w:tc>
                <w:tcPr>
                  <w:tcW w:w="3060" w:type="dxa"/>
                  <w:vAlign w:val="center"/>
                </w:tcPr>
                <w:p w14:paraId="67B5FDD6">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油气开采过程中产生的含油污泥。采取技术措施进行原油回收处理和利用，处理后固体物含油率低2%。</w:t>
                  </w:r>
                </w:p>
              </w:tc>
              <w:tc>
                <w:tcPr>
                  <w:tcW w:w="2937" w:type="dxa"/>
                  <w:vAlign w:val="center"/>
                </w:tcPr>
                <w:p w14:paraId="7B120A1F">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本工程落地油要求100%回收。</w:t>
                  </w:r>
                </w:p>
              </w:tc>
              <w:tc>
                <w:tcPr>
                  <w:tcW w:w="561" w:type="dxa"/>
                  <w:vAlign w:val="center"/>
                </w:tcPr>
                <w:p w14:paraId="29C5B58D">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27C31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0" w:hRule="atLeast"/>
              </w:trPr>
              <w:tc>
                <w:tcPr>
                  <w:tcW w:w="3060" w:type="dxa"/>
                  <w:vAlign w:val="center"/>
                </w:tcPr>
                <w:p w14:paraId="4CCCEC52">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油气生产过程中产生的废液、废气、固体废物应建档分类管理，并清洁化、无害化处置，处置率应达到100%。</w:t>
                  </w:r>
                </w:p>
              </w:tc>
              <w:tc>
                <w:tcPr>
                  <w:tcW w:w="2937" w:type="dxa"/>
                  <w:vAlign w:val="center"/>
                </w:tcPr>
                <w:p w14:paraId="7E5EC266">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本项目试油压裂过程中产生的废水、压裂返排液、钻井岩屑、废防渗材料、落地油泥、废防渗材料、废润滑油、废润滑油桶均能妥善处置。</w:t>
                  </w:r>
                </w:p>
              </w:tc>
              <w:tc>
                <w:tcPr>
                  <w:tcW w:w="561" w:type="dxa"/>
                  <w:vAlign w:val="center"/>
                </w:tcPr>
                <w:p w14:paraId="26E4461F">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14:paraId="7FE75AB1">
            <w:pPr>
              <w:pStyle w:val="16"/>
              <w:widowControl w:val="0"/>
              <w:numPr>
                <w:ilvl w:val="0"/>
                <w:numId w:val="2"/>
              </w:numPr>
              <w:spacing w:before="42" w:line="360" w:lineRule="auto"/>
              <w:ind w:left="0" w:leftChars="0" w:firstLine="0" w:firstLineChars="0"/>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与《新疆生态环境保护</w:t>
            </w:r>
            <w:r>
              <w:rPr>
                <w:rFonts w:hint="eastAsia" w:ascii="Times New Roman" w:hAnsi="Times New Roman"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kern w:val="2"/>
                <w:sz w:val="24"/>
                <w:szCs w:val="24"/>
                <w:highlight w:val="none"/>
                <w:lang w:val="en-US" w:eastAsia="zh-CN" w:bidi="ar-SA"/>
              </w:rPr>
              <w:t>十四五</w:t>
            </w:r>
            <w:r>
              <w:rPr>
                <w:rFonts w:hint="eastAsia" w:ascii="Times New Roman" w:hAnsi="Times New Roman"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kern w:val="2"/>
                <w:sz w:val="24"/>
                <w:szCs w:val="24"/>
                <w:highlight w:val="none"/>
                <w:lang w:val="en-US" w:eastAsia="zh-CN" w:bidi="ar-SA"/>
              </w:rPr>
              <w:t>规划》符合性分析</w:t>
            </w:r>
          </w:p>
          <w:p w14:paraId="45E03DB4">
            <w:pPr>
              <w:pStyle w:val="16"/>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leftChars="0" w:firstLine="480" w:firstLineChars="200"/>
              <w:textAlignment w:val="baseline"/>
              <w:rPr>
                <w:rFonts w:hint="default" w:ascii="Times New Roman" w:hAnsi="Times New Roman" w:cs="Times New Roman"/>
                <w:b w:val="0"/>
                <w:bCs w:val="0"/>
                <w:color w:val="auto"/>
                <w:kern w:val="2"/>
                <w:sz w:val="24"/>
                <w:szCs w:val="24"/>
                <w:highlight w:val="none"/>
                <w:lang w:val="en-US" w:eastAsia="zh-CN" w:bidi="ar-SA"/>
              </w:rPr>
            </w:pPr>
            <w:r>
              <w:rPr>
                <w:rFonts w:hint="eastAsia" w:ascii="Times New Roman" w:hAnsi="Times New Roman" w:cs="Times New Roman"/>
                <w:b w:val="0"/>
                <w:bCs w:val="0"/>
                <w:color w:val="auto"/>
                <w:kern w:val="2"/>
                <w:sz w:val="24"/>
                <w:szCs w:val="24"/>
                <w:highlight w:val="none"/>
                <w:lang w:val="en-US" w:eastAsia="zh-CN" w:bidi="ar-SA"/>
              </w:rPr>
              <w:t>项目与</w:t>
            </w:r>
            <w:r>
              <w:rPr>
                <w:rFonts w:hint="default" w:ascii="Times New Roman" w:hAnsi="Times New Roman" w:cs="Times New Roman"/>
                <w:b w:val="0"/>
                <w:bCs w:val="0"/>
                <w:color w:val="auto"/>
                <w:kern w:val="2"/>
                <w:sz w:val="24"/>
                <w:szCs w:val="24"/>
                <w:highlight w:val="none"/>
                <w:lang w:val="en-US" w:eastAsia="zh-CN" w:bidi="ar-SA"/>
              </w:rPr>
              <w:t>《新疆生态环境保护</w:t>
            </w:r>
            <w:r>
              <w:rPr>
                <w:rFonts w:hint="eastAsia" w:ascii="Times New Roman" w:hAnsi="Times New Roman" w:cs="Times New Roman"/>
                <w:b w:val="0"/>
                <w:bCs w:val="0"/>
                <w:color w:val="auto"/>
                <w:kern w:val="2"/>
                <w:sz w:val="24"/>
                <w:szCs w:val="24"/>
                <w:highlight w:val="none"/>
                <w:lang w:val="en-US" w:eastAsia="zh-CN" w:bidi="ar-SA"/>
              </w:rPr>
              <w:t>“</w:t>
            </w:r>
            <w:r>
              <w:rPr>
                <w:rFonts w:hint="default" w:ascii="Times New Roman" w:hAnsi="Times New Roman" w:cs="Times New Roman"/>
                <w:b w:val="0"/>
                <w:bCs w:val="0"/>
                <w:color w:val="auto"/>
                <w:kern w:val="2"/>
                <w:sz w:val="24"/>
                <w:szCs w:val="24"/>
                <w:highlight w:val="none"/>
                <w:lang w:val="en-US" w:eastAsia="zh-CN" w:bidi="ar-SA"/>
              </w:rPr>
              <w:t>十四五</w:t>
            </w:r>
            <w:r>
              <w:rPr>
                <w:rFonts w:hint="eastAsia" w:ascii="Times New Roman" w:hAnsi="Times New Roman" w:cs="Times New Roman"/>
                <w:b w:val="0"/>
                <w:bCs w:val="0"/>
                <w:color w:val="auto"/>
                <w:kern w:val="2"/>
                <w:sz w:val="24"/>
                <w:szCs w:val="24"/>
                <w:highlight w:val="none"/>
                <w:lang w:val="en-US" w:eastAsia="zh-CN" w:bidi="ar-SA"/>
              </w:rPr>
              <w:t>”</w:t>
            </w:r>
            <w:r>
              <w:rPr>
                <w:rFonts w:hint="default" w:ascii="Times New Roman" w:hAnsi="Times New Roman" w:cs="Times New Roman"/>
                <w:b w:val="0"/>
                <w:bCs w:val="0"/>
                <w:color w:val="auto"/>
                <w:kern w:val="2"/>
                <w:sz w:val="24"/>
                <w:szCs w:val="24"/>
                <w:highlight w:val="none"/>
                <w:lang w:val="en-US" w:eastAsia="zh-CN" w:bidi="ar-SA"/>
              </w:rPr>
              <w:t>规划》</w:t>
            </w:r>
            <w:r>
              <w:rPr>
                <w:rFonts w:hint="eastAsia" w:ascii="Times New Roman" w:hAnsi="Times New Roman" w:cs="Times New Roman"/>
                <w:b w:val="0"/>
                <w:bCs w:val="0"/>
                <w:color w:val="auto"/>
                <w:kern w:val="2"/>
                <w:sz w:val="24"/>
                <w:szCs w:val="24"/>
                <w:highlight w:val="none"/>
                <w:lang w:val="en-US" w:eastAsia="zh-CN" w:bidi="ar-SA"/>
              </w:rPr>
              <w:t>符合性分析见表1-6。</w:t>
            </w:r>
          </w:p>
          <w:p w14:paraId="2516B333">
            <w:pPr>
              <w:widowControl w:val="0"/>
              <w:adjustRightInd w:val="0"/>
              <w:snapToGrid w:val="0"/>
              <w:spacing w:line="400" w:lineRule="exact"/>
              <w:ind w:firstLine="450" w:firstLineChars="200"/>
              <w:jc w:val="center"/>
              <w:rPr>
                <w:rFonts w:hint="default" w:ascii="Times New Roman" w:hAnsi="Times New Roman" w:eastAsia="宋体" w:cs="Times New Roman"/>
                <w:b/>
                <w:bCs/>
                <w:color w:val="auto"/>
                <w:spacing w:val="7"/>
                <w:sz w:val="21"/>
                <w:szCs w:val="21"/>
                <w:highlight w:val="none"/>
              </w:rPr>
            </w:pPr>
            <w:r>
              <w:rPr>
                <w:rFonts w:hint="default" w:ascii="Times New Roman" w:hAnsi="Times New Roman" w:eastAsia="宋体" w:cs="Times New Roman"/>
                <w:b/>
                <w:bCs/>
                <w:color w:val="auto"/>
                <w:spacing w:val="7"/>
                <w:sz w:val="21"/>
                <w:szCs w:val="21"/>
                <w:highlight w:val="none"/>
              </w:rPr>
              <w:t>表1-</w:t>
            </w:r>
            <w:r>
              <w:rPr>
                <w:rFonts w:hint="default" w:ascii="Times New Roman" w:hAnsi="Times New Roman" w:eastAsia="宋体" w:cs="Times New Roman"/>
                <w:b/>
                <w:bCs/>
                <w:color w:val="auto"/>
                <w:spacing w:val="7"/>
                <w:sz w:val="21"/>
                <w:szCs w:val="21"/>
                <w:highlight w:val="none"/>
                <w:lang w:val="en-US" w:eastAsia="zh-CN"/>
              </w:rPr>
              <w:t xml:space="preserve">6 </w:t>
            </w:r>
            <w:r>
              <w:rPr>
                <w:rFonts w:hint="default" w:ascii="Times New Roman" w:hAnsi="Times New Roman" w:eastAsia="宋体" w:cs="Times New Roman"/>
                <w:b/>
                <w:bCs/>
                <w:color w:val="auto"/>
                <w:spacing w:val="7"/>
                <w:sz w:val="21"/>
                <w:szCs w:val="21"/>
                <w:highlight w:val="none"/>
              </w:rPr>
              <w:t>项目与《新疆生态环境保护“十四五”规划》</w:t>
            </w:r>
          </w:p>
          <w:p w14:paraId="591A3DFE">
            <w:pPr>
              <w:widowControl w:val="0"/>
              <w:adjustRightInd w:val="0"/>
              <w:snapToGrid w:val="0"/>
              <w:spacing w:line="400" w:lineRule="exact"/>
              <w:ind w:firstLine="450" w:firstLineChars="200"/>
              <w:jc w:val="center"/>
              <w:rPr>
                <w:rFonts w:hint="default" w:ascii="Times New Roman" w:hAnsi="Times New Roman" w:eastAsia="宋体" w:cs="Times New Roman"/>
                <w:b/>
                <w:bCs/>
                <w:color w:val="auto"/>
                <w:spacing w:val="6"/>
                <w:sz w:val="21"/>
                <w:szCs w:val="21"/>
                <w:highlight w:val="none"/>
              </w:rPr>
            </w:pPr>
            <w:r>
              <w:rPr>
                <w:rFonts w:hint="default" w:ascii="Times New Roman" w:hAnsi="Times New Roman" w:eastAsia="宋体" w:cs="Times New Roman"/>
                <w:b/>
                <w:bCs/>
                <w:color w:val="auto"/>
                <w:spacing w:val="7"/>
                <w:sz w:val="21"/>
                <w:szCs w:val="21"/>
                <w:highlight w:val="none"/>
              </w:rPr>
              <w:t>符合性分析</w:t>
            </w:r>
            <w:r>
              <w:rPr>
                <w:rFonts w:hint="default" w:ascii="Times New Roman" w:hAnsi="Times New Roman" w:eastAsia="宋体" w:cs="Times New Roman"/>
                <w:b/>
                <w:bCs/>
                <w:color w:val="auto"/>
                <w:spacing w:val="6"/>
                <w:sz w:val="21"/>
                <w:szCs w:val="21"/>
                <w:highlight w:val="none"/>
              </w:rPr>
              <w:t>一览表</w:t>
            </w:r>
          </w:p>
          <w:tbl>
            <w:tblPr>
              <w:tblStyle w:val="15"/>
              <w:tblW w:w="655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15"/>
              <w:gridCol w:w="3252"/>
              <w:gridCol w:w="491"/>
            </w:tblGrid>
            <w:tr w14:paraId="457CD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2815" w:type="dxa"/>
                  <w:vAlign w:val="center"/>
                </w:tcPr>
                <w:p w14:paraId="285EC483">
                  <w:pPr>
                    <w:autoSpaceDE w:val="0"/>
                    <w:autoSpaceDN w:val="0"/>
                    <w:adjustRightInd w:val="0"/>
                    <w:snapToGrid w:val="0"/>
                    <w:spacing w:line="300" w:lineRule="exac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《新疆生态环境保护</w:t>
                  </w:r>
                  <w:r>
                    <w:rPr>
                      <w:rFonts w:hint="eastAsia"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十四五</w:t>
                  </w:r>
                  <w:r>
                    <w:rPr>
                      <w:rFonts w:hint="eastAsia"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规划》</w:t>
                  </w:r>
                </w:p>
              </w:tc>
              <w:tc>
                <w:tcPr>
                  <w:tcW w:w="3252" w:type="dxa"/>
                  <w:vAlign w:val="center"/>
                </w:tcPr>
                <w:p w14:paraId="70D88039">
                  <w:pPr>
                    <w:autoSpaceDE w:val="0"/>
                    <w:autoSpaceDN w:val="0"/>
                    <w:adjustRightInd w:val="0"/>
                    <w:snapToGrid w:val="0"/>
                    <w:spacing w:line="300" w:lineRule="exac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本项目</w:t>
                  </w:r>
                </w:p>
              </w:tc>
              <w:tc>
                <w:tcPr>
                  <w:tcW w:w="491" w:type="dxa"/>
                  <w:vAlign w:val="center"/>
                </w:tcPr>
                <w:p w14:paraId="3F0FB97E">
                  <w:pPr>
                    <w:autoSpaceDE w:val="0"/>
                    <w:autoSpaceDN w:val="0"/>
                    <w:adjustRightInd w:val="0"/>
                    <w:snapToGrid w:val="0"/>
                    <w:spacing w:line="300" w:lineRule="exac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符合性</w:t>
                  </w:r>
                </w:p>
              </w:tc>
            </w:tr>
            <w:tr w14:paraId="09DAD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3" w:hRule="atLeast"/>
              </w:trPr>
              <w:tc>
                <w:tcPr>
                  <w:tcW w:w="2815" w:type="dxa"/>
                  <w:vAlign w:val="center"/>
                </w:tcPr>
                <w:p w14:paraId="22602BA7">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实施最严格的生态保护制度。坚决遏制“两高”项目盲目发</w:t>
                  </w:r>
                </w:p>
                <w:p w14:paraId="137D4DEE">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展，严格执行能源、矿产资源开发自治区人民政府“一支笔”审批制度、环境保护“一票否决”制度，落实“三线一单”生态环境分区管控要求，守住生态保护红线、环境质量底线和资源利用上线，实施生态环境准入清单管控。强化危险废物全过程环境监管。督促各类危险废物产生单位和经营单位依法申报危险废物产生处置情况，报备管理计划，做好信息公开工作，规范运行危险废物转移联单。</w:t>
                  </w:r>
                </w:p>
              </w:tc>
              <w:tc>
                <w:tcPr>
                  <w:tcW w:w="3252" w:type="dxa"/>
                  <w:vAlign w:val="center"/>
                </w:tcPr>
                <w:p w14:paraId="6285C454">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本项目为油气资源勘探项目，不属于</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高污染、高环境风险产品</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项目；位于重点管控单元，不涉及生态保护红线；废气、噪声均可实现达标排放，废水和固体废物均得到妥善处置，不会突破区域环境质量底线；施工过程中会消耗少量的电能和水，工程资源消耗量相对区域</w:t>
                  </w:r>
                  <w:r>
                    <w:rPr>
                      <w:rFonts w:hint="eastAsia" w:ascii="Times New Roman" w:hAnsi="Times New Roman" w:eastAsia="宋体" w:cs="Times New Roman"/>
                      <w:color w:val="auto"/>
                      <w:sz w:val="21"/>
                      <w:szCs w:val="21"/>
                      <w:highlight w:val="none"/>
                      <w:lang w:val="en-US" w:eastAsia="zh-CN"/>
                    </w:rPr>
                    <w:t>资源</w:t>
                  </w:r>
                  <w:r>
                    <w:rPr>
                      <w:rFonts w:hint="default" w:ascii="Times New Roman" w:hAnsi="Times New Roman" w:eastAsia="宋体" w:cs="Times New Roman"/>
                      <w:color w:val="auto"/>
                      <w:sz w:val="21"/>
                      <w:szCs w:val="21"/>
                      <w:highlight w:val="none"/>
                      <w:lang w:val="en-US" w:eastAsia="zh-CN"/>
                    </w:rPr>
                    <w:t>利用总量较少，符合资源上限要求；符合区域</w:t>
                  </w:r>
                  <w:r>
                    <w:rPr>
                      <w:rFonts w:hint="eastAsia" w:ascii="Times New Roman" w:hAnsi="Times New Roman" w:eastAsia="宋体" w:cs="Times New Roman"/>
                      <w:color w:val="auto"/>
                      <w:sz w:val="21"/>
                      <w:szCs w:val="21"/>
                      <w:highlight w:val="none"/>
                      <w:lang w:val="en-US" w:eastAsia="zh-CN"/>
                    </w:rPr>
                    <w:t>生态环境分区管控</w:t>
                  </w:r>
                  <w:r>
                    <w:rPr>
                      <w:rFonts w:hint="default" w:ascii="Times New Roman" w:hAnsi="Times New Roman" w:eastAsia="宋体" w:cs="Times New Roman"/>
                      <w:color w:val="auto"/>
                      <w:sz w:val="21"/>
                      <w:szCs w:val="21"/>
                      <w:highlight w:val="none"/>
                      <w:lang w:val="en-US" w:eastAsia="zh-CN"/>
                    </w:rPr>
                    <w:t>要求。本环评要求定期更新和申报危险废物管理计划，对危险废物贮存、转移和处置进行全过程管理，建立危险废物管理台账，本次可充分依托中国石油天然气股份有限公司吐哈油田分公司准东采油管理区已有管理制度。</w:t>
                  </w:r>
                </w:p>
              </w:tc>
              <w:tc>
                <w:tcPr>
                  <w:tcW w:w="491" w:type="dxa"/>
                  <w:vAlign w:val="center"/>
                </w:tcPr>
                <w:p w14:paraId="759CA8C1">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40CE2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2815" w:type="dxa"/>
                  <w:tcBorders>
                    <w:bottom w:val="single" w:color="000000" w:sz="6" w:space="0"/>
                  </w:tcBorders>
                  <w:shd w:val="clear" w:color="auto" w:fill="auto"/>
                  <w:vAlign w:val="center"/>
                </w:tcPr>
                <w:p w14:paraId="57BB9FB5">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加强应急监测装备配置，定期开展应急演练，增强实战能力。</w:t>
                  </w:r>
                </w:p>
              </w:tc>
              <w:tc>
                <w:tcPr>
                  <w:tcW w:w="3252" w:type="dxa"/>
                  <w:tcBorders>
                    <w:bottom w:val="single" w:color="000000" w:sz="6" w:space="0"/>
                  </w:tcBorders>
                  <w:shd w:val="clear" w:color="auto" w:fill="auto"/>
                  <w:vAlign w:val="center"/>
                </w:tcPr>
                <w:p w14:paraId="67CE0725">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本项目拟设置应急监测设备，并定期进行应急演练工作。</w:t>
                  </w:r>
                </w:p>
              </w:tc>
              <w:tc>
                <w:tcPr>
                  <w:tcW w:w="491" w:type="dxa"/>
                  <w:tcBorders>
                    <w:bottom w:val="single" w:color="000000" w:sz="6" w:space="0"/>
                  </w:tcBorders>
                  <w:shd w:val="clear" w:color="auto" w:fill="auto"/>
                  <w:vAlign w:val="center"/>
                </w:tcPr>
                <w:p w14:paraId="27160F9A">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符合</w:t>
                  </w:r>
                </w:p>
              </w:tc>
            </w:tr>
          </w:tbl>
          <w:p w14:paraId="1F09E494">
            <w:pPr>
              <w:pStyle w:val="16"/>
              <w:widowControl w:val="0"/>
              <w:numPr>
                <w:ilvl w:val="0"/>
                <w:numId w:val="2"/>
              </w:numPr>
              <w:spacing w:before="42" w:line="360" w:lineRule="auto"/>
              <w:ind w:left="0" w:leftChars="0" w:firstLine="0" w:firstLineChars="0"/>
              <w:jc w:val="left"/>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与《昌吉回族自治州生态环境保护与建设“十四五”规划》符合性分析</w:t>
            </w:r>
          </w:p>
          <w:p w14:paraId="1578CC2C">
            <w:pPr>
              <w:pStyle w:val="16"/>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leftChars="0" w:firstLine="480" w:firstLineChars="200"/>
              <w:jc w:val="left"/>
              <w:textAlignment w:val="baseline"/>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cs="Times New Roman"/>
                <w:b w:val="0"/>
                <w:bCs w:val="0"/>
                <w:color w:val="auto"/>
                <w:kern w:val="2"/>
                <w:sz w:val="24"/>
                <w:szCs w:val="24"/>
                <w:highlight w:val="none"/>
                <w:lang w:val="en-US" w:eastAsia="zh-CN" w:bidi="ar-SA"/>
              </w:rPr>
              <w:t>项目与</w:t>
            </w:r>
            <w:r>
              <w:rPr>
                <w:rFonts w:hint="default" w:ascii="Times New Roman" w:hAnsi="Times New Roman" w:eastAsia="宋体" w:cs="Times New Roman"/>
                <w:b w:val="0"/>
                <w:bCs w:val="0"/>
                <w:color w:val="auto"/>
                <w:kern w:val="2"/>
                <w:sz w:val="24"/>
                <w:szCs w:val="24"/>
                <w:highlight w:val="none"/>
                <w:lang w:val="en-US" w:eastAsia="zh-CN" w:bidi="ar-SA"/>
              </w:rPr>
              <w:t>《昌吉回族自治州生态环境保护与建设</w:t>
            </w:r>
            <w:r>
              <w:rPr>
                <w:rFonts w:hint="eastAsia" w:ascii="Times New Roman" w:hAnsi="Times New Roman"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十四五</w:t>
            </w:r>
            <w:r>
              <w:rPr>
                <w:rFonts w:hint="eastAsia" w:ascii="Times New Roman" w:hAnsi="Times New Roman"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规划》符合性分析</w:t>
            </w:r>
            <w:r>
              <w:rPr>
                <w:rFonts w:hint="eastAsia" w:ascii="Times New Roman" w:hAnsi="Times New Roman" w:cs="Times New Roman"/>
                <w:b w:val="0"/>
                <w:bCs w:val="0"/>
                <w:color w:val="auto"/>
                <w:kern w:val="2"/>
                <w:sz w:val="24"/>
                <w:szCs w:val="24"/>
                <w:highlight w:val="none"/>
                <w:lang w:val="en-US" w:eastAsia="zh-CN" w:bidi="ar-SA"/>
              </w:rPr>
              <w:t>见表1-7。</w:t>
            </w:r>
          </w:p>
          <w:p w14:paraId="64EC8F60">
            <w:pPr>
              <w:widowControl w:val="0"/>
              <w:adjustRightInd w:val="0"/>
              <w:snapToGrid w:val="0"/>
              <w:spacing w:line="400" w:lineRule="exact"/>
              <w:jc w:val="center"/>
              <w:rPr>
                <w:rFonts w:hint="default" w:ascii="Times New Roman" w:hAnsi="Times New Roman" w:eastAsia="宋体" w:cs="Times New Roman"/>
                <w:b/>
                <w:bCs/>
                <w:color w:val="auto"/>
                <w:spacing w:val="7"/>
                <w:sz w:val="21"/>
                <w:szCs w:val="21"/>
                <w:highlight w:val="none"/>
              </w:rPr>
            </w:pPr>
            <w:r>
              <w:rPr>
                <w:rFonts w:hint="default" w:ascii="Times New Roman" w:hAnsi="Times New Roman" w:eastAsia="宋体" w:cs="Times New Roman"/>
                <w:b/>
                <w:bCs/>
                <w:color w:val="auto"/>
                <w:spacing w:val="7"/>
                <w:sz w:val="21"/>
                <w:szCs w:val="21"/>
                <w:highlight w:val="none"/>
              </w:rPr>
              <w:t>表1-</w:t>
            </w:r>
            <w:r>
              <w:rPr>
                <w:rFonts w:hint="default" w:ascii="Times New Roman" w:hAnsi="Times New Roman" w:eastAsia="宋体" w:cs="Times New Roman"/>
                <w:b/>
                <w:bCs/>
                <w:color w:val="auto"/>
                <w:spacing w:val="7"/>
                <w:sz w:val="21"/>
                <w:szCs w:val="21"/>
                <w:highlight w:val="none"/>
                <w:lang w:val="en-US" w:eastAsia="zh-CN"/>
              </w:rPr>
              <w:t xml:space="preserve">7 </w:t>
            </w:r>
            <w:r>
              <w:rPr>
                <w:rFonts w:hint="default" w:ascii="Times New Roman" w:hAnsi="Times New Roman" w:eastAsia="宋体" w:cs="Times New Roman"/>
                <w:b/>
                <w:bCs/>
                <w:color w:val="auto"/>
                <w:spacing w:val="7"/>
                <w:sz w:val="21"/>
                <w:szCs w:val="21"/>
                <w:highlight w:val="none"/>
              </w:rPr>
              <w:t>与《昌吉回族自治州生态环境保护与建设“十四五”规划》</w:t>
            </w:r>
          </w:p>
          <w:p w14:paraId="36218EBB">
            <w:pPr>
              <w:widowControl w:val="0"/>
              <w:adjustRightInd w:val="0"/>
              <w:snapToGrid w:val="0"/>
              <w:spacing w:line="400" w:lineRule="exact"/>
              <w:jc w:val="center"/>
              <w:rPr>
                <w:rFonts w:hint="default" w:ascii="Times New Roman" w:hAnsi="Times New Roman" w:eastAsia="宋体" w:cs="Times New Roman"/>
                <w:b/>
                <w:bCs/>
                <w:color w:val="auto"/>
                <w:spacing w:val="7"/>
                <w:sz w:val="21"/>
                <w:szCs w:val="21"/>
                <w:highlight w:val="none"/>
                <w:lang w:val="en-US" w:eastAsia="zh-CN"/>
              </w:rPr>
            </w:pPr>
            <w:r>
              <w:rPr>
                <w:rFonts w:hint="default" w:ascii="Times New Roman" w:hAnsi="Times New Roman" w:eastAsia="宋体" w:cs="Times New Roman"/>
                <w:b/>
                <w:bCs/>
                <w:color w:val="auto"/>
                <w:spacing w:val="7"/>
                <w:sz w:val="21"/>
                <w:szCs w:val="21"/>
                <w:highlight w:val="none"/>
              </w:rPr>
              <w:t>符合性分析一览表</w:t>
            </w:r>
          </w:p>
          <w:tbl>
            <w:tblPr>
              <w:tblStyle w:val="15"/>
              <w:tblW w:w="661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06"/>
              <w:gridCol w:w="2428"/>
              <w:gridCol w:w="685"/>
            </w:tblGrid>
            <w:tr w14:paraId="1E748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506" w:type="dxa"/>
                  <w:vAlign w:val="top"/>
                </w:tcPr>
                <w:p w14:paraId="79BF846E">
                  <w:pPr>
                    <w:autoSpaceDE w:val="0"/>
                    <w:autoSpaceDN w:val="0"/>
                    <w:adjustRightInd w:val="0"/>
                    <w:snapToGrid w:val="0"/>
                    <w:spacing w:line="300" w:lineRule="exac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《昌吉回族自治州生态环境保护与建设“十四五”规划》</w:t>
                  </w:r>
                </w:p>
              </w:tc>
              <w:tc>
                <w:tcPr>
                  <w:tcW w:w="2428" w:type="dxa"/>
                  <w:vAlign w:val="center"/>
                </w:tcPr>
                <w:p w14:paraId="29683D52">
                  <w:pPr>
                    <w:autoSpaceDE w:val="0"/>
                    <w:autoSpaceDN w:val="0"/>
                    <w:adjustRightInd w:val="0"/>
                    <w:snapToGrid w:val="0"/>
                    <w:spacing w:line="300" w:lineRule="exac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本项目</w:t>
                  </w:r>
                </w:p>
              </w:tc>
              <w:tc>
                <w:tcPr>
                  <w:tcW w:w="685" w:type="dxa"/>
                  <w:vAlign w:val="center"/>
                </w:tcPr>
                <w:p w14:paraId="08E51E9A">
                  <w:pPr>
                    <w:autoSpaceDE w:val="0"/>
                    <w:autoSpaceDN w:val="0"/>
                    <w:adjustRightInd w:val="0"/>
                    <w:snapToGrid w:val="0"/>
                    <w:spacing w:line="300" w:lineRule="exac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符合性</w:t>
                  </w:r>
                </w:p>
              </w:tc>
            </w:tr>
            <w:tr w14:paraId="2886A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7" w:hRule="atLeast"/>
              </w:trPr>
              <w:tc>
                <w:tcPr>
                  <w:tcW w:w="3506" w:type="dxa"/>
                  <w:vAlign w:val="center"/>
                </w:tcPr>
                <w:p w14:paraId="662FDE57">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将生态保护红线、环境质量底线、资源利用上线的硬约束落实到环境管控单元，建立差别化的生态环境准入清单，加强</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三线一单</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成果在政策制定、环境准入、执法监管等方面的应用。</w:t>
                  </w:r>
                </w:p>
              </w:tc>
              <w:tc>
                <w:tcPr>
                  <w:tcW w:w="2428" w:type="dxa"/>
                  <w:vAlign w:val="center"/>
                </w:tcPr>
                <w:p w14:paraId="042FBCEE">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本项目不涉及生态保护红线，不会突破区域环境质量底线，不会突破区域资源利用上线。</w:t>
                  </w:r>
                </w:p>
              </w:tc>
              <w:tc>
                <w:tcPr>
                  <w:tcW w:w="685" w:type="dxa"/>
                  <w:vAlign w:val="center"/>
                </w:tcPr>
                <w:p w14:paraId="4F705E4A">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3F74F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3506" w:type="dxa"/>
                  <w:vAlign w:val="center"/>
                </w:tcPr>
                <w:p w14:paraId="0E783B62">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强化</w:t>
                  </w:r>
                  <w:r>
                    <w:rPr>
                      <w:rFonts w:hint="eastAsia" w:ascii="Times New Roman" w:hAnsi="Times New Roman" w:eastAsia="宋体" w:cs="Times New Roman"/>
                      <w:color w:val="auto"/>
                      <w:sz w:val="21"/>
                      <w:szCs w:val="21"/>
                      <w:highlight w:val="none"/>
                      <w:lang w:val="en-US" w:eastAsia="zh-CN"/>
                    </w:rPr>
                    <w:t>水资源</w:t>
                  </w:r>
                  <w:r>
                    <w:rPr>
                      <w:rFonts w:hint="default" w:ascii="Times New Roman" w:hAnsi="Times New Roman" w:eastAsia="宋体" w:cs="Times New Roman"/>
                      <w:color w:val="auto"/>
                      <w:sz w:val="21"/>
                      <w:szCs w:val="21"/>
                      <w:highlight w:val="none"/>
                      <w:lang w:val="en-US" w:eastAsia="zh-CN"/>
                    </w:rPr>
                    <w:t>刚性约束，深入推进最严格水资源管理制度，严守水资源开发利用控制、用水效率控制和水功能区限制纳污</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三条红线</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，严格实行区域用水总量和强度控制，强化节水约束性指标管理。</w:t>
                  </w:r>
                </w:p>
              </w:tc>
              <w:tc>
                <w:tcPr>
                  <w:tcW w:w="2428" w:type="dxa"/>
                  <w:vAlign w:val="center"/>
                </w:tcPr>
                <w:p w14:paraId="7AC44D0F">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拟部署井钻试期仅消耗少量新鲜水，用量在区域可承受范围内，不会突破区域资源利用上限。</w:t>
                  </w:r>
                </w:p>
              </w:tc>
              <w:tc>
                <w:tcPr>
                  <w:tcW w:w="685" w:type="dxa"/>
                  <w:vAlign w:val="center"/>
                </w:tcPr>
                <w:p w14:paraId="1F8987BD">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BBD7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8" w:hRule="atLeast"/>
              </w:trPr>
              <w:tc>
                <w:tcPr>
                  <w:tcW w:w="3506" w:type="dxa"/>
                  <w:vAlign w:val="center"/>
                </w:tcPr>
                <w:p w14:paraId="3F772314">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推进地表水与地下水协同防治。统筹区域地表水、地下水生态环境监管。</w:t>
                  </w:r>
                </w:p>
              </w:tc>
              <w:tc>
                <w:tcPr>
                  <w:tcW w:w="2428" w:type="dxa"/>
                  <w:vAlign w:val="center"/>
                </w:tcPr>
                <w:p w14:paraId="0FBDB4D3">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钻井过程无废水产生，试油过程产生的井下作业废水由专用罐收集，拉运至吉康脱水站采出水处理系统进行处理</w:t>
                  </w:r>
                  <w:r>
                    <w:rPr>
                      <w:rFonts w:hint="eastAsia" w:ascii="Times New Roman" w:hAnsi="Times New Roman" w:eastAsia="宋体" w:cs="Times New Roman"/>
                      <w:color w:val="auto"/>
                      <w:sz w:val="21"/>
                      <w:szCs w:val="21"/>
                      <w:highlight w:val="none"/>
                      <w:lang w:val="en-US" w:eastAsia="zh-CN"/>
                    </w:rPr>
                    <w:t>后全部回注</w:t>
                  </w:r>
                  <w:r>
                    <w:rPr>
                      <w:rFonts w:hint="default" w:ascii="Times New Roman" w:hAnsi="Times New Roman" w:eastAsia="宋体" w:cs="Times New Roman"/>
                      <w:color w:val="auto"/>
                      <w:sz w:val="21"/>
                      <w:szCs w:val="21"/>
                      <w:highlight w:val="none"/>
                      <w:lang w:val="en-US" w:eastAsia="zh-CN"/>
                    </w:rPr>
                    <w:t>，不外排；钻井过程中使用水泥固井，一开下表层套管，二开下入油层套管，</w:t>
                  </w:r>
                  <w:r>
                    <w:rPr>
                      <w:rFonts w:hint="eastAsia" w:ascii="Times New Roman" w:hAnsi="Times New Roman" w:eastAsia="宋体" w:cs="Times New Roman"/>
                      <w:color w:val="auto"/>
                      <w:sz w:val="21"/>
                      <w:szCs w:val="21"/>
                      <w:highlight w:val="none"/>
                      <w:lang w:val="en-US" w:eastAsia="zh-CN"/>
                    </w:rPr>
                    <w:t>有效地</w:t>
                  </w:r>
                  <w:r>
                    <w:rPr>
                      <w:rFonts w:hint="default" w:ascii="Times New Roman" w:hAnsi="Times New Roman" w:eastAsia="宋体" w:cs="Times New Roman"/>
                      <w:color w:val="auto"/>
                      <w:sz w:val="21"/>
                      <w:szCs w:val="21"/>
                      <w:highlight w:val="none"/>
                      <w:lang w:val="en-US" w:eastAsia="zh-CN"/>
                    </w:rPr>
                    <w:t>将含水层与井筒分隔开保护地下水不受污染。</w:t>
                  </w:r>
                </w:p>
              </w:tc>
              <w:tc>
                <w:tcPr>
                  <w:tcW w:w="685" w:type="dxa"/>
                  <w:vAlign w:val="center"/>
                </w:tcPr>
                <w:p w14:paraId="3460B84F">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50E17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7" w:hRule="atLeast"/>
              </w:trPr>
              <w:tc>
                <w:tcPr>
                  <w:tcW w:w="3506" w:type="dxa"/>
                  <w:vAlign w:val="center"/>
                </w:tcPr>
                <w:p w14:paraId="5657478F">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以北部沙漠防风固沙生态维护区、中部平原农田防护人居环境维护区和南部山地水源涵养生态维护区3个水土保持分区为基础，划分重点预防范围和重点治理范围。</w:t>
                  </w:r>
                </w:p>
              </w:tc>
              <w:tc>
                <w:tcPr>
                  <w:tcW w:w="2428" w:type="dxa"/>
                  <w:vAlign w:val="center"/>
                </w:tcPr>
                <w:p w14:paraId="78FF529A">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本环评已提出了相应的水土保持措施，可将项目引起的水土流失的程度降低到最小限度。</w:t>
                  </w:r>
                </w:p>
              </w:tc>
              <w:tc>
                <w:tcPr>
                  <w:tcW w:w="685" w:type="dxa"/>
                  <w:vAlign w:val="center"/>
                </w:tcPr>
                <w:p w14:paraId="41007A16">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714E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3" w:hRule="atLeast"/>
              </w:trPr>
              <w:tc>
                <w:tcPr>
                  <w:tcW w:w="3506" w:type="dxa"/>
                  <w:tcBorders>
                    <w:bottom w:val="single" w:color="000000" w:sz="6" w:space="0"/>
                  </w:tcBorders>
                  <w:vAlign w:val="center"/>
                </w:tcPr>
                <w:p w14:paraId="105700A4">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加强生态环境应急管理。实施企业环境应急预案电子化备案，完成昌吉市政府突发环境事件应急预案修编。</w:t>
                  </w:r>
                </w:p>
              </w:tc>
              <w:tc>
                <w:tcPr>
                  <w:tcW w:w="2428" w:type="dxa"/>
                  <w:tcBorders>
                    <w:bottom w:val="single" w:color="000000" w:sz="6" w:space="0"/>
                  </w:tcBorders>
                  <w:vAlign w:val="center"/>
                </w:tcPr>
                <w:p w14:paraId="1D25777F">
                  <w:pPr>
                    <w:autoSpaceDE w:val="0"/>
                    <w:autoSpaceDN w:val="0"/>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本项目归属中国石油天然气股份有限公司吐哈油田分公司准东采油管理区管辖，项目实施后需纳入《中国石油天然气股份有限公司吐哈油田分公司准东采油管理区突发环境事件应急预案》。</w:t>
                  </w:r>
                </w:p>
              </w:tc>
              <w:tc>
                <w:tcPr>
                  <w:tcW w:w="685" w:type="dxa"/>
                  <w:tcBorders>
                    <w:bottom w:val="single" w:color="000000" w:sz="6" w:space="0"/>
                  </w:tcBorders>
                  <w:vAlign w:val="center"/>
                </w:tcPr>
                <w:p w14:paraId="77DAD478">
                  <w:pPr>
                    <w:autoSpaceDE w:val="0"/>
                    <w:autoSpaceDN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14:paraId="1E8AACB1">
            <w:pPr>
              <w:pStyle w:val="16"/>
              <w:widowControl w:val="0"/>
              <w:spacing w:line="360" w:lineRule="auto"/>
              <w:jc w:val="both"/>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lang w:val="en-US" w:eastAsia="zh-CN"/>
              </w:rPr>
              <w:t>与</w:t>
            </w:r>
            <w:r>
              <w:rPr>
                <w:rFonts w:hint="default" w:ascii="Times New Roman" w:hAnsi="Times New Roman" w:eastAsia="宋体" w:cs="Times New Roman"/>
                <w:b/>
                <w:bCs/>
                <w:color w:val="auto"/>
                <w:sz w:val="24"/>
                <w:szCs w:val="24"/>
                <w:highlight w:val="none"/>
              </w:rPr>
              <w:t>新疆维吾尔自治区主体功能区规划</w:t>
            </w:r>
            <w:r>
              <w:rPr>
                <w:rFonts w:hint="default" w:ascii="Times New Roman" w:hAnsi="Times New Roman" w:cs="Times New Roman"/>
                <w:b/>
                <w:bCs/>
                <w:color w:val="auto"/>
                <w:sz w:val="24"/>
                <w:szCs w:val="24"/>
                <w:highlight w:val="none"/>
                <w:lang w:val="en-US" w:eastAsia="zh-CN"/>
              </w:rPr>
              <w:t>的</w:t>
            </w:r>
            <w:r>
              <w:rPr>
                <w:rFonts w:hint="default" w:ascii="Times New Roman" w:hAnsi="Times New Roman" w:eastAsia="宋体" w:cs="Times New Roman"/>
                <w:b/>
                <w:bCs/>
                <w:color w:val="auto"/>
                <w:sz w:val="24"/>
                <w:szCs w:val="24"/>
                <w:highlight w:val="none"/>
              </w:rPr>
              <w:t>相符性分析</w:t>
            </w:r>
          </w:p>
          <w:p w14:paraId="1A38FE49">
            <w:pPr>
              <w:pStyle w:val="16"/>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新疆维吾尔自治区主体功能区规划》（2016年10月24日），新疆分为以下主体功能区：按开发方式，分为优化开发区域、重点开发区域、限制开发区域和禁止开发区域四类；按开发内容，分为城市化地区、农产品主产区和重点生态功能区三类；按层级，分为国家和</w:t>
            </w:r>
            <w:r>
              <w:rPr>
                <w:rFonts w:hint="eastAsia" w:ascii="Times New Roman" w:hAnsi="Times New Roman" w:cs="Times New Roman"/>
                <w:color w:val="auto"/>
                <w:sz w:val="24"/>
                <w:szCs w:val="24"/>
                <w:highlight w:val="none"/>
                <w:lang w:val="en-US" w:eastAsia="zh-CN"/>
              </w:rPr>
              <w:t>自治区级</w:t>
            </w:r>
            <w:r>
              <w:rPr>
                <w:rFonts w:hint="default" w:ascii="Times New Roman" w:hAnsi="Times New Roman" w:eastAsia="宋体" w:cs="Times New Roman"/>
                <w:color w:val="auto"/>
                <w:sz w:val="24"/>
                <w:szCs w:val="24"/>
                <w:highlight w:val="none"/>
              </w:rPr>
              <w:t>两个层面。</w:t>
            </w:r>
          </w:p>
          <w:p w14:paraId="09ACFC0B">
            <w:pPr>
              <w:pStyle w:val="16"/>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本项目建设地点位于新疆维吾尔自治区昌吉回族自治州吉木萨尔县</w:t>
            </w:r>
            <w:r>
              <w:rPr>
                <w:rFonts w:hint="default" w:ascii="Times New Roman" w:hAnsi="Times New Roman" w:cs="Times New Roman"/>
                <w:color w:val="auto"/>
                <w:sz w:val="24"/>
                <w:szCs w:val="24"/>
                <w:highlight w:val="none"/>
                <w:lang w:val="en-US" w:eastAsia="zh-CN"/>
              </w:rPr>
              <w:t>和奇台县</w:t>
            </w:r>
            <w:r>
              <w:rPr>
                <w:rFonts w:hint="default" w:ascii="Times New Roman" w:hAnsi="Times New Roman" w:eastAsia="宋体" w:cs="Times New Roman"/>
                <w:color w:val="auto"/>
                <w:sz w:val="24"/>
                <w:szCs w:val="24"/>
                <w:highlight w:val="none"/>
              </w:rPr>
              <w:t>境内，属于新疆国家级农产品主产区（天山北坡主产区）；新疆国家级重点开发区（天山北坡地区）是《全国主体功能区规划》确定的国家层面重点开发区域。该区域位于全国</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两横三纵</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城市化战略格局中陆桥通道的西端，涉及23个县市；新疆国家级农产品主产区（天山北坡主产区）涉及13个县市，这些农产品主产区县市的城区或城关镇及其境内的重要工业园区是国家级重点开发区域，但这些县市以享受国家农产品主产区的政策为主。</w:t>
            </w:r>
          </w:p>
          <w:p w14:paraId="2EFA9979">
            <w:pPr>
              <w:pStyle w:val="16"/>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重点开发区域的功能定位是：支撑新疆经济增长的重要增长极，落实区域发展总体战略、促进区域协调发展的重要支撑点，新疆重要的人口和经济密集区。新疆农产品主产区的功能定位是：保障农牧产品供给安全的重要区域，农牧民安居乐业的美好家园，社会主义新农村建设的示范区；农产品主产区发展方向和开发原则还包括：位于农产品主产区的点状能源和矿产资源基地建设，必须进行生态环境影响评估，并尽可能减少对生态空间与农业空间的占用，同步修复生态环境。其中，在水资源严重短缺、环境容量很小、生态十分脆弱、地震和地质灾害频发的地区，要严格控制能源和矿产资源开发。</w:t>
            </w:r>
          </w:p>
          <w:p w14:paraId="0DC86D2A">
            <w:pPr>
              <w:pStyle w:val="16"/>
              <w:widowControl w:val="0"/>
              <w:spacing w:line="360" w:lineRule="auto"/>
              <w:ind w:firstLine="480" w:firstLineChars="20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本项目为油气资源勘探项目，项目的建设有利于提高油气资源的安全供应能力和开发利用水平，支撑地区经济，因此本项目符合自治区对该区域的功能定位要求。新疆维吾尔自治区主体功能区规划图</w:t>
            </w:r>
            <w:r>
              <w:rPr>
                <w:rFonts w:hint="default" w:ascii="Times New Roman" w:hAnsi="Times New Roman" w:cs="Times New Roman"/>
                <w:color w:val="auto"/>
                <w:sz w:val="24"/>
                <w:szCs w:val="24"/>
                <w:highlight w:val="none"/>
                <w:lang w:val="en-US" w:eastAsia="zh-CN"/>
              </w:rPr>
              <w:t>见</w:t>
            </w:r>
            <w:r>
              <w:rPr>
                <w:rFonts w:hint="default" w:ascii="Times New Roman" w:hAnsi="Times New Roman" w:eastAsia="宋体" w:cs="Times New Roman"/>
                <w:color w:val="auto"/>
                <w:sz w:val="24"/>
                <w:szCs w:val="24"/>
                <w:highlight w:val="none"/>
              </w:rPr>
              <w:t>附图5</w:t>
            </w:r>
            <w:r>
              <w:rPr>
                <w:rFonts w:hint="default" w:ascii="Times New Roman" w:hAnsi="Times New Roman" w:cs="Times New Roman"/>
                <w:color w:val="auto"/>
                <w:sz w:val="24"/>
                <w:szCs w:val="24"/>
                <w:highlight w:val="none"/>
                <w:lang w:eastAsia="zh-CN"/>
              </w:rPr>
              <w:t>。</w:t>
            </w:r>
          </w:p>
          <w:p w14:paraId="334D61E0">
            <w:pPr>
              <w:pStyle w:val="16"/>
              <w:widowControl w:val="0"/>
              <w:spacing w:line="360" w:lineRule="auto"/>
              <w:jc w:val="both"/>
              <w:rPr>
                <w:rFonts w:hint="default" w:ascii="Times New Roman" w:hAnsi="Times New Roman" w:eastAsia="宋体" w:cs="Times New Roman"/>
                <w:b/>
                <w:bCs/>
                <w:color w:val="auto"/>
                <w:sz w:val="24"/>
                <w:szCs w:val="24"/>
                <w:highlight w:val="none"/>
              </w:rPr>
            </w:pPr>
            <w:r>
              <w:rPr>
                <w:rFonts w:hint="eastAsia" w:ascii="Times New Roman" w:hAnsi="Times New Roman"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lang w:val="en-US" w:eastAsia="zh-CN"/>
              </w:rPr>
              <w:t>与《新疆</w:t>
            </w:r>
            <w:r>
              <w:rPr>
                <w:rFonts w:hint="default" w:ascii="Times New Roman" w:hAnsi="Times New Roman" w:eastAsia="宋体" w:cs="Times New Roman"/>
                <w:b/>
                <w:bCs/>
                <w:color w:val="auto"/>
                <w:sz w:val="24"/>
                <w:szCs w:val="24"/>
                <w:highlight w:val="none"/>
              </w:rPr>
              <w:t>生态功能区划</w:t>
            </w:r>
            <w:r>
              <w:rPr>
                <w:rFonts w:hint="default" w:ascii="Times New Roman" w:hAnsi="Times New Roman" w:cs="Times New Roman"/>
                <w:b/>
                <w:bCs/>
                <w:color w:val="auto"/>
                <w:sz w:val="24"/>
                <w:szCs w:val="24"/>
                <w:highlight w:val="none"/>
                <w:lang w:val="en-US" w:eastAsia="zh-CN"/>
              </w:rPr>
              <w:t>》的</w:t>
            </w:r>
            <w:r>
              <w:rPr>
                <w:rFonts w:hint="default" w:ascii="Times New Roman" w:hAnsi="Times New Roman" w:eastAsia="宋体" w:cs="Times New Roman"/>
                <w:b/>
                <w:bCs/>
                <w:color w:val="auto"/>
                <w:sz w:val="24"/>
                <w:szCs w:val="24"/>
                <w:highlight w:val="none"/>
              </w:rPr>
              <w:t>相符性分析</w:t>
            </w:r>
          </w:p>
          <w:p w14:paraId="670248C9">
            <w:pPr>
              <w:pStyle w:val="16"/>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根据《新疆生态功能区划》，项目所属生态功能区的主要生态服务功能、主要生态环境问题、主要保护目标和主要发展方向等内容详见表</w:t>
            </w:r>
            <w:r>
              <w:rPr>
                <w:rFonts w:hint="eastAsia" w:ascii="Times New Roman" w:hAnsi="Times New Roman"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rPr>
              <w:t>，生态功能区划图见附图</w:t>
            </w:r>
            <w:r>
              <w:rPr>
                <w:rFonts w:hint="default" w:ascii="Times New Roman" w:hAnsi="Times New Roman"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p>
          <w:p w14:paraId="256BC384">
            <w:pPr>
              <w:pStyle w:val="16"/>
              <w:widowControl w:val="0"/>
              <w:spacing w:before="1" w:line="226" w:lineRule="auto"/>
              <w:jc w:val="center"/>
              <w:rPr>
                <w:rFonts w:hint="default" w:ascii="Times New Roman" w:hAnsi="Times New Roman" w:eastAsia="宋体" w:cs="Times New Roman"/>
                <w:b/>
                <w:bCs/>
                <w:color w:val="auto"/>
                <w:spacing w:val="5"/>
                <w:sz w:val="21"/>
                <w:szCs w:val="21"/>
                <w:highlight w:val="none"/>
              </w:rPr>
            </w:pPr>
            <w:r>
              <w:rPr>
                <w:rFonts w:hint="default" w:ascii="Times New Roman" w:hAnsi="Times New Roman" w:eastAsia="宋体" w:cs="Times New Roman"/>
                <w:b/>
                <w:bCs/>
                <w:color w:val="auto"/>
                <w:spacing w:val="5"/>
                <w:sz w:val="21"/>
                <w:szCs w:val="21"/>
                <w:highlight w:val="none"/>
              </w:rPr>
              <w:t>表</w:t>
            </w:r>
            <w:r>
              <w:rPr>
                <w:rFonts w:hint="default" w:ascii="Times New Roman" w:hAnsi="Times New Roman" w:cs="Times New Roman"/>
                <w:b/>
                <w:bCs/>
                <w:color w:val="auto"/>
                <w:spacing w:val="5"/>
                <w:sz w:val="21"/>
                <w:szCs w:val="21"/>
                <w:highlight w:val="none"/>
                <w:lang w:val="en-US" w:eastAsia="zh-CN"/>
              </w:rPr>
              <w:t>1</w:t>
            </w:r>
            <w:r>
              <w:rPr>
                <w:rFonts w:hint="default" w:ascii="Times New Roman" w:hAnsi="Times New Roman" w:eastAsia="宋体" w:cs="Times New Roman"/>
                <w:b/>
                <w:bCs/>
                <w:color w:val="auto"/>
                <w:spacing w:val="5"/>
                <w:sz w:val="21"/>
                <w:szCs w:val="21"/>
                <w:highlight w:val="none"/>
              </w:rPr>
              <w:t>-</w:t>
            </w:r>
            <w:r>
              <w:rPr>
                <w:rFonts w:hint="default" w:ascii="Times New Roman" w:hAnsi="Times New Roman" w:cs="Times New Roman"/>
                <w:b/>
                <w:bCs/>
                <w:color w:val="auto"/>
                <w:spacing w:val="5"/>
                <w:sz w:val="21"/>
                <w:szCs w:val="21"/>
                <w:highlight w:val="none"/>
                <w:lang w:val="en-US" w:eastAsia="zh-CN"/>
              </w:rPr>
              <w:t>8</w:t>
            </w:r>
            <w:r>
              <w:rPr>
                <w:rFonts w:hint="default" w:ascii="Times New Roman" w:hAnsi="Times New Roman" w:eastAsia="宋体" w:cs="Times New Roman"/>
                <w:b/>
                <w:bCs/>
                <w:color w:val="auto"/>
                <w:spacing w:val="5"/>
                <w:sz w:val="21"/>
                <w:szCs w:val="21"/>
                <w:highlight w:val="none"/>
                <w:lang w:val="en-US" w:eastAsia="zh-CN"/>
              </w:rPr>
              <w:t xml:space="preserve"> </w:t>
            </w:r>
            <w:r>
              <w:rPr>
                <w:rFonts w:hint="default" w:ascii="Times New Roman" w:hAnsi="Times New Roman" w:eastAsia="宋体" w:cs="Times New Roman"/>
                <w:b/>
                <w:bCs/>
                <w:color w:val="auto"/>
                <w:spacing w:val="5"/>
                <w:sz w:val="21"/>
                <w:szCs w:val="21"/>
                <w:highlight w:val="none"/>
              </w:rPr>
              <w:t>生态功能区划简表</w:t>
            </w:r>
          </w:p>
          <w:tbl>
            <w:tblPr>
              <w:tblStyle w:val="15"/>
              <w:tblW w:w="669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6"/>
              <w:gridCol w:w="1315"/>
              <w:gridCol w:w="4798"/>
            </w:tblGrid>
            <w:tr w14:paraId="1E46E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586" w:type="dxa"/>
                  <w:vMerge w:val="restart"/>
                  <w:tcBorders>
                    <w:top w:val="single" w:color="000000" w:sz="10" w:space="0"/>
                    <w:bottom w:val="nil"/>
                  </w:tcBorders>
                  <w:vAlign w:val="center"/>
                </w:tcPr>
                <w:p w14:paraId="1527B8B8">
                  <w:pPr>
                    <w:pStyle w:val="16"/>
                    <w:spacing w:before="25" w:line="233" w:lineRule="auto"/>
                    <w:ind w:left="156"/>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生态功能分区单元</w:t>
                  </w:r>
                </w:p>
              </w:tc>
              <w:tc>
                <w:tcPr>
                  <w:tcW w:w="1315" w:type="dxa"/>
                  <w:tcBorders>
                    <w:top w:val="single" w:color="000000" w:sz="10" w:space="0"/>
                  </w:tcBorders>
                  <w:vAlign w:val="center"/>
                </w:tcPr>
                <w:p w14:paraId="19B4AA91">
                  <w:pPr>
                    <w:pStyle w:val="16"/>
                    <w:spacing w:before="58" w:line="233"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生态区</w:t>
                  </w:r>
                </w:p>
              </w:tc>
              <w:tc>
                <w:tcPr>
                  <w:tcW w:w="4798" w:type="dxa"/>
                  <w:tcBorders>
                    <w:top w:val="single" w:color="000000" w:sz="10" w:space="0"/>
                    <w:right w:val="single" w:color="000000" w:sz="4" w:space="0"/>
                  </w:tcBorders>
                  <w:vAlign w:val="center"/>
                </w:tcPr>
                <w:p w14:paraId="4B1A2AAB">
                  <w:pPr>
                    <w:pStyle w:val="16"/>
                    <w:spacing w:before="58" w:line="228"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Ⅱ准噶尔盆地温性荒漠与绿洲农业生态区</w:t>
                  </w:r>
                </w:p>
              </w:tc>
            </w:tr>
            <w:tr w14:paraId="23491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86" w:type="dxa"/>
                  <w:vMerge w:val="continue"/>
                  <w:tcBorders>
                    <w:top w:val="nil"/>
                    <w:bottom w:val="nil"/>
                  </w:tcBorders>
                  <w:vAlign w:val="center"/>
                </w:tcPr>
                <w:p w14:paraId="51538D8B">
                  <w:pPr>
                    <w:jc w:val="center"/>
                    <w:rPr>
                      <w:rFonts w:hint="default" w:ascii="Times New Roman" w:hAnsi="Times New Roman" w:eastAsia="宋体" w:cs="Times New Roman"/>
                      <w:color w:val="auto"/>
                      <w:sz w:val="21"/>
                      <w:szCs w:val="21"/>
                      <w:highlight w:val="none"/>
                    </w:rPr>
                  </w:pPr>
                </w:p>
              </w:tc>
              <w:tc>
                <w:tcPr>
                  <w:tcW w:w="1315" w:type="dxa"/>
                  <w:vAlign w:val="center"/>
                </w:tcPr>
                <w:p w14:paraId="1A47905D">
                  <w:pPr>
                    <w:pStyle w:val="16"/>
                    <w:spacing w:before="69" w:line="233"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生态亚区</w:t>
                  </w:r>
                </w:p>
              </w:tc>
              <w:tc>
                <w:tcPr>
                  <w:tcW w:w="4798" w:type="dxa"/>
                  <w:tcBorders>
                    <w:right w:val="single" w:color="000000" w:sz="4" w:space="0"/>
                  </w:tcBorders>
                  <w:vAlign w:val="center"/>
                </w:tcPr>
                <w:p w14:paraId="148CF81D">
                  <w:pPr>
                    <w:pStyle w:val="16"/>
                    <w:spacing w:before="69" w:line="241"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6"/>
                      <w:sz w:val="21"/>
                      <w:szCs w:val="21"/>
                      <w:highlight w:val="none"/>
                    </w:rPr>
                    <w:t>Ⅱ</w:t>
                  </w:r>
                  <w:r>
                    <w:rPr>
                      <w:rFonts w:hint="default" w:ascii="Times New Roman" w:hAnsi="Times New Roman" w:cs="Times New Roman"/>
                      <w:color w:val="auto"/>
                      <w:spacing w:val="-36"/>
                      <w:sz w:val="21"/>
                      <w:szCs w:val="21"/>
                      <w:highlight w:val="none"/>
                      <w:lang w:val="en-US" w:eastAsia="zh-CN"/>
                    </w:rPr>
                    <w:t xml:space="preserve">  </w:t>
                  </w:r>
                  <w:r>
                    <w:rPr>
                      <w:rFonts w:hint="default" w:ascii="Times New Roman" w:hAnsi="Times New Roman" w:eastAsia="宋体" w:cs="Times New Roman"/>
                      <w:color w:val="auto"/>
                      <w:spacing w:val="9"/>
                      <w:position w:val="-2"/>
                      <w:sz w:val="21"/>
                      <w:szCs w:val="21"/>
                      <w:highlight w:val="none"/>
                      <w:vertAlign w:val="subscript"/>
                      <w:lang w:val="en-US" w:eastAsia="zh-CN"/>
                    </w:rPr>
                    <w:t>5</w:t>
                  </w:r>
                  <w:r>
                    <w:rPr>
                      <w:rFonts w:hint="default" w:ascii="Times New Roman" w:hAnsi="Times New Roman" w:eastAsia="宋体" w:cs="Times New Roman"/>
                      <w:color w:val="auto"/>
                      <w:spacing w:val="9"/>
                      <w:sz w:val="21"/>
                      <w:szCs w:val="21"/>
                      <w:highlight w:val="none"/>
                    </w:rPr>
                    <w:t>准噶尔盆地南部荒漠绿洲农业生态亚区</w:t>
                  </w:r>
                </w:p>
              </w:tc>
            </w:tr>
            <w:tr w14:paraId="14446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586" w:type="dxa"/>
                  <w:vMerge w:val="continue"/>
                  <w:tcBorders>
                    <w:top w:val="nil"/>
                  </w:tcBorders>
                  <w:vAlign w:val="center"/>
                </w:tcPr>
                <w:p w14:paraId="4D706A3F">
                  <w:pPr>
                    <w:jc w:val="center"/>
                    <w:rPr>
                      <w:rFonts w:hint="default" w:ascii="Times New Roman" w:hAnsi="Times New Roman" w:eastAsia="宋体" w:cs="Times New Roman"/>
                      <w:color w:val="auto"/>
                      <w:sz w:val="21"/>
                      <w:szCs w:val="21"/>
                      <w:highlight w:val="none"/>
                    </w:rPr>
                  </w:pPr>
                </w:p>
              </w:tc>
              <w:tc>
                <w:tcPr>
                  <w:tcW w:w="1315" w:type="dxa"/>
                  <w:vAlign w:val="center"/>
                </w:tcPr>
                <w:p w14:paraId="244C879B">
                  <w:pPr>
                    <w:pStyle w:val="16"/>
                    <w:spacing w:before="94" w:line="229"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生态功能区</w:t>
                  </w:r>
                </w:p>
              </w:tc>
              <w:tc>
                <w:tcPr>
                  <w:tcW w:w="4798" w:type="dxa"/>
                  <w:tcBorders>
                    <w:right w:val="single" w:color="000000" w:sz="4" w:space="0"/>
                  </w:tcBorders>
                  <w:vAlign w:val="center"/>
                </w:tcPr>
                <w:p w14:paraId="19239073">
                  <w:pPr>
                    <w:pStyle w:val="16"/>
                    <w:spacing w:before="94" w:line="226"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28.阜康一木垒绿洲农业、荒漠草地保护生态功</w:t>
                  </w:r>
                  <w:r>
                    <w:rPr>
                      <w:rFonts w:hint="default" w:ascii="Times New Roman" w:hAnsi="Times New Roman" w:eastAsia="宋体" w:cs="Times New Roman"/>
                      <w:color w:val="auto"/>
                      <w:spacing w:val="8"/>
                      <w:sz w:val="21"/>
                      <w:szCs w:val="21"/>
                      <w:highlight w:val="none"/>
                    </w:rPr>
                    <w:t>能区</w:t>
                  </w:r>
                </w:p>
              </w:tc>
            </w:tr>
            <w:tr w14:paraId="26DE2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jc w:val="center"/>
              </w:trPr>
              <w:tc>
                <w:tcPr>
                  <w:tcW w:w="1901" w:type="dxa"/>
                  <w:gridSpan w:val="2"/>
                  <w:vAlign w:val="center"/>
                </w:tcPr>
                <w:p w14:paraId="79A26FC3">
                  <w:pPr>
                    <w:pStyle w:val="16"/>
                    <w:spacing w:before="68"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主要生态服务功能</w:t>
                  </w:r>
                </w:p>
              </w:tc>
              <w:tc>
                <w:tcPr>
                  <w:tcW w:w="4798" w:type="dxa"/>
                  <w:tcBorders>
                    <w:right w:val="single" w:color="000000" w:sz="4" w:space="0"/>
                  </w:tcBorders>
                  <w:vAlign w:val="center"/>
                </w:tcPr>
                <w:p w14:paraId="697B0EAF">
                  <w:pPr>
                    <w:pStyle w:val="16"/>
                    <w:spacing w:before="68" w:line="228"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农牧业产品生产、人居环境、荒漠化控制</w:t>
                  </w:r>
                </w:p>
              </w:tc>
            </w:tr>
            <w:tr w14:paraId="2F0D8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jc w:val="center"/>
              </w:trPr>
              <w:tc>
                <w:tcPr>
                  <w:tcW w:w="1901" w:type="dxa"/>
                  <w:gridSpan w:val="2"/>
                  <w:vAlign w:val="top"/>
                </w:tcPr>
                <w:p w14:paraId="7031BB12">
                  <w:pPr>
                    <w:pStyle w:val="16"/>
                    <w:spacing w:before="68" w:line="228" w:lineRule="auto"/>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隶属行政区</w:t>
                  </w:r>
                </w:p>
              </w:tc>
              <w:tc>
                <w:tcPr>
                  <w:tcW w:w="4798" w:type="dxa"/>
                  <w:tcBorders>
                    <w:right w:val="single" w:color="000000" w:sz="4" w:space="0"/>
                  </w:tcBorders>
                  <w:vAlign w:val="top"/>
                </w:tcPr>
                <w:p w14:paraId="6CF39805">
                  <w:pPr>
                    <w:pStyle w:val="16"/>
                    <w:spacing w:before="68" w:line="228" w:lineRule="auto"/>
                    <w:jc w:val="left"/>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阜康市、吉木萨尔县、奇台县、木垒县</w:t>
                  </w:r>
                </w:p>
              </w:tc>
            </w:tr>
            <w:tr w14:paraId="6BA5C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jc w:val="center"/>
              </w:trPr>
              <w:tc>
                <w:tcPr>
                  <w:tcW w:w="1901" w:type="dxa"/>
                  <w:gridSpan w:val="2"/>
                  <w:vAlign w:val="center"/>
                </w:tcPr>
                <w:p w14:paraId="78795E5A">
                  <w:pPr>
                    <w:pStyle w:val="16"/>
                    <w:spacing w:before="60" w:line="228" w:lineRule="auto"/>
                    <w:jc w:val="center"/>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9"/>
                      <w:sz w:val="21"/>
                      <w:szCs w:val="21"/>
                      <w:highlight w:val="none"/>
                    </w:rPr>
                    <w:t>主要生态环境问题</w:t>
                  </w:r>
                </w:p>
              </w:tc>
              <w:tc>
                <w:tcPr>
                  <w:tcW w:w="4798" w:type="dxa"/>
                  <w:tcBorders>
                    <w:right w:val="single" w:color="000000" w:sz="4" w:space="0"/>
                  </w:tcBorders>
                  <w:vAlign w:val="center"/>
                </w:tcPr>
                <w:p w14:paraId="0062B628">
                  <w:pPr>
                    <w:pStyle w:val="16"/>
                    <w:spacing w:before="60" w:line="228" w:lineRule="auto"/>
                    <w:ind w:left="125"/>
                    <w:jc w:val="left"/>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地下水超采、荒漠植被退化、沙漠化威胁、局部土壤盐</w:t>
                  </w:r>
                  <w:r>
                    <w:rPr>
                      <w:rFonts w:hint="eastAsia" w:ascii="Times New Roman" w:hAnsi="Times New Roman" w:cs="Times New Roman"/>
                      <w:color w:val="auto"/>
                      <w:spacing w:val="8"/>
                      <w:sz w:val="21"/>
                      <w:szCs w:val="21"/>
                      <w:highlight w:val="none"/>
                      <w:lang w:val="en-US" w:eastAsia="zh-CN"/>
                    </w:rPr>
                    <w:t>渍</w:t>
                  </w:r>
                  <w:r>
                    <w:rPr>
                      <w:rFonts w:hint="default" w:ascii="Times New Roman" w:hAnsi="Times New Roman" w:eastAsia="宋体" w:cs="Times New Roman"/>
                      <w:color w:val="auto"/>
                      <w:spacing w:val="8"/>
                      <w:sz w:val="21"/>
                      <w:szCs w:val="21"/>
                      <w:highlight w:val="none"/>
                    </w:rPr>
                    <w:t>化、河流萎缩、滥开荒地</w:t>
                  </w:r>
                </w:p>
              </w:tc>
            </w:tr>
            <w:tr w14:paraId="60E67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jc w:val="center"/>
              </w:trPr>
              <w:tc>
                <w:tcPr>
                  <w:tcW w:w="1901" w:type="dxa"/>
                  <w:gridSpan w:val="2"/>
                  <w:vAlign w:val="center"/>
                </w:tcPr>
                <w:p w14:paraId="3BA6A515">
                  <w:pPr>
                    <w:pStyle w:val="16"/>
                    <w:spacing w:before="60" w:line="228" w:lineRule="auto"/>
                    <w:jc w:val="center"/>
                    <w:rPr>
                      <w:rFonts w:hint="default" w:ascii="Times New Roman" w:hAnsi="Times New Roman" w:eastAsia="宋体" w:cs="Times New Roman"/>
                      <w:color w:val="auto"/>
                      <w:spacing w:val="9"/>
                      <w:sz w:val="21"/>
                      <w:szCs w:val="21"/>
                      <w:highlight w:val="none"/>
                    </w:rPr>
                  </w:pPr>
                  <w:r>
                    <w:rPr>
                      <w:rFonts w:hint="default" w:ascii="Times New Roman" w:hAnsi="Times New Roman" w:eastAsia="宋体" w:cs="Times New Roman"/>
                      <w:color w:val="auto"/>
                      <w:spacing w:val="9"/>
                      <w:sz w:val="21"/>
                      <w:szCs w:val="21"/>
                      <w:highlight w:val="none"/>
                    </w:rPr>
                    <w:t>主要生态敏感因子、敏感程度</w:t>
                  </w:r>
                </w:p>
              </w:tc>
              <w:tc>
                <w:tcPr>
                  <w:tcW w:w="4798" w:type="dxa"/>
                  <w:tcBorders>
                    <w:right w:val="single" w:color="000000" w:sz="4" w:space="0"/>
                  </w:tcBorders>
                  <w:vAlign w:val="center"/>
                </w:tcPr>
                <w:p w14:paraId="56611644">
                  <w:pPr>
                    <w:pStyle w:val="16"/>
                    <w:spacing w:before="60" w:line="228"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生物多样性和生境中度敏感，土壤侵蚀轻度敏感、不敏感，土</w:t>
                  </w:r>
                  <w:r>
                    <w:rPr>
                      <w:rFonts w:hint="default" w:ascii="Times New Roman" w:hAnsi="Times New Roman" w:eastAsia="宋体" w:cs="Times New Roman"/>
                      <w:color w:val="auto"/>
                      <w:spacing w:val="8"/>
                      <w:sz w:val="21"/>
                      <w:szCs w:val="21"/>
                      <w:highlight w:val="none"/>
                    </w:rPr>
                    <w:t>地沙漠化、土壤盐渍化</w:t>
                  </w:r>
                  <w:r>
                    <w:rPr>
                      <w:rFonts w:hint="default" w:ascii="Times New Roman" w:hAnsi="Times New Roman" w:eastAsia="宋体" w:cs="Times New Roman"/>
                      <w:color w:val="auto"/>
                      <w:spacing w:val="8"/>
                      <w:sz w:val="21"/>
                      <w:szCs w:val="21"/>
                      <w:highlight w:val="none"/>
                      <w:lang w:val="en-US" w:eastAsia="zh-CN"/>
                    </w:rPr>
                    <w:t>轻度</w:t>
                  </w:r>
                  <w:r>
                    <w:rPr>
                      <w:rFonts w:hint="default" w:ascii="Times New Roman" w:hAnsi="Times New Roman" w:eastAsia="宋体" w:cs="Times New Roman"/>
                      <w:color w:val="auto"/>
                      <w:spacing w:val="8"/>
                      <w:sz w:val="21"/>
                      <w:szCs w:val="21"/>
                      <w:highlight w:val="none"/>
                    </w:rPr>
                    <w:t>敏感</w:t>
                  </w:r>
                </w:p>
              </w:tc>
            </w:tr>
            <w:tr w14:paraId="2CBA5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1901" w:type="dxa"/>
                  <w:gridSpan w:val="2"/>
                  <w:vAlign w:val="center"/>
                </w:tcPr>
                <w:p w14:paraId="0AC9D93E">
                  <w:pPr>
                    <w:pStyle w:val="16"/>
                    <w:spacing w:before="65"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主要保护目标</w:t>
                  </w:r>
                </w:p>
              </w:tc>
              <w:tc>
                <w:tcPr>
                  <w:tcW w:w="4798" w:type="dxa"/>
                  <w:tcBorders>
                    <w:right w:val="single" w:color="000000" w:sz="4" w:space="0"/>
                  </w:tcBorders>
                  <w:vAlign w:val="center"/>
                </w:tcPr>
                <w:p w14:paraId="03AAC5A1">
                  <w:pPr>
                    <w:pStyle w:val="16"/>
                    <w:spacing w:before="64" w:line="227"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保护基本农田、保护荒漠植被、保护土壤环境质量</w:t>
                  </w:r>
                </w:p>
              </w:tc>
            </w:tr>
            <w:tr w14:paraId="724DA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jc w:val="center"/>
              </w:trPr>
              <w:tc>
                <w:tcPr>
                  <w:tcW w:w="1901" w:type="dxa"/>
                  <w:gridSpan w:val="2"/>
                  <w:vAlign w:val="center"/>
                </w:tcPr>
                <w:p w14:paraId="1238DC38">
                  <w:pPr>
                    <w:pStyle w:val="16"/>
                    <w:spacing w:before="65" w:line="228" w:lineRule="auto"/>
                    <w:jc w:val="center"/>
                    <w:rPr>
                      <w:rFonts w:hint="default" w:ascii="Times New Roman" w:hAnsi="Times New Roman" w:eastAsia="宋体" w:cs="Times New Roman"/>
                      <w:color w:val="auto"/>
                      <w:spacing w:val="7"/>
                      <w:sz w:val="21"/>
                      <w:szCs w:val="21"/>
                      <w:highlight w:val="none"/>
                    </w:rPr>
                  </w:pPr>
                  <w:r>
                    <w:rPr>
                      <w:rFonts w:hint="default" w:ascii="Times New Roman" w:hAnsi="Times New Roman" w:eastAsia="宋体" w:cs="Times New Roman"/>
                      <w:color w:val="auto"/>
                      <w:spacing w:val="7"/>
                      <w:sz w:val="21"/>
                      <w:szCs w:val="21"/>
                      <w:highlight w:val="none"/>
                    </w:rPr>
                    <w:t>主要保护措施</w:t>
                  </w:r>
                </w:p>
              </w:tc>
              <w:tc>
                <w:tcPr>
                  <w:tcW w:w="4798" w:type="dxa"/>
                  <w:tcBorders>
                    <w:right w:val="single" w:color="000000" w:sz="4" w:space="0"/>
                  </w:tcBorders>
                  <w:vAlign w:val="center"/>
                </w:tcPr>
                <w:p w14:paraId="492D66FD">
                  <w:pPr>
                    <w:pStyle w:val="16"/>
                    <w:spacing w:before="31" w:line="227"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节水灌溉、草场休牧、对前山坡耕地和北部沙化土地实施退耕还林(草)，在水源无保障、植被稀少、生态脆弱地带禁止开荒</w:t>
                  </w:r>
                  <w:r>
                    <w:rPr>
                      <w:rFonts w:hint="default" w:ascii="Times New Roman" w:hAnsi="Times New Roman" w:eastAsia="宋体" w:cs="Times New Roman"/>
                      <w:color w:val="auto"/>
                      <w:spacing w:val="8"/>
                      <w:sz w:val="21"/>
                      <w:szCs w:val="21"/>
                      <w:highlight w:val="none"/>
                    </w:rPr>
                    <w:t>、加强农田投入品的使用管理</w:t>
                  </w:r>
                </w:p>
              </w:tc>
            </w:tr>
            <w:tr w14:paraId="5B465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1901" w:type="dxa"/>
                  <w:gridSpan w:val="2"/>
                  <w:tcBorders>
                    <w:bottom w:val="single" w:color="000000" w:sz="10" w:space="0"/>
                  </w:tcBorders>
                  <w:vAlign w:val="top"/>
                </w:tcPr>
                <w:p w14:paraId="1D4D2BA1">
                  <w:pPr>
                    <w:pStyle w:val="16"/>
                    <w:spacing w:before="65" w:line="228" w:lineRule="auto"/>
                    <w:jc w:val="center"/>
                    <w:rPr>
                      <w:rFonts w:hint="default" w:ascii="Times New Roman" w:hAnsi="Times New Roman" w:eastAsia="宋体" w:cs="Times New Roman"/>
                      <w:color w:val="auto"/>
                      <w:spacing w:val="7"/>
                      <w:sz w:val="21"/>
                      <w:szCs w:val="21"/>
                      <w:highlight w:val="none"/>
                    </w:rPr>
                  </w:pPr>
                  <w:r>
                    <w:rPr>
                      <w:rFonts w:hint="default" w:ascii="Times New Roman" w:hAnsi="Times New Roman" w:eastAsia="宋体" w:cs="Times New Roman"/>
                      <w:color w:val="auto"/>
                      <w:spacing w:val="7"/>
                      <w:sz w:val="21"/>
                      <w:szCs w:val="21"/>
                      <w:highlight w:val="none"/>
                    </w:rPr>
                    <w:t>主要发展方向</w:t>
                  </w:r>
                </w:p>
              </w:tc>
              <w:tc>
                <w:tcPr>
                  <w:tcW w:w="4798" w:type="dxa"/>
                  <w:tcBorders>
                    <w:bottom w:val="single" w:color="000000" w:sz="10" w:space="0"/>
                    <w:right w:val="single" w:color="000000" w:sz="4" w:space="0"/>
                  </w:tcBorders>
                  <w:vAlign w:val="center"/>
                </w:tcPr>
                <w:p w14:paraId="18F5A256">
                  <w:pPr>
                    <w:pStyle w:val="16"/>
                    <w:spacing w:before="64" w:line="228"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农牧结合，发展优质、高效特色农业和畜牧业</w:t>
                  </w:r>
                </w:p>
              </w:tc>
            </w:tr>
          </w:tbl>
          <w:p w14:paraId="1BF0F480">
            <w:pPr>
              <w:pStyle w:val="16"/>
              <w:widowControl w:val="0"/>
              <w:spacing w:before="42" w:line="360" w:lineRule="auto"/>
              <w:ind w:left="4"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本项目只有钻井期、试油期，不涉及运营期</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项目建设占用的土地资源相对区域资源利用较少，且为临时用地</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项目单井施工期较短，资源消耗量较少，不涉及地下水的开采活动。采取一定的环保措施后，项目产生的废气、废水、噪声等对环境影响较小。项目建设符合《新疆生态功能区划》相关要求</w:t>
            </w:r>
            <w:r>
              <w:rPr>
                <w:rFonts w:hint="default" w:ascii="Times New Roman" w:hAnsi="Times New Roman" w:cs="Times New Roman"/>
                <w:b w:val="0"/>
                <w:bCs w:val="0"/>
                <w:color w:val="auto"/>
                <w:sz w:val="24"/>
                <w:szCs w:val="24"/>
                <w:highlight w:val="none"/>
                <w:lang w:val="en-US" w:eastAsia="zh-CN"/>
              </w:rPr>
              <w:t>。</w:t>
            </w:r>
          </w:p>
          <w:p w14:paraId="0C3DEAE0">
            <w:pPr>
              <w:pStyle w:val="16"/>
              <w:widowControl w:val="0"/>
              <w:numPr>
                <w:ilvl w:val="0"/>
                <w:numId w:val="3"/>
              </w:numPr>
              <w:spacing w:before="42" w:line="360" w:lineRule="auto"/>
              <w:ind w:left="4"/>
              <w:jc w:val="both"/>
              <w:rPr>
                <w:rFonts w:hint="default" w:ascii="Times New Roman" w:hAnsi="Times New Roman" w:eastAsia="宋体" w:cs="Times New Roman"/>
                <w:b/>
                <w:bCs/>
                <w:color w:val="auto"/>
                <w:spacing w:val="-5"/>
                <w:sz w:val="24"/>
                <w:szCs w:val="24"/>
              </w:rPr>
            </w:pPr>
            <w:r>
              <w:rPr>
                <w:rFonts w:hint="default" w:ascii="Times New Roman" w:hAnsi="Times New Roman" w:eastAsia="宋体" w:cs="Times New Roman"/>
                <w:b/>
                <w:bCs/>
                <w:color w:val="auto"/>
                <w:spacing w:val="-5"/>
                <w:sz w:val="24"/>
                <w:szCs w:val="24"/>
              </w:rPr>
              <w:t>与《新疆维吾尔自治区重点行业生态环境准入条件（2024年）》（新环环评发〔2024〕93号）符合性分析</w:t>
            </w:r>
          </w:p>
          <w:p w14:paraId="607CD5BE">
            <w:pPr>
              <w:pStyle w:val="16"/>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firstLine="460" w:firstLineChars="200"/>
              <w:jc w:val="both"/>
              <w:textAlignment w:val="baseline"/>
              <w:rPr>
                <w:rFonts w:hint="default" w:ascii="Times New Roman" w:hAnsi="Times New Roman" w:eastAsia="宋体" w:cs="Times New Roman"/>
                <w:b/>
                <w:bCs/>
                <w:color w:val="auto"/>
                <w:spacing w:val="-5"/>
                <w:sz w:val="24"/>
                <w:szCs w:val="24"/>
              </w:rPr>
            </w:pPr>
            <w:r>
              <w:rPr>
                <w:rFonts w:hint="eastAsia" w:ascii="Times New Roman" w:hAnsi="Times New Roman" w:cs="Times New Roman"/>
                <w:b w:val="0"/>
                <w:bCs w:val="0"/>
                <w:color w:val="auto"/>
                <w:spacing w:val="-5"/>
                <w:sz w:val="24"/>
                <w:szCs w:val="24"/>
                <w:lang w:val="en-US" w:eastAsia="zh-CN"/>
              </w:rPr>
              <w:t>项目</w:t>
            </w:r>
            <w:r>
              <w:rPr>
                <w:rFonts w:hint="default" w:ascii="Times New Roman" w:hAnsi="Times New Roman" w:eastAsia="宋体" w:cs="Times New Roman"/>
                <w:b w:val="0"/>
                <w:bCs w:val="0"/>
                <w:color w:val="auto"/>
                <w:spacing w:val="-5"/>
                <w:sz w:val="24"/>
                <w:szCs w:val="24"/>
              </w:rPr>
              <w:t>与《新疆维吾尔自治区重点行业生态环境准入条件（2024年）》（新环环评发〔2024〕93号）符合性分析</w:t>
            </w:r>
            <w:r>
              <w:rPr>
                <w:rFonts w:hint="eastAsia" w:ascii="Times New Roman" w:hAnsi="Times New Roman" w:cs="Times New Roman"/>
                <w:b w:val="0"/>
                <w:bCs w:val="0"/>
                <w:color w:val="auto"/>
                <w:spacing w:val="-5"/>
                <w:sz w:val="24"/>
                <w:szCs w:val="24"/>
                <w:lang w:val="en-US" w:eastAsia="zh-CN"/>
              </w:rPr>
              <w:t>见表1-9。</w:t>
            </w:r>
          </w:p>
          <w:p w14:paraId="53C9542E">
            <w:pPr>
              <w:pStyle w:val="16"/>
              <w:widowControl w:val="0"/>
              <w:spacing w:before="1" w:line="360" w:lineRule="auto"/>
              <w:jc w:val="center"/>
              <w:rPr>
                <w:rFonts w:hint="default" w:ascii="Times New Roman" w:hAnsi="Times New Roman" w:eastAsia="宋体" w:cs="Times New Roman"/>
                <w:b/>
                <w:bCs/>
                <w:color w:val="auto"/>
                <w:spacing w:val="5"/>
                <w:sz w:val="21"/>
                <w:szCs w:val="21"/>
                <w:highlight w:val="none"/>
              </w:rPr>
            </w:pPr>
            <w:r>
              <w:rPr>
                <w:rFonts w:hint="default" w:ascii="Times New Roman" w:hAnsi="Times New Roman" w:eastAsia="宋体" w:cs="Times New Roman"/>
                <w:b/>
                <w:bCs/>
                <w:color w:val="auto"/>
                <w:spacing w:val="5"/>
                <w:sz w:val="21"/>
                <w:szCs w:val="21"/>
                <w:highlight w:val="none"/>
              </w:rPr>
              <w:t>表1-</w:t>
            </w:r>
            <w:r>
              <w:rPr>
                <w:rFonts w:hint="default" w:ascii="Times New Roman" w:hAnsi="Times New Roman" w:cs="Times New Roman"/>
                <w:b/>
                <w:bCs/>
                <w:color w:val="auto"/>
                <w:spacing w:val="5"/>
                <w:sz w:val="21"/>
                <w:szCs w:val="21"/>
                <w:highlight w:val="none"/>
                <w:lang w:val="en-US" w:eastAsia="zh-CN"/>
              </w:rPr>
              <w:t>9</w:t>
            </w:r>
            <w:r>
              <w:rPr>
                <w:rFonts w:hint="default" w:ascii="Times New Roman" w:hAnsi="Times New Roman" w:eastAsia="宋体" w:cs="Times New Roman"/>
                <w:b/>
                <w:bCs/>
                <w:color w:val="auto"/>
                <w:spacing w:val="5"/>
                <w:sz w:val="21"/>
                <w:szCs w:val="21"/>
                <w:highlight w:val="none"/>
              </w:rPr>
              <w:t xml:space="preserve"> 与《新疆维吾尔自治区重点行业生态环境准入条件</w:t>
            </w:r>
          </w:p>
          <w:p w14:paraId="74199428">
            <w:pPr>
              <w:pStyle w:val="16"/>
              <w:widowControl w:val="0"/>
              <w:spacing w:before="1" w:line="360" w:lineRule="auto"/>
              <w:jc w:val="center"/>
              <w:rPr>
                <w:rFonts w:hint="default" w:ascii="Times New Roman" w:hAnsi="Times New Roman" w:eastAsia="宋体" w:cs="Times New Roman"/>
                <w:b/>
                <w:bCs/>
                <w:color w:val="auto"/>
                <w:spacing w:val="5"/>
                <w:sz w:val="21"/>
                <w:szCs w:val="21"/>
                <w:highlight w:val="none"/>
              </w:rPr>
            </w:pPr>
            <w:r>
              <w:rPr>
                <w:rFonts w:hint="default" w:ascii="Times New Roman" w:hAnsi="Times New Roman" w:eastAsia="宋体" w:cs="Times New Roman"/>
                <w:b/>
                <w:bCs/>
                <w:color w:val="auto"/>
                <w:spacing w:val="5"/>
                <w:sz w:val="21"/>
                <w:szCs w:val="21"/>
                <w:highlight w:val="none"/>
              </w:rPr>
              <w:t>（2024年）》符合性分析一览表</w:t>
            </w:r>
          </w:p>
          <w:tbl>
            <w:tblPr>
              <w:tblStyle w:val="15"/>
              <w:tblW w:w="67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8"/>
              <w:gridCol w:w="3156"/>
              <w:gridCol w:w="2542"/>
              <w:gridCol w:w="502"/>
            </w:tblGrid>
            <w:tr w14:paraId="66D92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5" w:hRule="atLeast"/>
                <w:jc w:val="center"/>
              </w:trPr>
              <w:tc>
                <w:tcPr>
                  <w:tcW w:w="518" w:type="dxa"/>
                  <w:tcBorders>
                    <w:top w:val="single" w:color="000000" w:sz="2" w:space="0"/>
                    <w:left w:val="single" w:color="000000" w:sz="2" w:space="0"/>
                  </w:tcBorders>
                  <w:vAlign w:val="center"/>
                </w:tcPr>
                <w:p w14:paraId="79E7D254">
                  <w:pPr>
                    <w:widowControl w:val="0"/>
                    <w:kinsoku/>
                    <w:autoSpaceDE w:val="0"/>
                    <w:autoSpaceDN w:val="0"/>
                    <w:adjustRightInd w:val="0"/>
                    <w:snapToGrid w:val="0"/>
                    <w:spacing w:line="300" w:lineRule="exact"/>
                    <w:jc w:val="center"/>
                    <w:textAlignment w:val="auto"/>
                    <w:rPr>
                      <w:rFonts w:hint="default" w:ascii="Times New Roman" w:hAnsi="Times New Roman" w:eastAsia="宋体" w:cs="Times New Roman"/>
                      <w:b/>
                      <w:bCs/>
                      <w:snapToGrid/>
                      <w:color w:val="auto"/>
                      <w:kern w:val="2"/>
                      <w:sz w:val="21"/>
                      <w:szCs w:val="21"/>
                      <w:lang w:val="en-US" w:eastAsia="zh-CN"/>
                    </w:rPr>
                  </w:pPr>
                  <w:r>
                    <w:rPr>
                      <w:rFonts w:hint="default" w:ascii="Times New Roman" w:hAnsi="Times New Roman" w:eastAsia="宋体" w:cs="Times New Roman"/>
                      <w:b/>
                      <w:bCs/>
                      <w:snapToGrid/>
                      <w:color w:val="auto"/>
                      <w:kern w:val="2"/>
                      <w:sz w:val="21"/>
                      <w:szCs w:val="21"/>
                      <w:lang w:val="en-US" w:eastAsia="zh-CN"/>
                    </w:rPr>
                    <w:t>序号</w:t>
                  </w:r>
                </w:p>
              </w:tc>
              <w:tc>
                <w:tcPr>
                  <w:tcW w:w="3156" w:type="dxa"/>
                  <w:tcBorders>
                    <w:top w:val="single" w:color="000000" w:sz="2" w:space="0"/>
                  </w:tcBorders>
                  <w:vAlign w:val="center"/>
                </w:tcPr>
                <w:p w14:paraId="03166756">
                  <w:pPr>
                    <w:widowControl w:val="0"/>
                    <w:kinsoku/>
                    <w:autoSpaceDE w:val="0"/>
                    <w:autoSpaceDN w:val="0"/>
                    <w:adjustRightInd w:val="0"/>
                    <w:snapToGrid w:val="0"/>
                    <w:spacing w:line="300" w:lineRule="exact"/>
                    <w:jc w:val="center"/>
                    <w:textAlignment w:val="auto"/>
                    <w:rPr>
                      <w:rFonts w:hint="default" w:ascii="Times New Roman" w:hAnsi="Times New Roman" w:eastAsia="宋体" w:cs="Times New Roman"/>
                      <w:b/>
                      <w:bCs/>
                      <w:snapToGrid/>
                      <w:color w:val="auto"/>
                      <w:kern w:val="2"/>
                      <w:sz w:val="21"/>
                      <w:szCs w:val="21"/>
                      <w:lang w:val="en-US" w:eastAsia="zh-CN"/>
                    </w:rPr>
                  </w:pPr>
                  <w:r>
                    <w:rPr>
                      <w:rFonts w:hint="default" w:ascii="Times New Roman" w:hAnsi="Times New Roman" w:eastAsia="宋体" w:cs="Times New Roman"/>
                      <w:b/>
                      <w:bCs/>
                      <w:snapToGrid/>
                      <w:color w:val="auto"/>
                      <w:kern w:val="2"/>
                      <w:sz w:val="21"/>
                      <w:szCs w:val="21"/>
                      <w:lang w:val="en-US" w:eastAsia="zh-CN"/>
                    </w:rPr>
                    <w:t>《新疆维吾尔自治区重点行业生态环境准入条件（2024年）》中相关规定</w:t>
                  </w:r>
                </w:p>
              </w:tc>
              <w:tc>
                <w:tcPr>
                  <w:tcW w:w="2542" w:type="dxa"/>
                  <w:tcBorders>
                    <w:top w:val="single" w:color="000000" w:sz="2" w:space="0"/>
                  </w:tcBorders>
                  <w:vAlign w:val="center"/>
                </w:tcPr>
                <w:p w14:paraId="69997406">
                  <w:pPr>
                    <w:widowControl w:val="0"/>
                    <w:kinsoku/>
                    <w:autoSpaceDE w:val="0"/>
                    <w:autoSpaceDN w:val="0"/>
                    <w:adjustRightInd w:val="0"/>
                    <w:snapToGrid w:val="0"/>
                    <w:spacing w:line="300" w:lineRule="exact"/>
                    <w:jc w:val="center"/>
                    <w:textAlignment w:val="auto"/>
                    <w:rPr>
                      <w:rFonts w:hint="default" w:ascii="Times New Roman" w:hAnsi="Times New Roman" w:eastAsia="宋体" w:cs="Times New Roman"/>
                      <w:b/>
                      <w:bCs/>
                      <w:snapToGrid/>
                      <w:color w:val="auto"/>
                      <w:kern w:val="2"/>
                      <w:sz w:val="21"/>
                      <w:szCs w:val="21"/>
                      <w:lang w:val="en-US" w:eastAsia="zh-CN"/>
                    </w:rPr>
                  </w:pPr>
                  <w:r>
                    <w:rPr>
                      <w:rFonts w:hint="default" w:ascii="Times New Roman" w:hAnsi="Times New Roman" w:eastAsia="宋体" w:cs="Times New Roman"/>
                      <w:b/>
                      <w:bCs/>
                      <w:snapToGrid/>
                      <w:color w:val="auto"/>
                      <w:kern w:val="2"/>
                      <w:sz w:val="21"/>
                      <w:szCs w:val="21"/>
                      <w:lang w:val="en-US" w:eastAsia="zh-CN"/>
                    </w:rPr>
                    <w:t>本项目采取的相关措施</w:t>
                  </w:r>
                </w:p>
              </w:tc>
              <w:tc>
                <w:tcPr>
                  <w:tcW w:w="502" w:type="dxa"/>
                  <w:tcBorders>
                    <w:top w:val="single" w:color="000000" w:sz="2" w:space="0"/>
                  </w:tcBorders>
                  <w:vAlign w:val="center"/>
                </w:tcPr>
                <w:p w14:paraId="0DB9B954">
                  <w:pPr>
                    <w:widowControl w:val="0"/>
                    <w:kinsoku/>
                    <w:autoSpaceDE w:val="0"/>
                    <w:autoSpaceDN w:val="0"/>
                    <w:adjustRightInd w:val="0"/>
                    <w:snapToGrid w:val="0"/>
                    <w:spacing w:line="300" w:lineRule="exact"/>
                    <w:jc w:val="center"/>
                    <w:textAlignment w:val="auto"/>
                    <w:rPr>
                      <w:rFonts w:hint="default" w:ascii="Times New Roman" w:hAnsi="Times New Roman" w:eastAsia="宋体" w:cs="Times New Roman"/>
                      <w:b/>
                      <w:bCs/>
                      <w:snapToGrid/>
                      <w:color w:val="auto"/>
                      <w:kern w:val="2"/>
                      <w:sz w:val="21"/>
                      <w:szCs w:val="21"/>
                      <w:lang w:val="en-US" w:eastAsia="zh-CN"/>
                    </w:rPr>
                  </w:pPr>
                  <w:r>
                    <w:rPr>
                      <w:rFonts w:hint="default" w:ascii="Times New Roman" w:hAnsi="Times New Roman" w:eastAsia="宋体" w:cs="Times New Roman"/>
                      <w:b/>
                      <w:bCs/>
                      <w:snapToGrid/>
                      <w:color w:val="auto"/>
                      <w:kern w:val="2"/>
                      <w:sz w:val="21"/>
                      <w:szCs w:val="21"/>
                      <w:lang w:val="en-US" w:eastAsia="zh-CN"/>
                    </w:rPr>
                    <w:t>分析</w:t>
                  </w:r>
                </w:p>
                <w:p w14:paraId="63EFA0C1">
                  <w:pPr>
                    <w:widowControl w:val="0"/>
                    <w:kinsoku/>
                    <w:autoSpaceDE w:val="0"/>
                    <w:autoSpaceDN w:val="0"/>
                    <w:adjustRightInd w:val="0"/>
                    <w:snapToGrid w:val="0"/>
                    <w:spacing w:line="300" w:lineRule="exact"/>
                    <w:jc w:val="center"/>
                    <w:textAlignment w:val="auto"/>
                    <w:rPr>
                      <w:rFonts w:hint="default" w:ascii="Times New Roman" w:hAnsi="Times New Roman" w:eastAsia="宋体" w:cs="Times New Roman"/>
                      <w:b/>
                      <w:bCs/>
                      <w:snapToGrid/>
                      <w:color w:val="auto"/>
                      <w:kern w:val="2"/>
                      <w:sz w:val="21"/>
                      <w:szCs w:val="21"/>
                      <w:lang w:val="en-US" w:eastAsia="zh-CN"/>
                    </w:rPr>
                  </w:pPr>
                  <w:r>
                    <w:rPr>
                      <w:rFonts w:hint="default" w:ascii="Times New Roman" w:hAnsi="Times New Roman" w:eastAsia="宋体" w:cs="Times New Roman"/>
                      <w:b/>
                      <w:bCs/>
                      <w:snapToGrid/>
                      <w:color w:val="auto"/>
                      <w:kern w:val="2"/>
                      <w:sz w:val="21"/>
                      <w:szCs w:val="21"/>
                      <w:lang w:val="en-US" w:eastAsia="zh-CN"/>
                    </w:rPr>
                    <w:t>结论</w:t>
                  </w:r>
                </w:p>
              </w:tc>
            </w:tr>
            <w:tr w14:paraId="541D7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18" w:type="dxa"/>
                  <w:tcBorders>
                    <w:left w:val="single" w:color="000000" w:sz="2" w:space="0"/>
                  </w:tcBorders>
                  <w:vAlign w:val="center"/>
                </w:tcPr>
                <w:p w14:paraId="4F2815CF">
                  <w:pPr>
                    <w:widowControl w:val="0"/>
                    <w:kinsoku/>
                    <w:autoSpaceDE w:val="0"/>
                    <w:autoSpaceDN w:val="0"/>
                    <w:adjustRightInd w:val="0"/>
                    <w:snapToGrid w:val="0"/>
                    <w:spacing w:line="300" w:lineRule="exact"/>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1</w:t>
                  </w:r>
                </w:p>
              </w:tc>
              <w:tc>
                <w:tcPr>
                  <w:tcW w:w="3156" w:type="dxa"/>
                  <w:vAlign w:val="center"/>
                </w:tcPr>
                <w:p w14:paraId="36824DD8">
                  <w:pPr>
                    <w:widowControl w:val="0"/>
                    <w:kinsoku/>
                    <w:autoSpaceDE w:val="0"/>
                    <w:autoSpaceDN w:val="0"/>
                    <w:adjustRightInd w:val="0"/>
                    <w:snapToGrid w:val="0"/>
                    <w:spacing w:line="300" w:lineRule="exact"/>
                    <w:jc w:val="both"/>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施工期应当尽量减少施工占地、严格控制施工作业面积、缩短施工时间、选择合理施工方式、落实环境敏感区管控要求以及其他生态环境保护措施，有效降低生态环境影响。</w:t>
                  </w:r>
                </w:p>
              </w:tc>
              <w:tc>
                <w:tcPr>
                  <w:tcW w:w="2542" w:type="dxa"/>
                  <w:vAlign w:val="center"/>
                </w:tcPr>
                <w:p w14:paraId="2B0FAE48">
                  <w:pPr>
                    <w:widowControl w:val="0"/>
                    <w:kinsoku/>
                    <w:autoSpaceDE w:val="0"/>
                    <w:autoSpaceDN w:val="0"/>
                    <w:adjustRightInd w:val="0"/>
                    <w:snapToGrid w:val="0"/>
                    <w:spacing w:line="300" w:lineRule="exact"/>
                    <w:jc w:val="both"/>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本项目严格控制施工作业面积、减少施工占地、选择合理施工方式、落实环境敏感区管控要求以及其他生态环境保护措施，有效降低生态环境影响。</w:t>
                  </w:r>
                </w:p>
              </w:tc>
              <w:tc>
                <w:tcPr>
                  <w:tcW w:w="502" w:type="dxa"/>
                  <w:vAlign w:val="center"/>
                </w:tcPr>
                <w:p w14:paraId="309362A1">
                  <w:pPr>
                    <w:widowControl w:val="0"/>
                    <w:kinsoku/>
                    <w:autoSpaceDE w:val="0"/>
                    <w:autoSpaceDN w:val="0"/>
                    <w:adjustRightInd w:val="0"/>
                    <w:snapToGrid w:val="0"/>
                    <w:spacing w:line="300" w:lineRule="exact"/>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符合</w:t>
                  </w:r>
                </w:p>
              </w:tc>
            </w:tr>
            <w:tr w14:paraId="5C63F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7" w:hRule="atLeast"/>
                <w:jc w:val="center"/>
              </w:trPr>
              <w:tc>
                <w:tcPr>
                  <w:tcW w:w="518" w:type="dxa"/>
                  <w:tcBorders>
                    <w:left w:val="single" w:color="000000" w:sz="2" w:space="0"/>
                  </w:tcBorders>
                  <w:vAlign w:val="center"/>
                </w:tcPr>
                <w:p w14:paraId="2BFA0525">
                  <w:pPr>
                    <w:widowControl w:val="0"/>
                    <w:kinsoku/>
                    <w:autoSpaceDE w:val="0"/>
                    <w:autoSpaceDN w:val="0"/>
                    <w:adjustRightInd w:val="0"/>
                    <w:snapToGrid w:val="0"/>
                    <w:spacing w:line="300" w:lineRule="exact"/>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2</w:t>
                  </w:r>
                </w:p>
              </w:tc>
              <w:tc>
                <w:tcPr>
                  <w:tcW w:w="3156" w:type="dxa"/>
                  <w:vAlign w:val="center"/>
                </w:tcPr>
                <w:p w14:paraId="101359C1">
                  <w:pPr>
                    <w:widowControl w:val="0"/>
                    <w:kinsoku/>
                    <w:autoSpaceDE w:val="0"/>
                    <w:autoSpaceDN w:val="0"/>
                    <w:adjustRightInd w:val="0"/>
                    <w:snapToGrid w:val="0"/>
                    <w:spacing w:line="300" w:lineRule="exact"/>
                    <w:jc w:val="both"/>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陆地油气开发项目应当对挥发性有机物液体储存和装载损失、废水集输和处理系统、设备与管线组件泄漏、非正常工况等挥发性有机物无组织排放源进行有效管控，通过采取设备密闭、废气有效收集及配套高效末端处理设施等措施，有效控制挥发性有机物和恶臭气体无组织排放，油气集输损耗率不得高于0.5%；工艺过程控制措施、废气收集处理措施以及站场边界非甲烷总烃排放浓度应满足《陆上石油天然气开采工业大气污染物排放标准》（GB39728）要求。</w:t>
                  </w:r>
                </w:p>
              </w:tc>
              <w:tc>
                <w:tcPr>
                  <w:tcW w:w="2542" w:type="dxa"/>
                  <w:vAlign w:val="center"/>
                </w:tcPr>
                <w:p w14:paraId="3906EE6C">
                  <w:pPr>
                    <w:widowControl w:val="0"/>
                    <w:kinsoku/>
                    <w:autoSpaceDE w:val="0"/>
                    <w:autoSpaceDN w:val="0"/>
                    <w:adjustRightInd w:val="0"/>
                    <w:snapToGrid w:val="0"/>
                    <w:spacing w:line="300" w:lineRule="exact"/>
                    <w:jc w:val="both"/>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本项目为勘探井项目，已设置原油储罐对原油进行储存和装载，项目井下作业废水采取带罐作业，井下作业废水全部回收，采用专用废液收集罐收集后采取密闭式吸污罐车运至吉康脱水站处理，伴生气通过排气管线充分燃烧后放空，工艺过程控制措施、废气收集处理措施以及站场边界非甲烷总烃排放浓度要求满足《陆上石油天然气开采工业大气污染物排放标准》（GB39728</w:t>
                  </w:r>
                  <w:r>
                    <w:rPr>
                      <w:rFonts w:hint="eastAsia" w:ascii="Times New Roman" w:hAnsi="Times New Roman" w:eastAsia="宋体" w:cs="Times New Roman"/>
                      <w:snapToGrid/>
                      <w:color w:val="auto"/>
                      <w:kern w:val="2"/>
                      <w:sz w:val="21"/>
                      <w:szCs w:val="21"/>
                      <w:lang w:val="en-US" w:eastAsia="zh-CN"/>
                    </w:rPr>
                    <w:t>-2020</w:t>
                  </w:r>
                  <w:r>
                    <w:rPr>
                      <w:rFonts w:hint="default" w:ascii="Times New Roman" w:hAnsi="Times New Roman" w:eastAsia="宋体" w:cs="Times New Roman"/>
                      <w:snapToGrid/>
                      <w:color w:val="auto"/>
                      <w:kern w:val="2"/>
                      <w:sz w:val="21"/>
                      <w:szCs w:val="21"/>
                      <w:lang w:val="en-US" w:eastAsia="zh-CN"/>
                    </w:rPr>
                    <w:t>）。</w:t>
                  </w:r>
                </w:p>
              </w:tc>
              <w:tc>
                <w:tcPr>
                  <w:tcW w:w="502" w:type="dxa"/>
                  <w:vAlign w:val="center"/>
                </w:tcPr>
                <w:p w14:paraId="2BB8B9A9">
                  <w:pPr>
                    <w:widowControl w:val="0"/>
                    <w:kinsoku/>
                    <w:autoSpaceDE w:val="0"/>
                    <w:autoSpaceDN w:val="0"/>
                    <w:adjustRightInd w:val="0"/>
                    <w:snapToGrid w:val="0"/>
                    <w:spacing w:line="300" w:lineRule="exact"/>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符合</w:t>
                  </w:r>
                </w:p>
              </w:tc>
            </w:tr>
            <w:tr w14:paraId="1979A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5" w:hRule="atLeast"/>
                <w:jc w:val="center"/>
              </w:trPr>
              <w:tc>
                <w:tcPr>
                  <w:tcW w:w="518" w:type="dxa"/>
                  <w:tcBorders>
                    <w:left w:val="single" w:color="000000" w:sz="2" w:space="0"/>
                  </w:tcBorders>
                  <w:vAlign w:val="center"/>
                </w:tcPr>
                <w:p w14:paraId="6DC46DC1">
                  <w:pPr>
                    <w:widowControl w:val="0"/>
                    <w:kinsoku/>
                    <w:autoSpaceDE w:val="0"/>
                    <w:autoSpaceDN w:val="0"/>
                    <w:adjustRightInd w:val="0"/>
                    <w:snapToGrid w:val="0"/>
                    <w:spacing w:line="300" w:lineRule="exact"/>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3</w:t>
                  </w:r>
                </w:p>
              </w:tc>
              <w:tc>
                <w:tcPr>
                  <w:tcW w:w="3156" w:type="dxa"/>
                  <w:vAlign w:val="center"/>
                </w:tcPr>
                <w:p w14:paraId="3A56AC46">
                  <w:pPr>
                    <w:widowControl w:val="0"/>
                    <w:kinsoku/>
                    <w:autoSpaceDE w:val="0"/>
                    <w:autoSpaceDN w:val="0"/>
                    <w:adjustRightInd w:val="0"/>
                    <w:snapToGrid w:val="0"/>
                    <w:spacing w:line="300" w:lineRule="exact"/>
                    <w:jc w:val="both"/>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陆地油气开发项目产生的废水应经处理后优先回用，无法回用的应满足国家和地方相关污染物排放标准后排放，工业废水回用率应达到90%以上。钻井及储层改造应采用环境友好的油田化学助剂、酸化液、压裂液、钻井液，配备完善的固控设备，钻井液循环率应达到95%以上，压裂废液、酸化废液等井下作业废水应100%返排入罐。</w:t>
                  </w:r>
                </w:p>
              </w:tc>
              <w:tc>
                <w:tcPr>
                  <w:tcW w:w="2542" w:type="dxa"/>
                  <w:vAlign w:val="center"/>
                </w:tcPr>
                <w:p w14:paraId="48B3A2AE">
                  <w:pPr>
                    <w:widowControl w:val="0"/>
                    <w:kinsoku/>
                    <w:autoSpaceDE w:val="0"/>
                    <w:autoSpaceDN w:val="0"/>
                    <w:adjustRightInd w:val="0"/>
                    <w:snapToGrid w:val="0"/>
                    <w:spacing w:line="300" w:lineRule="exact"/>
                    <w:jc w:val="both"/>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本项目井下作业废水采取带罐作业，井下作业废水全部回收，采用专用废液收集罐收集后采取密闭式吸污罐车运至吉康脱水站处理</w:t>
                  </w:r>
                  <w:r>
                    <w:rPr>
                      <w:rFonts w:hint="eastAsia" w:ascii="Times New Roman" w:hAnsi="Times New Roman" w:eastAsia="宋体" w:cs="Times New Roman"/>
                      <w:snapToGrid/>
                      <w:color w:val="auto"/>
                      <w:kern w:val="2"/>
                      <w:sz w:val="21"/>
                      <w:szCs w:val="21"/>
                      <w:lang w:val="en-US" w:eastAsia="zh-CN"/>
                    </w:rPr>
                    <w:t>后回注</w:t>
                  </w:r>
                  <w:r>
                    <w:rPr>
                      <w:rFonts w:hint="default" w:ascii="Times New Roman" w:hAnsi="Times New Roman" w:eastAsia="宋体" w:cs="Times New Roman"/>
                      <w:snapToGrid/>
                      <w:color w:val="auto"/>
                      <w:kern w:val="2"/>
                      <w:sz w:val="21"/>
                      <w:szCs w:val="21"/>
                      <w:lang w:val="en-US" w:eastAsia="zh-CN"/>
                    </w:rPr>
                    <w:t>。</w:t>
                  </w:r>
                </w:p>
              </w:tc>
              <w:tc>
                <w:tcPr>
                  <w:tcW w:w="502" w:type="dxa"/>
                  <w:vAlign w:val="center"/>
                </w:tcPr>
                <w:p w14:paraId="6A9012BB">
                  <w:pPr>
                    <w:widowControl w:val="0"/>
                    <w:kinsoku/>
                    <w:autoSpaceDE w:val="0"/>
                    <w:autoSpaceDN w:val="0"/>
                    <w:adjustRightInd w:val="0"/>
                    <w:snapToGrid w:val="0"/>
                    <w:spacing w:line="300" w:lineRule="exact"/>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符合</w:t>
                  </w:r>
                </w:p>
              </w:tc>
            </w:tr>
            <w:tr w14:paraId="10D61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9" w:hRule="atLeast"/>
                <w:jc w:val="center"/>
              </w:trPr>
              <w:tc>
                <w:tcPr>
                  <w:tcW w:w="518" w:type="dxa"/>
                  <w:tcBorders>
                    <w:left w:val="single" w:color="000000" w:sz="2" w:space="0"/>
                  </w:tcBorders>
                  <w:vAlign w:val="center"/>
                </w:tcPr>
                <w:p w14:paraId="61BD86AF">
                  <w:pPr>
                    <w:widowControl w:val="0"/>
                    <w:kinsoku/>
                    <w:autoSpaceDE w:val="0"/>
                    <w:autoSpaceDN w:val="0"/>
                    <w:adjustRightInd w:val="0"/>
                    <w:snapToGrid w:val="0"/>
                    <w:spacing w:line="300" w:lineRule="exact"/>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4</w:t>
                  </w:r>
                </w:p>
              </w:tc>
              <w:tc>
                <w:tcPr>
                  <w:tcW w:w="3156" w:type="dxa"/>
                  <w:vAlign w:val="center"/>
                </w:tcPr>
                <w:p w14:paraId="7B3E270A">
                  <w:pPr>
                    <w:widowControl w:val="0"/>
                    <w:kinsoku/>
                    <w:autoSpaceDE w:val="0"/>
                    <w:autoSpaceDN w:val="0"/>
                    <w:adjustRightInd w:val="0"/>
                    <w:snapToGrid w:val="0"/>
                    <w:spacing w:line="300" w:lineRule="exact"/>
                    <w:jc w:val="both"/>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涉及废水回注的，应采取切实可行的地下水污染防治和监控措施，不得回注与油气开采无关的废水，严禁造成地下水污染；在相关行业污染控制标准发布前，回注水应满足《碎屑岩油藏注水水质指标技术要求及分析方法》（SY/T5329）《气田水注入技术要求》（SY/T6596）等相关标准要求。对于页岩油、稠油注汽开采，鼓励废水处理后回用于注汽锅炉。</w:t>
                  </w:r>
                </w:p>
              </w:tc>
              <w:tc>
                <w:tcPr>
                  <w:tcW w:w="2542" w:type="dxa"/>
                  <w:vAlign w:val="center"/>
                </w:tcPr>
                <w:p w14:paraId="6BA8FC6A">
                  <w:pPr>
                    <w:widowControl w:val="0"/>
                    <w:kinsoku/>
                    <w:autoSpaceDE w:val="0"/>
                    <w:autoSpaceDN w:val="0"/>
                    <w:adjustRightInd w:val="0"/>
                    <w:snapToGrid w:val="0"/>
                    <w:spacing w:line="300" w:lineRule="exact"/>
                    <w:jc w:val="both"/>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本项目</w:t>
                  </w:r>
                  <w:r>
                    <w:rPr>
                      <w:rFonts w:hint="eastAsia" w:ascii="Times New Roman" w:hAnsi="Times New Roman" w:eastAsia="宋体" w:cs="Times New Roman"/>
                      <w:snapToGrid/>
                      <w:color w:val="auto"/>
                      <w:kern w:val="2"/>
                      <w:sz w:val="21"/>
                      <w:szCs w:val="21"/>
                      <w:lang w:val="en-US" w:eastAsia="zh-CN"/>
                    </w:rPr>
                    <w:t>井下作业废水</w:t>
                  </w:r>
                  <w:r>
                    <w:rPr>
                      <w:rFonts w:hint="default" w:ascii="Times New Roman" w:hAnsi="Times New Roman" w:eastAsia="宋体" w:cs="Times New Roman"/>
                      <w:snapToGrid/>
                      <w:color w:val="auto"/>
                      <w:kern w:val="2"/>
                      <w:sz w:val="21"/>
                      <w:szCs w:val="21"/>
                      <w:lang w:val="en-US" w:eastAsia="zh-CN"/>
                    </w:rPr>
                    <w:t>经过原油脱水站进行处理，从三相分离器出口输送至储水罐，通过污水泵将污水输送至污水缓冲罐；压裂返排液经运输至场内储存于污水罐中，本项目从缓冲罐取水进行处理，处理合格后暂存于清水罐，后运输至指定注水站回注。</w:t>
                  </w:r>
                </w:p>
              </w:tc>
              <w:tc>
                <w:tcPr>
                  <w:tcW w:w="502" w:type="dxa"/>
                  <w:vAlign w:val="center"/>
                </w:tcPr>
                <w:p w14:paraId="04FD2D88">
                  <w:pPr>
                    <w:widowControl w:val="0"/>
                    <w:kinsoku/>
                    <w:autoSpaceDE w:val="0"/>
                    <w:autoSpaceDN w:val="0"/>
                    <w:adjustRightInd w:val="0"/>
                    <w:snapToGrid w:val="0"/>
                    <w:spacing w:line="300" w:lineRule="exact"/>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符合</w:t>
                  </w:r>
                </w:p>
              </w:tc>
            </w:tr>
            <w:tr w14:paraId="109A4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18" w:type="dxa"/>
                  <w:tcBorders>
                    <w:left w:val="single" w:color="000000" w:sz="2" w:space="0"/>
                  </w:tcBorders>
                  <w:vAlign w:val="center"/>
                </w:tcPr>
                <w:p w14:paraId="6EC5A8DB">
                  <w:pPr>
                    <w:widowControl w:val="0"/>
                    <w:kinsoku/>
                    <w:autoSpaceDE w:val="0"/>
                    <w:autoSpaceDN w:val="0"/>
                    <w:adjustRightInd w:val="0"/>
                    <w:snapToGrid w:val="0"/>
                    <w:spacing w:line="300" w:lineRule="exact"/>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5</w:t>
                  </w:r>
                </w:p>
              </w:tc>
              <w:tc>
                <w:tcPr>
                  <w:tcW w:w="3156" w:type="dxa"/>
                  <w:vAlign w:val="center"/>
                </w:tcPr>
                <w:p w14:paraId="3292F626">
                  <w:pPr>
                    <w:widowControl w:val="0"/>
                    <w:kinsoku/>
                    <w:autoSpaceDE w:val="0"/>
                    <w:autoSpaceDN w:val="0"/>
                    <w:adjustRightInd w:val="0"/>
                    <w:snapToGrid w:val="0"/>
                    <w:spacing w:line="300" w:lineRule="exact"/>
                    <w:jc w:val="both"/>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废弃钻井泥浆及岩屑应采取“泥浆不落地”工艺，勘探、开发过程产生的落地原油回收率应达100%。废弃水基钻井泥浆及岩屑经“泥浆不落地”设备处理后，固相优先综合利用，暂时不利用或者不能利用的，应按照《一般工业固体废物贮存和填埋污染控制标准》（GB18599）处置；废弃油基钻井泥浆及岩屑、落地油、清罐底泥、含油污泥、含油清管废渣、油气处理厂过滤吸附介质、废脱汞剂等危险废物，应按照国家有关规定制定危险废物管理计划，建立危险废物管理台账，依法依规自行处置或委托有相应资质的单位无害化处置。固体废物无害化处置率应达到100%。</w:t>
                  </w:r>
                </w:p>
              </w:tc>
              <w:tc>
                <w:tcPr>
                  <w:tcW w:w="2542" w:type="dxa"/>
                  <w:vAlign w:val="center"/>
                </w:tcPr>
                <w:p w14:paraId="13CC352E">
                  <w:pPr>
                    <w:widowControl w:val="0"/>
                    <w:kinsoku/>
                    <w:autoSpaceDE w:val="0"/>
                    <w:autoSpaceDN w:val="0"/>
                    <w:adjustRightInd w:val="0"/>
                    <w:snapToGrid w:val="0"/>
                    <w:spacing w:line="300" w:lineRule="exact"/>
                    <w:jc w:val="both"/>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本项目废弃钻井泥浆及岩屑采取</w:t>
                  </w:r>
                  <w:r>
                    <w:rPr>
                      <w:rFonts w:hint="eastAsia" w:ascii="Times New Roman" w:hAnsi="Times New Roman" w:eastAsia="宋体" w:cs="Times New Roman"/>
                      <w:snapToGrid/>
                      <w:color w:val="auto"/>
                      <w:kern w:val="2"/>
                      <w:sz w:val="21"/>
                      <w:szCs w:val="21"/>
                      <w:lang w:val="en-US" w:eastAsia="zh-CN"/>
                    </w:rPr>
                    <w:t>“</w:t>
                  </w:r>
                  <w:r>
                    <w:rPr>
                      <w:rFonts w:hint="default" w:ascii="Times New Roman" w:hAnsi="Times New Roman" w:eastAsia="宋体" w:cs="Times New Roman"/>
                      <w:snapToGrid/>
                      <w:color w:val="auto"/>
                      <w:kern w:val="2"/>
                      <w:sz w:val="21"/>
                      <w:szCs w:val="21"/>
                      <w:lang w:val="en-US" w:eastAsia="zh-CN"/>
                    </w:rPr>
                    <w:t>泥浆不落地</w:t>
                  </w:r>
                  <w:r>
                    <w:rPr>
                      <w:rFonts w:hint="eastAsia" w:ascii="Times New Roman" w:hAnsi="Times New Roman" w:eastAsia="宋体" w:cs="Times New Roman"/>
                      <w:snapToGrid/>
                      <w:color w:val="auto"/>
                      <w:kern w:val="2"/>
                      <w:sz w:val="21"/>
                      <w:szCs w:val="21"/>
                      <w:lang w:val="en-US" w:eastAsia="zh-CN"/>
                    </w:rPr>
                    <w:t>”</w:t>
                  </w:r>
                  <w:r>
                    <w:rPr>
                      <w:rFonts w:hint="default" w:ascii="Times New Roman" w:hAnsi="Times New Roman" w:eastAsia="宋体" w:cs="Times New Roman"/>
                      <w:snapToGrid/>
                      <w:color w:val="auto"/>
                      <w:kern w:val="2"/>
                      <w:sz w:val="21"/>
                      <w:szCs w:val="21"/>
                      <w:lang w:val="en-US" w:eastAsia="zh-CN"/>
                    </w:rPr>
                    <w:t>工艺，勘探、开发过程产生的落地原油回收率达到100%。废弃水基钻井泥浆及岩屑经</w:t>
                  </w:r>
                  <w:r>
                    <w:rPr>
                      <w:rFonts w:hint="eastAsia" w:ascii="Times New Roman" w:hAnsi="Times New Roman" w:eastAsia="宋体" w:cs="Times New Roman"/>
                      <w:snapToGrid/>
                      <w:color w:val="auto"/>
                      <w:kern w:val="2"/>
                      <w:sz w:val="21"/>
                      <w:szCs w:val="21"/>
                      <w:lang w:val="en-US" w:eastAsia="zh-CN"/>
                    </w:rPr>
                    <w:t>“</w:t>
                  </w:r>
                  <w:r>
                    <w:rPr>
                      <w:rFonts w:hint="default" w:ascii="Times New Roman" w:hAnsi="Times New Roman" w:eastAsia="宋体" w:cs="Times New Roman"/>
                      <w:snapToGrid/>
                      <w:color w:val="auto"/>
                      <w:kern w:val="2"/>
                      <w:sz w:val="21"/>
                      <w:szCs w:val="21"/>
                      <w:lang w:val="en-US" w:eastAsia="zh-CN"/>
                    </w:rPr>
                    <w:t>泥浆不落地</w:t>
                  </w:r>
                  <w:r>
                    <w:rPr>
                      <w:rFonts w:hint="eastAsia" w:ascii="Times New Roman" w:hAnsi="Times New Roman" w:eastAsia="宋体" w:cs="Times New Roman"/>
                      <w:snapToGrid/>
                      <w:color w:val="auto"/>
                      <w:kern w:val="2"/>
                      <w:sz w:val="21"/>
                      <w:szCs w:val="21"/>
                      <w:lang w:val="en-US" w:eastAsia="zh-CN"/>
                    </w:rPr>
                    <w:t>”</w:t>
                  </w:r>
                  <w:r>
                    <w:rPr>
                      <w:rFonts w:hint="default" w:ascii="Times New Roman" w:hAnsi="Times New Roman" w:eastAsia="宋体" w:cs="Times New Roman"/>
                      <w:snapToGrid/>
                      <w:color w:val="auto"/>
                      <w:kern w:val="2"/>
                      <w:sz w:val="21"/>
                      <w:szCs w:val="21"/>
                      <w:lang w:val="en-US" w:eastAsia="zh-CN"/>
                    </w:rPr>
                    <w:t>设备处理后，固相检测达到《油气田钻井固体废物综合利用污染控制要求》（DB</w:t>
                  </w:r>
                  <w:r>
                    <w:rPr>
                      <w:rFonts w:hint="eastAsia" w:ascii="Times New Roman" w:hAnsi="Times New Roman" w:eastAsia="宋体" w:cs="Times New Roman"/>
                      <w:snapToGrid/>
                      <w:color w:val="auto"/>
                      <w:kern w:val="2"/>
                      <w:sz w:val="21"/>
                      <w:szCs w:val="21"/>
                      <w:lang w:val="en-US" w:eastAsia="zh-CN"/>
                    </w:rPr>
                    <w:t xml:space="preserve"> </w:t>
                  </w:r>
                  <w:r>
                    <w:rPr>
                      <w:rFonts w:hint="default" w:ascii="Times New Roman" w:hAnsi="Times New Roman" w:eastAsia="宋体" w:cs="Times New Roman"/>
                      <w:snapToGrid/>
                      <w:color w:val="auto"/>
                      <w:kern w:val="2"/>
                      <w:sz w:val="21"/>
                      <w:szCs w:val="21"/>
                      <w:lang w:val="en-US" w:eastAsia="zh-CN"/>
                    </w:rPr>
                    <w:t>65/T3997-2017）相关标准限值后资源化利用，不满足综合利用要求的按照《一般工业固体废物贮存和填埋污染控制标准》（GB18599</w:t>
                  </w:r>
                  <w:r>
                    <w:rPr>
                      <w:rFonts w:hint="eastAsia" w:ascii="Times New Roman" w:hAnsi="Times New Roman" w:eastAsia="宋体" w:cs="Times New Roman"/>
                      <w:snapToGrid/>
                      <w:color w:val="auto"/>
                      <w:kern w:val="2"/>
                      <w:sz w:val="21"/>
                      <w:szCs w:val="21"/>
                      <w:lang w:val="en-US" w:eastAsia="zh-CN"/>
                    </w:rPr>
                    <w:t>-2020</w:t>
                  </w:r>
                  <w:r>
                    <w:rPr>
                      <w:rFonts w:hint="default" w:ascii="Times New Roman" w:hAnsi="Times New Roman" w:eastAsia="宋体" w:cs="Times New Roman"/>
                      <w:snapToGrid/>
                      <w:color w:val="auto"/>
                      <w:kern w:val="2"/>
                      <w:sz w:val="21"/>
                      <w:szCs w:val="21"/>
                      <w:lang w:val="en-US" w:eastAsia="zh-CN"/>
                    </w:rPr>
                    <w:t>）要求委托单位进行处置；废弃油基钻井泥浆等危险废物，按照国家有关规定制定危险废物管理计划，建立危险废物管理台账，委托有相应资质的单位无害化处置。</w:t>
                  </w:r>
                </w:p>
              </w:tc>
              <w:tc>
                <w:tcPr>
                  <w:tcW w:w="502" w:type="dxa"/>
                  <w:vAlign w:val="center"/>
                </w:tcPr>
                <w:p w14:paraId="3A2C744E">
                  <w:pPr>
                    <w:widowControl w:val="0"/>
                    <w:kinsoku/>
                    <w:autoSpaceDE w:val="0"/>
                    <w:autoSpaceDN w:val="0"/>
                    <w:adjustRightInd w:val="0"/>
                    <w:snapToGrid w:val="0"/>
                    <w:spacing w:line="300" w:lineRule="exact"/>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符合</w:t>
                  </w:r>
                </w:p>
              </w:tc>
            </w:tr>
            <w:tr w14:paraId="5304E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7" w:hRule="atLeast"/>
                <w:jc w:val="center"/>
              </w:trPr>
              <w:tc>
                <w:tcPr>
                  <w:tcW w:w="518" w:type="dxa"/>
                  <w:tcBorders>
                    <w:left w:val="single" w:color="000000" w:sz="2" w:space="0"/>
                  </w:tcBorders>
                  <w:vAlign w:val="center"/>
                </w:tcPr>
                <w:p w14:paraId="440ABCA9">
                  <w:pPr>
                    <w:widowControl w:val="0"/>
                    <w:kinsoku/>
                    <w:autoSpaceDE w:val="0"/>
                    <w:autoSpaceDN w:val="0"/>
                    <w:adjustRightInd w:val="0"/>
                    <w:snapToGrid w:val="0"/>
                    <w:spacing w:line="300" w:lineRule="exact"/>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6</w:t>
                  </w:r>
                </w:p>
              </w:tc>
              <w:tc>
                <w:tcPr>
                  <w:tcW w:w="3156" w:type="dxa"/>
                  <w:vAlign w:val="center"/>
                </w:tcPr>
                <w:p w14:paraId="2EF5E775">
                  <w:pPr>
                    <w:widowControl w:val="0"/>
                    <w:kinsoku/>
                    <w:autoSpaceDE w:val="0"/>
                    <w:autoSpaceDN w:val="0"/>
                    <w:adjustRightInd w:val="0"/>
                    <w:snapToGrid w:val="0"/>
                    <w:spacing w:line="300" w:lineRule="exact"/>
                    <w:jc w:val="both"/>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噪声排放应达到《工业企业厂界环境噪声排放标准》（GB12348）要求。</w:t>
                  </w:r>
                </w:p>
              </w:tc>
              <w:tc>
                <w:tcPr>
                  <w:tcW w:w="2542" w:type="dxa"/>
                  <w:vAlign w:val="center"/>
                </w:tcPr>
                <w:p w14:paraId="4C65B482">
                  <w:pPr>
                    <w:widowControl w:val="0"/>
                    <w:kinsoku/>
                    <w:autoSpaceDE w:val="0"/>
                    <w:autoSpaceDN w:val="0"/>
                    <w:adjustRightInd w:val="0"/>
                    <w:snapToGrid w:val="0"/>
                    <w:spacing w:line="300" w:lineRule="exact"/>
                    <w:jc w:val="both"/>
                    <w:textAlignment w:val="auto"/>
                    <w:rPr>
                      <w:rFonts w:hint="default" w:ascii="Times New Roman" w:hAnsi="Times New Roman" w:eastAsia="宋体" w:cs="Times New Roman"/>
                      <w:snapToGrid/>
                      <w:color w:val="auto"/>
                      <w:kern w:val="2"/>
                      <w:sz w:val="21"/>
                      <w:szCs w:val="21"/>
                      <w:lang w:val="en-US" w:eastAsia="zh-CN"/>
                    </w:rPr>
                  </w:pPr>
                  <w:r>
                    <w:rPr>
                      <w:rFonts w:hint="eastAsia" w:ascii="Times New Roman" w:hAnsi="Times New Roman" w:eastAsia="宋体" w:cs="Times New Roman"/>
                      <w:snapToGrid/>
                      <w:color w:val="auto"/>
                      <w:kern w:val="2"/>
                      <w:sz w:val="21"/>
                      <w:szCs w:val="21"/>
                      <w:lang w:val="en-US" w:eastAsia="zh-CN"/>
                    </w:rPr>
                    <w:t>项目</w:t>
                  </w:r>
                  <w:r>
                    <w:rPr>
                      <w:rFonts w:hint="default" w:ascii="Times New Roman" w:hAnsi="Times New Roman" w:eastAsia="宋体" w:cs="Times New Roman"/>
                      <w:snapToGrid/>
                      <w:color w:val="auto"/>
                      <w:kern w:val="2"/>
                      <w:sz w:val="21"/>
                      <w:szCs w:val="21"/>
                      <w:lang w:val="en-US" w:eastAsia="zh-CN"/>
                    </w:rPr>
                    <w:t>噪声排放应达到《工业企业厂界环境噪声排放标准》（GB12348</w:t>
                  </w:r>
                  <w:r>
                    <w:rPr>
                      <w:rFonts w:hint="eastAsia" w:ascii="Times New Roman" w:hAnsi="Times New Roman" w:eastAsia="宋体" w:cs="Times New Roman"/>
                      <w:snapToGrid/>
                      <w:color w:val="auto"/>
                      <w:kern w:val="2"/>
                      <w:sz w:val="21"/>
                      <w:szCs w:val="21"/>
                      <w:lang w:val="en-US" w:eastAsia="zh-CN"/>
                    </w:rPr>
                    <w:t>-2008</w:t>
                  </w:r>
                  <w:r>
                    <w:rPr>
                      <w:rFonts w:hint="default" w:ascii="Times New Roman" w:hAnsi="Times New Roman" w:eastAsia="宋体" w:cs="Times New Roman"/>
                      <w:snapToGrid/>
                      <w:color w:val="auto"/>
                      <w:kern w:val="2"/>
                      <w:sz w:val="21"/>
                      <w:szCs w:val="21"/>
                      <w:lang w:val="en-US" w:eastAsia="zh-CN"/>
                    </w:rPr>
                    <w:t>）要求。</w:t>
                  </w:r>
                </w:p>
              </w:tc>
              <w:tc>
                <w:tcPr>
                  <w:tcW w:w="502" w:type="dxa"/>
                  <w:vAlign w:val="center"/>
                </w:tcPr>
                <w:p w14:paraId="6165B4BE">
                  <w:pPr>
                    <w:widowControl w:val="0"/>
                    <w:kinsoku/>
                    <w:autoSpaceDE w:val="0"/>
                    <w:autoSpaceDN w:val="0"/>
                    <w:adjustRightInd w:val="0"/>
                    <w:snapToGrid w:val="0"/>
                    <w:spacing w:line="300" w:lineRule="exact"/>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符合</w:t>
                  </w:r>
                </w:p>
              </w:tc>
            </w:tr>
            <w:tr w14:paraId="5E073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5" w:hRule="atLeast"/>
                <w:jc w:val="center"/>
              </w:trPr>
              <w:tc>
                <w:tcPr>
                  <w:tcW w:w="518" w:type="dxa"/>
                  <w:tcBorders>
                    <w:left w:val="single" w:color="000000" w:sz="2" w:space="0"/>
                  </w:tcBorders>
                  <w:vAlign w:val="center"/>
                </w:tcPr>
                <w:p w14:paraId="2811B824">
                  <w:pPr>
                    <w:widowControl w:val="0"/>
                    <w:kinsoku/>
                    <w:autoSpaceDE w:val="0"/>
                    <w:autoSpaceDN w:val="0"/>
                    <w:adjustRightInd w:val="0"/>
                    <w:snapToGrid w:val="0"/>
                    <w:spacing w:line="300" w:lineRule="exact"/>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7</w:t>
                  </w:r>
                </w:p>
              </w:tc>
              <w:tc>
                <w:tcPr>
                  <w:tcW w:w="3156" w:type="dxa"/>
                  <w:vAlign w:val="center"/>
                </w:tcPr>
                <w:p w14:paraId="0899CBFA">
                  <w:pPr>
                    <w:widowControl w:val="0"/>
                    <w:kinsoku/>
                    <w:autoSpaceDE w:val="0"/>
                    <w:autoSpaceDN w:val="0"/>
                    <w:adjustRightInd w:val="0"/>
                    <w:snapToGrid w:val="0"/>
                    <w:spacing w:line="300" w:lineRule="exact"/>
                    <w:jc w:val="both"/>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对拟退役的废弃井（站）场、管道、道路等工程设施应进行生态修复，生态修复前应对废弃油（气）井、管道进行封堵或设施拆除，确保无土壤及地下水环境污染遗留问题、废弃物得到妥善处置。</w:t>
                  </w:r>
                </w:p>
              </w:tc>
              <w:tc>
                <w:tcPr>
                  <w:tcW w:w="2542" w:type="dxa"/>
                  <w:vAlign w:val="center"/>
                </w:tcPr>
                <w:p w14:paraId="378DD8A9">
                  <w:pPr>
                    <w:widowControl w:val="0"/>
                    <w:kinsoku/>
                    <w:autoSpaceDE w:val="0"/>
                    <w:autoSpaceDN w:val="0"/>
                    <w:adjustRightInd w:val="0"/>
                    <w:snapToGrid w:val="0"/>
                    <w:spacing w:line="300" w:lineRule="exact"/>
                    <w:jc w:val="both"/>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对拟退役的废弃井（站）场、道路等工程设施进行生态修复，生态修复前对废弃井进行封堵或设施拆除，确保无土壤及地下水环境污染遗留问题、废弃物得到妥善处置。</w:t>
                  </w:r>
                </w:p>
              </w:tc>
              <w:tc>
                <w:tcPr>
                  <w:tcW w:w="502" w:type="dxa"/>
                  <w:vAlign w:val="center"/>
                </w:tcPr>
                <w:p w14:paraId="4224C53D">
                  <w:pPr>
                    <w:widowControl w:val="0"/>
                    <w:kinsoku/>
                    <w:autoSpaceDE w:val="0"/>
                    <w:autoSpaceDN w:val="0"/>
                    <w:adjustRightInd w:val="0"/>
                    <w:snapToGrid w:val="0"/>
                    <w:spacing w:line="300" w:lineRule="exact"/>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符合</w:t>
                  </w:r>
                </w:p>
              </w:tc>
            </w:tr>
          </w:tbl>
          <w:p w14:paraId="37F09075">
            <w:pPr>
              <w:widowControl w:val="0"/>
              <w:numPr>
                <w:ilvl w:val="0"/>
                <w:numId w:val="0"/>
              </w:numPr>
              <w:adjustRightInd w:val="0"/>
              <w:snapToGrid w:val="0"/>
              <w:spacing w:line="360" w:lineRule="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10</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与《新疆生态环境保护</w:t>
            </w:r>
            <w:r>
              <w:rPr>
                <w:rFonts w:hint="eastAsia"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十四五</w:t>
            </w:r>
            <w:r>
              <w:rPr>
                <w:rFonts w:hint="eastAsia"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规划》</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2021年12月24日</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的相符性分析</w:t>
            </w:r>
          </w:p>
          <w:p w14:paraId="543DD355">
            <w:pPr>
              <w:widowControl w:val="0"/>
              <w:numPr>
                <w:ilvl w:val="0"/>
                <w:numId w:val="0"/>
              </w:numPr>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《规划》指出</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坚决遏制两高</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项目盲目发展，严格执行能源、矿产资源开发自治区人民政府</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一支</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审批制度、环境保护</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一票否决</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制度，落实</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三线一单</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生态环境分区管控要求，守住生态保护红线、环境质量底线和资源利用上线，实施生态环境准入清单管控</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本项目位于新疆维吾尔自治区昌吉回族自治州吉木萨尔县</w:t>
            </w:r>
            <w:r>
              <w:rPr>
                <w:rFonts w:hint="default" w:ascii="Times New Roman" w:hAnsi="Times New Roman" w:eastAsia="宋体" w:cs="Times New Roman"/>
                <w:color w:val="auto"/>
                <w:sz w:val="24"/>
                <w:szCs w:val="24"/>
                <w:highlight w:val="none"/>
                <w:lang w:val="en-US" w:eastAsia="zh-CN"/>
              </w:rPr>
              <w:t>和奇台县</w:t>
            </w:r>
            <w:r>
              <w:rPr>
                <w:rFonts w:hint="default" w:ascii="Times New Roman" w:hAnsi="Times New Roman" w:eastAsia="宋体" w:cs="Times New Roman"/>
                <w:color w:val="auto"/>
                <w:sz w:val="24"/>
                <w:szCs w:val="24"/>
                <w:highlight w:val="none"/>
              </w:rPr>
              <w:t>境内，不属于</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两高</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w:t>
            </w:r>
            <w:r>
              <w:rPr>
                <w:rFonts w:hint="eastAsia" w:ascii="Times New Roman" w:hAnsi="Times New Roman" w:eastAsia="宋体" w:cs="Times New Roman"/>
                <w:color w:val="auto"/>
                <w:sz w:val="24"/>
                <w:szCs w:val="24"/>
                <w:highlight w:val="none"/>
                <w:lang w:val="en-US" w:eastAsia="zh-CN"/>
              </w:rPr>
              <w:t>和</w:t>
            </w:r>
            <w:r>
              <w:rPr>
                <w:rFonts w:hint="default" w:ascii="Times New Roman" w:hAnsi="Times New Roman" w:eastAsia="宋体" w:cs="Times New Roman"/>
                <w:color w:val="auto"/>
                <w:sz w:val="24"/>
                <w:szCs w:val="24"/>
                <w:highlight w:val="none"/>
              </w:rPr>
              <w:t>不符合产业准入标准和政策的落后项目，符合昌吉回族自治州生态环境分区管控要求。因此，本项目符合《新疆生态环境保护</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十四五</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规划》</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2021年12月24日</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的要求。</w:t>
            </w:r>
          </w:p>
          <w:p w14:paraId="0CF7552F">
            <w:pPr>
              <w:widowControl w:val="0"/>
              <w:numPr>
                <w:ilvl w:val="0"/>
                <w:numId w:val="0"/>
              </w:numPr>
              <w:adjustRightInd w:val="0"/>
              <w:snapToGrid w:val="0"/>
              <w:spacing w:line="360" w:lineRule="auto"/>
              <w:jc w:val="both"/>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11</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与《新疆维吾尔自治区矿产资源总体规划</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2021-2025年</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2022年8月28日</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符合性分析</w:t>
            </w:r>
          </w:p>
          <w:p w14:paraId="60C97A29">
            <w:pPr>
              <w:widowControl w:val="0"/>
              <w:adjustRightInd w:val="0"/>
              <w:snapToGrid w:val="0"/>
              <w:spacing w:line="360" w:lineRule="auto"/>
              <w:ind w:firstLine="480" w:firstLineChars="200"/>
              <w:jc w:val="both"/>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《规划》中指出围绕新疆</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三屏两环多廊</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生态安全格局，坚持矿产资源开发与资源环境承载力相匹配，做好与国家和新疆区域发展战略及主体功能区的衔接，执行国土空间三条控制线内矿业活动管控要求，探索对三条控制线内、建设项目压覆、政策性关闭矿山的矿产资源保护与储备。落实生态环境准入清单，严格矿产资源开发禁止和限制的环境准入要求。坚守环境质量底线，加强矿产资源开发管控，合理调控全区矿产资源开发利用总量、强度，提高矿产资源利用效率。依据矿产资源分布特点及勘查开发利用现状，按照</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深化北疆东疆，</w:t>
            </w:r>
            <w:r>
              <w:rPr>
                <w:rFonts w:hint="eastAsia" w:ascii="Times New Roman" w:hAnsi="Times New Roman" w:eastAsia="宋体" w:cs="Times New Roman"/>
                <w:color w:val="auto"/>
                <w:sz w:val="24"/>
                <w:szCs w:val="24"/>
                <w:highlight w:val="none"/>
                <w:lang w:val="en-US" w:eastAsia="zh-CN"/>
              </w:rPr>
              <w:t>加</w:t>
            </w:r>
            <w:r>
              <w:rPr>
                <w:rFonts w:hint="default" w:ascii="Times New Roman" w:hAnsi="Times New Roman" w:eastAsia="宋体" w:cs="Times New Roman"/>
                <w:color w:val="auto"/>
                <w:sz w:val="24"/>
                <w:szCs w:val="24"/>
                <w:highlight w:val="none"/>
              </w:rPr>
              <w:t>快南疆勘查开发</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的总体思路，划分环准噶尔、环塔里木、阿尔泰、东准噶尔、西准噶尔、东天山、西天山、西南天山、西昆仑、东昆仑一阿尔金等“两环八带</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十个勘</w:t>
            </w:r>
            <w:r>
              <w:rPr>
                <w:rFonts w:hint="eastAsia" w:ascii="Times New Roman" w:hAnsi="Times New Roman" w:eastAsia="宋体" w:cs="Times New Roman"/>
                <w:color w:val="auto"/>
                <w:sz w:val="24"/>
                <w:szCs w:val="24"/>
                <w:highlight w:val="none"/>
                <w:lang w:eastAsia="zh-CN"/>
              </w:rPr>
              <w:t>查</w:t>
            </w:r>
            <w:r>
              <w:rPr>
                <w:rFonts w:hint="default" w:ascii="Times New Roman" w:hAnsi="Times New Roman" w:eastAsia="宋体" w:cs="Times New Roman"/>
                <w:color w:val="auto"/>
                <w:sz w:val="24"/>
                <w:szCs w:val="24"/>
                <w:highlight w:val="none"/>
              </w:rPr>
              <w:t>开发区</w:t>
            </w:r>
            <w:r>
              <w:rPr>
                <w:rFonts w:hint="eastAsia" w:ascii="Times New Roman" w:hAnsi="Times New Roman" w:eastAsia="宋体" w:cs="Times New Roman"/>
                <w:color w:val="auto"/>
                <w:sz w:val="24"/>
                <w:szCs w:val="24"/>
                <w:highlight w:val="none"/>
                <w:lang w:eastAsia="zh-CN"/>
              </w:rPr>
              <w:t>“”。</w:t>
            </w:r>
          </w:p>
          <w:p w14:paraId="63F326BD">
            <w:pPr>
              <w:widowControl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eastAsia" w:ascii="Times New Roman" w:hAnsi="Times New Roman" w:eastAsia="宋体" w:cs="Times New Roman"/>
                <w:color w:val="auto"/>
                <w:sz w:val="24"/>
                <w:szCs w:val="24"/>
                <w:highlight w:val="none"/>
                <w:lang w:val="en-US" w:eastAsia="zh-CN"/>
              </w:rPr>
              <w:t>属于</w:t>
            </w:r>
            <w:r>
              <w:rPr>
                <w:rFonts w:hint="default" w:ascii="Times New Roman" w:hAnsi="Times New Roman" w:eastAsia="宋体" w:cs="Times New Roman"/>
                <w:color w:val="auto"/>
                <w:sz w:val="24"/>
                <w:szCs w:val="24"/>
                <w:highlight w:val="none"/>
              </w:rPr>
              <w:t>地质勘查项目，勘探区域属城市建成区以外。项目临时占用</w:t>
            </w:r>
            <w:r>
              <w:rPr>
                <w:rFonts w:hint="eastAsia" w:ascii="Times New Roman" w:hAnsi="Times New Roman" w:eastAsia="宋体" w:cs="Times New Roman"/>
                <w:color w:val="auto"/>
                <w:spacing w:val="-2"/>
                <w:sz w:val="24"/>
                <w:szCs w:val="24"/>
                <w:highlight w:val="none"/>
                <w:lang w:val="en-US" w:eastAsia="zh-CN"/>
              </w:rPr>
              <w:t>水浇地、内陆滩涂、其他林地</w:t>
            </w:r>
            <w:r>
              <w:rPr>
                <w:rFonts w:hint="default" w:ascii="Times New Roman" w:hAnsi="Times New Roman" w:eastAsia="宋体" w:cs="Times New Roman"/>
                <w:color w:val="auto"/>
                <w:sz w:val="24"/>
                <w:szCs w:val="24"/>
                <w:highlight w:val="none"/>
              </w:rPr>
              <w:t>，但临时占地只在短期内改变土地利用类型和植被现状，施工结束后将对临时占用土地进行地貌恢复，即可恢复为原有土地利用类型。根据</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两环八带</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勘</w:t>
            </w:r>
            <w:r>
              <w:rPr>
                <w:rFonts w:hint="eastAsia" w:ascii="Times New Roman" w:hAnsi="Times New Roman" w:eastAsia="宋体" w:cs="Times New Roman"/>
                <w:color w:val="auto"/>
                <w:sz w:val="24"/>
                <w:szCs w:val="24"/>
                <w:highlight w:val="none"/>
                <w:lang w:val="en-US" w:eastAsia="zh-CN"/>
              </w:rPr>
              <w:t>查</w:t>
            </w:r>
            <w:r>
              <w:rPr>
                <w:rFonts w:hint="default" w:ascii="Times New Roman" w:hAnsi="Times New Roman" w:eastAsia="宋体" w:cs="Times New Roman"/>
                <w:color w:val="auto"/>
                <w:sz w:val="24"/>
                <w:szCs w:val="24"/>
                <w:highlight w:val="none"/>
              </w:rPr>
              <w:t>开发布局，本项目属于环准噶尔能源矿</w:t>
            </w:r>
            <w:r>
              <w:rPr>
                <w:rFonts w:hint="eastAsia" w:ascii="Times New Roman" w:hAnsi="Times New Roman" w:eastAsia="宋体" w:cs="Times New Roman"/>
                <w:color w:val="auto"/>
                <w:sz w:val="24"/>
                <w:szCs w:val="24"/>
                <w:highlight w:val="none"/>
                <w:lang w:val="en-US" w:eastAsia="zh-CN"/>
              </w:rPr>
              <w:t>产</w:t>
            </w:r>
            <w:r>
              <w:rPr>
                <w:rFonts w:hint="default" w:ascii="Times New Roman" w:hAnsi="Times New Roman" w:eastAsia="宋体" w:cs="Times New Roman"/>
                <w:color w:val="auto"/>
                <w:sz w:val="24"/>
                <w:szCs w:val="24"/>
                <w:highlight w:val="none"/>
              </w:rPr>
              <w:t>勘查开发区。本项目的建设符合相关政策、规划要求。</w:t>
            </w:r>
          </w:p>
          <w:p w14:paraId="77AF8738">
            <w:pPr>
              <w:widowControl w:val="0"/>
              <w:adjustRightInd w:val="0"/>
              <w:snapToGrid w:val="0"/>
              <w:spacing w:line="360" w:lineRule="auto"/>
              <w:ind w:firstLine="480" w:firstLineChars="200"/>
              <w:jc w:val="both"/>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《规划》中指出</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落实国家能源资源安全战略，结合新疆实际，合理确定重点、限制、禁止勘查开采矿种。</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重点勘</w:t>
            </w:r>
            <w:r>
              <w:rPr>
                <w:rFonts w:hint="eastAsia" w:ascii="Times New Roman" w:hAnsi="Times New Roman" w:eastAsia="宋体" w:cs="Times New Roman"/>
                <w:color w:val="auto"/>
                <w:sz w:val="24"/>
                <w:szCs w:val="24"/>
                <w:highlight w:val="none"/>
                <w:lang w:eastAsia="zh-CN"/>
              </w:rPr>
              <w:t>查</w:t>
            </w:r>
            <w:r>
              <w:rPr>
                <w:rFonts w:hint="default" w:ascii="Times New Roman" w:hAnsi="Times New Roman" w:eastAsia="宋体" w:cs="Times New Roman"/>
                <w:color w:val="auto"/>
                <w:sz w:val="24"/>
                <w:szCs w:val="24"/>
                <w:highlight w:val="none"/>
              </w:rPr>
              <w:t>开采矿种</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石油、天然气、页岩气、煤层气、煤、地热等能源矿产，铁、铬锰、铜、镍、钴、铅锌、金、锂、铍、钒、钛等金属矿产，以及钾盐、萤石、硅质原料等非金属矿产。</w:t>
            </w:r>
            <w:r>
              <w:rPr>
                <w:rFonts w:hint="eastAsia" w:ascii="Times New Roman" w:hAnsi="Times New Roman" w:eastAsia="宋体" w:cs="Times New Roman"/>
                <w:color w:val="auto"/>
                <w:sz w:val="24"/>
                <w:szCs w:val="24"/>
                <w:highlight w:val="none"/>
                <w:lang w:eastAsia="zh-CN"/>
              </w:rPr>
              <w:t>”</w:t>
            </w:r>
          </w:p>
          <w:p w14:paraId="14A5B954">
            <w:pPr>
              <w:widowControl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本项目为地质勘查项目，</w:t>
            </w:r>
            <w:r>
              <w:rPr>
                <w:rFonts w:hint="default" w:ascii="Times New Roman" w:hAnsi="Times New Roman" w:eastAsia="宋体" w:cs="Times New Roman"/>
                <w:color w:val="auto"/>
                <w:sz w:val="24"/>
                <w:szCs w:val="24"/>
                <w:highlight w:val="none"/>
                <w:lang w:val="en-US" w:eastAsia="zh-CN"/>
              </w:rPr>
              <w:t>属于</w:t>
            </w:r>
            <w:r>
              <w:rPr>
                <w:rFonts w:hint="default" w:ascii="Times New Roman" w:hAnsi="Times New Roman" w:eastAsia="宋体" w:cs="Times New Roman"/>
                <w:color w:val="auto"/>
                <w:sz w:val="24"/>
                <w:szCs w:val="24"/>
                <w:highlight w:val="none"/>
              </w:rPr>
              <w:t>新疆地区重点勘查开采矿种。因此本项目符合《新疆维吾尔自治区矿产资源总体规划</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2021-2025年</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2022年8月28日</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要求。</w:t>
            </w:r>
          </w:p>
          <w:p w14:paraId="4D975051">
            <w:pPr>
              <w:widowControl w:val="0"/>
              <w:adjustRightInd w:val="0"/>
              <w:snapToGrid w:val="0"/>
              <w:spacing w:line="360" w:lineRule="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12.</w:t>
            </w:r>
            <w:r>
              <w:rPr>
                <w:rFonts w:hint="default" w:ascii="Times New Roman" w:hAnsi="Times New Roman" w:eastAsia="宋体" w:cs="Times New Roman"/>
                <w:b/>
                <w:bCs/>
                <w:color w:val="auto"/>
                <w:sz w:val="24"/>
                <w:szCs w:val="24"/>
                <w:highlight w:val="none"/>
              </w:rPr>
              <w:t>与《新疆维吾尔自治区昌吉回族自治州矿产资源总体规划(2021-2025年)》</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2022年12月1日</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符合性分析</w:t>
            </w:r>
          </w:p>
          <w:p w14:paraId="3800486F">
            <w:pPr>
              <w:widowControl w:val="0"/>
              <w:adjustRightInd w:val="0"/>
              <w:snapToGrid w:val="0"/>
              <w:spacing w:line="360" w:lineRule="auto"/>
              <w:ind w:firstLine="480" w:firstLineChars="200"/>
              <w:jc w:val="both"/>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《新疆维吾尔自治区昌吉回族自治州矿产资源总体规划(2021-2025年)》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2022年12月1日</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第四章第一节矿产资源勘查开发调控方向中指出</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鼓励勘查开采的矿种:石油、天然气、煤层气、页岩气、煤、地热、金、铜、饰面用花岗岩、石灰岩、天然石英砂、石墨等矿产和自治区紧缺及市场需求量较大的矿产。</w:t>
            </w:r>
            <w:r>
              <w:rPr>
                <w:rFonts w:hint="eastAsia" w:ascii="Times New Roman" w:hAnsi="Times New Roman" w:eastAsia="宋体" w:cs="Times New Roman"/>
                <w:color w:val="auto"/>
                <w:sz w:val="24"/>
                <w:szCs w:val="24"/>
                <w:highlight w:val="none"/>
                <w:lang w:eastAsia="zh-CN"/>
              </w:rPr>
              <w:t>”</w:t>
            </w:r>
          </w:p>
          <w:p w14:paraId="0F1E45B9">
            <w:pPr>
              <w:widowControl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位于</w:t>
            </w:r>
            <w:r>
              <w:rPr>
                <w:rFonts w:hint="default" w:ascii="Times New Roman" w:hAnsi="Times New Roman" w:eastAsia="宋体" w:cs="Times New Roman"/>
                <w:color w:val="auto"/>
                <w:sz w:val="24"/>
                <w:szCs w:val="24"/>
                <w:highlight w:val="none"/>
              </w:rPr>
              <w:t>准噶尔盆地吉南油田萨探区块</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属于《规划》中鼓励勘探开采的矿种。符合《新疆维吾尔自治区昌吉回族自治州矿产资源总体规划</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2021-2025年</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2022年12月1日</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要求。</w:t>
            </w:r>
          </w:p>
          <w:p w14:paraId="14E127F9">
            <w:pPr>
              <w:widowControl w:val="0"/>
              <w:numPr>
                <w:ilvl w:val="0"/>
                <w:numId w:val="0"/>
              </w:numPr>
              <w:adjustRightInd w:val="0"/>
              <w:snapToGrid w:val="0"/>
              <w:spacing w:line="360" w:lineRule="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13</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与《新疆维吾尔自治区吉木萨尔县矿产资源总体规划(2021-2025年)》符合性分析</w:t>
            </w:r>
          </w:p>
          <w:p w14:paraId="29FCB47D">
            <w:pPr>
              <w:widowControl w:val="0"/>
              <w:numPr>
                <w:ilvl w:val="0"/>
                <w:numId w:val="0"/>
              </w:numPr>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《新疆维吾尔自治区吉木萨尔县矿产资源总体规划</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2021-2025年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》第四章第一</w:t>
            </w:r>
            <w:r>
              <w:rPr>
                <w:rFonts w:hint="eastAsia" w:ascii="Times New Roman" w:hAnsi="Times New Roman" w:eastAsia="宋体" w:cs="Times New Roman"/>
                <w:color w:val="auto"/>
                <w:sz w:val="24"/>
                <w:szCs w:val="24"/>
                <w:highlight w:val="none"/>
                <w:lang w:eastAsia="zh-CN"/>
              </w:rPr>
              <w:t>节矿</w:t>
            </w:r>
            <w:r>
              <w:rPr>
                <w:rFonts w:hint="default" w:ascii="Times New Roman" w:hAnsi="Times New Roman" w:eastAsia="宋体" w:cs="Times New Roman"/>
                <w:color w:val="auto"/>
                <w:sz w:val="24"/>
                <w:szCs w:val="24"/>
                <w:highlight w:val="none"/>
              </w:rPr>
              <w:t>产资源勘查开发调控方向第一条重要矿产勘查开发方向中指出“重点勘查开采矿种:石油、天然气、页岩气、煤层气、煤、油页岩等市场需求量较大的矿产。</w:t>
            </w:r>
          </w:p>
          <w:p w14:paraId="1040D575">
            <w:pPr>
              <w:widowControl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位于</w:t>
            </w:r>
            <w:r>
              <w:rPr>
                <w:rFonts w:hint="default" w:ascii="Times New Roman" w:hAnsi="Times New Roman" w:eastAsia="宋体" w:cs="Times New Roman"/>
                <w:color w:val="auto"/>
                <w:sz w:val="24"/>
                <w:szCs w:val="24"/>
                <w:highlight w:val="none"/>
              </w:rPr>
              <w:t>准噶尔盆地吉南油田萨探区块，属于《规划》中鼓励勘探开采的矿种</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综上，本项目的建设符合《新疆维吾尔自治区吉木萨尔县矿产资源总体规划</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2021-2025</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》的要求。</w:t>
            </w:r>
          </w:p>
          <w:p w14:paraId="25F888CA">
            <w:pPr>
              <w:widowControl w:val="0"/>
              <w:adjustRightInd w:val="0"/>
              <w:snapToGrid w:val="0"/>
              <w:spacing w:line="360" w:lineRule="auto"/>
              <w:jc w:val="both"/>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14.</w:t>
            </w:r>
            <w:r>
              <w:rPr>
                <w:rFonts w:hint="default" w:ascii="Times New Roman" w:hAnsi="Times New Roman" w:eastAsia="宋体" w:cs="Times New Roman"/>
                <w:b/>
                <w:bCs/>
                <w:color w:val="auto"/>
                <w:sz w:val="24"/>
                <w:szCs w:val="24"/>
                <w:highlight w:val="none"/>
              </w:rPr>
              <w:t>与《新疆维吾尔自治区奇台县矿产资源总体规划</w:t>
            </w:r>
            <w:r>
              <w:rPr>
                <w:rFonts w:hint="eastAsia"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2021-2025年</w:t>
            </w:r>
            <w:r>
              <w:rPr>
                <w:rFonts w:hint="eastAsia"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2023年3月3日</w:t>
            </w:r>
            <w:r>
              <w:rPr>
                <w:rFonts w:hint="eastAsia"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符合性分析</w:t>
            </w:r>
          </w:p>
          <w:p w14:paraId="12EF821A">
            <w:pPr>
              <w:widowControl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《新疆维吾尔自治区奇台县矿产资源总体规划</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2021-2025年</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2023年3月3日</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第四章第一节矿产资源勘查开发调控方向第一条重要矿产勘</w:t>
            </w:r>
            <w:r>
              <w:rPr>
                <w:rFonts w:hint="eastAsia" w:ascii="Times New Roman" w:hAnsi="Times New Roman" w:eastAsia="宋体" w:cs="Times New Roman"/>
                <w:color w:val="auto"/>
                <w:sz w:val="24"/>
                <w:szCs w:val="24"/>
                <w:highlight w:val="none"/>
                <w:lang w:eastAsia="zh-CN"/>
              </w:rPr>
              <w:t>查</w:t>
            </w:r>
            <w:r>
              <w:rPr>
                <w:rFonts w:hint="default" w:ascii="Times New Roman" w:hAnsi="Times New Roman" w:eastAsia="宋体" w:cs="Times New Roman"/>
                <w:color w:val="auto"/>
                <w:sz w:val="24"/>
                <w:szCs w:val="24"/>
                <w:highlight w:val="none"/>
              </w:rPr>
              <w:t>开发方向中指出</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重点勘查开发矿种</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石油、天然气、页岩气、煤层气、煤、油页岩等能源矿产以及金、铜等金属矿产和硅基原料、石墨、沸石、珍珠岩、天然石英砂等优势或潜在优势非金属矿种。</w:t>
            </w:r>
            <w:r>
              <w:rPr>
                <w:rFonts w:hint="eastAsia" w:ascii="Times New Roman" w:hAnsi="Times New Roman" w:eastAsia="宋体" w:cs="Times New Roman"/>
                <w:color w:val="auto"/>
                <w:sz w:val="24"/>
                <w:szCs w:val="24"/>
                <w:highlight w:val="none"/>
                <w:lang w:eastAsia="zh-CN"/>
              </w:rPr>
              <w:t>”</w:t>
            </w:r>
          </w:p>
          <w:p w14:paraId="362E1A64">
            <w:pPr>
              <w:widowControl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位于</w:t>
            </w:r>
            <w:r>
              <w:rPr>
                <w:rFonts w:hint="default" w:ascii="Times New Roman" w:hAnsi="Times New Roman" w:eastAsia="宋体" w:cs="Times New Roman"/>
                <w:color w:val="auto"/>
                <w:sz w:val="24"/>
                <w:szCs w:val="24"/>
                <w:highlight w:val="none"/>
              </w:rPr>
              <w:t>准噶尔盆地吉南油田萨探区块</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属于《规划》中鼓励勘探开采的矿种。</w:t>
            </w:r>
          </w:p>
          <w:p w14:paraId="46DD5D5B">
            <w:pPr>
              <w:widowControl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综上，本项目的建设符合《新疆维吾尔自治区奇台县矿产资源总体规划</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2021-2025年</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2023年3月3日</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要求。</w:t>
            </w:r>
          </w:p>
          <w:p w14:paraId="15E136C9">
            <w:pPr>
              <w:widowControl w:val="0"/>
              <w:numPr>
                <w:ilvl w:val="0"/>
                <w:numId w:val="0"/>
              </w:numPr>
              <w:adjustRightInd w:val="0"/>
              <w:snapToGrid w:val="0"/>
              <w:spacing w:line="360" w:lineRule="auto"/>
              <w:jc w:val="both"/>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15.与《新疆维吾尔自治区2025年空气质量持续改善行动实施方案》（新政办发[2024]58号）符合性分析</w:t>
            </w:r>
          </w:p>
          <w:p w14:paraId="17A29254">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firstLine="482" w:firstLineChars="200"/>
              <w:jc w:val="both"/>
              <w:textAlignment w:val="baseline"/>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项目与《新疆维吾尔自治区2025年空气质量持续改善行动实施方案》（新政办发[2024]58号）符合性分析见表1-10。</w:t>
            </w:r>
          </w:p>
          <w:p w14:paraId="79B53A7D">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firstLine="422" w:firstLineChars="20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表1-10与</w:t>
            </w:r>
            <w:r>
              <w:rPr>
                <w:rFonts w:hint="default" w:ascii="Times New Roman" w:hAnsi="Times New Roman" w:eastAsia="宋体" w:cs="Times New Roman"/>
                <w:b/>
                <w:bCs/>
                <w:color w:val="auto"/>
                <w:sz w:val="21"/>
                <w:szCs w:val="21"/>
              </w:rPr>
              <w:t>《新疆维吾尔自治区</w:t>
            </w:r>
            <w:r>
              <w:rPr>
                <w:rFonts w:hint="default" w:ascii="Times New Roman" w:hAnsi="Times New Roman" w:eastAsia="TimesNewRomanPS-BoldMT" w:cs="Times New Roman"/>
                <w:b/>
                <w:bCs/>
                <w:color w:val="auto"/>
                <w:sz w:val="21"/>
                <w:szCs w:val="21"/>
              </w:rPr>
              <w:t>2025</w:t>
            </w:r>
            <w:r>
              <w:rPr>
                <w:rFonts w:hint="default" w:ascii="Times New Roman" w:hAnsi="Times New Roman" w:eastAsia="宋体" w:cs="Times New Roman"/>
                <w:b/>
                <w:bCs/>
                <w:color w:val="auto"/>
                <w:sz w:val="21"/>
                <w:szCs w:val="21"/>
              </w:rPr>
              <w:t>年空气质量持续改善行动实施方案》符合性分析</w:t>
            </w:r>
          </w:p>
          <w:tbl>
            <w:tblPr>
              <w:tblStyle w:val="12"/>
              <w:tblW w:w="6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3240"/>
              <w:gridCol w:w="1068"/>
              <w:gridCol w:w="1630"/>
            </w:tblGrid>
            <w:tr w14:paraId="5E530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2" w:type="dxa"/>
                  <w:vAlign w:val="center"/>
                </w:tcPr>
                <w:p w14:paraId="7FD02E90">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序号</w:t>
                  </w:r>
                </w:p>
              </w:tc>
              <w:tc>
                <w:tcPr>
                  <w:tcW w:w="3240" w:type="dxa"/>
                  <w:vAlign w:val="center"/>
                </w:tcPr>
                <w:p w14:paraId="370B2FB2">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方案内容</w:t>
                  </w:r>
                </w:p>
              </w:tc>
              <w:tc>
                <w:tcPr>
                  <w:tcW w:w="1068" w:type="dxa"/>
                  <w:vAlign w:val="center"/>
                </w:tcPr>
                <w:p w14:paraId="1D03A9D8">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项目情况</w:t>
                  </w:r>
                </w:p>
              </w:tc>
              <w:tc>
                <w:tcPr>
                  <w:tcW w:w="1630" w:type="dxa"/>
                  <w:vAlign w:val="center"/>
                </w:tcPr>
                <w:p w14:paraId="6564D1D2">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符合性</w:t>
                  </w:r>
                </w:p>
              </w:tc>
            </w:tr>
            <w:tr w14:paraId="24699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82" w:type="dxa"/>
                  <w:vAlign w:val="center"/>
                </w:tcPr>
                <w:p w14:paraId="366C3B0A">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w:t>
                  </w:r>
                </w:p>
              </w:tc>
              <w:tc>
                <w:tcPr>
                  <w:tcW w:w="3240" w:type="dxa"/>
                  <w:vAlign w:val="center"/>
                </w:tcPr>
                <w:p w14:paraId="5948376B">
                  <w:pPr>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Times New Roman"/>
                      <w:color w:val="auto"/>
                      <w:sz w:val="21"/>
                      <w:szCs w:val="21"/>
                      <w:lang w:val="zh-CN"/>
                    </w:rPr>
                    <w:t>坚决遏制高耗能、高排放、低水平项目盲目上马。新改扩建项目严格落实国家和自治区产业规划、产业政策、生态环境分区管控方案、规划环评、项目环评、节能审查、产能置换、重点污染物总量控制、污染物排放区域削减、碳排放达峰目标等相关要求，原则上采用清洁运输方式，达到能效标杆水平、环保绩效A级水平。涉及产能置换的项目，被置换产能及设备关停后，新建项目方可投产。严格落实钢铁产能置换，联防联控区严禁新增钢铁产能。推行钢铁、焦化、烧结一体化布局，大幅减少独立焦化、烧结、球团和热轧企业及工序。到2025年，短流程炼钢产量占比力争提升至15%。</w:t>
                  </w:r>
                </w:p>
              </w:tc>
              <w:tc>
                <w:tcPr>
                  <w:tcW w:w="1068" w:type="dxa"/>
                  <w:vAlign w:val="center"/>
                </w:tcPr>
                <w:p w14:paraId="7CA1876A">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Times New Roman"/>
                      <w:color w:val="auto"/>
                      <w:sz w:val="21"/>
                      <w:szCs w:val="21"/>
                      <w:lang w:val="zh-CN"/>
                    </w:rPr>
                    <w:t>本项目不属于钢铁行业及高排放、高耗能、低水平的工业项目，符合国家产业政策</w:t>
                  </w:r>
                </w:p>
              </w:tc>
              <w:tc>
                <w:tcPr>
                  <w:tcW w:w="1630" w:type="dxa"/>
                  <w:vAlign w:val="center"/>
                </w:tcPr>
                <w:p w14:paraId="1A6EEA65">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0FF35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82" w:type="dxa"/>
                  <w:vAlign w:val="center"/>
                </w:tcPr>
                <w:p w14:paraId="52938885">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w:t>
                  </w:r>
                </w:p>
              </w:tc>
              <w:tc>
                <w:tcPr>
                  <w:tcW w:w="3240" w:type="dxa"/>
                  <w:vAlign w:val="center"/>
                </w:tcPr>
                <w:p w14:paraId="05328987">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Times New Roman"/>
                      <w:color w:val="auto"/>
                      <w:sz w:val="21"/>
                      <w:szCs w:val="21"/>
                      <w:lang w:val="zh-CN"/>
                    </w:rPr>
                    <w:t>加快退出重点行业落后产能。修订《产业结构调整指导目录》，研究将污染物或温室气体排放明显高出行业平均水平、能效和清洁生产水平低的工艺和装备纳入淘汰类和限制类名单。重点区域进一步提高落后产能能耗、环保、质量、安全、技术等要求，逐步退出限制类涉气行业工艺和装备；逐步淘汰172阜康油田康探 1 区块二叠系上乌尔禾组砾岩油藏康探 1 断块开发试验步进式烧结机和球团竖炉以及半封闭式硅锰合金、镍铁、高碳铬铁、高碳锰铁电炉。引导重点区域钢铁、焦化、电解铝等产业有序调整优化</w:t>
                  </w:r>
                </w:p>
              </w:tc>
              <w:tc>
                <w:tcPr>
                  <w:tcW w:w="1068" w:type="dxa"/>
                  <w:vAlign w:val="center"/>
                </w:tcPr>
                <w:p w14:paraId="1A121131">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Times New Roman"/>
                      <w:color w:val="auto"/>
                      <w:sz w:val="21"/>
                      <w:szCs w:val="21"/>
                      <w:lang w:val="zh-CN"/>
                    </w:rPr>
                    <w:t>本项目为陆地石油天然气</w:t>
                  </w:r>
                  <w:r>
                    <w:rPr>
                      <w:rFonts w:hint="eastAsia" w:ascii="Times New Roman" w:hAnsi="Times New Roman" w:eastAsia="宋体"/>
                      <w:color w:val="auto"/>
                      <w:sz w:val="21"/>
                      <w:szCs w:val="21"/>
                      <w:lang w:val="en-US" w:eastAsia="zh-CN"/>
                    </w:rPr>
                    <w:t>勘探</w:t>
                  </w:r>
                  <w:r>
                    <w:rPr>
                      <w:rFonts w:hint="default" w:ascii="Times New Roman" w:hAnsi="Times New Roman" w:eastAsia="Times New Roman"/>
                      <w:color w:val="auto"/>
                      <w:sz w:val="21"/>
                      <w:szCs w:val="21"/>
                      <w:lang w:val="zh-CN"/>
                    </w:rPr>
                    <w:t>项目，属于鼓励类</w:t>
                  </w:r>
                  <w:r>
                    <w:rPr>
                      <w:rFonts w:hint="eastAsia" w:ascii="Times New Roman" w:hAnsi="Times New Roman" w:eastAsia="宋体"/>
                      <w:color w:val="auto"/>
                      <w:sz w:val="21"/>
                      <w:szCs w:val="21"/>
                      <w:lang w:val="en-US" w:eastAsia="zh-CN"/>
                    </w:rPr>
                    <w:t>项</w:t>
                  </w:r>
                  <w:r>
                    <w:rPr>
                      <w:rFonts w:hint="default" w:ascii="Times New Roman" w:hAnsi="Times New Roman" w:eastAsia="Times New Roman"/>
                      <w:color w:val="auto"/>
                      <w:sz w:val="21"/>
                      <w:szCs w:val="21"/>
                      <w:lang w:val="zh-CN"/>
                    </w:rPr>
                    <w:t>目，不在淘汰类工业项目名录中</w:t>
                  </w:r>
                </w:p>
              </w:tc>
              <w:tc>
                <w:tcPr>
                  <w:tcW w:w="1630" w:type="dxa"/>
                  <w:vAlign w:val="center"/>
                </w:tcPr>
                <w:p w14:paraId="18F54F60">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555C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82" w:type="dxa"/>
                  <w:vAlign w:val="center"/>
                </w:tcPr>
                <w:p w14:paraId="77D49B98">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w:t>
                  </w:r>
                </w:p>
              </w:tc>
              <w:tc>
                <w:tcPr>
                  <w:tcW w:w="3240" w:type="dxa"/>
                  <w:vAlign w:val="center"/>
                </w:tcPr>
                <w:p w14:paraId="38AE54FE">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Times New Roman"/>
                      <w:color w:val="auto"/>
                      <w:sz w:val="21"/>
                      <w:szCs w:val="21"/>
                      <w:lang w:val="zh-CN"/>
                    </w:rPr>
                    <w:t>推进传统产业集群升级改造。推动传统产业集群升级发展，开展产业集群专项治理，依法淘汰关停一批、搬迁入园一批、就地改造一批、做优做强一批，因地制宜建设集中供热中心、集中喷涂中心、活性炭集中再生中心和有机溶剂集中回收处置中心。</w:t>
                  </w:r>
                </w:p>
              </w:tc>
              <w:tc>
                <w:tcPr>
                  <w:tcW w:w="1068" w:type="dxa"/>
                  <w:vAlign w:val="center"/>
                </w:tcPr>
                <w:p w14:paraId="0AA175FA">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Times New Roman"/>
                      <w:color w:val="auto"/>
                      <w:sz w:val="21"/>
                      <w:szCs w:val="21"/>
                      <w:lang w:val="zh-CN"/>
                    </w:rPr>
                    <w:t>本项目为石油天然气</w:t>
                  </w:r>
                  <w:r>
                    <w:rPr>
                      <w:rFonts w:hint="eastAsia" w:ascii="Times New Roman" w:hAnsi="Times New Roman" w:eastAsia="宋体"/>
                      <w:color w:val="auto"/>
                      <w:sz w:val="21"/>
                      <w:szCs w:val="21"/>
                      <w:lang w:val="en-US" w:eastAsia="zh-CN"/>
                    </w:rPr>
                    <w:t>勘探</w:t>
                  </w:r>
                  <w:r>
                    <w:rPr>
                      <w:rFonts w:hint="default" w:ascii="Times New Roman" w:hAnsi="Times New Roman" w:eastAsia="Times New Roman"/>
                      <w:color w:val="auto"/>
                      <w:sz w:val="21"/>
                      <w:szCs w:val="21"/>
                      <w:lang w:val="zh-CN"/>
                    </w:rPr>
                    <w:t>项目，产生的天然气由第三方销售综合利用，符合清洁能源要求。</w:t>
                  </w:r>
                </w:p>
              </w:tc>
              <w:tc>
                <w:tcPr>
                  <w:tcW w:w="1630" w:type="dxa"/>
                  <w:vAlign w:val="center"/>
                </w:tcPr>
                <w:p w14:paraId="61508850">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6DB59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82" w:type="dxa"/>
                  <w:vAlign w:val="center"/>
                </w:tcPr>
                <w:p w14:paraId="6352D870">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w:t>
                  </w:r>
                </w:p>
              </w:tc>
              <w:tc>
                <w:tcPr>
                  <w:tcW w:w="3240" w:type="dxa"/>
                  <w:vAlign w:val="center"/>
                </w:tcPr>
                <w:p w14:paraId="15255B64">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Times New Roman"/>
                      <w:color w:val="auto"/>
                      <w:sz w:val="21"/>
                      <w:szCs w:val="21"/>
                      <w:lang w:val="zh-CN"/>
                    </w:rPr>
                    <w:t>大力发展新能源和清洁能源。推进风电光伏等清洁能源基地建设，构建新型电力系统。推进新能源与优势产业联动发展，加大高载能行业和自备电厂清洁能源替代力度。非化石能源消费比重和电能占终端能源消费比重达到相关规划要求。持续增加天然气生产供应，优先保障居民生活和清洁取暖、农业散煤治理等需求。</w:t>
                  </w:r>
                </w:p>
              </w:tc>
              <w:tc>
                <w:tcPr>
                  <w:tcW w:w="1068" w:type="dxa"/>
                  <w:vAlign w:val="center"/>
                </w:tcPr>
                <w:p w14:paraId="4E9553B5">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Times New Roman"/>
                      <w:color w:val="auto"/>
                      <w:sz w:val="21"/>
                      <w:szCs w:val="21"/>
                      <w:lang w:val="zh-CN"/>
                    </w:rPr>
                    <w:t>本项目为石油</w:t>
                  </w:r>
                  <w:r>
                    <w:rPr>
                      <w:rFonts w:hint="eastAsia" w:ascii="Times New Roman" w:hAnsi="Times New Roman" w:eastAsia="宋体"/>
                      <w:color w:val="auto"/>
                      <w:sz w:val="21"/>
                      <w:szCs w:val="21"/>
                      <w:lang w:val="en-US" w:eastAsia="zh-CN"/>
                    </w:rPr>
                    <w:t>勘探</w:t>
                  </w:r>
                  <w:r>
                    <w:rPr>
                      <w:rFonts w:hint="default" w:ascii="Times New Roman" w:hAnsi="Times New Roman" w:eastAsia="Times New Roman"/>
                      <w:color w:val="auto"/>
                      <w:sz w:val="21"/>
                      <w:szCs w:val="21"/>
                      <w:lang w:val="zh-CN"/>
                    </w:rPr>
                    <w:t>项目，属于国家能源项目。</w:t>
                  </w:r>
                </w:p>
              </w:tc>
              <w:tc>
                <w:tcPr>
                  <w:tcW w:w="1630" w:type="dxa"/>
                  <w:vAlign w:val="center"/>
                </w:tcPr>
                <w:p w14:paraId="0FCE4EA1">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477D9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582" w:type="dxa"/>
                  <w:vAlign w:val="center"/>
                </w:tcPr>
                <w:p w14:paraId="0108C3B4">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w:t>
                  </w:r>
                </w:p>
              </w:tc>
              <w:tc>
                <w:tcPr>
                  <w:tcW w:w="3240" w:type="dxa"/>
                  <w:vAlign w:val="center"/>
                </w:tcPr>
                <w:p w14:paraId="43DAE435">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Times New Roman"/>
                      <w:color w:val="auto"/>
                      <w:sz w:val="21"/>
                      <w:szCs w:val="21"/>
                      <w:lang w:val="zh-CN"/>
                    </w:rPr>
                    <w:t>严格合理控制煤炭消费总量。在保障能源安全供应前提下，联防联控区合理控制新改扩建用煤项目；不得将使用石油焦、焦炭、兰炭等高污染燃料作为煤炭减量替代措施。完善联防联控区煤炭消费减量替代管理，煤矸石、原料用煤不纳入煤炭消费总量。高质量建设国家大型煤电煤化工基地，原则上不再新增自备燃煤机组，推进现有自备燃煤机组清洁能源替代。合理保障支撑电力稳定供应、电网安全运行、清洁能源大规模并网消纳的煤电项目及其用煤量。完善联防联控区骨干电网建设，保障冬季生</w:t>
                  </w:r>
                  <w:r>
                    <w:rPr>
                      <w:rFonts w:hint="eastAsia" w:ascii="Times New Roman" w:hAnsi="Times New Roman" w:eastAsia="Times New Roman"/>
                      <w:color w:val="auto"/>
                      <w:sz w:val="21"/>
                      <w:szCs w:val="21"/>
                      <w:lang w:val="zh-CN"/>
                    </w:rPr>
                    <w:t>产用</w:t>
                  </w:r>
                  <w:r>
                    <w:rPr>
                      <w:rFonts w:hint="default" w:ascii="Times New Roman" w:hAnsi="Times New Roman" w:eastAsia="Times New Roman"/>
                      <w:color w:val="auto"/>
                      <w:sz w:val="21"/>
                      <w:szCs w:val="21"/>
                      <w:lang w:val="zh-CN"/>
                    </w:rPr>
                    <w:t>电需求。</w:t>
                  </w:r>
                </w:p>
              </w:tc>
              <w:tc>
                <w:tcPr>
                  <w:tcW w:w="1068" w:type="dxa"/>
                  <w:vAlign w:val="center"/>
                </w:tcPr>
                <w:p w14:paraId="2FAE81E9">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Times New Roman"/>
                      <w:color w:val="auto"/>
                      <w:sz w:val="21"/>
                      <w:szCs w:val="21"/>
                      <w:lang w:val="zh-CN"/>
                    </w:rPr>
                    <w:t>本项目为石油开采项目，属于国家能源项目，项目开采过程中使用电能或天然气供热，不用煤炭。</w:t>
                  </w:r>
                </w:p>
              </w:tc>
              <w:tc>
                <w:tcPr>
                  <w:tcW w:w="1630" w:type="dxa"/>
                  <w:vAlign w:val="center"/>
                </w:tcPr>
                <w:p w14:paraId="5F37B8CD">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r w14:paraId="6DFD4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582" w:type="dxa"/>
                  <w:vAlign w:val="center"/>
                </w:tcPr>
                <w:p w14:paraId="14071E69">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w:t>
                  </w:r>
                </w:p>
              </w:tc>
              <w:tc>
                <w:tcPr>
                  <w:tcW w:w="3240" w:type="dxa"/>
                  <w:vAlign w:val="center"/>
                </w:tcPr>
                <w:p w14:paraId="41A340D5">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Times New Roman"/>
                      <w:color w:val="auto"/>
                      <w:sz w:val="21"/>
                      <w:szCs w:val="21"/>
                      <w:lang w:val="zh-CN"/>
                    </w:rPr>
                  </w:pPr>
                  <w:r>
                    <w:rPr>
                      <w:rFonts w:hint="default" w:ascii="Times New Roman" w:hAnsi="Times New Roman" w:eastAsia="Times New Roman"/>
                      <w:color w:val="auto"/>
                      <w:sz w:val="21"/>
                      <w:szCs w:val="21"/>
                      <w:lang w:val="zh-CN"/>
                    </w:rPr>
                    <w:t>持续强化扬尘污染综合管控。施工场地严格落实</w:t>
                  </w:r>
                  <w:r>
                    <w:rPr>
                      <w:rFonts w:hint="eastAsia" w:ascii="Times New Roman" w:hAnsi="Times New Roman" w:eastAsia="Times New Roman"/>
                      <w:color w:val="auto"/>
                      <w:sz w:val="21"/>
                      <w:szCs w:val="21"/>
                      <w:lang w:val="zh-CN"/>
                    </w:rPr>
                    <w:t>“</w:t>
                  </w:r>
                  <w:r>
                    <w:rPr>
                      <w:rFonts w:hint="default" w:ascii="Times New Roman" w:hAnsi="Times New Roman" w:eastAsia="Times New Roman"/>
                      <w:color w:val="auto"/>
                      <w:sz w:val="21"/>
                      <w:szCs w:val="21"/>
                      <w:lang w:val="zh-CN"/>
                    </w:rPr>
                    <w:t>六个百分百”要求。扬尘污染防治费用纳入工程造价，3000m</w:t>
                  </w:r>
                  <w:r>
                    <w:rPr>
                      <w:rFonts w:hint="default" w:ascii="Times New Roman" w:hAnsi="Times New Roman" w:eastAsia="Times New Roman"/>
                      <w:color w:val="auto"/>
                      <w:sz w:val="21"/>
                      <w:szCs w:val="21"/>
                      <w:vertAlign w:val="superscript"/>
                      <w:lang w:val="zh-CN"/>
                    </w:rPr>
                    <w:t>2</w:t>
                  </w:r>
                  <w:r>
                    <w:rPr>
                      <w:rFonts w:hint="default" w:ascii="Times New Roman" w:hAnsi="Times New Roman" w:eastAsia="Times New Roman"/>
                      <w:color w:val="auto"/>
                      <w:sz w:val="21"/>
                      <w:szCs w:val="21"/>
                      <w:lang w:val="zh-CN"/>
                    </w:rPr>
                    <w:t>及以上建筑工地安装视频监控并接入当地监管平台。道路、水务等长距离线性工程实行分段施工。城市建成区主次干道机械化清扫率达到80%。加强城市及周边公共裸地、物料堆场等易产尘区域抑尘管理。到2025年，装配式建筑占新建建筑面积比例达到 30%。</w:t>
                  </w:r>
                </w:p>
              </w:tc>
              <w:tc>
                <w:tcPr>
                  <w:tcW w:w="1068" w:type="dxa"/>
                  <w:vAlign w:val="center"/>
                </w:tcPr>
                <w:p w14:paraId="4CEC455B">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Times New Roman"/>
                      <w:color w:val="auto"/>
                      <w:sz w:val="21"/>
                      <w:szCs w:val="21"/>
                      <w:lang w:val="zh-CN"/>
                    </w:rPr>
                  </w:pPr>
                  <w:r>
                    <w:rPr>
                      <w:rFonts w:ascii="宋体" w:hAnsi="宋体" w:eastAsia="宋体" w:cs="宋体"/>
                      <w:b w:val="0"/>
                      <w:bCs w:val="0"/>
                      <w:color w:val="auto"/>
                      <w:sz w:val="21"/>
                      <w:szCs w:val="21"/>
                    </w:rPr>
                    <w:t>本项目施工场地严格落实</w:t>
                  </w:r>
                  <w:r>
                    <w:rPr>
                      <w:rFonts w:hint="eastAsia" w:ascii="TimesNewRomanPSMT" w:hAnsi="TimesNewRomanPSMT" w:eastAsia="宋体" w:cs="TimesNewRomanPSMT"/>
                      <w:b w:val="0"/>
                      <w:bCs w:val="0"/>
                      <w:color w:val="auto"/>
                      <w:sz w:val="21"/>
                      <w:szCs w:val="21"/>
                      <w:lang w:eastAsia="zh-CN"/>
                    </w:rPr>
                    <w:t>“</w:t>
                  </w:r>
                  <w:r>
                    <w:rPr>
                      <w:rFonts w:ascii="宋体" w:hAnsi="宋体" w:eastAsia="宋体" w:cs="宋体"/>
                      <w:b w:val="0"/>
                      <w:bCs w:val="0"/>
                      <w:color w:val="auto"/>
                      <w:sz w:val="21"/>
                      <w:szCs w:val="21"/>
                    </w:rPr>
                    <w:t>六个百分百</w:t>
                  </w:r>
                  <w:r>
                    <w:rPr>
                      <w:rFonts w:hint="eastAsia" w:ascii="TimesNewRomanPSMT" w:hAnsi="TimesNewRomanPSMT" w:eastAsia="宋体" w:cs="TimesNewRomanPSMT"/>
                      <w:b w:val="0"/>
                      <w:bCs w:val="0"/>
                      <w:color w:val="auto"/>
                      <w:sz w:val="21"/>
                      <w:szCs w:val="21"/>
                      <w:lang w:eastAsia="zh-CN"/>
                    </w:rPr>
                    <w:t>”</w:t>
                  </w:r>
                  <w:r>
                    <w:rPr>
                      <w:rFonts w:ascii="宋体" w:hAnsi="宋体" w:eastAsia="宋体" w:cs="宋体"/>
                      <w:b w:val="0"/>
                      <w:bCs w:val="0"/>
                      <w:color w:val="auto"/>
                      <w:sz w:val="21"/>
                      <w:szCs w:val="21"/>
                    </w:rPr>
                    <w:t>要求，扬尘污染防治费用已纳入工程造价。</w:t>
                  </w:r>
                </w:p>
              </w:tc>
              <w:tc>
                <w:tcPr>
                  <w:tcW w:w="1630" w:type="dxa"/>
                  <w:vAlign w:val="center"/>
                </w:tcPr>
                <w:p w14:paraId="4C94275A">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bl>
          <w:p w14:paraId="01642C9B">
            <w:pPr>
              <w:widowControl w:val="0"/>
              <w:adjustRightInd w:val="0"/>
              <w:snapToGrid w:val="0"/>
              <w:spacing w:line="360" w:lineRule="auto"/>
              <w:jc w:val="both"/>
              <w:rPr>
                <w:rFonts w:hint="default" w:ascii="Times New Roman" w:hAnsi="Times New Roman" w:eastAsia="宋体" w:cs="Times New Roman"/>
                <w:color w:val="auto"/>
                <w:sz w:val="24"/>
                <w:szCs w:val="24"/>
                <w:highlight w:val="none"/>
              </w:rPr>
            </w:pPr>
          </w:p>
        </w:tc>
      </w:tr>
    </w:tbl>
    <w:p w14:paraId="72FD88E6">
      <w:pPr>
        <w:rPr>
          <w:rFonts w:hint="default" w:ascii="Times New Roman" w:hAnsi="Times New Roman" w:eastAsia="宋体" w:cs="Times New Roman"/>
          <w:b/>
          <w:bCs/>
          <w:color w:val="auto"/>
          <w:spacing w:val="4"/>
          <w:sz w:val="31"/>
          <w:szCs w:val="31"/>
          <w:highlight w:val="none"/>
          <w:lang w:val="en-US" w:eastAsia="zh-CN"/>
        </w:rPr>
      </w:pPr>
      <w:r>
        <w:rPr>
          <w:rFonts w:hint="default" w:ascii="Times New Roman" w:hAnsi="Times New Roman" w:eastAsia="宋体" w:cs="Times New Roman"/>
          <w:b/>
          <w:bCs/>
          <w:color w:val="auto"/>
          <w:spacing w:val="4"/>
          <w:sz w:val="31"/>
          <w:szCs w:val="31"/>
          <w:highlight w:val="none"/>
          <w:lang w:val="en-US" w:eastAsia="zh-CN"/>
        </w:rPr>
        <w:br w:type="page"/>
      </w:r>
    </w:p>
    <w:p w14:paraId="6E553CAF">
      <w:pPr>
        <w:numPr>
          <w:ilvl w:val="0"/>
          <w:numId w:val="0"/>
        </w:numPr>
        <w:spacing w:before="101" w:line="360" w:lineRule="auto"/>
        <w:jc w:val="center"/>
        <w:outlineLvl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4"/>
          <w:sz w:val="31"/>
          <w:szCs w:val="31"/>
          <w:highlight w:val="none"/>
          <w:lang w:val="en-US" w:eastAsia="zh-CN"/>
        </w:rPr>
        <w:t>二、</w:t>
      </w:r>
      <w:r>
        <w:rPr>
          <w:rFonts w:hint="default" w:ascii="Times New Roman" w:hAnsi="Times New Roman" w:eastAsia="宋体" w:cs="Times New Roman"/>
          <w:b/>
          <w:bCs/>
          <w:color w:val="auto"/>
          <w:spacing w:val="4"/>
          <w:sz w:val="31"/>
          <w:szCs w:val="31"/>
          <w:highlight w:val="none"/>
        </w:rPr>
        <w:t>建设内容</w:t>
      </w:r>
    </w:p>
    <w:tbl>
      <w:tblPr>
        <w:tblStyle w:val="12"/>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394"/>
      </w:tblGrid>
      <w:tr w14:paraId="71BE3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C418B0B">
            <w:pPr>
              <w:widowControl w:val="0"/>
              <w:snapToGrid w:val="0"/>
              <w:spacing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地理位置</w:t>
            </w:r>
          </w:p>
        </w:tc>
        <w:tc>
          <w:tcPr>
            <w:tcW w:w="8394" w:type="dxa"/>
          </w:tcPr>
          <w:p w14:paraId="18E1B54A">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本项目行政隶属于昌吉回族自治州，共</w:t>
            </w:r>
            <w:r>
              <w:rPr>
                <w:rFonts w:hint="default" w:ascii="Times New Roman" w:hAnsi="Times New Roman" w:eastAsia="宋体" w:cs="Times New Roman"/>
                <w:color w:val="auto"/>
                <w:sz w:val="24"/>
                <w:szCs w:val="24"/>
                <w:highlight w:val="none"/>
                <w:lang w:val="en-US" w:eastAsia="zh-CN"/>
              </w:rPr>
              <w:t>4个</w:t>
            </w:r>
            <w:r>
              <w:rPr>
                <w:rFonts w:hint="eastAsia" w:ascii="Times New Roman" w:hAnsi="Times New Roman" w:eastAsia="宋体" w:cs="Times New Roman"/>
                <w:color w:val="auto"/>
                <w:sz w:val="24"/>
                <w:szCs w:val="24"/>
                <w:highlight w:val="none"/>
                <w:lang w:val="en-US" w:eastAsia="zh-CN"/>
              </w:rPr>
              <w:t>钻试场</w:t>
            </w:r>
            <w:r>
              <w:rPr>
                <w:rFonts w:hint="default" w:ascii="Times New Roman" w:hAnsi="Times New Roman" w:eastAsia="宋体" w:cs="Times New Roman"/>
                <w:color w:val="auto"/>
                <w:sz w:val="24"/>
                <w:szCs w:val="24"/>
                <w:highlight w:val="none"/>
              </w:rPr>
              <w:t>包含</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口井，</w:t>
            </w:r>
            <w:r>
              <w:rPr>
                <w:rFonts w:hint="default" w:ascii="Times New Roman" w:hAnsi="Times New Roman" w:eastAsia="宋体" w:cs="Times New Roman"/>
                <w:color w:val="auto"/>
                <w:sz w:val="24"/>
                <w:szCs w:val="24"/>
                <w:highlight w:val="none"/>
                <w:lang w:val="en-US" w:eastAsia="zh-CN"/>
              </w:rPr>
              <w:t>其中1号、3号和4号位于吉木萨尔县二工镇内，2号位于奇台县东湾镇内。</w:t>
            </w:r>
            <w:r>
              <w:rPr>
                <w:rFonts w:hint="default" w:ascii="Times New Roman" w:hAnsi="Times New Roman" w:eastAsia="宋体" w:cs="Times New Roman"/>
                <w:color w:val="auto"/>
                <w:sz w:val="24"/>
                <w:szCs w:val="24"/>
                <w:highlight w:val="none"/>
              </w:rPr>
              <w:t>项目井口坐标见表</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项目地理位置图见附图2</w:t>
            </w:r>
            <w:r>
              <w:rPr>
                <w:rFonts w:hint="default" w:ascii="Times New Roman" w:hAnsi="Times New Roman" w:eastAsia="宋体" w:cs="Times New Roman"/>
                <w:color w:val="auto"/>
                <w:sz w:val="24"/>
                <w:szCs w:val="24"/>
                <w:highlight w:val="none"/>
                <w:lang w:eastAsia="zh-CN"/>
              </w:rPr>
              <w:t>，项目</w:t>
            </w:r>
            <w:r>
              <w:rPr>
                <w:rFonts w:hint="eastAsia" w:ascii="Times New Roman" w:hAnsi="Times New Roman" w:eastAsia="宋体" w:cs="Times New Roman"/>
                <w:color w:val="auto"/>
                <w:sz w:val="24"/>
                <w:szCs w:val="24"/>
                <w:highlight w:val="none"/>
                <w:lang w:val="en-US" w:eastAsia="zh-CN"/>
              </w:rPr>
              <w:t>钻试场</w:t>
            </w:r>
            <w:r>
              <w:rPr>
                <w:rFonts w:hint="default" w:ascii="Times New Roman" w:hAnsi="Times New Roman" w:eastAsia="宋体" w:cs="Times New Roman"/>
                <w:color w:val="auto"/>
                <w:sz w:val="24"/>
                <w:szCs w:val="24"/>
                <w:highlight w:val="none"/>
                <w:lang w:eastAsia="zh-CN"/>
              </w:rPr>
              <w:t>位置图</w:t>
            </w:r>
            <w:r>
              <w:rPr>
                <w:rFonts w:hint="default" w:ascii="Times New Roman" w:hAnsi="Times New Roman" w:eastAsia="宋体" w:cs="Times New Roman"/>
                <w:color w:val="auto"/>
                <w:sz w:val="24"/>
                <w:szCs w:val="24"/>
                <w:highlight w:val="none"/>
                <w:lang w:val="en-US" w:eastAsia="zh-CN"/>
              </w:rPr>
              <w:t>见</w:t>
            </w:r>
            <w:r>
              <w:rPr>
                <w:rFonts w:hint="default" w:ascii="Times New Roman" w:hAnsi="Times New Roman" w:eastAsia="宋体" w:cs="Times New Roman"/>
                <w:color w:val="auto"/>
                <w:sz w:val="24"/>
                <w:szCs w:val="24"/>
                <w:highlight w:val="none"/>
                <w:lang w:eastAsia="zh-CN"/>
              </w:rPr>
              <w:t>附图3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 w:val="0"/>
                <w:bCs w:val="0"/>
                <w:color w:val="auto"/>
                <w:spacing w:val="-3"/>
                <w:sz w:val="24"/>
                <w:szCs w:val="24"/>
              </w:rPr>
              <w:t>项目</w:t>
            </w:r>
            <w:r>
              <w:rPr>
                <w:rFonts w:hint="eastAsia" w:ascii="Times New Roman" w:hAnsi="Times New Roman" w:eastAsia="宋体" w:cs="Times New Roman"/>
                <w:b w:val="0"/>
                <w:bCs w:val="0"/>
                <w:color w:val="auto"/>
                <w:spacing w:val="-3"/>
                <w:sz w:val="24"/>
                <w:szCs w:val="24"/>
                <w:lang w:val="en-US" w:eastAsia="zh-CN"/>
              </w:rPr>
              <w:t>钻试井</w:t>
            </w:r>
            <w:r>
              <w:rPr>
                <w:rFonts w:hint="default" w:ascii="Times New Roman" w:hAnsi="Times New Roman" w:eastAsia="宋体" w:cs="Times New Roman"/>
                <w:b w:val="0"/>
                <w:bCs w:val="0"/>
                <w:color w:val="auto"/>
                <w:spacing w:val="-3"/>
                <w:sz w:val="24"/>
                <w:szCs w:val="24"/>
                <w:lang w:val="en-US" w:eastAsia="zh-CN"/>
              </w:rPr>
              <w:t>位置分布</w:t>
            </w:r>
            <w:r>
              <w:rPr>
                <w:rFonts w:hint="default" w:ascii="Times New Roman" w:hAnsi="Times New Roman" w:eastAsia="宋体" w:cs="Times New Roman"/>
                <w:b w:val="0"/>
                <w:bCs w:val="0"/>
                <w:color w:val="auto"/>
                <w:spacing w:val="-3"/>
                <w:sz w:val="24"/>
                <w:szCs w:val="24"/>
              </w:rPr>
              <w:t>图</w:t>
            </w:r>
            <w:r>
              <w:rPr>
                <w:rFonts w:hint="default" w:ascii="Times New Roman" w:hAnsi="Times New Roman" w:eastAsia="宋体" w:cs="Times New Roman"/>
                <w:b w:val="0"/>
                <w:bCs w:val="0"/>
                <w:color w:val="auto"/>
                <w:spacing w:val="-3"/>
                <w:sz w:val="24"/>
                <w:szCs w:val="24"/>
                <w:lang w:val="en-US" w:eastAsia="zh-CN"/>
              </w:rPr>
              <w:t>见附图4。</w:t>
            </w:r>
          </w:p>
          <w:p w14:paraId="747F16B7">
            <w:pPr>
              <w:widowControl w:val="0"/>
              <w:snapToGrid w:val="0"/>
              <w:spacing w:line="500" w:lineRule="exact"/>
              <w:jc w:val="center"/>
              <w:rPr>
                <w:rFonts w:hint="default" w:ascii="Times New Roman" w:hAnsi="Times New Roman" w:cs="Times New Roman"/>
                <w:color w:val="auto"/>
                <w:highlight w:val="none"/>
              </w:rPr>
            </w:pPr>
            <w:r>
              <w:rPr>
                <w:rFonts w:hint="default" w:ascii="Times New Roman" w:hAnsi="Times New Roman" w:eastAsia="宋体" w:cs="Times New Roman"/>
                <w:b/>
                <w:bCs/>
                <w:color w:val="auto"/>
                <w:sz w:val="21"/>
                <w:szCs w:val="21"/>
                <w:highlight w:val="none"/>
                <w:lang w:val="en-US" w:eastAsia="zh-CN"/>
              </w:rPr>
              <w:t xml:space="preserve">表2-1 </w:t>
            </w:r>
            <w:r>
              <w:rPr>
                <w:rFonts w:hint="default" w:ascii="Times New Roman" w:hAnsi="Times New Roman" w:eastAsia="宋体" w:cs="Times New Roman"/>
                <w:b/>
                <w:bCs/>
                <w:color w:val="auto"/>
                <w:sz w:val="21"/>
                <w:szCs w:val="21"/>
                <w:highlight w:val="none"/>
              </w:rPr>
              <w:t>井位坐标及</w:t>
            </w:r>
            <w:r>
              <w:rPr>
                <w:rFonts w:hint="default" w:ascii="Times New Roman" w:hAnsi="Times New Roman" w:eastAsia="宋体" w:cs="Times New Roman"/>
                <w:b/>
                <w:bCs/>
                <w:color w:val="auto"/>
                <w:sz w:val="21"/>
                <w:szCs w:val="21"/>
                <w:highlight w:val="none"/>
                <w:lang w:val="en-US" w:eastAsia="zh-CN"/>
              </w:rPr>
              <w:t>位置</w:t>
            </w:r>
            <w:r>
              <w:rPr>
                <w:rFonts w:hint="default" w:ascii="Times New Roman" w:hAnsi="Times New Roman" w:eastAsia="宋体" w:cs="Times New Roman"/>
                <w:b/>
                <w:bCs/>
                <w:color w:val="auto"/>
                <w:sz w:val="21"/>
                <w:szCs w:val="21"/>
                <w:highlight w:val="none"/>
              </w:rPr>
              <w:t>一览表</w:t>
            </w:r>
          </w:p>
          <w:tbl>
            <w:tblPr>
              <w:tblStyle w:val="11"/>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82"/>
              <w:gridCol w:w="1413"/>
              <w:gridCol w:w="1243"/>
              <w:gridCol w:w="1457"/>
              <w:gridCol w:w="1446"/>
              <w:gridCol w:w="1462"/>
              <w:gridCol w:w="714"/>
            </w:tblGrid>
            <w:tr w14:paraId="7C9FB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482" w:type="dxa"/>
                  <w:vMerge w:val="restart"/>
                  <w:shd w:val="clear" w:color="auto" w:fill="auto"/>
                  <w:vAlign w:val="center"/>
                </w:tcPr>
                <w:p w14:paraId="6C0DC184">
                  <w:pPr>
                    <w:keepNext w:val="0"/>
                    <w:keepLines w:val="0"/>
                    <w:widowControl/>
                    <w:suppressLineNumbers w:val="0"/>
                    <w:jc w:val="both"/>
                    <w:textAlignment w:val="center"/>
                    <w:rPr>
                      <w:rFonts w:hint="default" w:ascii="Times New Roman" w:hAnsi="Times New Roman" w:eastAsia="宋体" w:cs="Times New Roman"/>
                      <w:b/>
                      <w:bCs/>
                      <w:i w:val="0"/>
                      <w:iCs w:val="0"/>
                      <w:snapToGrid w:val="0"/>
                      <w:color w:val="auto"/>
                      <w:kern w:val="0"/>
                      <w:sz w:val="21"/>
                      <w:szCs w:val="21"/>
                      <w:u w:val="none"/>
                      <w:lang w:val="en-US" w:eastAsia="zh-CN" w:bidi="ar"/>
                    </w:rPr>
                  </w:pPr>
                  <w:r>
                    <w:rPr>
                      <w:rFonts w:hint="eastAsia" w:ascii="Times New Roman" w:hAnsi="Times New Roman" w:eastAsia="宋体" w:cs="Times New Roman"/>
                      <w:b/>
                      <w:bCs/>
                      <w:i w:val="0"/>
                      <w:iCs w:val="0"/>
                      <w:snapToGrid w:val="0"/>
                      <w:color w:val="auto"/>
                      <w:kern w:val="0"/>
                      <w:sz w:val="21"/>
                      <w:szCs w:val="21"/>
                      <w:u w:val="none"/>
                      <w:lang w:val="en-US" w:eastAsia="zh-CN" w:bidi="ar"/>
                    </w:rPr>
                    <w:t>钻试场</w:t>
                  </w:r>
                </w:p>
              </w:tc>
              <w:tc>
                <w:tcPr>
                  <w:tcW w:w="1413" w:type="dxa"/>
                  <w:vMerge w:val="restart"/>
                  <w:shd w:val="clear" w:color="auto" w:fill="auto"/>
                  <w:vAlign w:val="center"/>
                </w:tcPr>
                <w:p w14:paraId="7D00AB1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井号</w:t>
                  </w:r>
                </w:p>
              </w:tc>
              <w:tc>
                <w:tcPr>
                  <w:tcW w:w="5608" w:type="dxa"/>
                  <w:gridSpan w:val="4"/>
                  <w:shd w:val="clear" w:color="auto" w:fill="auto"/>
                  <w:vAlign w:val="center"/>
                </w:tcPr>
                <w:p w14:paraId="6D1AC517">
                  <w:pPr>
                    <w:keepNext w:val="0"/>
                    <w:keepLines w:val="0"/>
                    <w:widowControl/>
                    <w:suppressLineNumbers w:val="0"/>
                    <w:jc w:val="center"/>
                    <w:textAlignment w:val="center"/>
                    <w:rPr>
                      <w:rFonts w:hint="default" w:ascii="Times New Roman" w:hAnsi="Times New Roman" w:eastAsia="宋体" w:cs="Times New Roman"/>
                      <w:b/>
                      <w:bCs/>
                      <w:i w:val="0"/>
                      <w:iCs w:val="0"/>
                      <w:snapToGrid w:val="0"/>
                      <w:color w:val="auto"/>
                      <w:kern w:val="0"/>
                      <w:sz w:val="21"/>
                      <w:szCs w:val="21"/>
                      <w:u w:val="none"/>
                      <w:lang w:val="en-US" w:eastAsia="zh-CN" w:bidi="ar"/>
                    </w:rPr>
                  </w:pPr>
                  <w:r>
                    <w:rPr>
                      <w:rFonts w:hint="default" w:ascii="Times New Roman" w:hAnsi="Times New Roman" w:eastAsia="宋体" w:cs="Times New Roman"/>
                      <w:b/>
                      <w:bCs/>
                      <w:i w:val="0"/>
                      <w:iCs w:val="0"/>
                      <w:snapToGrid w:val="0"/>
                      <w:color w:val="auto"/>
                      <w:kern w:val="0"/>
                      <w:sz w:val="21"/>
                      <w:szCs w:val="21"/>
                      <w:u w:val="none"/>
                      <w:lang w:val="en-US" w:eastAsia="zh-CN" w:bidi="ar"/>
                    </w:rPr>
                    <w:t>井位坐标</w:t>
                  </w:r>
                </w:p>
              </w:tc>
              <w:tc>
                <w:tcPr>
                  <w:tcW w:w="714" w:type="dxa"/>
                  <w:vMerge w:val="restart"/>
                  <w:shd w:val="clear" w:color="auto" w:fill="auto"/>
                  <w:vAlign w:val="center"/>
                </w:tcPr>
                <w:p w14:paraId="2EBCDABC">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b/>
                      <w:bCs/>
                      <w:i w:val="0"/>
                      <w:iCs w:val="0"/>
                      <w:snapToGrid w:val="0"/>
                      <w:color w:val="auto"/>
                      <w:kern w:val="0"/>
                      <w:sz w:val="21"/>
                      <w:szCs w:val="21"/>
                      <w:u w:val="none"/>
                      <w:lang w:val="en-US" w:eastAsia="zh-CN" w:bidi="ar"/>
                    </w:rPr>
                    <w:t>位置</w:t>
                  </w:r>
                </w:p>
              </w:tc>
            </w:tr>
            <w:tr w14:paraId="1242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82" w:type="dxa"/>
                  <w:vMerge w:val="continue"/>
                  <w:shd w:val="clear" w:color="auto" w:fill="auto"/>
                  <w:vAlign w:val="center"/>
                </w:tcPr>
                <w:p w14:paraId="7CCD284E">
                  <w:pPr>
                    <w:jc w:val="center"/>
                    <w:rPr>
                      <w:rFonts w:hint="default" w:ascii="Times New Roman" w:hAnsi="Times New Roman" w:eastAsia="宋体" w:cs="Times New Roman"/>
                      <w:b/>
                      <w:bCs/>
                      <w:i w:val="0"/>
                      <w:iCs w:val="0"/>
                      <w:color w:val="auto"/>
                      <w:sz w:val="21"/>
                      <w:szCs w:val="21"/>
                      <w:u w:val="none"/>
                    </w:rPr>
                  </w:pPr>
                </w:p>
              </w:tc>
              <w:tc>
                <w:tcPr>
                  <w:tcW w:w="1413" w:type="dxa"/>
                  <w:vMerge w:val="continue"/>
                  <w:shd w:val="clear" w:color="auto" w:fill="auto"/>
                  <w:vAlign w:val="center"/>
                </w:tcPr>
                <w:p w14:paraId="3ECEE374">
                  <w:pPr>
                    <w:jc w:val="center"/>
                    <w:rPr>
                      <w:rFonts w:hint="default" w:ascii="Times New Roman" w:hAnsi="Times New Roman" w:eastAsia="宋体" w:cs="Times New Roman"/>
                      <w:b/>
                      <w:bCs/>
                      <w:i w:val="0"/>
                      <w:iCs w:val="0"/>
                      <w:color w:val="auto"/>
                      <w:sz w:val="21"/>
                      <w:szCs w:val="21"/>
                      <w:u w:val="none"/>
                    </w:rPr>
                  </w:pPr>
                </w:p>
              </w:tc>
              <w:tc>
                <w:tcPr>
                  <w:tcW w:w="1243" w:type="dxa"/>
                  <w:shd w:val="clear" w:color="auto" w:fill="auto"/>
                  <w:vAlign w:val="center"/>
                </w:tcPr>
                <w:p w14:paraId="00C62E1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X</w:t>
                  </w:r>
                </w:p>
              </w:tc>
              <w:tc>
                <w:tcPr>
                  <w:tcW w:w="1457" w:type="dxa"/>
                  <w:shd w:val="clear" w:color="auto" w:fill="auto"/>
                  <w:vAlign w:val="center"/>
                </w:tcPr>
                <w:p w14:paraId="739CB7E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Y</w:t>
                  </w:r>
                </w:p>
              </w:tc>
              <w:tc>
                <w:tcPr>
                  <w:tcW w:w="1446" w:type="dxa"/>
                  <w:shd w:val="clear" w:color="auto" w:fill="auto"/>
                  <w:vAlign w:val="center"/>
                </w:tcPr>
                <w:p w14:paraId="375E1A98">
                  <w:pPr>
                    <w:keepNext w:val="0"/>
                    <w:keepLines w:val="0"/>
                    <w:widowControl/>
                    <w:suppressLineNumbers w:val="0"/>
                    <w:jc w:val="center"/>
                    <w:textAlignment w:val="center"/>
                    <w:rPr>
                      <w:rFonts w:hint="default" w:ascii="Times New Roman" w:hAnsi="Times New Roman" w:eastAsia="宋体" w:cs="Times New Roman"/>
                      <w:b/>
                      <w:bCs/>
                      <w:i w:val="0"/>
                      <w:iCs w:val="0"/>
                      <w:snapToGrid w:val="0"/>
                      <w:color w:val="auto"/>
                      <w:kern w:val="0"/>
                      <w:sz w:val="21"/>
                      <w:szCs w:val="21"/>
                      <w:u w:val="none"/>
                      <w:lang w:val="en-US" w:eastAsia="zh-CN" w:bidi="ar"/>
                    </w:rPr>
                  </w:pPr>
                  <w:r>
                    <w:rPr>
                      <w:rFonts w:hint="default" w:ascii="Times New Roman" w:hAnsi="Times New Roman" w:eastAsia="宋体" w:cs="Times New Roman"/>
                      <w:b/>
                      <w:bCs/>
                      <w:i w:val="0"/>
                      <w:iCs w:val="0"/>
                      <w:snapToGrid w:val="0"/>
                      <w:color w:val="auto"/>
                      <w:kern w:val="0"/>
                      <w:sz w:val="21"/>
                      <w:szCs w:val="21"/>
                      <w:u w:val="none"/>
                      <w:lang w:val="en-US" w:eastAsia="zh-CN" w:bidi="ar"/>
                    </w:rPr>
                    <w:t>经度（E）</w:t>
                  </w:r>
                </w:p>
              </w:tc>
              <w:tc>
                <w:tcPr>
                  <w:tcW w:w="1462" w:type="dxa"/>
                  <w:shd w:val="clear" w:color="auto" w:fill="auto"/>
                  <w:vAlign w:val="center"/>
                </w:tcPr>
                <w:p w14:paraId="6E92E982">
                  <w:pPr>
                    <w:keepNext w:val="0"/>
                    <w:keepLines w:val="0"/>
                    <w:widowControl/>
                    <w:suppressLineNumbers w:val="0"/>
                    <w:jc w:val="center"/>
                    <w:textAlignment w:val="center"/>
                    <w:rPr>
                      <w:rFonts w:hint="default" w:ascii="Times New Roman" w:hAnsi="Times New Roman" w:eastAsia="宋体" w:cs="Times New Roman"/>
                      <w:b/>
                      <w:bCs/>
                      <w:i w:val="0"/>
                      <w:iCs w:val="0"/>
                      <w:snapToGrid w:val="0"/>
                      <w:color w:val="auto"/>
                      <w:kern w:val="0"/>
                      <w:sz w:val="21"/>
                      <w:szCs w:val="21"/>
                      <w:u w:val="none"/>
                      <w:lang w:val="en-US" w:eastAsia="zh-CN" w:bidi="ar"/>
                    </w:rPr>
                  </w:pPr>
                  <w:r>
                    <w:rPr>
                      <w:rFonts w:hint="default" w:ascii="Times New Roman" w:hAnsi="Times New Roman" w:eastAsia="宋体" w:cs="Times New Roman"/>
                      <w:b/>
                      <w:bCs/>
                      <w:i w:val="0"/>
                      <w:iCs w:val="0"/>
                      <w:snapToGrid w:val="0"/>
                      <w:color w:val="auto"/>
                      <w:kern w:val="0"/>
                      <w:sz w:val="21"/>
                      <w:szCs w:val="21"/>
                      <w:u w:val="none"/>
                      <w:lang w:val="en-US" w:eastAsia="zh-CN" w:bidi="ar"/>
                    </w:rPr>
                    <w:t>纬度（N）</w:t>
                  </w:r>
                </w:p>
              </w:tc>
              <w:tc>
                <w:tcPr>
                  <w:tcW w:w="714" w:type="dxa"/>
                  <w:vMerge w:val="continue"/>
                  <w:shd w:val="clear" w:color="auto" w:fill="auto"/>
                  <w:vAlign w:val="center"/>
                </w:tcPr>
                <w:p w14:paraId="75E87979">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p>
              </w:tc>
            </w:tr>
            <w:tr w14:paraId="1D468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6" w:hRule="atLeast"/>
                <w:jc w:val="center"/>
              </w:trPr>
              <w:tc>
                <w:tcPr>
                  <w:tcW w:w="482" w:type="dxa"/>
                  <w:vMerge w:val="restart"/>
                  <w:shd w:val="clear" w:color="auto" w:fill="auto"/>
                  <w:vAlign w:val="center"/>
                </w:tcPr>
                <w:p w14:paraId="63382EF1">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1号</w:t>
                  </w:r>
                </w:p>
              </w:tc>
              <w:tc>
                <w:tcPr>
                  <w:tcW w:w="1413" w:type="dxa"/>
                  <w:shd w:val="clear" w:color="auto" w:fill="auto"/>
                  <w:vAlign w:val="center"/>
                </w:tcPr>
                <w:p w14:paraId="624F1212">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萨10</w:t>
                  </w:r>
                  <w:r>
                    <w:rPr>
                      <w:rStyle w:val="29"/>
                      <w:rFonts w:hint="default" w:ascii="Times New Roman" w:hAnsi="Times New Roman" w:eastAsia="宋体" w:cs="Times New Roman"/>
                      <w:snapToGrid w:val="0"/>
                      <w:color w:val="auto"/>
                      <w:lang w:val="en-US" w:eastAsia="zh-CN" w:bidi="ar"/>
                    </w:rPr>
                    <w:t>5-11-7</w:t>
                  </w:r>
                </w:p>
              </w:tc>
              <w:tc>
                <w:tcPr>
                  <w:tcW w:w="1243" w:type="dxa"/>
                  <w:shd w:val="clear" w:color="auto" w:fill="auto"/>
                  <w:vAlign w:val="center"/>
                </w:tcPr>
                <w:p w14:paraId="745A23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1457" w:type="dxa"/>
                  <w:shd w:val="clear" w:color="auto" w:fill="auto"/>
                  <w:vAlign w:val="center"/>
                </w:tcPr>
                <w:p w14:paraId="6DF807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1446" w:type="dxa"/>
                  <w:shd w:val="clear" w:color="auto" w:fill="auto"/>
                  <w:vAlign w:val="center"/>
                </w:tcPr>
                <w:p w14:paraId="0D515489">
                  <w:pPr>
                    <w:pStyle w:val="4"/>
                    <w:widowControl w:val="0"/>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c>
                <w:tcPr>
                  <w:tcW w:w="1462" w:type="dxa"/>
                  <w:shd w:val="clear" w:color="auto" w:fill="auto"/>
                  <w:vAlign w:val="center"/>
                </w:tcPr>
                <w:p w14:paraId="27A1EAB4">
                  <w:pPr>
                    <w:pStyle w:val="4"/>
                    <w:widowControl w:val="0"/>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c>
                <w:tcPr>
                  <w:tcW w:w="714" w:type="dxa"/>
                  <w:vMerge w:val="restart"/>
                  <w:shd w:val="clear" w:color="auto" w:fill="auto"/>
                  <w:vAlign w:val="center"/>
                </w:tcPr>
                <w:p w14:paraId="0B9B9131">
                  <w:pPr>
                    <w:pStyle w:val="4"/>
                    <w:widowControl w:val="0"/>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吉木萨尔县二工镇</w:t>
                  </w:r>
                </w:p>
              </w:tc>
            </w:tr>
            <w:tr w14:paraId="6F059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482" w:type="dxa"/>
                  <w:vMerge w:val="continue"/>
                  <w:shd w:val="clear" w:color="auto" w:fill="auto"/>
                  <w:vAlign w:val="center"/>
                </w:tcPr>
                <w:p w14:paraId="7E9B89F1">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13" w:type="dxa"/>
                  <w:shd w:val="clear" w:color="auto" w:fill="auto"/>
                  <w:vAlign w:val="center"/>
                </w:tcPr>
                <w:p w14:paraId="37F9CF8F">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萨6</w:t>
                  </w:r>
                  <w:r>
                    <w:rPr>
                      <w:rStyle w:val="29"/>
                      <w:rFonts w:hint="default" w:ascii="Times New Roman" w:hAnsi="Times New Roman" w:eastAsia="宋体" w:cs="Times New Roman"/>
                      <w:snapToGrid w:val="0"/>
                      <w:color w:val="auto"/>
                      <w:lang w:val="en-US" w:eastAsia="zh-CN" w:bidi="ar"/>
                    </w:rPr>
                    <w:t>-11-11</w:t>
                  </w:r>
                </w:p>
              </w:tc>
              <w:tc>
                <w:tcPr>
                  <w:tcW w:w="1243" w:type="dxa"/>
                  <w:shd w:val="clear" w:color="auto" w:fill="auto"/>
                  <w:vAlign w:val="center"/>
                </w:tcPr>
                <w:p w14:paraId="3F4EE5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1457" w:type="dxa"/>
                  <w:shd w:val="clear" w:color="auto" w:fill="auto"/>
                  <w:vAlign w:val="center"/>
                </w:tcPr>
                <w:p w14:paraId="5E122B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1446" w:type="dxa"/>
                  <w:shd w:val="clear" w:color="auto" w:fill="auto"/>
                  <w:vAlign w:val="center"/>
                </w:tcPr>
                <w:p w14:paraId="423F8973">
                  <w:pPr>
                    <w:pStyle w:val="4"/>
                    <w:widowControl w:val="0"/>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c>
                <w:tcPr>
                  <w:tcW w:w="1462" w:type="dxa"/>
                  <w:shd w:val="clear" w:color="auto" w:fill="auto"/>
                  <w:vAlign w:val="center"/>
                </w:tcPr>
                <w:p w14:paraId="5D7851C3">
                  <w:pPr>
                    <w:pStyle w:val="4"/>
                    <w:widowControl w:val="0"/>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c>
                <w:tcPr>
                  <w:tcW w:w="714" w:type="dxa"/>
                  <w:vMerge w:val="continue"/>
                  <w:shd w:val="clear" w:color="auto" w:fill="auto"/>
                  <w:vAlign w:val="center"/>
                </w:tcPr>
                <w:p w14:paraId="0A49897C">
                  <w:pPr>
                    <w:pStyle w:val="4"/>
                    <w:widowControl w:val="0"/>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r>
            <w:tr w14:paraId="6F2BE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0" w:hRule="atLeast"/>
                <w:jc w:val="center"/>
              </w:trPr>
              <w:tc>
                <w:tcPr>
                  <w:tcW w:w="482" w:type="dxa"/>
                  <w:vMerge w:val="continue"/>
                  <w:shd w:val="clear" w:color="auto" w:fill="auto"/>
                  <w:vAlign w:val="center"/>
                </w:tcPr>
                <w:p w14:paraId="6CB33D9E">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13" w:type="dxa"/>
                  <w:shd w:val="clear" w:color="auto" w:fill="auto"/>
                  <w:vAlign w:val="center"/>
                </w:tcPr>
                <w:p w14:paraId="25018EB5">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萨6</w:t>
                  </w:r>
                  <w:r>
                    <w:rPr>
                      <w:rStyle w:val="29"/>
                      <w:rFonts w:hint="default" w:ascii="Times New Roman" w:hAnsi="Times New Roman" w:eastAsia="宋体" w:cs="Times New Roman"/>
                      <w:snapToGrid w:val="0"/>
                      <w:color w:val="auto"/>
                      <w:lang w:val="en-US" w:eastAsia="zh-CN" w:bidi="ar"/>
                    </w:rPr>
                    <w:t>-13-6</w:t>
                  </w:r>
                </w:p>
              </w:tc>
              <w:tc>
                <w:tcPr>
                  <w:tcW w:w="1243" w:type="dxa"/>
                  <w:shd w:val="clear" w:color="auto" w:fill="auto"/>
                  <w:vAlign w:val="center"/>
                </w:tcPr>
                <w:p w14:paraId="1F8BB3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1457" w:type="dxa"/>
                  <w:shd w:val="clear" w:color="auto" w:fill="auto"/>
                  <w:vAlign w:val="center"/>
                </w:tcPr>
                <w:p w14:paraId="5045BE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1446" w:type="dxa"/>
                  <w:shd w:val="clear" w:color="auto" w:fill="auto"/>
                  <w:vAlign w:val="center"/>
                </w:tcPr>
                <w:p w14:paraId="43E434C2">
                  <w:pPr>
                    <w:pStyle w:val="4"/>
                    <w:widowControl w:val="0"/>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c>
                <w:tcPr>
                  <w:tcW w:w="1462" w:type="dxa"/>
                  <w:shd w:val="clear" w:color="auto" w:fill="auto"/>
                  <w:vAlign w:val="center"/>
                </w:tcPr>
                <w:p w14:paraId="6908C6AE">
                  <w:pPr>
                    <w:pStyle w:val="4"/>
                    <w:widowControl w:val="0"/>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c>
                <w:tcPr>
                  <w:tcW w:w="714" w:type="dxa"/>
                  <w:vMerge w:val="continue"/>
                  <w:shd w:val="clear" w:color="auto" w:fill="auto"/>
                  <w:vAlign w:val="center"/>
                </w:tcPr>
                <w:p w14:paraId="54732FAE">
                  <w:pPr>
                    <w:pStyle w:val="4"/>
                    <w:widowControl w:val="0"/>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r>
            <w:tr w14:paraId="798D3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82" w:type="dxa"/>
                  <w:vMerge w:val="continue"/>
                  <w:shd w:val="clear" w:color="auto" w:fill="auto"/>
                  <w:vAlign w:val="center"/>
                </w:tcPr>
                <w:p w14:paraId="1B25B5EC">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13" w:type="dxa"/>
                  <w:shd w:val="clear" w:color="auto" w:fill="auto"/>
                  <w:vAlign w:val="center"/>
                </w:tcPr>
                <w:p w14:paraId="631BA92D">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萨6</w:t>
                  </w:r>
                  <w:r>
                    <w:rPr>
                      <w:rStyle w:val="29"/>
                      <w:rFonts w:hint="default" w:ascii="Times New Roman" w:hAnsi="Times New Roman" w:eastAsia="宋体" w:cs="Times New Roman"/>
                      <w:snapToGrid w:val="0"/>
                      <w:color w:val="auto"/>
                      <w:lang w:val="en-US" w:eastAsia="zh-CN" w:bidi="ar"/>
                    </w:rPr>
                    <w:t>-12-9</w:t>
                  </w:r>
                </w:p>
              </w:tc>
              <w:tc>
                <w:tcPr>
                  <w:tcW w:w="1243" w:type="dxa"/>
                  <w:shd w:val="clear" w:color="auto" w:fill="auto"/>
                  <w:vAlign w:val="center"/>
                </w:tcPr>
                <w:p w14:paraId="166EFF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1457" w:type="dxa"/>
                  <w:shd w:val="clear" w:color="auto" w:fill="auto"/>
                  <w:vAlign w:val="center"/>
                </w:tcPr>
                <w:p w14:paraId="51161E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1446" w:type="dxa"/>
                  <w:shd w:val="clear" w:color="auto" w:fill="auto"/>
                  <w:vAlign w:val="center"/>
                </w:tcPr>
                <w:p w14:paraId="709BC67F">
                  <w:pPr>
                    <w:pStyle w:val="4"/>
                    <w:widowControl w:val="0"/>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c>
                <w:tcPr>
                  <w:tcW w:w="1462" w:type="dxa"/>
                  <w:shd w:val="clear" w:color="auto" w:fill="auto"/>
                  <w:vAlign w:val="center"/>
                </w:tcPr>
                <w:p w14:paraId="1CF4CC33">
                  <w:pPr>
                    <w:pStyle w:val="4"/>
                    <w:widowControl w:val="0"/>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c>
                <w:tcPr>
                  <w:tcW w:w="714" w:type="dxa"/>
                  <w:vMerge w:val="continue"/>
                  <w:shd w:val="clear" w:color="auto" w:fill="auto"/>
                  <w:vAlign w:val="center"/>
                </w:tcPr>
                <w:p w14:paraId="29EB82AF">
                  <w:pPr>
                    <w:pStyle w:val="4"/>
                    <w:widowControl w:val="0"/>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r>
            <w:tr w14:paraId="07D0B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0" w:hRule="atLeast"/>
                <w:jc w:val="center"/>
              </w:trPr>
              <w:tc>
                <w:tcPr>
                  <w:tcW w:w="482" w:type="dxa"/>
                  <w:vMerge w:val="continue"/>
                  <w:shd w:val="clear" w:color="auto" w:fill="auto"/>
                  <w:vAlign w:val="center"/>
                </w:tcPr>
                <w:p w14:paraId="7ECC4A8D">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13" w:type="dxa"/>
                  <w:shd w:val="clear" w:color="auto" w:fill="auto"/>
                  <w:vAlign w:val="center"/>
                </w:tcPr>
                <w:p w14:paraId="7274EA01">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萨6-16-9</w:t>
                  </w:r>
                </w:p>
              </w:tc>
              <w:tc>
                <w:tcPr>
                  <w:tcW w:w="1243" w:type="dxa"/>
                  <w:shd w:val="clear" w:color="auto" w:fill="auto"/>
                  <w:vAlign w:val="center"/>
                </w:tcPr>
                <w:p w14:paraId="441A6447">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57" w:type="dxa"/>
                  <w:shd w:val="clear" w:color="auto" w:fill="auto"/>
                  <w:vAlign w:val="center"/>
                </w:tcPr>
                <w:p w14:paraId="3918E1A0">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46" w:type="dxa"/>
                  <w:shd w:val="clear" w:color="auto" w:fill="auto"/>
                  <w:vAlign w:val="center"/>
                </w:tcPr>
                <w:p w14:paraId="71EC9933">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62" w:type="dxa"/>
                  <w:shd w:val="clear" w:color="auto" w:fill="auto"/>
                  <w:vAlign w:val="center"/>
                </w:tcPr>
                <w:p w14:paraId="3AD0EB70">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714" w:type="dxa"/>
                  <w:vMerge w:val="continue"/>
                  <w:shd w:val="clear" w:color="auto" w:fill="auto"/>
                  <w:vAlign w:val="center"/>
                </w:tcPr>
                <w:p w14:paraId="46B8D2E7">
                  <w:pPr>
                    <w:pStyle w:val="4"/>
                    <w:widowControl w:val="0"/>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r>
            <w:tr w14:paraId="40FBF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82" w:type="dxa"/>
                  <w:vMerge w:val="restart"/>
                  <w:shd w:val="clear" w:color="auto" w:fill="auto"/>
                  <w:noWrap/>
                  <w:vAlign w:val="center"/>
                </w:tcPr>
                <w:p w14:paraId="27441DE7">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2号</w:t>
                  </w:r>
                </w:p>
              </w:tc>
              <w:tc>
                <w:tcPr>
                  <w:tcW w:w="1413" w:type="dxa"/>
                  <w:shd w:val="clear" w:color="auto" w:fill="auto"/>
                  <w:noWrap/>
                  <w:vAlign w:val="center"/>
                </w:tcPr>
                <w:p w14:paraId="38BB2AA3">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萨101-9-16</w:t>
                  </w:r>
                </w:p>
              </w:tc>
              <w:tc>
                <w:tcPr>
                  <w:tcW w:w="1243" w:type="dxa"/>
                  <w:shd w:val="clear" w:color="auto" w:fill="auto"/>
                  <w:noWrap/>
                  <w:vAlign w:val="center"/>
                </w:tcPr>
                <w:p w14:paraId="48D6697A">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57" w:type="dxa"/>
                  <w:shd w:val="clear" w:color="auto" w:fill="auto"/>
                  <w:noWrap/>
                  <w:vAlign w:val="center"/>
                </w:tcPr>
                <w:p w14:paraId="45D9908F">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46" w:type="dxa"/>
                  <w:shd w:val="clear" w:color="auto" w:fill="auto"/>
                  <w:noWrap/>
                  <w:vAlign w:val="center"/>
                </w:tcPr>
                <w:p w14:paraId="04A9E111">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62" w:type="dxa"/>
                  <w:shd w:val="clear" w:color="auto" w:fill="auto"/>
                  <w:noWrap/>
                  <w:vAlign w:val="center"/>
                </w:tcPr>
                <w:p w14:paraId="56EB5B6F">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714" w:type="dxa"/>
                  <w:vMerge w:val="restart"/>
                  <w:shd w:val="clear" w:color="auto" w:fill="auto"/>
                  <w:noWrap/>
                  <w:vAlign w:val="center"/>
                </w:tcPr>
                <w:p w14:paraId="4F2A202E">
                  <w:pPr>
                    <w:pStyle w:val="4"/>
                    <w:widowControl w:val="0"/>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奇台县东湾镇</w:t>
                  </w:r>
                </w:p>
              </w:tc>
            </w:tr>
            <w:tr w14:paraId="3EB9D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482" w:type="dxa"/>
                  <w:vMerge w:val="continue"/>
                  <w:shd w:val="clear" w:color="auto" w:fill="auto"/>
                  <w:noWrap/>
                  <w:vAlign w:val="center"/>
                </w:tcPr>
                <w:p w14:paraId="6A37C4D6">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13" w:type="dxa"/>
                  <w:shd w:val="clear" w:color="auto" w:fill="auto"/>
                  <w:noWrap/>
                  <w:vAlign w:val="center"/>
                </w:tcPr>
                <w:p w14:paraId="225898E7">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萨101-11-16</w:t>
                  </w:r>
                </w:p>
              </w:tc>
              <w:tc>
                <w:tcPr>
                  <w:tcW w:w="1243" w:type="dxa"/>
                  <w:shd w:val="clear" w:color="auto" w:fill="auto"/>
                  <w:noWrap/>
                  <w:vAlign w:val="center"/>
                </w:tcPr>
                <w:p w14:paraId="373170F5">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57" w:type="dxa"/>
                  <w:shd w:val="clear" w:color="auto" w:fill="auto"/>
                  <w:noWrap/>
                  <w:vAlign w:val="center"/>
                </w:tcPr>
                <w:p w14:paraId="3B67CA3A">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46" w:type="dxa"/>
                  <w:shd w:val="clear" w:color="auto" w:fill="auto"/>
                  <w:noWrap/>
                  <w:vAlign w:val="center"/>
                </w:tcPr>
                <w:p w14:paraId="5111EACB">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62" w:type="dxa"/>
                  <w:shd w:val="clear" w:color="auto" w:fill="auto"/>
                  <w:noWrap/>
                  <w:vAlign w:val="center"/>
                </w:tcPr>
                <w:p w14:paraId="3E4D43BA">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714" w:type="dxa"/>
                  <w:vMerge w:val="continue"/>
                  <w:shd w:val="clear" w:color="auto" w:fill="auto"/>
                  <w:noWrap/>
                  <w:vAlign w:val="center"/>
                </w:tcPr>
                <w:p w14:paraId="0906E5FE">
                  <w:pPr>
                    <w:pStyle w:val="4"/>
                    <w:widowControl w:val="0"/>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r>
            <w:tr w14:paraId="337CA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82" w:type="dxa"/>
                  <w:vMerge w:val="continue"/>
                  <w:shd w:val="clear" w:color="auto" w:fill="auto"/>
                  <w:noWrap/>
                  <w:vAlign w:val="center"/>
                </w:tcPr>
                <w:p w14:paraId="6B6A99AC">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13" w:type="dxa"/>
                  <w:shd w:val="clear" w:color="auto" w:fill="auto"/>
                  <w:noWrap/>
                  <w:vAlign w:val="center"/>
                </w:tcPr>
                <w:p w14:paraId="296270B6">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萨102-9-18</w:t>
                  </w:r>
                </w:p>
              </w:tc>
              <w:tc>
                <w:tcPr>
                  <w:tcW w:w="1243" w:type="dxa"/>
                  <w:shd w:val="clear" w:color="auto" w:fill="auto"/>
                  <w:noWrap/>
                  <w:vAlign w:val="center"/>
                </w:tcPr>
                <w:p w14:paraId="217A85EE">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57" w:type="dxa"/>
                  <w:shd w:val="clear" w:color="auto" w:fill="auto"/>
                  <w:noWrap/>
                  <w:vAlign w:val="center"/>
                </w:tcPr>
                <w:p w14:paraId="02ACF4F2">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46" w:type="dxa"/>
                  <w:shd w:val="clear" w:color="auto" w:fill="auto"/>
                  <w:noWrap/>
                  <w:vAlign w:val="center"/>
                </w:tcPr>
                <w:p w14:paraId="56A431A4">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62" w:type="dxa"/>
                  <w:shd w:val="clear" w:color="auto" w:fill="auto"/>
                  <w:noWrap/>
                  <w:vAlign w:val="center"/>
                </w:tcPr>
                <w:p w14:paraId="6A4810E1">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714" w:type="dxa"/>
                  <w:vMerge w:val="continue"/>
                  <w:shd w:val="clear" w:color="auto" w:fill="auto"/>
                  <w:noWrap/>
                  <w:vAlign w:val="center"/>
                </w:tcPr>
                <w:p w14:paraId="2985DFE5">
                  <w:pPr>
                    <w:pStyle w:val="4"/>
                    <w:widowControl w:val="0"/>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r>
            <w:tr w14:paraId="59006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7" w:hRule="atLeast"/>
                <w:jc w:val="center"/>
              </w:trPr>
              <w:tc>
                <w:tcPr>
                  <w:tcW w:w="482" w:type="dxa"/>
                  <w:vMerge w:val="continue"/>
                  <w:shd w:val="clear" w:color="auto" w:fill="auto"/>
                  <w:noWrap/>
                  <w:vAlign w:val="center"/>
                </w:tcPr>
                <w:p w14:paraId="686A154C">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13" w:type="dxa"/>
                  <w:shd w:val="clear" w:color="auto" w:fill="auto"/>
                  <w:noWrap/>
                  <w:vAlign w:val="center"/>
                </w:tcPr>
                <w:p w14:paraId="78358302">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萨102-7-19</w:t>
                  </w:r>
                </w:p>
              </w:tc>
              <w:tc>
                <w:tcPr>
                  <w:tcW w:w="1243" w:type="dxa"/>
                  <w:shd w:val="clear" w:color="auto" w:fill="auto"/>
                  <w:noWrap/>
                  <w:vAlign w:val="center"/>
                </w:tcPr>
                <w:p w14:paraId="2296B4E3">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57" w:type="dxa"/>
                  <w:shd w:val="clear" w:color="auto" w:fill="auto"/>
                  <w:noWrap/>
                  <w:vAlign w:val="center"/>
                </w:tcPr>
                <w:p w14:paraId="6847A039">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46" w:type="dxa"/>
                  <w:shd w:val="clear" w:color="auto" w:fill="auto"/>
                  <w:noWrap/>
                  <w:vAlign w:val="center"/>
                </w:tcPr>
                <w:p w14:paraId="6FB94729">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62" w:type="dxa"/>
                  <w:shd w:val="clear" w:color="auto" w:fill="auto"/>
                  <w:noWrap/>
                  <w:vAlign w:val="center"/>
                </w:tcPr>
                <w:p w14:paraId="3CC05BA4">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714" w:type="dxa"/>
                  <w:vMerge w:val="continue"/>
                  <w:shd w:val="clear" w:color="auto" w:fill="auto"/>
                  <w:noWrap/>
                  <w:vAlign w:val="center"/>
                </w:tcPr>
                <w:p w14:paraId="29654AF9">
                  <w:pPr>
                    <w:pStyle w:val="4"/>
                    <w:widowControl w:val="0"/>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r>
            <w:tr w14:paraId="4F48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82" w:type="dxa"/>
                  <w:vMerge w:val="continue"/>
                  <w:shd w:val="clear" w:color="auto" w:fill="auto"/>
                  <w:noWrap/>
                  <w:vAlign w:val="center"/>
                </w:tcPr>
                <w:p w14:paraId="62BFFD6D">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13" w:type="dxa"/>
                  <w:shd w:val="clear" w:color="auto" w:fill="auto"/>
                  <w:noWrap/>
                  <w:vAlign w:val="center"/>
                </w:tcPr>
                <w:p w14:paraId="01D40C9D">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萨102-11-17</w:t>
                  </w:r>
                </w:p>
              </w:tc>
              <w:tc>
                <w:tcPr>
                  <w:tcW w:w="1243" w:type="dxa"/>
                  <w:shd w:val="clear" w:color="auto" w:fill="auto"/>
                  <w:noWrap/>
                  <w:vAlign w:val="center"/>
                </w:tcPr>
                <w:p w14:paraId="18264401">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57" w:type="dxa"/>
                  <w:shd w:val="clear" w:color="auto" w:fill="auto"/>
                  <w:noWrap/>
                  <w:vAlign w:val="center"/>
                </w:tcPr>
                <w:p w14:paraId="1F5BC38E">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46" w:type="dxa"/>
                  <w:shd w:val="clear" w:color="auto" w:fill="auto"/>
                  <w:noWrap/>
                  <w:vAlign w:val="center"/>
                </w:tcPr>
                <w:p w14:paraId="34256C52">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62" w:type="dxa"/>
                  <w:shd w:val="clear" w:color="auto" w:fill="auto"/>
                  <w:noWrap/>
                  <w:vAlign w:val="center"/>
                </w:tcPr>
                <w:p w14:paraId="04221FD4">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714" w:type="dxa"/>
                  <w:vMerge w:val="continue"/>
                  <w:shd w:val="clear" w:color="auto" w:fill="auto"/>
                  <w:noWrap/>
                  <w:vAlign w:val="center"/>
                </w:tcPr>
                <w:p w14:paraId="62A443D1">
                  <w:pPr>
                    <w:pStyle w:val="4"/>
                    <w:widowControl w:val="0"/>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r>
            <w:tr w14:paraId="57469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7" w:hRule="atLeast"/>
                <w:jc w:val="center"/>
              </w:trPr>
              <w:tc>
                <w:tcPr>
                  <w:tcW w:w="482" w:type="dxa"/>
                  <w:vMerge w:val="restart"/>
                  <w:shd w:val="clear" w:color="auto" w:fill="auto"/>
                  <w:noWrap/>
                  <w:vAlign w:val="center"/>
                </w:tcPr>
                <w:p w14:paraId="05AA6F38">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3号</w:t>
                  </w:r>
                </w:p>
              </w:tc>
              <w:tc>
                <w:tcPr>
                  <w:tcW w:w="1413" w:type="dxa"/>
                  <w:shd w:val="clear" w:color="auto" w:fill="auto"/>
                  <w:noWrap/>
                  <w:vAlign w:val="center"/>
                </w:tcPr>
                <w:p w14:paraId="2A9CA19C">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萨101-9-13</w:t>
                  </w:r>
                </w:p>
              </w:tc>
              <w:tc>
                <w:tcPr>
                  <w:tcW w:w="1243" w:type="dxa"/>
                  <w:shd w:val="clear" w:color="auto" w:fill="auto"/>
                  <w:noWrap/>
                  <w:vAlign w:val="center"/>
                </w:tcPr>
                <w:p w14:paraId="47CE5642">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57" w:type="dxa"/>
                  <w:shd w:val="clear" w:color="auto" w:fill="auto"/>
                  <w:noWrap/>
                  <w:vAlign w:val="center"/>
                </w:tcPr>
                <w:p w14:paraId="7F639CF0">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46" w:type="dxa"/>
                  <w:shd w:val="clear" w:color="auto" w:fill="auto"/>
                  <w:noWrap/>
                  <w:vAlign w:val="center"/>
                </w:tcPr>
                <w:p w14:paraId="63ED4952">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62" w:type="dxa"/>
                  <w:shd w:val="clear" w:color="auto" w:fill="auto"/>
                  <w:noWrap/>
                  <w:vAlign w:val="center"/>
                </w:tcPr>
                <w:p w14:paraId="1D8248E9">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714" w:type="dxa"/>
                  <w:vMerge w:val="restart"/>
                  <w:shd w:val="clear" w:color="auto" w:fill="auto"/>
                  <w:noWrap/>
                  <w:vAlign w:val="center"/>
                </w:tcPr>
                <w:p w14:paraId="57BD7433">
                  <w:pPr>
                    <w:pStyle w:val="4"/>
                    <w:widowControl w:val="0"/>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吉木萨尔县二工镇</w:t>
                  </w:r>
                </w:p>
              </w:tc>
            </w:tr>
            <w:tr w14:paraId="777A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82" w:type="dxa"/>
                  <w:vMerge w:val="continue"/>
                  <w:shd w:val="clear" w:color="auto" w:fill="auto"/>
                  <w:noWrap/>
                  <w:vAlign w:val="center"/>
                </w:tcPr>
                <w:p w14:paraId="03469EA0">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13" w:type="dxa"/>
                  <w:shd w:val="clear" w:color="auto" w:fill="auto"/>
                  <w:noWrap/>
                  <w:vAlign w:val="center"/>
                </w:tcPr>
                <w:p w14:paraId="56F5A298">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萨101-7-13</w:t>
                  </w:r>
                </w:p>
              </w:tc>
              <w:tc>
                <w:tcPr>
                  <w:tcW w:w="1243" w:type="dxa"/>
                  <w:shd w:val="clear" w:color="auto" w:fill="auto"/>
                  <w:noWrap/>
                  <w:vAlign w:val="center"/>
                </w:tcPr>
                <w:p w14:paraId="62F29B72">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57" w:type="dxa"/>
                  <w:shd w:val="clear" w:color="auto" w:fill="auto"/>
                  <w:noWrap/>
                  <w:vAlign w:val="center"/>
                </w:tcPr>
                <w:p w14:paraId="419B4709">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46" w:type="dxa"/>
                  <w:shd w:val="clear" w:color="auto" w:fill="auto"/>
                  <w:noWrap/>
                  <w:vAlign w:val="center"/>
                </w:tcPr>
                <w:p w14:paraId="0DE33F74">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62" w:type="dxa"/>
                  <w:shd w:val="clear" w:color="auto" w:fill="auto"/>
                  <w:noWrap/>
                  <w:vAlign w:val="center"/>
                </w:tcPr>
                <w:p w14:paraId="7A457F43">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714" w:type="dxa"/>
                  <w:vMerge w:val="continue"/>
                  <w:shd w:val="clear" w:color="auto" w:fill="auto"/>
                  <w:noWrap/>
                  <w:vAlign w:val="center"/>
                </w:tcPr>
                <w:p w14:paraId="71CA67ED">
                  <w:pPr>
                    <w:pStyle w:val="4"/>
                    <w:widowControl w:val="0"/>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r>
            <w:tr w14:paraId="0CB23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82" w:type="dxa"/>
                  <w:vMerge w:val="continue"/>
                  <w:shd w:val="clear" w:color="auto" w:fill="auto"/>
                  <w:noWrap/>
                  <w:vAlign w:val="center"/>
                </w:tcPr>
                <w:p w14:paraId="471ABEAD">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13" w:type="dxa"/>
                  <w:shd w:val="clear" w:color="auto" w:fill="auto"/>
                  <w:noWrap/>
                  <w:vAlign w:val="center"/>
                </w:tcPr>
                <w:p w14:paraId="19382E8A">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萨101-6-15</w:t>
                  </w:r>
                </w:p>
              </w:tc>
              <w:tc>
                <w:tcPr>
                  <w:tcW w:w="1243" w:type="dxa"/>
                  <w:shd w:val="clear" w:color="auto" w:fill="auto"/>
                  <w:noWrap/>
                  <w:vAlign w:val="center"/>
                </w:tcPr>
                <w:p w14:paraId="5E15E1D6">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57" w:type="dxa"/>
                  <w:shd w:val="clear" w:color="auto" w:fill="auto"/>
                  <w:noWrap/>
                  <w:vAlign w:val="center"/>
                </w:tcPr>
                <w:p w14:paraId="7E1C3931">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46" w:type="dxa"/>
                  <w:shd w:val="clear" w:color="auto" w:fill="auto"/>
                  <w:noWrap/>
                  <w:vAlign w:val="center"/>
                </w:tcPr>
                <w:p w14:paraId="58EC426A">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62" w:type="dxa"/>
                  <w:shd w:val="clear" w:color="auto" w:fill="auto"/>
                  <w:noWrap/>
                  <w:vAlign w:val="center"/>
                </w:tcPr>
                <w:p w14:paraId="36BBB575">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714" w:type="dxa"/>
                  <w:vMerge w:val="continue"/>
                  <w:shd w:val="clear" w:color="auto" w:fill="auto"/>
                  <w:noWrap/>
                  <w:vAlign w:val="center"/>
                </w:tcPr>
                <w:p w14:paraId="5F7262AC">
                  <w:pPr>
                    <w:pStyle w:val="4"/>
                    <w:widowControl w:val="0"/>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r>
            <w:tr w14:paraId="3618C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82" w:type="dxa"/>
                  <w:vMerge w:val="continue"/>
                  <w:shd w:val="clear" w:color="auto" w:fill="auto"/>
                  <w:noWrap/>
                  <w:vAlign w:val="center"/>
                </w:tcPr>
                <w:p w14:paraId="146A2C94">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13" w:type="dxa"/>
                  <w:shd w:val="clear" w:color="auto" w:fill="auto"/>
                  <w:noWrap/>
                  <w:vAlign w:val="center"/>
                </w:tcPr>
                <w:p w14:paraId="75DC42F7">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萨101-5-15</w:t>
                  </w:r>
                </w:p>
              </w:tc>
              <w:tc>
                <w:tcPr>
                  <w:tcW w:w="1243" w:type="dxa"/>
                  <w:shd w:val="clear" w:color="auto" w:fill="auto"/>
                  <w:noWrap/>
                  <w:vAlign w:val="center"/>
                </w:tcPr>
                <w:p w14:paraId="580A1BA3">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57" w:type="dxa"/>
                  <w:shd w:val="clear" w:color="auto" w:fill="auto"/>
                  <w:noWrap/>
                  <w:vAlign w:val="center"/>
                </w:tcPr>
                <w:p w14:paraId="08849754">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46" w:type="dxa"/>
                  <w:shd w:val="clear" w:color="auto" w:fill="auto"/>
                  <w:noWrap/>
                  <w:vAlign w:val="center"/>
                </w:tcPr>
                <w:p w14:paraId="7311DD37">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62" w:type="dxa"/>
                  <w:shd w:val="clear" w:color="auto" w:fill="auto"/>
                  <w:noWrap/>
                  <w:vAlign w:val="center"/>
                </w:tcPr>
                <w:p w14:paraId="13B3FA10">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714" w:type="dxa"/>
                  <w:vMerge w:val="continue"/>
                  <w:shd w:val="clear" w:color="auto" w:fill="auto"/>
                  <w:noWrap/>
                  <w:vAlign w:val="center"/>
                </w:tcPr>
                <w:p w14:paraId="7F4E0AA3">
                  <w:pPr>
                    <w:pStyle w:val="4"/>
                    <w:widowControl w:val="0"/>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r>
            <w:tr w14:paraId="6B021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82" w:type="dxa"/>
                  <w:vMerge w:val="continue"/>
                  <w:shd w:val="clear" w:color="auto" w:fill="auto"/>
                  <w:noWrap/>
                  <w:vAlign w:val="center"/>
                </w:tcPr>
                <w:p w14:paraId="0043CBE6">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13" w:type="dxa"/>
                  <w:shd w:val="clear" w:color="auto" w:fill="auto"/>
                  <w:noWrap/>
                  <w:vAlign w:val="center"/>
                </w:tcPr>
                <w:p w14:paraId="2A8C618C">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萨101-3-15</w:t>
                  </w:r>
                </w:p>
              </w:tc>
              <w:tc>
                <w:tcPr>
                  <w:tcW w:w="1243" w:type="dxa"/>
                  <w:shd w:val="clear" w:color="auto" w:fill="auto"/>
                  <w:noWrap/>
                  <w:vAlign w:val="center"/>
                </w:tcPr>
                <w:p w14:paraId="4CF3B46C">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57" w:type="dxa"/>
                  <w:shd w:val="clear" w:color="auto" w:fill="auto"/>
                  <w:noWrap/>
                  <w:vAlign w:val="center"/>
                </w:tcPr>
                <w:p w14:paraId="5D5AEE3E">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46" w:type="dxa"/>
                  <w:shd w:val="clear" w:color="auto" w:fill="auto"/>
                  <w:noWrap/>
                  <w:vAlign w:val="center"/>
                </w:tcPr>
                <w:p w14:paraId="2ABDB53F">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62" w:type="dxa"/>
                  <w:shd w:val="clear" w:color="auto" w:fill="auto"/>
                  <w:noWrap/>
                  <w:vAlign w:val="center"/>
                </w:tcPr>
                <w:p w14:paraId="423F06CB">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714" w:type="dxa"/>
                  <w:vMerge w:val="continue"/>
                  <w:shd w:val="clear" w:color="auto" w:fill="auto"/>
                  <w:noWrap/>
                  <w:vAlign w:val="center"/>
                </w:tcPr>
                <w:p w14:paraId="70D8F6CB">
                  <w:pPr>
                    <w:pStyle w:val="4"/>
                    <w:widowControl w:val="0"/>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r>
            <w:tr w14:paraId="14B2A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482" w:type="dxa"/>
                  <w:vMerge w:val="restart"/>
                  <w:shd w:val="clear" w:color="auto" w:fill="auto"/>
                  <w:vAlign w:val="center"/>
                </w:tcPr>
                <w:p w14:paraId="3955777F">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4号</w:t>
                  </w:r>
                </w:p>
              </w:tc>
              <w:tc>
                <w:tcPr>
                  <w:tcW w:w="1413" w:type="dxa"/>
                  <w:shd w:val="clear" w:color="auto" w:fill="auto"/>
                  <w:vAlign w:val="center"/>
                </w:tcPr>
                <w:p w14:paraId="4ED691D6">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萨6-16-11</w:t>
                  </w:r>
                </w:p>
              </w:tc>
              <w:tc>
                <w:tcPr>
                  <w:tcW w:w="1243" w:type="dxa"/>
                  <w:shd w:val="clear" w:color="auto" w:fill="auto"/>
                  <w:vAlign w:val="center"/>
                </w:tcPr>
                <w:p w14:paraId="68CF3DD4">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57" w:type="dxa"/>
                  <w:shd w:val="clear" w:color="auto" w:fill="auto"/>
                  <w:vAlign w:val="center"/>
                </w:tcPr>
                <w:p w14:paraId="494DBEF1">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46" w:type="dxa"/>
                  <w:shd w:val="clear" w:color="auto" w:fill="auto"/>
                  <w:vAlign w:val="center"/>
                </w:tcPr>
                <w:p w14:paraId="6C690EE4">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62" w:type="dxa"/>
                  <w:shd w:val="clear" w:color="auto" w:fill="auto"/>
                  <w:vAlign w:val="center"/>
                </w:tcPr>
                <w:p w14:paraId="776B6E17">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714" w:type="dxa"/>
                  <w:vMerge w:val="restart"/>
                  <w:shd w:val="clear" w:color="auto" w:fill="auto"/>
                  <w:vAlign w:val="center"/>
                </w:tcPr>
                <w:p w14:paraId="58E71EE8">
                  <w:pPr>
                    <w:pStyle w:val="4"/>
                    <w:widowControl w:val="0"/>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吉木萨尔县二工镇</w:t>
                  </w:r>
                </w:p>
              </w:tc>
            </w:tr>
            <w:tr w14:paraId="1D693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482" w:type="dxa"/>
                  <w:vMerge w:val="continue"/>
                  <w:shd w:val="clear" w:color="auto" w:fill="auto"/>
                  <w:vAlign w:val="top"/>
                </w:tcPr>
                <w:p w14:paraId="333EED28">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13" w:type="dxa"/>
                  <w:shd w:val="clear" w:color="auto" w:fill="auto"/>
                  <w:vAlign w:val="center"/>
                </w:tcPr>
                <w:p w14:paraId="77DC238B">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萨6-11-12</w:t>
                  </w:r>
                </w:p>
              </w:tc>
              <w:tc>
                <w:tcPr>
                  <w:tcW w:w="1243" w:type="dxa"/>
                  <w:shd w:val="clear" w:color="auto" w:fill="auto"/>
                  <w:vAlign w:val="center"/>
                </w:tcPr>
                <w:p w14:paraId="52B6A31E">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57" w:type="dxa"/>
                  <w:shd w:val="clear" w:color="auto" w:fill="auto"/>
                  <w:vAlign w:val="center"/>
                </w:tcPr>
                <w:p w14:paraId="3888E618">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46" w:type="dxa"/>
                  <w:shd w:val="clear" w:color="auto" w:fill="auto"/>
                  <w:vAlign w:val="center"/>
                </w:tcPr>
                <w:p w14:paraId="6F74E3C9">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62" w:type="dxa"/>
                  <w:shd w:val="clear" w:color="auto" w:fill="auto"/>
                  <w:vAlign w:val="center"/>
                </w:tcPr>
                <w:p w14:paraId="55D01907">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714" w:type="dxa"/>
                  <w:vMerge w:val="continue"/>
                  <w:shd w:val="clear" w:color="auto" w:fill="auto"/>
                  <w:vAlign w:val="center"/>
                </w:tcPr>
                <w:p w14:paraId="405AF142">
                  <w:pPr>
                    <w:pStyle w:val="4"/>
                    <w:widowControl w:val="0"/>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r>
            <w:tr w14:paraId="790D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482" w:type="dxa"/>
                  <w:vMerge w:val="continue"/>
                  <w:shd w:val="clear" w:color="auto" w:fill="auto"/>
                  <w:vAlign w:val="top"/>
                </w:tcPr>
                <w:p w14:paraId="480D5148">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13" w:type="dxa"/>
                  <w:shd w:val="clear" w:color="auto" w:fill="auto"/>
                  <w:vAlign w:val="center"/>
                </w:tcPr>
                <w:p w14:paraId="50F52FF4">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萨6-13-12</w:t>
                  </w:r>
                </w:p>
              </w:tc>
              <w:tc>
                <w:tcPr>
                  <w:tcW w:w="1243" w:type="dxa"/>
                  <w:shd w:val="clear" w:color="auto" w:fill="auto"/>
                  <w:vAlign w:val="center"/>
                </w:tcPr>
                <w:p w14:paraId="5F62F373">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57" w:type="dxa"/>
                  <w:shd w:val="clear" w:color="auto" w:fill="auto"/>
                  <w:vAlign w:val="center"/>
                </w:tcPr>
                <w:p w14:paraId="76EA219D">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46" w:type="dxa"/>
                  <w:shd w:val="clear" w:color="auto" w:fill="auto"/>
                  <w:vAlign w:val="center"/>
                </w:tcPr>
                <w:p w14:paraId="1A4FA480">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62" w:type="dxa"/>
                  <w:shd w:val="clear" w:color="auto" w:fill="auto"/>
                  <w:vAlign w:val="center"/>
                </w:tcPr>
                <w:p w14:paraId="301DEB15">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714" w:type="dxa"/>
                  <w:vMerge w:val="continue"/>
                  <w:shd w:val="clear" w:color="auto" w:fill="auto"/>
                  <w:vAlign w:val="center"/>
                </w:tcPr>
                <w:p w14:paraId="22FCCEDD">
                  <w:pPr>
                    <w:pStyle w:val="4"/>
                    <w:widowControl w:val="0"/>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r>
            <w:tr w14:paraId="2F072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9" w:hRule="atLeast"/>
                <w:jc w:val="center"/>
              </w:trPr>
              <w:tc>
                <w:tcPr>
                  <w:tcW w:w="482" w:type="dxa"/>
                  <w:vMerge w:val="continue"/>
                  <w:shd w:val="clear" w:color="auto" w:fill="auto"/>
                  <w:vAlign w:val="top"/>
                </w:tcPr>
                <w:p w14:paraId="086C8B31">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13" w:type="dxa"/>
                  <w:shd w:val="clear" w:color="auto" w:fill="auto"/>
                  <w:vAlign w:val="center"/>
                </w:tcPr>
                <w:p w14:paraId="17AF4A95">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萨6-15-12</w:t>
                  </w:r>
                </w:p>
              </w:tc>
              <w:tc>
                <w:tcPr>
                  <w:tcW w:w="1243" w:type="dxa"/>
                  <w:shd w:val="clear" w:color="auto" w:fill="auto"/>
                  <w:vAlign w:val="center"/>
                </w:tcPr>
                <w:p w14:paraId="662093A1">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57" w:type="dxa"/>
                  <w:shd w:val="clear" w:color="auto" w:fill="auto"/>
                  <w:vAlign w:val="center"/>
                </w:tcPr>
                <w:p w14:paraId="215E25F6">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46" w:type="dxa"/>
                  <w:shd w:val="clear" w:color="auto" w:fill="auto"/>
                  <w:vAlign w:val="center"/>
                </w:tcPr>
                <w:p w14:paraId="7069BECC">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62" w:type="dxa"/>
                  <w:shd w:val="clear" w:color="auto" w:fill="auto"/>
                  <w:vAlign w:val="center"/>
                </w:tcPr>
                <w:p w14:paraId="31B9069D">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714" w:type="dxa"/>
                  <w:vMerge w:val="continue"/>
                  <w:shd w:val="clear" w:color="auto" w:fill="auto"/>
                  <w:vAlign w:val="center"/>
                </w:tcPr>
                <w:p w14:paraId="572973E2">
                  <w:pPr>
                    <w:pStyle w:val="4"/>
                    <w:widowControl w:val="0"/>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r>
            <w:tr w14:paraId="29461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482" w:type="dxa"/>
                  <w:vMerge w:val="continue"/>
                  <w:shd w:val="clear" w:color="auto" w:fill="auto"/>
                  <w:vAlign w:val="top"/>
                </w:tcPr>
                <w:p w14:paraId="78CCA08A">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13" w:type="dxa"/>
                  <w:shd w:val="clear" w:color="auto" w:fill="auto"/>
                  <w:vAlign w:val="center"/>
                </w:tcPr>
                <w:p w14:paraId="4A0E322D">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萨6-12-12</w:t>
                  </w:r>
                </w:p>
              </w:tc>
              <w:tc>
                <w:tcPr>
                  <w:tcW w:w="1243" w:type="dxa"/>
                  <w:shd w:val="clear" w:color="auto" w:fill="auto"/>
                  <w:vAlign w:val="center"/>
                </w:tcPr>
                <w:p w14:paraId="7828159C">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57" w:type="dxa"/>
                  <w:shd w:val="clear" w:color="auto" w:fill="auto"/>
                  <w:vAlign w:val="center"/>
                </w:tcPr>
                <w:p w14:paraId="26627CBD">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46" w:type="dxa"/>
                  <w:shd w:val="clear" w:color="auto" w:fill="auto"/>
                  <w:vAlign w:val="center"/>
                </w:tcPr>
                <w:p w14:paraId="0089D77C">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62" w:type="dxa"/>
                  <w:shd w:val="clear" w:color="auto" w:fill="auto"/>
                  <w:vAlign w:val="center"/>
                </w:tcPr>
                <w:p w14:paraId="4AD3C0C1">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714" w:type="dxa"/>
                  <w:vMerge w:val="continue"/>
                  <w:shd w:val="clear" w:color="auto" w:fill="auto"/>
                  <w:vAlign w:val="center"/>
                </w:tcPr>
                <w:p w14:paraId="4A4D63DF">
                  <w:pPr>
                    <w:pStyle w:val="4"/>
                    <w:widowControl w:val="0"/>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r>
          </w:tbl>
          <w:p w14:paraId="38E4A986">
            <w:pPr>
              <w:pStyle w:val="4"/>
              <w:widowControl w:val="0"/>
              <w:ind w:left="0" w:leftChars="0" w:firstLine="0" w:firstLineChars="0"/>
              <w:rPr>
                <w:rFonts w:hint="default" w:ascii="Times New Roman" w:hAnsi="Times New Roman" w:cs="Times New Roman"/>
                <w:color w:val="auto"/>
              </w:rPr>
            </w:pPr>
          </w:p>
        </w:tc>
      </w:tr>
      <w:tr w14:paraId="74BCD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704" w:type="dxa"/>
            <w:vAlign w:val="center"/>
          </w:tcPr>
          <w:p w14:paraId="2821F7AC">
            <w:pPr>
              <w:widowControl w:val="0"/>
              <w:snapToGrid w:val="0"/>
              <w:spacing w:line="360" w:lineRule="auto"/>
              <w:jc w:val="center"/>
              <w:rPr>
                <w:rFonts w:hint="default" w:ascii="Times New Roman" w:hAnsi="Times New Roman" w:eastAsia="宋体" w:cs="Times New Roman"/>
                <w:color w:val="auto"/>
                <w:sz w:val="24"/>
                <w:szCs w:val="24"/>
                <w:highlight w:val="none"/>
              </w:rPr>
            </w:pPr>
            <w:bookmarkStart w:id="2" w:name="OLE_LINK38"/>
            <w:bookmarkStart w:id="3" w:name="_Hlk136793942"/>
            <w:r>
              <w:rPr>
                <w:rFonts w:hint="default" w:ascii="Times New Roman" w:hAnsi="Times New Roman" w:eastAsia="宋体" w:cs="Times New Roman"/>
                <w:color w:val="auto"/>
                <w:sz w:val="24"/>
                <w:szCs w:val="24"/>
                <w:highlight w:val="none"/>
              </w:rPr>
              <w:t>项目组成及规模</w:t>
            </w:r>
            <w:bookmarkEnd w:id="2"/>
          </w:p>
        </w:tc>
        <w:tc>
          <w:tcPr>
            <w:tcW w:w="8394" w:type="dxa"/>
            <w:tcBorders>
              <w:bottom w:val="single" w:color="auto" w:sz="4" w:space="0"/>
            </w:tcBorders>
          </w:tcPr>
          <w:p w14:paraId="44952DB5">
            <w:pPr>
              <w:widowControl w:val="0"/>
              <w:snapToGrid w:val="0"/>
              <w:spacing w:line="360" w:lineRule="auto"/>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1.项目概况</w:t>
            </w:r>
          </w:p>
          <w:p w14:paraId="330FF51F">
            <w:pPr>
              <w:widowControl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项目名称：萨探区块4平台萨105-11-7井等20口钻试工程项目</w:t>
            </w:r>
          </w:p>
          <w:p w14:paraId="45DC1878">
            <w:pPr>
              <w:widowControl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建设单位：中国石油天然气股份有限公司吐哈油田分公司准东采油管理区</w:t>
            </w:r>
          </w:p>
          <w:p w14:paraId="68D01E55">
            <w:pPr>
              <w:widowControl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建设地点：新疆昌吉回族自治州</w:t>
            </w:r>
          </w:p>
          <w:p w14:paraId="3B3619ED">
            <w:pPr>
              <w:widowControl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建设性质：新建</w:t>
            </w:r>
          </w:p>
          <w:p w14:paraId="461ACFC9">
            <w:pPr>
              <w:widowControl w:val="0"/>
              <w:snapToGrid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工程投资及环保投资：项目总投资22000万元，其中环保投资1148万元，占工程总投资的5.2%。</w:t>
            </w:r>
          </w:p>
          <w:p w14:paraId="06386487">
            <w:pPr>
              <w:widowControl w:val="0"/>
              <w:snapToGrid w:val="0"/>
              <w:spacing w:line="360" w:lineRule="auto"/>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2.建设内容及规模</w:t>
            </w:r>
          </w:p>
          <w:p w14:paraId="50BB5135">
            <w:pPr>
              <w:widowControl w:val="0"/>
              <w:snapToGrid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rPr>
              <w:t>本工程建设内</w:t>
            </w:r>
            <w:r>
              <w:rPr>
                <w:rFonts w:hint="default" w:ascii="Times New Roman" w:hAnsi="Times New Roman" w:eastAsia="宋体" w:cs="Times New Roman"/>
                <w:color w:val="auto"/>
                <w:sz w:val="24"/>
                <w:szCs w:val="24"/>
                <w:highlight w:val="none"/>
              </w:rPr>
              <w:t>容为新钻</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口</w:t>
            </w:r>
            <w:r>
              <w:rPr>
                <w:rFonts w:hint="default" w:ascii="Times New Roman" w:hAnsi="Times New Roman" w:eastAsia="宋体" w:cs="Times New Roman"/>
                <w:color w:val="auto"/>
                <w:sz w:val="24"/>
                <w:szCs w:val="24"/>
                <w:highlight w:val="none"/>
                <w:lang w:val="en-US" w:eastAsia="zh-CN"/>
              </w:rPr>
              <w:t>评价</w:t>
            </w:r>
            <w:r>
              <w:rPr>
                <w:rFonts w:hint="default" w:ascii="Times New Roman" w:hAnsi="Times New Roman" w:eastAsia="宋体" w:cs="Times New Roman"/>
                <w:color w:val="auto"/>
                <w:sz w:val="24"/>
                <w:szCs w:val="24"/>
                <w:highlight w:val="none"/>
              </w:rPr>
              <w:t>井，完井后进行试油，获取有关技术参数。项目主要建设内容包括钻前工程、钻井工程、试油工程。项目环评仅适用于工程钻试期，钻试结束后即封井或转为开发井。纳入区块产能开发工程中的，须另行组织区块及运营期环境影响评价。本项目工程组成详见表2-</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bookmarkStart w:id="4" w:name="OLE_LINK39"/>
          </w:p>
          <w:p w14:paraId="538DC21E">
            <w:pPr>
              <w:widowControl w:val="0"/>
              <w:snapToGrid w:val="0"/>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 xml:space="preserve">2-2 </w:t>
            </w:r>
            <w:r>
              <w:rPr>
                <w:rFonts w:hint="default" w:ascii="Times New Roman" w:hAnsi="Times New Roman" w:eastAsia="宋体" w:cs="Times New Roman"/>
                <w:b/>
                <w:bCs/>
                <w:color w:val="auto"/>
                <w:sz w:val="21"/>
                <w:szCs w:val="21"/>
                <w:highlight w:val="none"/>
              </w:rPr>
              <w:t>工程组成一览表</w:t>
            </w:r>
          </w:p>
          <w:bookmarkEnd w:id="4"/>
          <w:tbl>
            <w:tblPr>
              <w:tblStyle w:val="11"/>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623"/>
              <w:gridCol w:w="13"/>
              <w:gridCol w:w="602"/>
              <w:gridCol w:w="1314"/>
              <w:gridCol w:w="5623"/>
            </w:tblGrid>
            <w:tr w14:paraId="10FAE8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blHeader/>
              </w:trPr>
              <w:tc>
                <w:tcPr>
                  <w:tcW w:w="381" w:type="pct"/>
                  <w:tcBorders>
                    <w:top w:val="single" w:color="auto" w:sz="4" w:space="0"/>
                    <w:left w:val="single" w:color="auto" w:sz="0" w:space="0"/>
                    <w:bottom w:val="single" w:color="auto" w:sz="4" w:space="0"/>
                    <w:right w:val="single" w:color="auto" w:sz="4" w:space="0"/>
                  </w:tcBorders>
                  <w:vAlign w:val="center"/>
                </w:tcPr>
                <w:p w14:paraId="5F7E184C">
                  <w:pPr>
                    <w:adjustRightInd w:val="0"/>
                    <w:snapToGrid w:val="0"/>
                    <w:spacing w:line="300" w:lineRule="exact"/>
                    <w:jc w:val="center"/>
                    <w:rPr>
                      <w:rFonts w:hint="default" w:ascii="Times New Roman" w:hAnsi="Times New Roman" w:eastAsia="宋体" w:cs="Times New Roman"/>
                      <w:b/>
                      <w:bCs/>
                      <w:color w:val="auto"/>
                      <w:sz w:val="21"/>
                      <w:szCs w:val="21"/>
                      <w:highlight w:val="none"/>
                    </w:rPr>
                  </w:pPr>
                  <w:bookmarkStart w:id="5" w:name="OLE_LINK54"/>
                  <w:bookmarkStart w:id="6" w:name="_Hlk176172371"/>
                  <w:bookmarkStart w:id="7" w:name="_Ref19637151"/>
                  <w:r>
                    <w:rPr>
                      <w:rFonts w:hint="default" w:ascii="Times New Roman" w:hAnsi="Times New Roman" w:eastAsia="宋体" w:cs="Times New Roman"/>
                      <w:b/>
                      <w:bCs/>
                      <w:color w:val="auto"/>
                      <w:sz w:val="21"/>
                      <w:szCs w:val="21"/>
                      <w:highlight w:val="none"/>
                    </w:rPr>
                    <w:t>工程组成</w:t>
                  </w:r>
                </w:p>
              </w:tc>
              <w:tc>
                <w:tcPr>
                  <w:tcW w:w="4618" w:type="pct"/>
                  <w:gridSpan w:val="4"/>
                  <w:tcBorders>
                    <w:top w:val="single" w:color="auto" w:sz="4" w:space="0"/>
                    <w:left w:val="single" w:color="auto" w:sz="4" w:space="0"/>
                    <w:bottom w:val="single" w:color="auto" w:sz="4" w:space="0"/>
                    <w:right w:val="single" w:color="auto" w:sz="4" w:space="0"/>
                  </w:tcBorders>
                  <w:vAlign w:val="center"/>
                </w:tcPr>
                <w:p w14:paraId="6BB63FBC">
                  <w:pPr>
                    <w:adjustRightInd w:val="0"/>
                    <w:snapToGrid w:val="0"/>
                    <w:spacing w:line="30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工程内容</w:t>
                  </w:r>
                </w:p>
              </w:tc>
            </w:tr>
            <w:tr w14:paraId="502DE2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1" w:type="pct"/>
                  <w:vMerge w:val="restart"/>
                  <w:tcBorders>
                    <w:top w:val="single" w:color="auto" w:sz="4" w:space="0"/>
                    <w:left w:val="single" w:color="auto" w:sz="4" w:space="0"/>
                    <w:bottom w:val="single" w:color="auto" w:sz="4" w:space="0"/>
                    <w:right w:val="single" w:color="auto" w:sz="4" w:space="0"/>
                  </w:tcBorders>
                  <w:vAlign w:val="center"/>
                </w:tcPr>
                <w:p w14:paraId="2E8EC010">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主体工程</w:t>
                  </w:r>
                </w:p>
              </w:tc>
              <w:tc>
                <w:tcPr>
                  <w:tcW w:w="1179" w:type="pct"/>
                  <w:gridSpan w:val="3"/>
                  <w:tcBorders>
                    <w:top w:val="single" w:color="auto" w:sz="4" w:space="0"/>
                    <w:left w:val="single" w:color="auto" w:sz="4" w:space="0"/>
                    <w:bottom w:val="single" w:color="auto" w:sz="4" w:space="0"/>
                    <w:right w:val="single" w:color="auto" w:sz="4" w:space="0"/>
                  </w:tcBorders>
                  <w:vAlign w:val="center"/>
                </w:tcPr>
                <w:p w14:paraId="454788C9">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钻前工程</w:t>
                  </w:r>
                </w:p>
              </w:tc>
              <w:tc>
                <w:tcPr>
                  <w:tcW w:w="3439" w:type="pct"/>
                  <w:tcBorders>
                    <w:top w:val="single" w:color="auto" w:sz="4" w:space="0"/>
                    <w:left w:val="single" w:color="auto" w:sz="4" w:space="0"/>
                    <w:bottom w:val="single" w:color="auto" w:sz="4" w:space="0"/>
                    <w:right w:val="single" w:color="auto" w:sz="4" w:space="0"/>
                  </w:tcBorders>
                  <w:vAlign w:val="center"/>
                </w:tcPr>
                <w:p w14:paraId="3C7BF990">
                  <w:pPr>
                    <w:adjustRightInd w:val="0"/>
                    <w:snapToGrid w:val="0"/>
                    <w:spacing w:line="300" w:lineRule="exact"/>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钻井前准备工作，包括进场道路建设、井场平整、临时堆土</w:t>
                  </w:r>
                  <w:r>
                    <w:rPr>
                      <w:rFonts w:hint="default" w:ascii="Times New Roman" w:hAnsi="Times New Roman" w:eastAsia="宋体" w:cs="Times New Roman"/>
                      <w:color w:val="auto"/>
                      <w:sz w:val="21"/>
                      <w:szCs w:val="21"/>
                      <w:highlight w:val="none"/>
                      <w:lang w:val="en-US" w:eastAsia="zh-CN"/>
                    </w:rPr>
                    <w:t>场</w:t>
                  </w:r>
                  <w:r>
                    <w:rPr>
                      <w:rFonts w:hint="default" w:ascii="Times New Roman" w:hAnsi="Times New Roman" w:eastAsia="宋体" w:cs="Times New Roman"/>
                      <w:color w:val="auto"/>
                      <w:sz w:val="21"/>
                      <w:szCs w:val="21"/>
                      <w:highlight w:val="none"/>
                    </w:rPr>
                    <w:t>料场修建、设备安装等</w:t>
                  </w:r>
                  <w:r>
                    <w:rPr>
                      <w:rFonts w:hint="default" w:ascii="Times New Roman" w:hAnsi="Times New Roman" w:eastAsia="宋体" w:cs="Times New Roman"/>
                      <w:color w:val="auto"/>
                      <w:sz w:val="21"/>
                      <w:szCs w:val="21"/>
                      <w:highlight w:val="none"/>
                      <w:lang w:eastAsia="zh-CN"/>
                    </w:rPr>
                    <w:t>。</w:t>
                  </w:r>
                </w:p>
              </w:tc>
            </w:tr>
            <w:tr w14:paraId="57E30D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230" w:hRule="atLeast"/>
              </w:trPr>
              <w:tc>
                <w:tcPr>
                  <w:tcW w:w="381" w:type="pct"/>
                  <w:vMerge w:val="continue"/>
                  <w:tcBorders>
                    <w:top w:val="single" w:color="auto" w:sz="4" w:space="0"/>
                    <w:left w:val="single" w:color="auto" w:sz="4" w:space="0"/>
                    <w:bottom w:val="single" w:color="auto" w:sz="4" w:space="0"/>
                    <w:right w:val="single" w:color="auto" w:sz="4" w:space="0"/>
                  </w:tcBorders>
                  <w:vAlign w:val="center"/>
                </w:tcPr>
                <w:p w14:paraId="777E44E6">
                  <w:pPr>
                    <w:adjustRightInd w:val="0"/>
                    <w:snapToGrid w:val="0"/>
                    <w:spacing w:line="300" w:lineRule="exact"/>
                    <w:jc w:val="center"/>
                    <w:rPr>
                      <w:rFonts w:hint="default" w:ascii="Times New Roman" w:hAnsi="Times New Roman" w:eastAsia="宋体" w:cs="Times New Roman"/>
                      <w:color w:val="auto"/>
                      <w:sz w:val="21"/>
                      <w:szCs w:val="21"/>
                      <w:highlight w:val="none"/>
                    </w:rPr>
                  </w:pPr>
                  <w:bookmarkStart w:id="8" w:name="_Hlk186369386"/>
                </w:p>
              </w:tc>
              <w:tc>
                <w:tcPr>
                  <w:tcW w:w="1179" w:type="pct"/>
                  <w:gridSpan w:val="3"/>
                  <w:tcBorders>
                    <w:top w:val="single" w:color="auto" w:sz="4" w:space="0"/>
                    <w:left w:val="single" w:color="auto" w:sz="4" w:space="0"/>
                    <w:bottom w:val="single" w:color="auto" w:sz="4" w:space="0"/>
                    <w:right w:val="single" w:color="auto" w:sz="4" w:space="0"/>
                  </w:tcBorders>
                  <w:vAlign w:val="center"/>
                </w:tcPr>
                <w:p w14:paraId="07E8110F">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钻井工程</w:t>
                  </w:r>
                </w:p>
              </w:tc>
              <w:tc>
                <w:tcPr>
                  <w:tcW w:w="3439" w:type="pct"/>
                  <w:tcBorders>
                    <w:top w:val="single" w:color="auto" w:sz="4" w:space="0"/>
                    <w:left w:val="single" w:color="auto" w:sz="4" w:space="0"/>
                    <w:bottom w:val="single" w:color="auto" w:sz="4" w:space="0"/>
                    <w:right w:val="single" w:color="auto" w:sz="4" w:space="0"/>
                  </w:tcBorders>
                  <w:vAlign w:val="center"/>
                </w:tcPr>
                <w:p w14:paraId="5CFEA651">
                  <w:pPr>
                    <w:keepNext w:val="0"/>
                    <w:keepLines w:val="0"/>
                    <w:pageBreakBefore w:val="0"/>
                    <w:widowControl/>
                    <w:kinsoku/>
                    <w:wordWrap/>
                    <w:overflowPunct w:val="0"/>
                    <w:topLinePunct w:val="0"/>
                    <w:autoSpaceDE w:val="0"/>
                    <w:autoSpaceDN w:val="0"/>
                    <w:bidi w:val="0"/>
                    <w:adjustRightInd w:val="0"/>
                    <w:snapToGrid w:val="0"/>
                    <w:spacing w:line="300" w:lineRule="exact"/>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lang w:val="en-US" w:eastAsia="zh-CN"/>
                    </w:rPr>
                    <w:t>新钻4个</w:t>
                  </w:r>
                  <w:r>
                    <w:rPr>
                      <w:rFonts w:hint="eastAsia" w:ascii="Times New Roman" w:hAnsi="Times New Roman" w:eastAsia="宋体" w:cs="Times New Roman"/>
                      <w:color w:val="auto"/>
                      <w:spacing w:val="4"/>
                      <w:sz w:val="21"/>
                      <w:szCs w:val="21"/>
                      <w:highlight w:val="none"/>
                      <w:lang w:val="en-US" w:eastAsia="zh-CN"/>
                    </w:rPr>
                    <w:t>钻试场</w:t>
                  </w:r>
                  <w:r>
                    <w:rPr>
                      <w:rFonts w:hint="default" w:ascii="Times New Roman" w:hAnsi="Times New Roman" w:eastAsia="宋体" w:cs="Times New Roman"/>
                      <w:color w:val="auto"/>
                      <w:spacing w:val="4"/>
                      <w:sz w:val="21"/>
                      <w:szCs w:val="21"/>
                      <w:highlight w:val="none"/>
                      <w:lang w:val="en-US" w:eastAsia="zh-CN"/>
                    </w:rPr>
                    <w:t>共20口评价井（萨105-11-7、萨6-11-11、萨6-13-6、萨6-12-9、萨6-16-9、萨101-9-16、萨101-11-16、萨102-9-18、萨102-7-19、萨102-11-17、萨101-9-13、萨101-7-13、萨101-6-15、萨101-3-15、萨101-5-15、萨6-16-11、萨6-11-12、萨6-13-12、萨6-15-12、萨6-12-12），均为定向井，三开井身结构，设计井深</w:t>
                  </w:r>
                  <w:r>
                    <w:rPr>
                      <w:rFonts w:hint="eastAsia" w:ascii="Times New Roman" w:hAnsi="Times New Roman" w:eastAsia="宋体" w:cs="Times New Roman"/>
                      <w:color w:val="auto"/>
                      <w:spacing w:val="4"/>
                      <w:sz w:val="21"/>
                      <w:szCs w:val="21"/>
                      <w:highlight w:val="none"/>
                      <w:lang w:val="en-US" w:eastAsia="zh-CN"/>
                    </w:rPr>
                    <w:t>均为</w:t>
                  </w:r>
                  <w:r>
                    <w:rPr>
                      <w:rFonts w:hint="default" w:ascii="Times New Roman" w:hAnsi="Times New Roman" w:eastAsia="宋体" w:cs="Times New Roman"/>
                      <w:color w:val="auto"/>
                      <w:spacing w:val="4"/>
                      <w:sz w:val="21"/>
                      <w:szCs w:val="21"/>
                      <w:highlight w:val="none"/>
                      <w:lang w:val="en-US" w:eastAsia="zh-CN"/>
                    </w:rPr>
                    <w:t>3490m。单井</w:t>
                  </w:r>
                  <w:r>
                    <w:rPr>
                      <w:rFonts w:hint="default" w:ascii="Times New Roman" w:hAnsi="Times New Roman" w:eastAsia="宋体" w:cs="Times New Roman"/>
                      <w:color w:val="auto"/>
                      <w:sz w:val="21"/>
                      <w:szCs w:val="21"/>
                      <w:highlight w:val="none"/>
                    </w:rPr>
                    <w:t>钻井期为</w:t>
                  </w:r>
                  <w:r>
                    <w:rPr>
                      <w:rFonts w:hint="eastAsia" w:ascii="Times New Roman" w:hAnsi="Times New Roman" w:eastAsia="宋体"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天</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7口井同时开钻，分三批次钻完，钻井总工期90天</w:t>
                  </w:r>
                  <w:r>
                    <w:rPr>
                      <w:rFonts w:hint="default" w:ascii="Times New Roman" w:hAnsi="Times New Roman" w:eastAsia="宋体" w:cs="Times New Roman"/>
                      <w:color w:val="auto"/>
                      <w:sz w:val="21"/>
                      <w:szCs w:val="21"/>
                      <w:highlight w:val="none"/>
                    </w:rPr>
                    <w:t>。</w:t>
                  </w:r>
                </w:p>
              </w:tc>
            </w:tr>
            <w:bookmarkEnd w:id="8"/>
            <w:tr w14:paraId="05D9DE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1" w:type="pct"/>
                  <w:vMerge w:val="continue"/>
                  <w:tcBorders>
                    <w:top w:val="single" w:color="auto" w:sz="4" w:space="0"/>
                    <w:left w:val="single" w:color="auto" w:sz="4" w:space="0"/>
                    <w:bottom w:val="single" w:color="auto" w:sz="4" w:space="0"/>
                    <w:right w:val="single" w:color="auto" w:sz="4" w:space="0"/>
                  </w:tcBorders>
                  <w:vAlign w:val="center"/>
                </w:tcPr>
                <w:p w14:paraId="483076CB">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1179" w:type="pct"/>
                  <w:gridSpan w:val="3"/>
                  <w:tcBorders>
                    <w:top w:val="single" w:color="auto" w:sz="4" w:space="0"/>
                    <w:left w:val="single" w:color="auto" w:sz="4" w:space="0"/>
                    <w:bottom w:val="single" w:color="auto" w:sz="4" w:space="0"/>
                    <w:right w:val="single" w:color="auto" w:sz="4" w:space="0"/>
                  </w:tcBorders>
                  <w:vAlign w:val="center"/>
                </w:tcPr>
                <w:p w14:paraId="6409F645">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试油工程</w:t>
                  </w:r>
                </w:p>
              </w:tc>
              <w:tc>
                <w:tcPr>
                  <w:tcW w:w="3439" w:type="pct"/>
                  <w:tcBorders>
                    <w:top w:val="single" w:color="auto" w:sz="4" w:space="0"/>
                    <w:left w:val="single" w:color="auto" w:sz="4" w:space="0"/>
                    <w:bottom w:val="single" w:color="auto" w:sz="4" w:space="0"/>
                    <w:right w:val="single" w:color="auto" w:sz="4" w:space="0"/>
                  </w:tcBorders>
                  <w:vAlign w:val="center"/>
                </w:tcPr>
                <w:p w14:paraId="4AB26044">
                  <w:pPr>
                    <w:adjustRightInd w:val="0"/>
                    <w:snapToGrid w:val="0"/>
                    <w:spacing w:line="30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主要包括试油准备、储层改造和试油对完钻井进行通井、洗井、试压、射孔、诱喷、求产等工序，并配套洗井等试油设备，记录油气产量；试油期为</w:t>
                  </w:r>
                  <w:r>
                    <w:rPr>
                      <w:rFonts w:hint="default" w:ascii="Times New Roman" w:hAnsi="Times New Roman" w:eastAsia="宋体" w:cs="Times New Roman"/>
                      <w:color w:val="auto"/>
                      <w:sz w:val="21"/>
                      <w:szCs w:val="21"/>
                      <w:highlight w:val="none"/>
                      <w:lang w:val="en-US" w:eastAsia="zh-CN"/>
                    </w:rPr>
                    <w:t>180</w:t>
                  </w:r>
                  <w:r>
                    <w:rPr>
                      <w:rFonts w:hint="default" w:ascii="Times New Roman" w:hAnsi="Times New Roman" w:eastAsia="宋体" w:cs="Times New Roman"/>
                      <w:color w:val="auto"/>
                      <w:sz w:val="21"/>
                      <w:szCs w:val="21"/>
                      <w:highlight w:val="none"/>
                    </w:rPr>
                    <w:t>天。</w:t>
                  </w:r>
                </w:p>
              </w:tc>
            </w:tr>
            <w:tr w14:paraId="0D8A33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1" w:type="pct"/>
                  <w:vMerge w:val="continue"/>
                  <w:tcBorders>
                    <w:top w:val="single" w:color="auto" w:sz="4" w:space="0"/>
                    <w:left w:val="single" w:color="auto" w:sz="4" w:space="0"/>
                    <w:bottom w:val="single" w:color="auto" w:sz="4" w:space="0"/>
                    <w:right w:val="single" w:color="auto" w:sz="4" w:space="0"/>
                  </w:tcBorders>
                  <w:vAlign w:val="center"/>
                </w:tcPr>
                <w:p w14:paraId="6D279E53">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1179" w:type="pct"/>
                  <w:gridSpan w:val="3"/>
                  <w:tcBorders>
                    <w:top w:val="single" w:color="auto" w:sz="4" w:space="0"/>
                    <w:left w:val="single" w:color="auto" w:sz="4" w:space="0"/>
                    <w:bottom w:val="single" w:color="auto" w:sz="4" w:space="0"/>
                    <w:right w:val="single" w:color="auto" w:sz="4" w:space="0"/>
                  </w:tcBorders>
                  <w:vAlign w:val="center"/>
                </w:tcPr>
                <w:p w14:paraId="6C153502">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完井</w:t>
                  </w:r>
                  <w:r>
                    <w:rPr>
                      <w:rFonts w:hint="default" w:ascii="Times New Roman" w:hAnsi="Times New Roman" w:eastAsia="宋体" w:cs="Times New Roman"/>
                      <w:color w:val="auto"/>
                      <w:sz w:val="21"/>
                      <w:szCs w:val="21"/>
                      <w:highlight w:val="none"/>
                      <w:lang w:val="en-US" w:eastAsia="zh-CN"/>
                    </w:rPr>
                    <w:t>工程</w:t>
                  </w:r>
                </w:p>
              </w:tc>
              <w:tc>
                <w:tcPr>
                  <w:tcW w:w="3439" w:type="pct"/>
                  <w:tcBorders>
                    <w:top w:val="single" w:color="auto" w:sz="4" w:space="0"/>
                    <w:left w:val="single" w:color="auto" w:sz="4" w:space="0"/>
                    <w:bottom w:val="single" w:color="auto" w:sz="4" w:space="0"/>
                    <w:right w:val="single" w:color="auto" w:sz="4" w:space="0"/>
                  </w:tcBorders>
                  <w:vAlign w:val="center"/>
                </w:tcPr>
                <w:p w14:paraId="25D61B2B">
                  <w:pPr>
                    <w:adjustRightInd w:val="0"/>
                    <w:snapToGrid w:val="0"/>
                    <w:spacing w:line="30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根据试油结果进行关井或封井作业，最后撤去所有生产设施，清理、平整井场</w:t>
                  </w:r>
                  <w:r>
                    <w:rPr>
                      <w:rFonts w:hint="default" w:ascii="Times New Roman" w:hAnsi="Times New Roman" w:eastAsia="宋体" w:cs="Times New Roman"/>
                      <w:color w:val="auto"/>
                      <w:sz w:val="21"/>
                      <w:szCs w:val="21"/>
                      <w:highlight w:val="none"/>
                      <w:lang w:val="en-US" w:eastAsia="zh-CN"/>
                    </w:rPr>
                    <w:t>及场地恢复</w:t>
                  </w:r>
                  <w:r>
                    <w:rPr>
                      <w:rFonts w:hint="default" w:ascii="Times New Roman" w:hAnsi="Times New Roman" w:eastAsia="宋体" w:cs="Times New Roman"/>
                      <w:color w:val="auto"/>
                      <w:sz w:val="21"/>
                      <w:szCs w:val="21"/>
                      <w:highlight w:val="none"/>
                    </w:rPr>
                    <w:t>。</w:t>
                  </w:r>
                </w:p>
              </w:tc>
            </w:tr>
            <w:tr w14:paraId="0E266C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1" w:type="pct"/>
                  <w:vMerge w:val="restart"/>
                  <w:tcBorders>
                    <w:top w:val="single" w:color="auto" w:sz="4" w:space="0"/>
                    <w:left w:val="single" w:color="auto" w:sz="4" w:space="0"/>
                    <w:right w:val="single" w:color="auto" w:sz="4" w:space="0"/>
                  </w:tcBorders>
                  <w:vAlign w:val="center"/>
                </w:tcPr>
                <w:p w14:paraId="4B01B327">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辅助工程</w:t>
                  </w:r>
                </w:p>
              </w:tc>
              <w:tc>
                <w:tcPr>
                  <w:tcW w:w="1179" w:type="pct"/>
                  <w:gridSpan w:val="3"/>
                  <w:tcBorders>
                    <w:top w:val="single" w:color="auto" w:sz="4" w:space="0"/>
                    <w:left w:val="single" w:color="auto" w:sz="4" w:space="0"/>
                    <w:bottom w:val="single" w:color="auto" w:sz="4" w:space="0"/>
                    <w:right w:val="single" w:color="auto" w:sz="4" w:space="0"/>
                  </w:tcBorders>
                  <w:vAlign w:val="center"/>
                </w:tcPr>
                <w:p w14:paraId="23336279">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放喷设施</w:t>
                  </w:r>
                </w:p>
              </w:tc>
              <w:tc>
                <w:tcPr>
                  <w:tcW w:w="3439" w:type="pct"/>
                  <w:tcBorders>
                    <w:top w:val="single" w:color="auto" w:sz="4" w:space="0"/>
                    <w:left w:val="single" w:color="auto" w:sz="4" w:space="0"/>
                    <w:bottom w:val="single" w:color="auto" w:sz="4" w:space="0"/>
                    <w:right w:val="single" w:color="auto" w:sz="4" w:space="0"/>
                  </w:tcBorders>
                  <w:vAlign w:val="center"/>
                </w:tcPr>
                <w:p w14:paraId="34A7486D">
                  <w:pPr>
                    <w:adjustRightInd w:val="0"/>
                    <w:snapToGrid w:val="0"/>
                    <w:spacing w:line="30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各</w:t>
                  </w:r>
                  <w:r>
                    <w:rPr>
                      <w:rFonts w:hint="eastAsia" w:ascii="Times New Roman" w:hAnsi="Times New Roman" w:eastAsia="宋体" w:cs="Times New Roman"/>
                      <w:color w:val="auto"/>
                      <w:sz w:val="21"/>
                      <w:szCs w:val="21"/>
                      <w:highlight w:val="none"/>
                      <w:lang w:val="en-US" w:eastAsia="zh-CN"/>
                    </w:rPr>
                    <w:t>钻试场钻井</w:t>
                  </w:r>
                  <w:r>
                    <w:rPr>
                      <w:rFonts w:hint="default" w:ascii="Times New Roman" w:hAnsi="Times New Roman" w:eastAsia="宋体" w:cs="Times New Roman"/>
                      <w:color w:val="auto"/>
                      <w:sz w:val="21"/>
                      <w:szCs w:val="21"/>
                      <w:highlight w:val="none"/>
                    </w:rPr>
                    <w:t>左右两侧各设置1条放喷管线，在</w:t>
                  </w:r>
                  <w:r>
                    <w:rPr>
                      <w:rFonts w:hint="eastAsia" w:ascii="Times New Roman" w:hAnsi="Times New Roman" w:eastAsia="宋体" w:cs="Times New Roman"/>
                      <w:color w:val="auto"/>
                      <w:sz w:val="21"/>
                      <w:szCs w:val="21"/>
                      <w:highlight w:val="none"/>
                      <w:lang w:val="en-US" w:eastAsia="zh-CN"/>
                    </w:rPr>
                    <w:t>钻试场</w:t>
                  </w:r>
                  <w:r>
                    <w:rPr>
                      <w:rFonts w:hint="default" w:ascii="Times New Roman" w:hAnsi="Times New Roman" w:eastAsia="宋体" w:cs="Times New Roman"/>
                      <w:color w:val="auto"/>
                      <w:sz w:val="21"/>
                      <w:szCs w:val="21"/>
                      <w:highlight w:val="none"/>
                      <w:lang w:val="en-US" w:eastAsia="zh-CN"/>
                    </w:rPr>
                    <w:t>两</w:t>
                  </w:r>
                  <w:r>
                    <w:rPr>
                      <w:rFonts w:hint="default" w:ascii="Times New Roman" w:hAnsi="Times New Roman" w:eastAsia="宋体" w:cs="Times New Roman"/>
                      <w:color w:val="auto"/>
                      <w:sz w:val="21"/>
                      <w:szCs w:val="21"/>
                      <w:highlight w:val="none"/>
                    </w:rPr>
                    <w:t>侧</w:t>
                  </w:r>
                  <w:r>
                    <w:rPr>
                      <w:rFonts w:hint="default" w:ascii="Times New Roman" w:hAnsi="Times New Roman" w:eastAsia="宋体" w:cs="Times New Roman"/>
                      <w:color w:val="auto"/>
                      <w:sz w:val="21"/>
                      <w:szCs w:val="21"/>
                      <w:highlight w:val="none"/>
                      <w:lang w:val="en-US" w:eastAsia="zh-CN"/>
                    </w:rPr>
                    <w:t>建设</w:t>
                  </w:r>
                  <w:r>
                    <w:rPr>
                      <w:rFonts w:hint="default" w:ascii="Times New Roman" w:hAnsi="Times New Roman" w:eastAsia="宋体" w:cs="Times New Roman"/>
                      <w:color w:val="auto"/>
                      <w:sz w:val="21"/>
                      <w:szCs w:val="21"/>
                      <w:highlight w:val="none"/>
                    </w:rPr>
                    <w:t>应急放喷池</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5m×10m×4.5m</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容积</w:t>
                  </w:r>
                  <w:r>
                    <w:rPr>
                      <w:rFonts w:hint="default" w:ascii="Times New Roman" w:hAnsi="Times New Roman" w:eastAsia="宋体" w:cs="Times New Roman"/>
                      <w:bCs/>
                      <w:color w:val="auto"/>
                      <w:sz w:val="21"/>
                      <w:szCs w:val="21"/>
                      <w:highlight w:val="none"/>
                      <w:lang w:val="en-US" w:eastAsia="zh-CN"/>
                    </w:rPr>
                    <w:t>约225</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rPr>
                    <w:t>。</w:t>
                  </w:r>
                </w:p>
              </w:tc>
            </w:tr>
            <w:tr w14:paraId="021608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1" w:type="pct"/>
                  <w:vMerge w:val="continue"/>
                  <w:tcBorders>
                    <w:left w:val="single" w:color="auto" w:sz="4" w:space="0"/>
                    <w:right w:val="single" w:color="auto" w:sz="4" w:space="0"/>
                  </w:tcBorders>
                  <w:vAlign w:val="center"/>
                </w:tcPr>
                <w:p w14:paraId="085936C4">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1179" w:type="pct"/>
                  <w:gridSpan w:val="3"/>
                  <w:tcBorders>
                    <w:top w:val="single" w:color="auto" w:sz="4" w:space="0"/>
                    <w:left w:val="single" w:color="auto" w:sz="4" w:space="0"/>
                    <w:bottom w:val="single" w:color="auto" w:sz="4" w:space="0"/>
                    <w:right w:val="single" w:color="auto" w:sz="4" w:space="0"/>
                  </w:tcBorders>
                  <w:vAlign w:val="center"/>
                </w:tcPr>
                <w:p w14:paraId="0A105ECD">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井控系统</w:t>
                  </w:r>
                </w:p>
              </w:tc>
              <w:tc>
                <w:tcPr>
                  <w:tcW w:w="3439" w:type="pct"/>
                  <w:tcBorders>
                    <w:top w:val="single" w:color="auto" w:sz="4" w:space="0"/>
                    <w:left w:val="single" w:color="auto" w:sz="4" w:space="0"/>
                    <w:bottom w:val="single" w:color="auto" w:sz="4" w:space="0"/>
                    <w:right w:val="single" w:color="auto" w:sz="4" w:space="0"/>
                  </w:tcBorders>
                  <w:vAlign w:val="center"/>
                </w:tcPr>
                <w:p w14:paraId="2F78AE01">
                  <w:pPr>
                    <w:adjustRightInd w:val="0"/>
                    <w:snapToGrid w:val="0"/>
                    <w:spacing w:line="300" w:lineRule="exact"/>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各</w:t>
                  </w:r>
                  <w:r>
                    <w:rPr>
                      <w:rFonts w:hint="eastAsia" w:ascii="Times New Roman" w:hAnsi="Times New Roman" w:eastAsia="宋体" w:cs="Times New Roman"/>
                      <w:color w:val="auto"/>
                      <w:sz w:val="21"/>
                      <w:szCs w:val="21"/>
                      <w:highlight w:val="none"/>
                      <w:lang w:val="en-US" w:eastAsia="zh-CN"/>
                    </w:rPr>
                    <w:t>钻试场</w:t>
                  </w:r>
                  <w:r>
                    <w:rPr>
                      <w:rFonts w:hint="default" w:ascii="Times New Roman" w:hAnsi="Times New Roman" w:eastAsia="宋体" w:cs="Times New Roman"/>
                      <w:color w:val="auto"/>
                      <w:sz w:val="21"/>
                      <w:szCs w:val="21"/>
                      <w:highlight w:val="none"/>
                    </w:rPr>
                    <w:t>钻井井口设置1套井控系统，防止钻井及试油时产生井喷</w:t>
                  </w:r>
                  <w:r>
                    <w:rPr>
                      <w:rFonts w:hint="default" w:ascii="Times New Roman" w:hAnsi="Times New Roman" w:eastAsia="宋体" w:cs="Times New Roman"/>
                      <w:color w:val="auto"/>
                      <w:sz w:val="21"/>
                      <w:szCs w:val="21"/>
                      <w:highlight w:val="none"/>
                      <w:lang w:eastAsia="zh-CN"/>
                    </w:rPr>
                    <w:t>。</w:t>
                  </w:r>
                </w:p>
              </w:tc>
            </w:tr>
            <w:tr w14:paraId="45FF22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1" w:type="pct"/>
                  <w:vMerge w:val="continue"/>
                  <w:tcBorders>
                    <w:left w:val="single" w:color="auto" w:sz="4" w:space="0"/>
                    <w:right w:val="single" w:color="auto" w:sz="4" w:space="0"/>
                  </w:tcBorders>
                  <w:vAlign w:val="center"/>
                </w:tcPr>
                <w:p w14:paraId="235CB7C3">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1179" w:type="pct"/>
                  <w:gridSpan w:val="3"/>
                  <w:tcBorders>
                    <w:top w:val="single" w:color="auto" w:sz="4" w:space="0"/>
                    <w:left w:val="single" w:color="auto" w:sz="4" w:space="0"/>
                    <w:bottom w:val="single" w:color="auto" w:sz="4" w:space="0"/>
                    <w:right w:val="single" w:color="auto" w:sz="4" w:space="0"/>
                  </w:tcBorders>
                  <w:vAlign w:val="center"/>
                </w:tcPr>
                <w:p w14:paraId="693FCCB2">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钻井动力系统</w:t>
                  </w:r>
                </w:p>
              </w:tc>
              <w:tc>
                <w:tcPr>
                  <w:tcW w:w="3439" w:type="pct"/>
                  <w:tcBorders>
                    <w:top w:val="single" w:color="auto" w:sz="4" w:space="0"/>
                    <w:left w:val="single" w:color="auto" w:sz="4" w:space="0"/>
                    <w:bottom w:val="single" w:color="auto" w:sz="4" w:space="0"/>
                    <w:right w:val="single" w:color="auto" w:sz="4" w:space="0"/>
                  </w:tcBorders>
                  <w:vAlign w:val="center"/>
                </w:tcPr>
                <w:p w14:paraId="2537A226">
                  <w:pPr>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各</w:t>
                  </w:r>
                  <w:r>
                    <w:rPr>
                      <w:rFonts w:hint="eastAsia" w:ascii="Times New Roman" w:hAnsi="Times New Roman" w:eastAsia="宋体" w:cs="Times New Roman"/>
                      <w:color w:val="auto"/>
                      <w:sz w:val="21"/>
                      <w:szCs w:val="21"/>
                      <w:highlight w:val="none"/>
                      <w:lang w:val="en-US" w:eastAsia="zh-CN"/>
                    </w:rPr>
                    <w:t>钻试场</w:t>
                  </w:r>
                  <w:r>
                    <w:rPr>
                      <w:rFonts w:hint="default" w:ascii="Times New Roman" w:hAnsi="Times New Roman" w:eastAsia="宋体" w:cs="Times New Roman"/>
                      <w:color w:val="auto"/>
                      <w:sz w:val="21"/>
                      <w:szCs w:val="21"/>
                      <w:highlight w:val="none"/>
                    </w:rPr>
                    <w:t>设置柴油机</w:t>
                  </w:r>
                  <w:r>
                    <w:rPr>
                      <w:rFonts w:hint="default" w:ascii="Times New Roman" w:hAnsi="Times New Roman" w:eastAsia="宋体" w:cs="Times New Roman"/>
                      <w:color w:val="auto"/>
                      <w:sz w:val="21"/>
                      <w:szCs w:val="21"/>
                      <w:highlight w:val="none"/>
                      <w:lang w:val="en-US" w:eastAsia="zh-CN"/>
                    </w:rPr>
                    <w:t>为动力系统</w:t>
                  </w:r>
                </w:p>
              </w:tc>
            </w:tr>
            <w:tr w14:paraId="670176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1" w:type="pct"/>
                  <w:vMerge w:val="continue"/>
                  <w:tcBorders>
                    <w:left w:val="single" w:color="auto" w:sz="4" w:space="0"/>
                    <w:right w:val="single" w:color="auto" w:sz="4" w:space="0"/>
                  </w:tcBorders>
                  <w:vAlign w:val="center"/>
                </w:tcPr>
                <w:p w14:paraId="33D1563B">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1179" w:type="pct"/>
                  <w:gridSpan w:val="3"/>
                  <w:tcBorders>
                    <w:top w:val="single" w:color="auto" w:sz="4" w:space="0"/>
                    <w:left w:val="single" w:color="auto" w:sz="4" w:space="0"/>
                    <w:bottom w:val="single" w:color="auto" w:sz="4" w:space="0"/>
                    <w:right w:val="single" w:color="auto" w:sz="4" w:space="0"/>
                  </w:tcBorders>
                  <w:vAlign w:val="center"/>
                </w:tcPr>
                <w:p w14:paraId="2D709F71">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不落地系统</w:t>
                  </w:r>
                </w:p>
              </w:tc>
              <w:tc>
                <w:tcPr>
                  <w:tcW w:w="3439" w:type="pct"/>
                  <w:tcBorders>
                    <w:top w:val="single" w:color="auto" w:sz="4" w:space="0"/>
                    <w:left w:val="single" w:color="auto" w:sz="4" w:space="0"/>
                    <w:bottom w:val="single" w:color="auto" w:sz="4" w:space="0"/>
                    <w:right w:val="single" w:color="auto" w:sz="4" w:space="0"/>
                  </w:tcBorders>
                  <w:vAlign w:val="center"/>
                </w:tcPr>
                <w:p w14:paraId="267C788A">
                  <w:pPr>
                    <w:adjustRightInd w:val="0"/>
                    <w:snapToGrid w:val="0"/>
                    <w:spacing w:line="30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各</w:t>
                  </w:r>
                  <w:r>
                    <w:rPr>
                      <w:rFonts w:hint="eastAsia" w:ascii="Times New Roman" w:hAnsi="Times New Roman" w:eastAsia="宋体" w:cs="Times New Roman"/>
                      <w:color w:val="auto"/>
                      <w:sz w:val="21"/>
                      <w:szCs w:val="21"/>
                      <w:highlight w:val="none"/>
                      <w:lang w:val="en-US" w:eastAsia="zh-CN"/>
                    </w:rPr>
                    <w:t>钻试场钻井</w:t>
                  </w:r>
                  <w:r>
                    <w:rPr>
                      <w:rFonts w:hint="default" w:ascii="Times New Roman" w:hAnsi="Times New Roman" w:eastAsia="宋体" w:cs="Times New Roman"/>
                      <w:color w:val="auto"/>
                      <w:sz w:val="21"/>
                      <w:szCs w:val="21"/>
                      <w:highlight w:val="none"/>
                    </w:rPr>
                    <w:t>设置1套钻井液不落地设备</w:t>
                  </w:r>
                </w:p>
              </w:tc>
            </w:tr>
            <w:tr w14:paraId="536D91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1" w:type="pct"/>
                  <w:vMerge w:val="continue"/>
                  <w:tcBorders>
                    <w:left w:val="single" w:color="auto" w:sz="4" w:space="0"/>
                    <w:right w:val="single" w:color="auto" w:sz="4" w:space="0"/>
                  </w:tcBorders>
                  <w:vAlign w:val="center"/>
                </w:tcPr>
                <w:p w14:paraId="1BF8F362">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117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074B28A">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rPr>
                    <w:t>生活营地</w:t>
                  </w:r>
                </w:p>
              </w:tc>
              <w:tc>
                <w:tcPr>
                  <w:tcW w:w="3439" w:type="pct"/>
                  <w:tcBorders>
                    <w:top w:val="single" w:color="auto" w:sz="4" w:space="0"/>
                    <w:left w:val="single" w:color="auto" w:sz="4" w:space="0"/>
                    <w:bottom w:val="single" w:color="auto" w:sz="4" w:space="0"/>
                    <w:right w:val="single" w:color="auto" w:sz="4" w:space="0"/>
                  </w:tcBorders>
                  <w:shd w:val="clear" w:color="auto" w:fill="auto"/>
                  <w:vAlign w:val="top"/>
                </w:tcPr>
                <w:p w14:paraId="4157774E">
                  <w:pPr>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各</w:t>
                  </w:r>
                  <w:r>
                    <w:rPr>
                      <w:rFonts w:hint="default" w:ascii="Times New Roman" w:hAnsi="Times New Roman" w:eastAsia="宋体" w:cs="Times New Roman"/>
                      <w:color w:val="auto"/>
                      <w:sz w:val="21"/>
                      <w:szCs w:val="21"/>
                      <w:highlight w:val="none"/>
                      <w:lang w:val="en-US" w:eastAsia="zh-CN"/>
                    </w:rPr>
                    <w:t>个</w:t>
                  </w:r>
                  <w:r>
                    <w:rPr>
                      <w:rFonts w:hint="eastAsia" w:ascii="Times New Roman" w:hAnsi="Times New Roman" w:eastAsia="宋体" w:cs="Times New Roman"/>
                      <w:color w:val="auto"/>
                      <w:sz w:val="21"/>
                      <w:szCs w:val="21"/>
                      <w:highlight w:val="none"/>
                      <w:lang w:val="en-US" w:eastAsia="zh-CN"/>
                    </w:rPr>
                    <w:t>钻试场</w:t>
                  </w:r>
                  <w:r>
                    <w:rPr>
                      <w:rFonts w:hint="default" w:ascii="Times New Roman" w:hAnsi="Times New Roman" w:eastAsia="宋体" w:cs="Times New Roman"/>
                      <w:color w:val="auto"/>
                      <w:sz w:val="21"/>
                      <w:szCs w:val="21"/>
                      <w:highlight w:val="none"/>
                      <w:lang w:val="en-US" w:eastAsia="zh-CN"/>
                    </w:rPr>
                    <w:t>各</w:t>
                  </w:r>
                  <w:r>
                    <w:rPr>
                      <w:rFonts w:hint="default" w:ascii="Times New Roman" w:hAnsi="Times New Roman" w:eastAsia="宋体" w:cs="Times New Roman"/>
                      <w:color w:val="auto"/>
                      <w:sz w:val="21"/>
                      <w:szCs w:val="21"/>
                      <w:highlight w:val="none"/>
                    </w:rPr>
                    <w:t>设</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个生活营地，</w:t>
                  </w:r>
                  <w:r>
                    <w:rPr>
                      <w:rFonts w:hint="default" w:ascii="Times New Roman" w:hAnsi="Times New Roman" w:eastAsia="宋体" w:cs="Times New Roman"/>
                      <w:color w:val="auto"/>
                      <w:sz w:val="21"/>
                      <w:szCs w:val="21"/>
                      <w:highlight w:val="none"/>
                      <w:lang w:val="en-US" w:eastAsia="zh-CN"/>
                    </w:rPr>
                    <w:t>共4个生活营地</w:t>
                  </w:r>
                </w:p>
              </w:tc>
            </w:tr>
            <w:tr w14:paraId="3D56A8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1" w:type="pct"/>
                  <w:vMerge w:val="continue"/>
                  <w:tcBorders>
                    <w:left w:val="single" w:color="auto" w:sz="4" w:space="0"/>
                    <w:bottom w:val="single" w:color="auto" w:sz="4" w:space="0"/>
                    <w:right w:val="single" w:color="auto" w:sz="4" w:space="0"/>
                  </w:tcBorders>
                  <w:vAlign w:val="center"/>
                </w:tcPr>
                <w:p w14:paraId="3556DEDA">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117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DA2AA35">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油品储存区</w:t>
                  </w:r>
                </w:p>
              </w:tc>
              <w:tc>
                <w:tcPr>
                  <w:tcW w:w="3439" w:type="pct"/>
                  <w:tcBorders>
                    <w:top w:val="single" w:color="auto" w:sz="4" w:space="0"/>
                    <w:left w:val="single" w:color="auto" w:sz="4" w:space="0"/>
                    <w:bottom w:val="single" w:color="auto" w:sz="4" w:space="0"/>
                    <w:right w:val="single" w:color="auto" w:sz="4" w:space="0"/>
                  </w:tcBorders>
                  <w:shd w:val="clear" w:color="auto" w:fill="auto"/>
                  <w:vAlign w:val="top"/>
                </w:tcPr>
                <w:p w14:paraId="5B8BE6EB">
                  <w:pPr>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各个钻试场均设置一处油品储存区，油品储存区进行重点防渗</w:t>
                  </w:r>
                </w:p>
              </w:tc>
            </w:tr>
            <w:bookmarkEnd w:id="5"/>
            <w:tr w14:paraId="1DB070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1" w:type="pct"/>
                  <w:vMerge w:val="restart"/>
                  <w:tcBorders>
                    <w:top w:val="single" w:color="auto" w:sz="4" w:space="0"/>
                    <w:left w:val="single" w:color="auto" w:sz="4" w:space="0"/>
                    <w:bottom w:val="single" w:color="auto" w:sz="4" w:space="0"/>
                    <w:right w:val="single" w:color="auto" w:sz="4" w:space="0"/>
                  </w:tcBorders>
                  <w:vAlign w:val="center"/>
                </w:tcPr>
                <w:p w14:paraId="658B1341">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公用工程</w:t>
                  </w:r>
                </w:p>
              </w:tc>
              <w:tc>
                <w:tcPr>
                  <w:tcW w:w="1179" w:type="pct"/>
                  <w:gridSpan w:val="3"/>
                  <w:tcBorders>
                    <w:top w:val="single" w:color="auto" w:sz="4" w:space="0"/>
                    <w:left w:val="single" w:color="auto" w:sz="4" w:space="0"/>
                    <w:bottom w:val="single" w:color="auto" w:sz="4" w:space="0"/>
                    <w:right w:val="single" w:color="auto" w:sz="4" w:space="0"/>
                  </w:tcBorders>
                  <w:vAlign w:val="center"/>
                </w:tcPr>
                <w:p w14:paraId="59AA883D">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供配电</w:t>
                  </w:r>
                </w:p>
              </w:tc>
              <w:tc>
                <w:tcPr>
                  <w:tcW w:w="3439" w:type="pct"/>
                  <w:tcBorders>
                    <w:top w:val="single" w:color="auto" w:sz="4" w:space="0"/>
                    <w:left w:val="single" w:color="auto" w:sz="4" w:space="0"/>
                    <w:bottom w:val="single" w:color="auto" w:sz="4" w:space="0"/>
                    <w:right w:val="single" w:color="auto" w:sz="4" w:space="0"/>
                  </w:tcBorders>
                  <w:vAlign w:val="top"/>
                </w:tcPr>
                <w:p w14:paraId="57EB179A">
                  <w:pPr>
                    <w:adjustRightInd w:val="0"/>
                    <w:snapToGrid w:val="0"/>
                    <w:spacing w:line="30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各</w:t>
                  </w:r>
                  <w:r>
                    <w:rPr>
                      <w:rFonts w:hint="eastAsia" w:ascii="Times New Roman" w:hAnsi="Times New Roman" w:eastAsia="宋体" w:cs="Times New Roman"/>
                      <w:color w:val="auto"/>
                      <w:sz w:val="21"/>
                      <w:szCs w:val="21"/>
                      <w:highlight w:val="none"/>
                      <w:lang w:val="en-US" w:eastAsia="zh-CN"/>
                    </w:rPr>
                    <w:t>钻试场</w:t>
                  </w:r>
                  <w:r>
                    <w:rPr>
                      <w:rFonts w:hint="default" w:ascii="Times New Roman" w:hAnsi="Times New Roman" w:eastAsia="宋体" w:cs="Times New Roman"/>
                      <w:color w:val="auto"/>
                      <w:sz w:val="21"/>
                      <w:szCs w:val="21"/>
                      <w:highlight w:val="none"/>
                    </w:rPr>
                    <w:t>钻机、办公等通过柴油发电机供电</w:t>
                  </w:r>
                </w:p>
              </w:tc>
            </w:tr>
            <w:tr w14:paraId="3DE2BB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1" w:type="pct"/>
                  <w:vMerge w:val="continue"/>
                  <w:tcBorders>
                    <w:top w:val="single" w:color="auto" w:sz="4" w:space="0"/>
                    <w:left w:val="single" w:color="auto" w:sz="4" w:space="0"/>
                    <w:bottom w:val="single" w:color="auto" w:sz="4" w:space="0"/>
                    <w:right w:val="single" w:color="auto" w:sz="4" w:space="0"/>
                  </w:tcBorders>
                  <w:vAlign w:val="center"/>
                </w:tcPr>
                <w:p w14:paraId="042EFD97">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1179" w:type="pct"/>
                  <w:gridSpan w:val="3"/>
                  <w:tcBorders>
                    <w:top w:val="single" w:color="auto" w:sz="4" w:space="0"/>
                    <w:left w:val="single" w:color="auto" w:sz="4" w:space="0"/>
                    <w:bottom w:val="single" w:color="auto" w:sz="4" w:space="0"/>
                    <w:right w:val="single" w:color="auto" w:sz="4" w:space="0"/>
                  </w:tcBorders>
                  <w:vAlign w:val="center"/>
                </w:tcPr>
                <w:p w14:paraId="0A36B125">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给水</w:t>
                  </w:r>
                </w:p>
              </w:tc>
              <w:tc>
                <w:tcPr>
                  <w:tcW w:w="3439" w:type="pct"/>
                  <w:tcBorders>
                    <w:top w:val="single" w:color="auto" w:sz="4" w:space="0"/>
                    <w:left w:val="single" w:color="auto" w:sz="4" w:space="0"/>
                    <w:bottom w:val="single" w:color="auto" w:sz="4" w:space="0"/>
                    <w:right w:val="single" w:color="auto" w:sz="4" w:space="0"/>
                  </w:tcBorders>
                  <w:vAlign w:val="top"/>
                </w:tcPr>
                <w:p w14:paraId="620A00DD">
                  <w:pPr>
                    <w:adjustRightInd w:val="0"/>
                    <w:snapToGrid w:val="0"/>
                    <w:spacing w:line="30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各</w:t>
                  </w:r>
                  <w:r>
                    <w:rPr>
                      <w:rFonts w:hint="eastAsia" w:ascii="Times New Roman" w:hAnsi="Times New Roman" w:eastAsia="宋体" w:cs="Times New Roman"/>
                      <w:color w:val="auto"/>
                      <w:sz w:val="21"/>
                      <w:szCs w:val="21"/>
                      <w:highlight w:val="none"/>
                      <w:lang w:val="en-US" w:eastAsia="zh-CN"/>
                    </w:rPr>
                    <w:t>钻试场</w:t>
                  </w:r>
                  <w:r>
                    <w:rPr>
                      <w:rFonts w:hint="default" w:ascii="Times New Roman" w:hAnsi="Times New Roman" w:eastAsia="宋体" w:cs="Times New Roman"/>
                      <w:color w:val="auto"/>
                      <w:sz w:val="21"/>
                      <w:szCs w:val="21"/>
                      <w:highlight w:val="none"/>
                    </w:rPr>
                    <w:t>项目用水</w:t>
                  </w:r>
                  <w:r>
                    <w:rPr>
                      <w:rFonts w:hint="default" w:ascii="Times New Roman" w:hAnsi="Times New Roman" w:eastAsia="宋体" w:cs="Times New Roman"/>
                      <w:color w:val="auto"/>
                      <w:sz w:val="21"/>
                      <w:szCs w:val="21"/>
                      <w:highlight w:val="none"/>
                      <w:lang w:val="en-US" w:eastAsia="zh-CN"/>
                    </w:rPr>
                    <w:t>从</w:t>
                  </w:r>
                  <w:r>
                    <w:rPr>
                      <w:rFonts w:hint="default" w:ascii="Times New Roman" w:hAnsi="Times New Roman" w:eastAsia="宋体" w:cs="Times New Roman"/>
                      <w:color w:val="auto"/>
                      <w:sz w:val="21"/>
                      <w:szCs w:val="21"/>
                      <w:highlight w:val="none"/>
                    </w:rPr>
                    <w:t>就近</w:t>
                  </w:r>
                  <w:r>
                    <w:rPr>
                      <w:rFonts w:hint="default" w:ascii="Times New Roman" w:hAnsi="Times New Roman" w:eastAsia="宋体" w:cs="Times New Roman"/>
                      <w:color w:val="auto"/>
                      <w:sz w:val="21"/>
                      <w:szCs w:val="21"/>
                      <w:highlight w:val="none"/>
                      <w:lang w:val="en-US" w:eastAsia="zh-CN"/>
                    </w:rPr>
                    <w:t>村庄</w:t>
                  </w:r>
                  <w:r>
                    <w:rPr>
                      <w:rFonts w:hint="default" w:ascii="Times New Roman" w:hAnsi="Times New Roman" w:eastAsia="宋体" w:cs="Times New Roman"/>
                      <w:color w:val="auto"/>
                      <w:sz w:val="21"/>
                      <w:szCs w:val="21"/>
                      <w:highlight w:val="none"/>
                    </w:rPr>
                    <w:t>拉运至</w:t>
                  </w:r>
                  <w:r>
                    <w:rPr>
                      <w:rFonts w:hint="eastAsia" w:ascii="Times New Roman" w:hAnsi="Times New Roman" w:eastAsia="宋体" w:cs="Times New Roman"/>
                      <w:color w:val="auto"/>
                      <w:sz w:val="21"/>
                      <w:szCs w:val="21"/>
                      <w:highlight w:val="none"/>
                      <w:lang w:val="en-US" w:eastAsia="zh-CN"/>
                    </w:rPr>
                    <w:t>钻试</w:t>
                  </w:r>
                  <w:r>
                    <w:rPr>
                      <w:rFonts w:hint="default" w:ascii="Times New Roman" w:hAnsi="Times New Roman" w:eastAsia="宋体" w:cs="Times New Roman"/>
                      <w:color w:val="auto"/>
                      <w:sz w:val="21"/>
                      <w:szCs w:val="21"/>
                      <w:highlight w:val="none"/>
                    </w:rPr>
                    <w:t>场</w:t>
                  </w:r>
                </w:p>
              </w:tc>
            </w:tr>
            <w:tr w14:paraId="06B4F0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1" w:type="pct"/>
                  <w:vMerge w:val="continue"/>
                  <w:tcBorders>
                    <w:top w:val="single" w:color="auto" w:sz="4" w:space="0"/>
                    <w:left w:val="single" w:color="auto" w:sz="4" w:space="0"/>
                    <w:bottom w:val="single" w:color="auto" w:sz="4" w:space="0"/>
                    <w:right w:val="single" w:color="auto" w:sz="4" w:space="0"/>
                  </w:tcBorders>
                  <w:vAlign w:val="center"/>
                </w:tcPr>
                <w:p w14:paraId="17961083">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1179" w:type="pct"/>
                  <w:gridSpan w:val="3"/>
                  <w:tcBorders>
                    <w:top w:val="single" w:color="auto" w:sz="4" w:space="0"/>
                    <w:left w:val="single" w:color="auto" w:sz="4" w:space="0"/>
                    <w:bottom w:val="single" w:color="auto" w:sz="4" w:space="0"/>
                    <w:right w:val="single" w:color="auto" w:sz="4" w:space="0"/>
                  </w:tcBorders>
                  <w:vAlign w:val="center"/>
                </w:tcPr>
                <w:p w14:paraId="10840DC0">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道路</w:t>
                  </w:r>
                </w:p>
              </w:tc>
              <w:tc>
                <w:tcPr>
                  <w:tcW w:w="3439" w:type="pct"/>
                  <w:tcBorders>
                    <w:top w:val="single" w:color="auto" w:sz="4" w:space="0"/>
                    <w:left w:val="single" w:color="auto" w:sz="4" w:space="0"/>
                    <w:bottom w:val="single" w:color="auto" w:sz="4" w:space="0"/>
                    <w:right w:val="single" w:color="auto" w:sz="4" w:space="0"/>
                  </w:tcBorders>
                  <w:vAlign w:val="center"/>
                </w:tcPr>
                <w:p w14:paraId="2D6DED09">
                  <w:pPr>
                    <w:keepNext w:val="0"/>
                    <w:keepLines w:val="0"/>
                    <w:pageBreakBefore w:val="0"/>
                    <w:widowControl/>
                    <w:kinsoku/>
                    <w:wordWrap/>
                    <w:overflowPunct w:val="0"/>
                    <w:topLinePunct w:val="0"/>
                    <w:autoSpaceDE w:val="0"/>
                    <w:autoSpaceDN w:val="0"/>
                    <w:bidi w:val="0"/>
                    <w:adjustRightInd w:val="0"/>
                    <w:snapToGrid w:val="0"/>
                    <w:spacing w:line="300" w:lineRule="exact"/>
                    <w:jc w:val="both"/>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各</w:t>
                  </w:r>
                  <w:r>
                    <w:rPr>
                      <w:rFonts w:hint="eastAsia" w:ascii="Times New Roman" w:hAnsi="Times New Roman" w:eastAsia="宋体" w:cs="Times New Roman"/>
                      <w:color w:val="auto"/>
                      <w:sz w:val="21"/>
                      <w:szCs w:val="21"/>
                      <w:highlight w:val="none"/>
                      <w:lang w:val="en-US" w:eastAsia="zh-CN"/>
                    </w:rPr>
                    <w:t>钻试</w:t>
                  </w:r>
                  <w:r>
                    <w:rPr>
                      <w:rFonts w:hint="default" w:ascii="Times New Roman" w:hAnsi="Times New Roman" w:eastAsia="宋体" w:cs="Times New Roman"/>
                      <w:color w:val="auto"/>
                      <w:sz w:val="21"/>
                      <w:szCs w:val="21"/>
                      <w:highlight w:val="none"/>
                      <w:lang w:val="en-US" w:eastAsia="zh-CN"/>
                    </w:rPr>
                    <w:t>场</w:t>
                  </w:r>
                  <w:r>
                    <w:rPr>
                      <w:rFonts w:hint="default" w:ascii="Times New Roman" w:hAnsi="Times New Roman" w:eastAsia="宋体" w:cs="Times New Roman"/>
                      <w:color w:val="auto"/>
                      <w:sz w:val="21"/>
                      <w:szCs w:val="21"/>
                      <w:highlight w:val="none"/>
                    </w:rPr>
                    <w:t>修建可到达</w:t>
                  </w:r>
                  <w:r>
                    <w:rPr>
                      <w:rFonts w:hint="eastAsia" w:ascii="Times New Roman" w:hAnsi="Times New Roman" w:eastAsia="宋体" w:cs="Times New Roman"/>
                      <w:color w:val="auto"/>
                      <w:sz w:val="21"/>
                      <w:szCs w:val="21"/>
                      <w:highlight w:val="none"/>
                      <w:lang w:val="en-US" w:eastAsia="zh-CN"/>
                    </w:rPr>
                    <w:t>钻试</w:t>
                  </w:r>
                  <w:r>
                    <w:rPr>
                      <w:rFonts w:hint="default" w:ascii="Times New Roman" w:hAnsi="Times New Roman" w:eastAsia="宋体" w:cs="Times New Roman"/>
                      <w:color w:val="auto"/>
                      <w:sz w:val="21"/>
                      <w:szCs w:val="21"/>
                      <w:highlight w:val="none"/>
                    </w:rPr>
                    <w:t>场的简易道路，临时道路</w:t>
                  </w:r>
                  <w:r>
                    <w:rPr>
                      <w:rFonts w:hint="default" w:ascii="Times New Roman" w:hAnsi="Times New Roman" w:eastAsia="宋体" w:cs="Times New Roman"/>
                      <w:color w:val="auto"/>
                      <w:sz w:val="21"/>
                      <w:szCs w:val="21"/>
                      <w:highlight w:val="none"/>
                      <w:lang w:val="en-US" w:eastAsia="zh-CN"/>
                    </w:rPr>
                    <w:t>设计宽度7</w:t>
                  </w:r>
                  <w:r>
                    <w:rPr>
                      <w:rFonts w:hint="default" w:ascii="Times New Roman" w:hAnsi="Times New Roman" w:eastAsia="宋体" w:cs="Times New Roman"/>
                      <w:color w:val="auto"/>
                      <w:sz w:val="21"/>
                      <w:szCs w:val="21"/>
                      <w:highlight w:val="none"/>
                    </w:rPr>
                    <w:t>m</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合计长度1612m</w:t>
                  </w:r>
                </w:p>
              </w:tc>
            </w:tr>
            <w:tr w14:paraId="138C10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1" w:type="pct"/>
                  <w:vMerge w:val="continue"/>
                  <w:tcBorders>
                    <w:top w:val="single" w:color="auto" w:sz="4" w:space="0"/>
                    <w:left w:val="single" w:color="auto" w:sz="4" w:space="0"/>
                    <w:bottom w:val="single" w:color="auto" w:sz="4" w:space="0"/>
                    <w:right w:val="single" w:color="auto" w:sz="4" w:space="0"/>
                  </w:tcBorders>
                  <w:vAlign w:val="center"/>
                </w:tcPr>
                <w:p w14:paraId="7FFA7E03">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1179" w:type="pct"/>
                  <w:gridSpan w:val="3"/>
                  <w:tcBorders>
                    <w:top w:val="single" w:color="auto" w:sz="4" w:space="0"/>
                    <w:left w:val="single" w:color="auto" w:sz="4" w:space="0"/>
                    <w:bottom w:val="single" w:color="auto" w:sz="4" w:space="0"/>
                    <w:right w:val="single" w:color="auto" w:sz="4" w:space="0"/>
                  </w:tcBorders>
                  <w:vAlign w:val="center"/>
                </w:tcPr>
                <w:p w14:paraId="719075AE">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消防</w:t>
                  </w:r>
                </w:p>
              </w:tc>
              <w:tc>
                <w:tcPr>
                  <w:tcW w:w="3439" w:type="pct"/>
                  <w:tcBorders>
                    <w:top w:val="single" w:color="auto" w:sz="4" w:space="0"/>
                    <w:left w:val="single" w:color="auto" w:sz="4" w:space="0"/>
                    <w:bottom w:val="single" w:color="auto" w:sz="4" w:space="0"/>
                    <w:right w:val="single" w:color="auto" w:sz="4" w:space="0"/>
                  </w:tcBorders>
                  <w:vAlign w:val="center"/>
                </w:tcPr>
                <w:p w14:paraId="02142685">
                  <w:pPr>
                    <w:adjustRightInd w:val="0"/>
                    <w:snapToGrid w:val="0"/>
                    <w:spacing w:line="30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各</w:t>
                  </w:r>
                  <w:r>
                    <w:rPr>
                      <w:rFonts w:hint="eastAsia" w:ascii="Times New Roman" w:hAnsi="Times New Roman" w:eastAsia="宋体" w:cs="Times New Roman"/>
                      <w:color w:val="auto"/>
                      <w:sz w:val="21"/>
                      <w:szCs w:val="21"/>
                      <w:highlight w:val="none"/>
                      <w:lang w:val="en-US" w:eastAsia="zh-CN"/>
                    </w:rPr>
                    <w:t>钻试</w:t>
                  </w:r>
                  <w:r>
                    <w:rPr>
                      <w:rFonts w:hint="default" w:ascii="Times New Roman" w:hAnsi="Times New Roman" w:eastAsia="宋体" w:cs="Times New Roman"/>
                      <w:color w:val="auto"/>
                      <w:sz w:val="21"/>
                      <w:szCs w:val="21"/>
                      <w:highlight w:val="none"/>
                      <w:lang w:val="en-US" w:eastAsia="zh-CN"/>
                    </w:rPr>
                    <w:t>场</w:t>
                  </w:r>
                  <w:r>
                    <w:rPr>
                      <w:rFonts w:hint="default" w:ascii="Times New Roman" w:hAnsi="Times New Roman" w:eastAsia="宋体" w:cs="Times New Roman"/>
                      <w:color w:val="auto"/>
                      <w:sz w:val="21"/>
                      <w:szCs w:val="21"/>
                      <w:highlight w:val="none"/>
                    </w:rPr>
                    <w:t>按规范配置一定数量的消防器材。</w:t>
                  </w:r>
                </w:p>
              </w:tc>
            </w:tr>
            <w:tr w14:paraId="506B43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1" w:type="pct"/>
                  <w:vMerge w:val="restart"/>
                  <w:tcBorders>
                    <w:top w:val="single" w:color="auto" w:sz="4" w:space="0"/>
                    <w:left w:val="single" w:color="auto" w:sz="4" w:space="0"/>
                    <w:bottom w:val="single" w:color="auto" w:sz="4" w:space="0"/>
                    <w:right w:val="single" w:color="auto" w:sz="4" w:space="0"/>
                  </w:tcBorders>
                  <w:vAlign w:val="center"/>
                </w:tcPr>
                <w:p w14:paraId="0A5EE38E">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储运工程</w:t>
                  </w:r>
                </w:p>
              </w:tc>
              <w:tc>
                <w:tcPr>
                  <w:tcW w:w="117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4218EF3">
                  <w:pPr>
                    <w:adjustRightInd w:val="0"/>
                    <w:snapToGrid w:val="0"/>
                    <w:spacing w:line="300" w:lineRule="exact"/>
                    <w:jc w:val="center"/>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z w:val="21"/>
                      <w:szCs w:val="21"/>
                      <w:highlight w:val="none"/>
                    </w:rPr>
                    <w:t>钻井、固井材料储存区</w:t>
                  </w:r>
                </w:p>
              </w:tc>
              <w:tc>
                <w:tcPr>
                  <w:tcW w:w="3439" w:type="pct"/>
                  <w:tcBorders>
                    <w:top w:val="single" w:color="auto" w:sz="4" w:space="0"/>
                    <w:left w:val="single" w:color="auto" w:sz="4" w:space="0"/>
                    <w:bottom w:val="single" w:color="auto" w:sz="4" w:space="0"/>
                    <w:right w:val="single" w:color="auto" w:sz="4" w:space="0"/>
                  </w:tcBorders>
                  <w:shd w:val="clear" w:color="auto" w:fill="auto"/>
                  <w:vAlign w:val="center"/>
                </w:tcPr>
                <w:p w14:paraId="334198BC">
                  <w:pPr>
                    <w:adjustRightInd w:val="0"/>
                    <w:snapToGrid w:val="0"/>
                    <w:spacing w:line="300" w:lineRule="exact"/>
                    <w:jc w:val="both"/>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各</w:t>
                  </w:r>
                  <w:r>
                    <w:rPr>
                      <w:rFonts w:hint="eastAsia" w:ascii="Times New Roman" w:hAnsi="Times New Roman" w:eastAsia="宋体" w:cs="Times New Roman"/>
                      <w:color w:val="auto"/>
                      <w:sz w:val="21"/>
                      <w:szCs w:val="21"/>
                      <w:highlight w:val="none"/>
                      <w:lang w:val="en-US" w:eastAsia="zh-CN"/>
                    </w:rPr>
                    <w:t>钻试</w:t>
                  </w:r>
                  <w:r>
                    <w:rPr>
                      <w:rFonts w:hint="default" w:ascii="Times New Roman" w:hAnsi="Times New Roman" w:eastAsia="宋体" w:cs="Times New Roman"/>
                      <w:color w:val="auto"/>
                      <w:sz w:val="21"/>
                      <w:szCs w:val="21"/>
                      <w:highlight w:val="none"/>
                    </w:rPr>
                    <w:t>场内设置1处材料堆存区，堆场采用彩钢板顶棚防雨防风</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地面防渗处理</w:t>
                  </w:r>
                  <w:r>
                    <w:rPr>
                      <w:rFonts w:hint="default" w:ascii="Times New Roman" w:hAnsi="Times New Roman" w:eastAsia="宋体" w:cs="Times New Roman"/>
                      <w:color w:val="auto"/>
                      <w:sz w:val="21"/>
                      <w:szCs w:val="21"/>
                      <w:highlight w:val="none"/>
                      <w:lang w:eastAsia="zh-CN"/>
                    </w:rPr>
                    <w:t>。</w:t>
                  </w:r>
                </w:p>
              </w:tc>
            </w:tr>
            <w:tr w14:paraId="7C775C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1" w:type="pct"/>
                  <w:vMerge w:val="continue"/>
                  <w:tcBorders>
                    <w:top w:val="single" w:color="auto" w:sz="4" w:space="0"/>
                    <w:left w:val="single" w:color="auto" w:sz="4" w:space="0"/>
                    <w:bottom w:val="single" w:color="auto" w:sz="4" w:space="0"/>
                    <w:right w:val="single" w:color="auto" w:sz="4" w:space="0"/>
                  </w:tcBorders>
                  <w:vAlign w:val="center"/>
                </w:tcPr>
                <w:p w14:paraId="0EA69005">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117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77C4797">
                  <w:pPr>
                    <w:adjustRightInd w:val="0"/>
                    <w:snapToGrid w:val="0"/>
                    <w:spacing w:line="300" w:lineRule="exact"/>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危险废物贮存</w:t>
                  </w:r>
                  <w:r>
                    <w:rPr>
                      <w:rFonts w:hint="eastAsia" w:ascii="Times New Roman" w:hAnsi="Times New Roman" w:eastAsia="宋体" w:cs="Times New Roman"/>
                      <w:color w:val="auto"/>
                      <w:sz w:val="21"/>
                      <w:szCs w:val="21"/>
                      <w:lang w:val="en-US" w:eastAsia="zh-CN"/>
                    </w:rPr>
                    <w:t>点</w:t>
                  </w:r>
                </w:p>
              </w:tc>
              <w:tc>
                <w:tcPr>
                  <w:tcW w:w="3439" w:type="pct"/>
                  <w:tcBorders>
                    <w:top w:val="single" w:color="auto" w:sz="4" w:space="0"/>
                    <w:left w:val="single" w:color="auto" w:sz="4" w:space="0"/>
                    <w:bottom w:val="single" w:color="auto" w:sz="4" w:space="0"/>
                    <w:right w:val="single" w:color="auto" w:sz="4" w:space="0"/>
                  </w:tcBorders>
                  <w:shd w:val="clear" w:color="auto" w:fill="auto"/>
                  <w:vAlign w:val="center"/>
                </w:tcPr>
                <w:p w14:paraId="7030A199">
                  <w:pPr>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在每个</w:t>
                  </w:r>
                  <w:r>
                    <w:rPr>
                      <w:rFonts w:hint="eastAsia" w:ascii="Times New Roman" w:hAnsi="Times New Roman" w:eastAsia="宋体" w:cs="Times New Roman"/>
                      <w:color w:val="auto"/>
                      <w:sz w:val="21"/>
                      <w:szCs w:val="21"/>
                      <w:lang w:val="en-US" w:eastAsia="zh-CN"/>
                    </w:rPr>
                    <w:t>钻试场</w:t>
                  </w:r>
                  <w:r>
                    <w:rPr>
                      <w:rFonts w:hint="default" w:ascii="Times New Roman" w:hAnsi="Times New Roman" w:eastAsia="宋体" w:cs="Times New Roman"/>
                      <w:color w:val="auto"/>
                      <w:sz w:val="21"/>
                      <w:szCs w:val="21"/>
                    </w:rPr>
                    <w:t>设置1个危废贮存</w:t>
                  </w:r>
                  <w:r>
                    <w:rPr>
                      <w:rFonts w:hint="default" w:ascii="Times New Roman" w:hAnsi="Times New Roman" w:eastAsia="宋体" w:cs="Times New Roman"/>
                      <w:color w:val="auto"/>
                      <w:sz w:val="21"/>
                      <w:szCs w:val="21"/>
                      <w:lang w:val="en-US" w:eastAsia="zh-CN"/>
                    </w:rPr>
                    <w:t>库</w:t>
                  </w:r>
                  <w:r>
                    <w:rPr>
                      <w:rFonts w:hint="default" w:ascii="Times New Roman" w:hAnsi="Times New Roman" w:eastAsia="宋体" w:cs="Times New Roman"/>
                      <w:color w:val="auto"/>
                      <w:sz w:val="21"/>
                      <w:szCs w:val="21"/>
                    </w:rPr>
                    <w:t>，占地面积</w:t>
                  </w:r>
                  <w:r>
                    <w:rPr>
                      <w:rFonts w:hint="default"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，按照重点防渗要求进行防渗，采取防风、防雨、防晒措施。</w:t>
                  </w:r>
                </w:p>
              </w:tc>
            </w:tr>
            <w:tr w14:paraId="656BA9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1" w:type="pct"/>
                  <w:vMerge w:val="continue"/>
                  <w:tcBorders>
                    <w:top w:val="single" w:color="auto" w:sz="4" w:space="0"/>
                    <w:left w:val="single" w:color="auto" w:sz="4" w:space="0"/>
                    <w:bottom w:val="single" w:color="auto" w:sz="4" w:space="0"/>
                    <w:right w:val="single" w:color="auto" w:sz="4" w:space="0"/>
                  </w:tcBorders>
                  <w:vAlign w:val="center"/>
                </w:tcPr>
                <w:p w14:paraId="516B5F19">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117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2F8FE87">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rPr>
                    <w:t>罐区</w:t>
                  </w:r>
                </w:p>
              </w:tc>
              <w:tc>
                <w:tcPr>
                  <w:tcW w:w="3439" w:type="pct"/>
                  <w:tcBorders>
                    <w:top w:val="single" w:color="auto" w:sz="4" w:space="0"/>
                    <w:left w:val="single" w:color="auto" w:sz="4" w:space="0"/>
                    <w:bottom w:val="single" w:color="auto" w:sz="4" w:space="0"/>
                    <w:right w:val="single" w:color="auto" w:sz="4" w:space="0"/>
                  </w:tcBorders>
                  <w:shd w:val="clear" w:color="auto" w:fill="auto"/>
                  <w:vAlign w:val="top"/>
                </w:tcPr>
                <w:p w14:paraId="52F8E5EC">
                  <w:pPr>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各</w:t>
                  </w:r>
                  <w:r>
                    <w:rPr>
                      <w:rFonts w:hint="eastAsia" w:ascii="Times New Roman" w:hAnsi="Times New Roman" w:eastAsia="宋体" w:cs="Times New Roman"/>
                      <w:color w:val="auto"/>
                      <w:sz w:val="21"/>
                      <w:szCs w:val="21"/>
                      <w:highlight w:val="none"/>
                      <w:lang w:val="en-US" w:eastAsia="zh-CN"/>
                    </w:rPr>
                    <w:t>钻试场</w:t>
                  </w:r>
                  <w:r>
                    <w:rPr>
                      <w:rFonts w:hint="default" w:ascii="Times New Roman" w:hAnsi="Times New Roman" w:eastAsia="宋体" w:cs="Times New Roman"/>
                      <w:color w:val="auto"/>
                      <w:sz w:val="21"/>
                      <w:szCs w:val="21"/>
                      <w:highlight w:val="none"/>
                    </w:rPr>
                    <w:t>试油废水、采出液、钻井液、钻井岩屑、柴油等均为罐装，储罐区底部铺设有防渗膜；其他施工材料在井场专门区域（材料房、材料爬犁、化工爬犁）堆放。</w:t>
                  </w:r>
                  <w:r>
                    <w:rPr>
                      <w:rFonts w:hint="default" w:ascii="Times New Roman" w:hAnsi="Times New Roman" w:eastAsia="宋体" w:cs="Times New Roman"/>
                      <w:color w:val="auto"/>
                      <w:sz w:val="21"/>
                      <w:szCs w:val="21"/>
                      <w:highlight w:val="none"/>
                      <w:lang w:val="en-US" w:eastAsia="zh-CN"/>
                    </w:rPr>
                    <w:t>生活区设置1个10m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的储水罐；</w:t>
                  </w:r>
                  <w:r>
                    <w:rPr>
                      <w:rFonts w:hint="default" w:ascii="Times New Roman" w:hAnsi="Times New Roman" w:eastAsia="宋体" w:cs="Times New Roman"/>
                      <w:color w:val="auto"/>
                      <w:sz w:val="21"/>
                      <w:szCs w:val="21"/>
                      <w:highlight w:val="none"/>
                    </w:rPr>
                    <w:t>钻井井场设置1座</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柴油储罐、1座60m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的储水罐，设置</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座</w:t>
                  </w:r>
                  <w:r>
                    <w:rPr>
                      <w:rFonts w:hint="default" w:ascii="Times New Roman" w:hAnsi="Times New Roman" w:eastAsia="宋体" w:cs="Times New Roman"/>
                      <w:color w:val="auto"/>
                      <w:sz w:val="21"/>
                      <w:szCs w:val="21"/>
                      <w:highlight w:val="none"/>
                      <w:lang w:val="en-US" w:eastAsia="zh-CN"/>
                    </w:rPr>
                    <w:t>300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的钻井液储罐，4座50m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的钻井岩屑储罐</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4座50m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的钻井</w:t>
                  </w:r>
                  <w:r>
                    <w:rPr>
                      <w:rFonts w:hint="default" w:ascii="Times New Roman" w:hAnsi="Times New Roman" w:eastAsia="宋体" w:cs="Times New Roman"/>
                      <w:color w:val="auto"/>
                      <w:sz w:val="21"/>
                      <w:szCs w:val="21"/>
                      <w:highlight w:val="none"/>
                      <w:lang w:val="en-US" w:eastAsia="zh-CN"/>
                    </w:rPr>
                    <w:t>泥浆</w:t>
                  </w:r>
                  <w:r>
                    <w:rPr>
                      <w:rFonts w:hint="default" w:ascii="Times New Roman" w:hAnsi="Times New Roman" w:eastAsia="宋体" w:cs="Times New Roman"/>
                      <w:color w:val="auto"/>
                      <w:sz w:val="21"/>
                      <w:szCs w:val="21"/>
                      <w:highlight w:val="none"/>
                    </w:rPr>
                    <w:t>储罐。试油井场设置1座20m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的试油废水储罐</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个</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原油临时储罐</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设置围堰</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不应低于6.0m厚渗透系数为1.0×10</w:t>
                  </w:r>
                  <w:r>
                    <w:rPr>
                      <w:rFonts w:hint="default" w:ascii="Times New Roman" w:hAnsi="Times New Roman" w:eastAsia="宋体" w:cs="Times New Roman"/>
                      <w:color w:val="auto"/>
                      <w:sz w:val="21"/>
                      <w:szCs w:val="21"/>
                      <w:highlight w:val="none"/>
                      <w:vertAlign w:val="superscript"/>
                    </w:rPr>
                    <w:t>-7</w:t>
                  </w:r>
                  <w:r>
                    <w:rPr>
                      <w:rFonts w:hint="default" w:ascii="Times New Roman" w:hAnsi="Times New Roman" w:eastAsia="宋体" w:cs="Times New Roman"/>
                      <w:color w:val="auto"/>
                      <w:sz w:val="21"/>
                      <w:szCs w:val="21"/>
                      <w:highlight w:val="none"/>
                    </w:rPr>
                    <w:t>cm/s的黏土层的防渗性能</w:t>
                  </w:r>
                  <w:r>
                    <w:rPr>
                      <w:rFonts w:hint="default" w:ascii="Times New Roman" w:hAnsi="Times New Roman" w:eastAsia="宋体" w:cs="Times New Roman"/>
                      <w:color w:val="auto"/>
                      <w:sz w:val="21"/>
                      <w:szCs w:val="21"/>
                      <w:highlight w:val="none"/>
                      <w:lang w:eastAsia="zh-CN"/>
                    </w:rPr>
                    <w:t>。</w:t>
                  </w:r>
                </w:p>
              </w:tc>
            </w:tr>
            <w:tr w14:paraId="6AAAE2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1" w:type="pct"/>
                  <w:vMerge w:val="restart"/>
                  <w:tcBorders>
                    <w:top w:val="single" w:color="auto" w:sz="4" w:space="0"/>
                    <w:left w:val="single" w:color="auto" w:sz="4" w:space="0"/>
                    <w:bottom w:val="single" w:color="auto" w:sz="4" w:space="0"/>
                    <w:right w:val="single" w:color="auto" w:sz="4" w:space="0"/>
                  </w:tcBorders>
                  <w:vAlign w:val="center"/>
                </w:tcPr>
                <w:p w14:paraId="15AA57EA">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环保工程</w:t>
                  </w:r>
                </w:p>
              </w:tc>
              <w:tc>
                <w:tcPr>
                  <w:tcW w:w="376" w:type="pct"/>
                  <w:gridSpan w:val="2"/>
                  <w:vMerge w:val="restart"/>
                  <w:tcBorders>
                    <w:top w:val="single" w:color="auto" w:sz="4" w:space="0"/>
                    <w:left w:val="single" w:color="auto" w:sz="4" w:space="0"/>
                    <w:bottom w:val="single" w:color="auto" w:sz="4" w:space="0"/>
                    <w:right w:val="single" w:color="auto" w:sz="4" w:space="0"/>
                  </w:tcBorders>
                  <w:vAlign w:val="center"/>
                </w:tcPr>
                <w:p w14:paraId="204BC385">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803" w:type="pct"/>
                  <w:tcBorders>
                    <w:top w:val="single" w:color="auto" w:sz="4" w:space="0"/>
                    <w:left w:val="single" w:color="auto" w:sz="4" w:space="0"/>
                    <w:bottom w:val="single" w:color="auto" w:sz="4" w:space="0"/>
                    <w:right w:val="single" w:color="auto" w:sz="4" w:space="0"/>
                  </w:tcBorders>
                  <w:vAlign w:val="center"/>
                </w:tcPr>
                <w:p w14:paraId="7D11C380">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伴生气</w:t>
                  </w:r>
                </w:p>
              </w:tc>
              <w:tc>
                <w:tcPr>
                  <w:tcW w:w="3439" w:type="pct"/>
                  <w:tcBorders>
                    <w:top w:val="single" w:color="auto" w:sz="4" w:space="0"/>
                    <w:left w:val="single" w:color="auto" w:sz="4" w:space="0"/>
                    <w:bottom w:val="single" w:color="auto" w:sz="4" w:space="0"/>
                    <w:right w:val="single" w:color="auto" w:sz="4" w:space="0"/>
                  </w:tcBorders>
                  <w:vAlign w:val="center"/>
                </w:tcPr>
                <w:p w14:paraId="56FB32F0">
                  <w:pPr>
                    <w:adjustRightInd w:val="0"/>
                    <w:snapToGrid w:val="0"/>
                    <w:spacing w:line="30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由排气管线充分燃烧后放空无组织排放。</w:t>
                  </w:r>
                </w:p>
              </w:tc>
            </w:tr>
            <w:tr w14:paraId="1E5EF2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1" w:type="pct"/>
                  <w:vMerge w:val="continue"/>
                  <w:tcBorders>
                    <w:top w:val="single" w:color="auto" w:sz="4" w:space="0"/>
                    <w:left w:val="single" w:color="auto" w:sz="4" w:space="0"/>
                    <w:bottom w:val="single" w:color="auto" w:sz="4" w:space="0"/>
                    <w:right w:val="single" w:color="auto" w:sz="4" w:space="0"/>
                  </w:tcBorders>
                  <w:vAlign w:val="center"/>
                </w:tcPr>
                <w:p w14:paraId="52C920B1">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376" w:type="pct"/>
                  <w:gridSpan w:val="2"/>
                  <w:vMerge w:val="continue"/>
                  <w:tcBorders>
                    <w:top w:val="single" w:color="auto" w:sz="4" w:space="0"/>
                    <w:left w:val="single" w:color="auto" w:sz="4" w:space="0"/>
                    <w:bottom w:val="single" w:color="auto" w:sz="4" w:space="0"/>
                    <w:right w:val="single" w:color="auto" w:sz="4" w:space="0"/>
                  </w:tcBorders>
                  <w:vAlign w:val="center"/>
                </w:tcPr>
                <w:p w14:paraId="7E995ABF">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803" w:type="pct"/>
                  <w:tcBorders>
                    <w:top w:val="single" w:color="auto" w:sz="4" w:space="0"/>
                    <w:left w:val="single" w:color="auto" w:sz="4" w:space="0"/>
                    <w:bottom w:val="single" w:color="auto" w:sz="4" w:space="0"/>
                    <w:right w:val="single" w:color="auto" w:sz="4" w:space="0"/>
                  </w:tcBorders>
                  <w:vAlign w:val="center"/>
                </w:tcPr>
                <w:p w14:paraId="72F27E83">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施工扬尘</w:t>
                  </w:r>
                </w:p>
              </w:tc>
              <w:tc>
                <w:tcPr>
                  <w:tcW w:w="3439" w:type="pct"/>
                  <w:tcBorders>
                    <w:top w:val="single" w:color="auto" w:sz="4" w:space="0"/>
                    <w:left w:val="single" w:color="auto" w:sz="4" w:space="0"/>
                    <w:bottom w:val="single" w:color="auto" w:sz="4" w:space="0"/>
                    <w:right w:val="single" w:color="auto" w:sz="4" w:space="0"/>
                  </w:tcBorders>
                  <w:vAlign w:val="center"/>
                </w:tcPr>
                <w:p w14:paraId="727196DF">
                  <w:pPr>
                    <w:adjustRightInd w:val="0"/>
                    <w:snapToGrid w:val="0"/>
                    <w:spacing w:line="30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对易起尘物料进行遮盖；加强车辆管理等措施；场区洒水抑尘措施。</w:t>
                  </w:r>
                </w:p>
              </w:tc>
            </w:tr>
            <w:tr w14:paraId="248532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1" w:type="pct"/>
                  <w:vMerge w:val="continue"/>
                  <w:tcBorders>
                    <w:top w:val="single" w:color="auto" w:sz="4" w:space="0"/>
                    <w:left w:val="single" w:color="auto" w:sz="4" w:space="0"/>
                    <w:bottom w:val="single" w:color="auto" w:sz="4" w:space="0"/>
                    <w:right w:val="single" w:color="auto" w:sz="4" w:space="0"/>
                  </w:tcBorders>
                  <w:vAlign w:val="center"/>
                </w:tcPr>
                <w:p w14:paraId="4967F3CD">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376" w:type="pct"/>
                  <w:gridSpan w:val="2"/>
                  <w:vMerge w:val="continue"/>
                  <w:tcBorders>
                    <w:top w:val="single" w:color="auto" w:sz="4" w:space="0"/>
                    <w:left w:val="single" w:color="auto" w:sz="4" w:space="0"/>
                    <w:bottom w:val="single" w:color="auto" w:sz="4" w:space="0"/>
                    <w:right w:val="single" w:color="auto" w:sz="4" w:space="0"/>
                  </w:tcBorders>
                  <w:vAlign w:val="center"/>
                </w:tcPr>
                <w:p w14:paraId="3DE09E7A">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803" w:type="pct"/>
                  <w:tcBorders>
                    <w:top w:val="single" w:color="auto" w:sz="4" w:space="0"/>
                    <w:left w:val="single" w:color="auto" w:sz="4" w:space="0"/>
                    <w:bottom w:val="single" w:color="auto" w:sz="4" w:space="0"/>
                    <w:right w:val="single" w:color="auto" w:sz="4" w:space="0"/>
                  </w:tcBorders>
                  <w:vAlign w:val="center"/>
                </w:tcPr>
                <w:p w14:paraId="233DA844">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柴油发电</w:t>
                  </w:r>
                </w:p>
                <w:p w14:paraId="7F17DF9D">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机废气</w:t>
                  </w:r>
                </w:p>
              </w:tc>
              <w:tc>
                <w:tcPr>
                  <w:tcW w:w="3439" w:type="pct"/>
                  <w:tcBorders>
                    <w:top w:val="single" w:color="auto" w:sz="4" w:space="0"/>
                    <w:left w:val="single" w:color="auto" w:sz="4" w:space="0"/>
                    <w:bottom w:val="single" w:color="auto" w:sz="4" w:space="0"/>
                    <w:right w:val="single" w:color="auto" w:sz="4" w:space="0"/>
                  </w:tcBorders>
                  <w:vAlign w:val="center"/>
                </w:tcPr>
                <w:p w14:paraId="1A13DB94">
                  <w:pPr>
                    <w:adjustRightInd w:val="0"/>
                    <w:snapToGrid w:val="0"/>
                    <w:spacing w:line="300" w:lineRule="exact"/>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废气产生量较少，属无组织排放</w:t>
                  </w:r>
                  <w:r>
                    <w:rPr>
                      <w:rFonts w:hint="default" w:ascii="Times New Roman" w:hAnsi="Times New Roman" w:eastAsia="宋体" w:cs="Times New Roman"/>
                      <w:color w:val="auto"/>
                      <w:sz w:val="21"/>
                      <w:szCs w:val="21"/>
                      <w:highlight w:val="none"/>
                      <w:lang w:eastAsia="zh-CN"/>
                    </w:rPr>
                    <w:t>。</w:t>
                  </w:r>
                </w:p>
              </w:tc>
            </w:tr>
            <w:tr w14:paraId="1D9F6C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1" w:type="pct"/>
                  <w:vMerge w:val="continue"/>
                  <w:tcBorders>
                    <w:top w:val="single" w:color="auto" w:sz="4" w:space="0"/>
                    <w:left w:val="single" w:color="auto" w:sz="4" w:space="0"/>
                    <w:bottom w:val="single" w:color="auto" w:sz="4" w:space="0"/>
                    <w:right w:val="single" w:color="auto" w:sz="4" w:space="0"/>
                  </w:tcBorders>
                  <w:vAlign w:val="center"/>
                </w:tcPr>
                <w:p w14:paraId="27DE0B18">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376" w:type="pct"/>
                  <w:gridSpan w:val="2"/>
                  <w:vMerge w:val="restart"/>
                  <w:tcBorders>
                    <w:top w:val="single" w:color="auto" w:sz="4" w:space="0"/>
                    <w:left w:val="single" w:color="auto" w:sz="4" w:space="0"/>
                    <w:bottom w:val="single" w:color="auto" w:sz="4" w:space="0"/>
                    <w:right w:val="single" w:color="auto" w:sz="4" w:space="0"/>
                  </w:tcBorders>
                  <w:vAlign w:val="center"/>
                </w:tcPr>
                <w:p w14:paraId="5A6BC2E7">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803" w:type="pct"/>
                  <w:tcBorders>
                    <w:top w:val="single" w:color="auto" w:sz="4" w:space="0"/>
                    <w:left w:val="single" w:color="auto" w:sz="4" w:space="0"/>
                    <w:bottom w:val="single" w:color="auto" w:sz="4" w:space="0"/>
                    <w:right w:val="single" w:color="auto" w:sz="4" w:space="0"/>
                  </w:tcBorders>
                  <w:vAlign w:val="center"/>
                </w:tcPr>
                <w:p w14:paraId="4375AD87">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3439" w:type="pct"/>
                  <w:tcBorders>
                    <w:top w:val="single" w:color="auto" w:sz="4" w:space="0"/>
                    <w:left w:val="single" w:color="auto" w:sz="4" w:space="0"/>
                    <w:bottom w:val="single" w:color="auto" w:sz="4" w:space="0"/>
                    <w:right w:val="single" w:color="auto" w:sz="4" w:space="0"/>
                  </w:tcBorders>
                  <w:vAlign w:val="center"/>
                </w:tcPr>
                <w:p w14:paraId="5C5B56CD">
                  <w:pPr>
                    <w:adjustRightInd w:val="0"/>
                    <w:snapToGrid w:val="0"/>
                    <w:spacing w:line="300" w:lineRule="exact"/>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生活营地各</w:t>
                  </w:r>
                  <w:r>
                    <w:rPr>
                      <w:rFonts w:hint="default" w:ascii="Times New Roman" w:hAnsi="Times New Roman" w:eastAsia="宋体" w:cs="Times New Roman"/>
                      <w:color w:val="auto"/>
                      <w:sz w:val="21"/>
                      <w:szCs w:val="21"/>
                      <w:highlight w:val="none"/>
                    </w:rPr>
                    <w:t>设1个防渗收集池（45m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），生活污水排入</w:t>
                  </w:r>
                  <w:r>
                    <w:rPr>
                      <w:rFonts w:hint="eastAsia" w:ascii="Times New Roman" w:hAnsi="Times New Roman" w:eastAsia="宋体" w:cs="Times New Roman"/>
                      <w:color w:val="auto"/>
                      <w:sz w:val="21"/>
                      <w:szCs w:val="21"/>
                      <w:highlight w:val="none"/>
                      <w:lang w:val="en-US" w:eastAsia="zh-CN"/>
                    </w:rPr>
                    <w:t>硬化</w:t>
                  </w:r>
                  <w:r>
                    <w:rPr>
                      <w:rFonts w:hint="default" w:ascii="Times New Roman" w:hAnsi="Times New Roman" w:eastAsia="宋体" w:cs="Times New Roman"/>
                      <w:color w:val="auto"/>
                      <w:sz w:val="21"/>
                      <w:szCs w:val="21"/>
                      <w:highlight w:val="none"/>
                    </w:rPr>
                    <w:t>防渗收集池，防渗收集池下铺防渗膜，防渗材料为HDPE防渗膜，渗透系数≤10</w:t>
                  </w:r>
                  <w:r>
                    <w:rPr>
                      <w:rFonts w:hint="default" w:ascii="Times New Roman" w:hAnsi="Times New Roman" w:eastAsia="宋体" w:cs="Times New Roman"/>
                      <w:color w:val="auto"/>
                      <w:sz w:val="21"/>
                      <w:szCs w:val="21"/>
                      <w:highlight w:val="none"/>
                      <w:vertAlign w:val="superscript"/>
                    </w:rPr>
                    <w:t>-7</w:t>
                  </w:r>
                  <w:r>
                    <w:rPr>
                      <w:rFonts w:hint="default" w:ascii="Times New Roman" w:hAnsi="Times New Roman" w:eastAsia="宋体" w:cs="Times New Roman"/>
                      <w:color w:val="auto"/>
                      <w:sz w:val="21"/>
                      <w:szCs w:val="21"/>
                      <w:highlight w:val="none"/>
                    </w:rPr>
                    <w:t>cm/s，</w:t>
                  </w:r>
                  <w:r>
                    <w:rPr>
                      <w:rFonts w:hint="eastAsia" w:ascii="Times New Roman" w:hAnsi="Times New Roman" w:eastAsia="宋体" w:cs="Times New Roman"/>
                      <w:color w:val="auto"/>
                      <w:sz w:val="21"/>
                      <w:szCs w:val="21"/>
                      <w:highlight w:val="none"/>
                      <w:lang w:val="en-US" w:eastAsia="zh-CN"/>
                    </w:rPr>
                    <w:t>由施工队</w:t>
                  </w:r>
                  <w:r>
                    <w:rPr>
                      <w:rFonts w:hint="default" w:ascii="Times New Roman" w:hAnsi="Times New Roman" w:eastAsia="宋体" w:cs="Times New Roman"/>
                      <w:color w:val="auto"/>
                      <w:sz w:val="21"/>
                      <w:szCs w:val="21"/>
                      <w:highlight w:val="none"/>
                    </w:rPr>
                    <w:t>采取密闭式吸污罐车定期拉运至吉木萨尔县生活污水处理厂进行处理，确保生活污水不外排</w:t>
                  </w:r>
                  <w:r>
                    <w:rPr>
                      <w:rFonts w:hint="default" w:ascii="Times New Roman" w:hAnsi="Times New Roman" w:eastAsia="宋体" w:cs="Times New Roman"/>
                      <w:color w:val="auto"/>
                      <w:sz w:val="21"/>
                      <w:szCs w:val="21"/>
                      <w:highlight w:val="none"/>
                      <w:lang w:eastAsia="zh-CN"/>
                    </w:rPr>
                    <w:t>。</w:t>
                  </w:r>
                </w:p>
              </w:tc>
            </w:tr>
            <w:tr w14:paraId="685374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1" w:type="pct"/>
                  <w:vMerge w:val="continue"/>
                  <w:tcBorders>
                    <w:top w:val="single" w:color="auto" w:sz="4" w:space="0"/>
                    <w:left w:val="single" w:color="auto" w:sz="4" w:space="0"/>
                    <w:bottom w:val="single" w:color="auto" w:sz="4" w:space="0"/>
                    <w:right w:val="single" w:color="auto" w:sz="4" w:space="0"/>
                  </w:tcBorders>
                  <w:vAlign w:val="center"/>
                </w:tcPr>
                <w:p w14:paraId="48B83136">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376" w:type="pct"/>
                  <w:gridSpan w:val="2"/>
                  <w:vMerge w:val="continue"/>
                  <w:tcBorders>
                    <w:top w:val="single" w:color="auto" w:sz="4" w:space="0"/>
                    <w:left w:val="single" w:color="auto" w:sz="4" w:space="0"/>
                    <w:bottom w:val="single" w:color="auto" w:sz="4" w:space="0"/>
                    <w:right w:val="single" w:color="auto" w:sz="4" w:space="0"/>
                  </w:tcBorders>
                  <w:vAlign w:val="center"/>
                </w:tcPr>
                <w:p w14:paraId="197A2A2B">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803" w:type="pct"/>
                  <w:tcBorders>
                    <w:top w:val="single" w:color="auto" w:sz="4" w:space="0"/>
                    <w:left w:val="single" w:color="auto" w:sz="4" w:space="0"/>
                    <w:bottom w:val="single" w:color="auto" w:sz="4" w:space="0"/>
                    <w:right w:val="single" w:color="auto" w:sz="4" w:space="0"/>
                  </w:tcBorders>
                  <w:vAlign w:val="center"/>
                </w:tcPr>
                <w:p w14:paraId="47D9CE63">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洗井废水和压裂返排液</w:t>
                  </w:r>
                </w:p>
              </w:tc>
              <w:tc>
                <w:tcPr>
                  <w:tcW w:w="3439" w:type="pct"/>
                  <w:tcBorders>
                    <w:top w:val="single" w:color="auto" w:sz="4" w:space="0"/>
                    <w:left w:val="single" w:color="auto" w:sz="4" w:space="0"/>
                    <w:bottom w:val="single" w:color="auto" w:sz="4" w:space="0"/>
                    <w:right w:val="single" w:color="auto" w:sz="4" w:space="0"/>
                  </w:tcBorders>
                  <w:vAlign w:val="center"/>
                </w:tcPr>
                <w:p w14:paraId="5B239A76">
                  <w:pPr>
                    <w:adjustRightInd w:val="0"/>
                    <w:snapToGrid w:val="0"/>
                    <w:spacing w:line="300" w:lineRule="exact"/>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项目井下作业废水采取带罐作业，井下作业废水全部回收，采用专用废液收集罐收集后采取密闭式吸污罐车运至吉</w:t>
                  </w:r>
                  <w:r>
                    <w:rPr>
                      <w:rFonts w:hint="default" w:ascii="Times New Roman" w:hAnsi="Times New Roman" w:eastAsia="宋体" w:cs="Times New Roman"/>
                      <w:color w:val="auto"/>
                      <w:sz w:val="21"/>
                      <w:szCs w:val="21"/>
                      <w:highlight w:val="none"/>
                      <w:lang w:val="en-US" w:eastAsia="zh-CN"/>
                    </w:rPr>
                    <w:t>康</w:t>
                  </w:r>
                  <w:r>
                    <w:rPr>
                      <w:rFonts w:hint="default" w:ascii="Times New Roman" w:hAnsi="Times New Roman" w:eastAsia="宋体" w:cs="Times New Roman"/>
                      <w:color w:val="auto"/>
                      <w:sz w:val="21"/>
                      <w:szCs w:val="21"/>
                      <w:highlight w:val="none"/>
                    </w:rPr>
                    <w:t>脱水站处理</w:t>
                  </w:r>
                  <w:r>
                    <w:rPr>
                      <w:rFonts w:hint="default" w:ascii="Times New Roman" w:hAnsi="Times New Roman" w:eastAsia="宋体" w:cs="Times New Roman"/>
                      <w:color w:val="auto"/>
                      <w:sz w:val="21"/>
                      <w:szCs w:val="21"/>
                      <w:highlight w:val="none"/>
                      <w:lang w:eastAsia="zh-CN"/>
                    </w:rPr>
                    <w:t>。</w:t>
                  </w:r>
                </w:p>
              </w:tc>
            </w:tr>
            <w:tr w14:paraId="0B8CEE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1" w:type="pct"/>
                  <w:vMerge w:val="continue"/>
                  <w:tcBorders>
                    <w:top w:val="single" w:color="auto" w:sz="4" w:space="0"/>
                    <w:left w:val="single" w:color="auto" w:sz="4" w:space="0"/>
                    <w:bottom w:val="single" w:color="auto" w:sz="4" w:space="0"/>
                    <w:right w:val="single" w:color="auto" w:sz="4" w:space="0"/>
                  </w:tcBorders>
                  <w:vAlign w:val="center"/>
                </w:tcPr>
                <w:p w14:paraId="47B476A3">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376" w:type="pct"/>
                  <w:gridSpan w:val="2"/>
                  <w:tcBorders>
                    <w:top w:val="single" w:color="auto" w:sz="4" w:space="0"/>
                    <w:left w:val="single" w:color="auto" w:sz="4" w:space="0"/>
                    <w:bottom w:val="single" w:color="auto" w:sz="4" w:space="0"/>
                    <w:right w:val="single" w:color="auto" w:sz="4" w:space="0"/>
                  </w:tcBorders>
                  <w:vAlign w:val="center"/>
                </w:tcPr>
                <w:p w14:paraId="247C3AED">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803" w:type="pct"/>
                  <w:tcBorders>
                    <w:top w:val="single" w:color="auto" w:sz="4" w:space="0"/>
                    <w:left w:val="single" w:color="auto" w:sz="4" w:space="0"/>
                    <w:bottom w:val="single" w:color="auto" w:sz="4" w:space="0"/>
                    <w:right w:val="single" w:color="auto" w:sz="4" w:space="0"/>
                  </w:tcBorders>
                  <w:vAlign w:val="center"/>
                </w:tcPr>
                <w:p w14:paraId="3C0F7A69">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钻试设备运行噪声</w:t>
                  </w:r>
                </w:p>
              </w:tc>
              <w:tc>
                <w:tcPr>
                  <w:tcW w:w="3439" w:type="pct"/>
                  <w:tcBorders>
                    <w:top w:val="single" w:color="auto" w:sz="4" w:space="0"/>
                    <w:left w:val="single" w:color="auto" w:sz="4" w:space="0"/>
                    <w:bottom w:val="single" w:color="auto" w:sz="4" w:space="0"/>
                    <w:right w:val="single" w:color="auto" w:sz="4" w:space="0"/>
                  </w:tcBorders>
                  <w:vAlign w:val="center"/>
                </w:tcPr>
                <w:p w14:paraId="7AE4903E">
                  <w:pPr>
                    <w:adjustRightInd w:val="0"/>
                    <w:snapToGrid w:val="0"/>
                    <w:spacing w:line="300" w:lineRule="exact"/>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减振、隔声降噪措施，加强设备维护</w:t>
                  </w:r>
                  <w:r>
                    <w:rPr>
                      <w:rFonts w:hint="default" w:ascii="Times New Roman" w:hAnsi="Times New Roman" w:eastAsia="宋体" w:cs="Times New Roman"/>
                      <w:color w:val="auto"/>
                      <w:sz w:val="21"/>
                      <w:szCs w:val="21"/>
                      <w:highlight w:val="none"/>
                      <w:lang w:eastAsia="zh-CN"/>
                    </w:rPr>
                    <w:t>。</w:t>
                  </w:r>
                </w:p>
              </w:tc>
            </w:tr>
            <w:tr w14:paraId="5598B2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1" w:type="pct"/>
                  <w:vMerge w:val="continue"/>
                  <w:tcBorders>
                    <w:top w:val="single" w:color="auto" w:sz="4" w:space="0"/>
                    <w:left w:val="single" w:color="auto" w:sz="4" w:space="0"/>
                    <w:bottom w:val="single" w:color="auto" w:sz="4" w:space="0"/>
                    <w:right w:val="single" w:color="auto" w:sz="4" w:space="0"/>
                  </w:tcBorders>
                  <w:vAlign w:val="center"/>
                </w:tcPr>
                <w:p w14:paraId="141CC9FD">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376" w:type="pct"/>
                  <w:gridSpan w:val="2"/>
                  <w:vMerge w:val="restart"/>
                  <w:tcBorders>
                    <w:top w:val="single" w:color="auto" w:sz="4" w:space="0"/>
                    <w:left w:val="single" w:color="auto" w:sz="4" w:space="0"/>
                    <w:bottom w:val="single" w:color="auto" w:sz="4" w:space="0"/>
                    <w:right w:val="single" w:color="auto" w:sz="4" w:space="0"/>
                  </w:tcBorders>
                  <w:vAlign w:val="center"/>
                </w:tcPr>
                <w:p w14:paraId="353306C7">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803" w:type="pct"/>
                  <w:tcBorders>
                    <w:top w:val="single" w:color="auto" w:sz="4" w:space="0"/>
                    <w:left w:val="single" w:color="auto" w:sz="4" w:space="0"/>
                    <w:bottom w:val="single" w:color="auto" w:sz="4" w:space="0"/>
                    <w:right w:val="single" w:color="auto" w:sz="4" w:space="0"/>
                  </w:tcBorders>
                  <w:vAlign w:val="top"/>
                </w:tcPr>
                <w:p w14:paraId="3C5D3321">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落地油</w:t>
                  </w:r>
                </w:p>
              </w:tc>
              <w:tc>
                <w:tcPr>
                  <w:tcW w:w="3439" w:type="pct"/>
                  <w:tcBorders>
                    <w:top w:val="single" w:color="auto" w:sz="4" w:space="0"/>
                    <w:left w:val="single" w:color="auto" w:sz="4" w:space="0"/>
                    <w:bottom w:val="single" w:color="auto" w:sz="4" w:space="0"/>
                    <w:right w:val="single" w:color="auto" w:sz="4" w:space="0"/>
                  </w:tcBorders>
                  <w:vAlign w:val="top"/>
                </w:tcPr>
                <w:p w14:paraId="2CA9425A">
                  <w:pPr>
                    <w:adjustRightInd w:val="0"/>
                    <w:snapToGrid w:val="0"/>
                    <w:spacing w:line="300" w:lineRule="exact"/>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本项目井下作业时带罐作业，落地油100%回收</w:t>
                  </w:r>
                  <w:r>
                    <w:rPr>
                      <w:rFonts w:hint="default" w:ascii="Times New Roman" w:hAnsi="Times New Roman" w:eastAsia="宋体" w:cs="Times New Roman"/>
                      <w:color w:val="auto"/>
                      <w:sz w:val="21"/>
                      <w:szCs w:val="21"/>
                      <w:highlight w:val="none"/>
                      <w:lang w:eastAsia="zh-CN"/>
                    </w:rPr>
                    <w:t>。</w:t>
                  </w:r>
                </w:p>
              </w:tc>
            </w:tr>
            <w:tr w14:paraId="3DDA91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701" w:hRule="atLeast"/>
              </w:trPr>
              <w:tc>
                <w:tcPr>
                  <w:tcW w:w="381" w:type="pct"/>
                  <w:vMerge w:val="continue"/>
                  <w:tcBorders>
                    <w:top w:val="single" w:color="auto" w:sz="4" w:space="0"/>
                    <w:left w:val="single" w:color="auto" w:sz="4" w:space="0"/>
                    <w:bottom w:val="single" w:color="auto" w:sz="4" w:space="0"/>
                    <w:right w:val="single" w:color="auto" w:sz="4" w:space="0"/>
                  </w:tcBorders>
                  <w:vAlign w:val="center"/>
                </w:tcPr>
                <w:p w14:paraId="0F2E2C63">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376" w:type="pct"/>
                  <w:gridSpan w:val="2"/>
                  <w:vMerge w:val="continue"/>
                  <w:tcBorders>
                    <w:left w:val="single" w:color="auto" w:sz="4" w:space="0"/>
                    <w:right w:val="single" w:color="auto" w:sz="4" w:space="0"/>
                  </w:tcBorders>
                  <w:vAlign w:val="center"/>
                </w:tcPr>
                <w:p w14:paraId="040803B3">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803" w:type="pct"/>
                  <w:tcBorders>
                    <w:top w:val="single" w:color="auto" w:sz="4" w:space="0"/>
                    <w:left w:val="single" w:color="auto" w:sz="4" w:space="0"/>
                    <w:right w:val="single" w:color="auto" w:sz="4" w:space="0"/>
                  </w:tcBorders>
                  <w:shd w:val="clear" w:color="auto" w:fill="auto"/>
                  <w:vAlign w:val="center"/>
                </w:tcPr>
                <w:p w14:paraId="5619EBDF">
                  <w:pPr>
                    <w:adjustRightInd w:val="0"/>
                    <w:snapToGrid w:val="0"/>
                    <w:spacing w:line="300" w:lineRule="exact"/>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钻井岩屑</w:t>
                  </w:r>
                </w:p>
              </w:tc>
              <w:tc>
                <w:tcPr>
                  <w:tcW w:w="3439" w:type="pct"/>
                  <w:tcBorders>
                    <w:top w:val="single" w:color="auto" w:sz="4" w:space="0"/>
                    <w:left w:val="single" w:color="auto" w:sz="4" w:space="0"/>
                    <w:bottom w:val="single" w:color="auto" w:sz="4" w:space="0"/>
                    <w:right w:val="single" w:color="auto" w:sz="4" w:space="0"/>
                  </w:tcBorders>
                  <w:shd w:val="clear" w:color="auto" w:fill="auto"/>
                  <w:vAlign w:val="center"/>
                </w:tcPr>
                <w:p w14:paraId="15CBACD6">
                  <w:pPr>
                    <w:adjustRightInd w:val="0"/>
                    <w:snapToGrid w:val="0"/>
                    <w:spacing w:line="300" w:lineRule="exact"/>
                    <w:jc w:val="both"/>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本项目钻井过程中采用分段钻井液体系：导眼段、一开段及三开段采用水基钻井液，二开段采用油基钻井液。钻井作业全过程配套使用钻井液不落地处理设备，钻井过程中分离出的液相回收后循环用于钻井施工。导眼段和一开段产生的水基钻井岩屑不属于危险废物，暂存于水基钻井岩屑储罐内，并由具备相应资质的单位统一清运处理。二开段产生的油基钻井岩屑及三开段产生的沾染油基钻井液的水基钻井岩屑，均属于危险废物，暂存于油基钻井岩屑储罐内</w:t>
                  </w:r>
                  <w:r>
                    <w:rPr>
                      <w:rFonts w:hint="eastAsia" w:ascii="Times New Roman" w:hAnsi="Times New Roman" w:eastAsia="宋体" w:cs="Times New Roman"/>
                      <w:color w:val="auto"/>
                      <w:sz w:val="21"/>
                      <w:szCs w:val="21"/>
                      <w:highlight w:val="none"/>
                      <w:lang w:val="en-US" w:eastAsia="zh-CN"/>
                    </w:rPr>
                    <w:t>后转运至危废贮存点，定期</w:t>
                  </w:r>
                  <w:r>
                    <w:rPr>
                      <w:rFonts w:hint="default" w:ascii="Times New Roman" w:hAnsi="Times New Roman" w:cs="Times New Roman"/>
                      <w:color w:val="auto"/>
                      <w:sz w:val="21"/>
                      <w:szCs w:val="21"/>
                      <w:highlight w:val="none"/>
                    </w:rPr>
                    <w:t>交由</w:t>
                  </w:r>
                  <w:r>
                    <w:rPr>
                      <w:rFonts w:hint="eastAsia" w:ascii="Times New Roman" w:hAnsi="Times New Roman" w:eastAsia="宋体" w:cs="Times New Roman"/>
                      <w:color w:val="auto"/>
                      <w:sz w:val="21"/>
                      <w:szCs w:val="21"/>
                      <w:highlight w:val="none"/>
                      <w:lang w:val="en-US" w:eastAsia="zh-CN"/>
                    </w:rPr>
                    <w:t>有</w:t>
                  </w:r>
                  <w:r>
                    <w:rPr>
                      <w:rFonts w:hint="default" w:ascii="Times New Roman" w:hAnsi="Times New Roman" w:cs="Times New Roman"/>
                      <w:color w:val="auto"/>
                      <w:sz w:val="21"/>
                      <w:szCs w:val="21"/>
                      <w:highlight w:val="none"/>
                    </w:rPr>
                    <w:t>资质的单位</w:t>
                  </w:r>
                  <w:r>
                    <w:rPr>
                      <w:rFonts w:hint="eastAsia" w:ascii="Times New Roman" w:hAnsi="Times New Roman" w:eastAsia="宋体" w:cs="Times New Roman"/>
                      <w:color w:val="auto"/>
                      <w:sz w:val="21"/>
                      <w:szCs w:val="21"/>
                      <w:highlight w:val="none"/>
                      <w:lang w:val="en-US" w:eastAsia="zh-CN"/>
                    </w:rPr>
                    <w:t>处置</w:t>
                  </w:r>
                </w:p>
              </w:tc>
            </w:tr>
            <w:tr w14:paraId="6C41C9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1" w:type="pct"/>
                  <w:vMerge w:val="continue"/>
                  <w:tcBorders>
                    <w:top w:val="single" w:color="auto" w:sz="4" w:space="0"/>
                    <w:left w:val="single" w:color="auto" w:sz="4" w:space="0"/>
                    <w:bottom w:val="single" w:color="auto" w:sz="4" w:space="0"/>
                    <w:right w:val="single" w:color="auto" w:sz="4" w:space="0"/>
                  </w:tcBorders>
                  <w:vAlign w:val="center"/>
                </w:tcPr>
                <w:p w14:paraId="69DDCDFD">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376" w:type="pct"/>
                  <w:gridSpan w:val="2"/>
                  <w:vMerge w:val="continue"/>
                  <w:tcBorders>
                    <w:top w:val="single" w:color="auto" w:sz="4" w:space="0"/>
                    <w:left w:val="single" w:color="auto" w:sz="4" w:space="0"/>
                    <w:bottom w:val="single" w:color="auto" w:sz="4" w:space="0"/>
                    <w:right w:val="single" w:color="auto" w:sz="4" w:space="0"/>
                  </w:tcBorders>
                  <w:vAlign w:val="center"/>
                </w:tcPr>
                <w:p w14:paraId="20B0F69B">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803" w:type="pct"/>
                  <w:tcBorders>
                    <w:top w:val="single" w:color="auto" w:sz="4" w:space="0"/>
                    <w:left w:val="single" w:color="auto" w:sz="4" w:space="0"/>
                    <w:bottom w:val="single" w:color="auto" w:sz="4" w:space="0"/>
                    <w:right w:val="single" w:color="auto" w:sz="4" w:space="0"/>
                  </w:tcBorders>
                  <w:vAlign w:val="center"/>
                </w:tcPr>
                <w:p w14:paraId="073DF293">
                  <w:pPr>
                    <w:widowControl w:val="0"/>
                    <w:adjustRightInd w:val="0"/>
                    <w:snapToGrid w:val="0"/>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废防渗材料、废润滑油、废润滑油桶</w:t>
                  </w:r>
                </w:p>
              </w:tc>
              <w:tc>
                <w:tcPr>
                  <w:tcW w:w="3439" w:type="pct"/>
                  <w:tcBorders>
                    <w:top w:val="single" w:color="auto" w:sz="4" w:space="0"/>
                    <w:left w:val="single" w:color="auto" w:sz="4" w:space="0"/>
                    <w:bottom w:val="single" w:color="auto" w:sz="4" w:space="0"/>
                    <w:right w:val="single" w:color="auto" w:sz="4" w:space="0"/>
                  </w:tcBorders>
                  <w:vAlign w:val="center"/>
                </w:tcPr>
                <w:p w14:paraId="7014394C">
                  <w:pPr>
                    <w:adjustRightInd w:val="0"/>
                    <w:snapToGrid w:val="0"/>
                    <w:spacing w:line="30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施工过程中产生的沾油废防渗材料、设备检修与维护过程中产生的废润滑油及废润滑油桶均属于危险废物，沾油废防渗材料、废润滑油和废润滑油桶分区暂存在井场设置的危险废物</w:t>
                  </w:r>
                  <w:r>
                    <w:rPr>
                      <w:rFonts w:hint="eastAsia" w:ascii="Times New Roman" w:hAnsi="Times New Roman" w:eastAsia="宋体" w:cs="Times New Roman"/>
                      <w:color w:val="auto"/>
                      <w:sz w:val="21"/>
                      <w:szCs w:val="21"/>
                      <w:highlight w:val="none"/>
                      <w:lang w:val="en-US" w:eastAsia="zh-CN"/>
                    </w:rPr>
                    <w:t>贮存库</w:t>
                  </w:r>
                  <w:r>
                    <w:rPr>
                      <w:rFonts w:hint="default" w:ascii="Times New Roman" w:hAnsi="Times New Roman" w:eastAsia="宋体" w:cs="Times New Roman"/>
                      <w:color w:val="auto"/>
                      <w:sz w:val="21"/>
                      <w:szCs w:val="21"/>
                      <w:highlight w:val="none"/>
                    </w:rPr>
                    <w:t>，定期由具有相应危险废物处置资质的单位进行接收、转运和处置。</w:t>
                  </w:r>
                </w:p>
              </w:tc>
            </w:tr>
            <w:tr w14:paraId="4AD712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1" w:type="pct"/>
                  <w:vMerge w:val="continue"/>
                  <w:tcBorders>
                    <w:top w:val="single" w:color="auto" w:sz="4" w:space="0"/>
                    <w:left w:val="single" w:color="auto" w:sz="4" w:space="0"/>
                    <w:bottom w:val="single" w:color="auto" w:sz="4" w:space="0"/>
                    <w:right w:val="single" w:color="auto" w:sz="4" w:space="0"/>
                  </w:tcBorders>
                  <w:vAlign w:val="center"/>
                </w:tcPr>
                <w:p w14:paraId="1EF79205">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376" w:type="pct"/>
                  <w:gridSpan w:val="2"/>
                  <w:vMerge w:val="continue"/>
                  <w:tcBorders>
                    <w:top w:val="single" w:color="auto" w:sz="4" w:space="0"/>
                    <w:left w:val="single" w:color="auto" w:sz="4" w:space="0"/>
                    <w:bottom w:val="single" w:color="auto" w:sz="4" w:space="0"/>
                    <w:right w:val="single" w:color="auto" w:sz="4" w:space="0"/>
                  </w:tcBorders>
                  <w:vAlign w:val="center"/>
                </w:tcPr>
                <w:p w14:paraId="1831DF9B">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803" w:type="pct"/>
                  <w:tcBorders>
                    <w:top w:val="single" w:color="auto" w:sz="4" w:space="0"/>
                    <w:left w:val="single" w:color="auto" w:sz="4" w:space="0"/>
                    <w:bottom w:val="single" w:color="auto" w:sz="4" w:space="0"/>
                    <w:right w:val="single" w:color="auto" w:sz="4" w:space="0"/>
                  </w:tcBorders>
                  <w:vAlign w:val="center"/>
                </w:tcPr>
                <w:p w14:paraId="6DA40E13">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3439" w:type="pct"/>
                  <w:tcBorders>
                    <w:top w:val="single" w:color="auto" w:sz="4" w:space="0"/>
                    <w:left w:val="single" w:color="auto" w:sz="4" w:space="0"/>
                    <w:bottom w:val="single" w:color="auto" w:sz="4" w:space="0"/>
                    <w:right w:val="single" w:color="auto" w:sz="4" w:space="0"/>
                  </w:tcBorders>
                  <w:vAlign w:val="center"/>
                </w:tcPr>
                <w:p w14:paraId="29168931">
                  <w:pPr>
                    <w:adjustRightInd w:val="0"/>
                    <w:snapToGrid w:val="0"/>
                    <w:spacing w:line="30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井场和生活营地均设有垃圾箱暂存生活垃圾，集中收集后统一拉运至吉木萨尔县生活垃圾填埋场处理。</w:t>
                  </w:r>
                </w:p>
              </w:tc>
            </w:tr>
            <w:tr w14:paraId="72BA94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381" w:type="pct"/>
                  <w:vMerge w:val="continue"/>
                  <w:tcBorders>
                    <w:top w:val="single" w:color="auto" w:sz="4" w:space="0"/>
                    <w:left w:val="single" w:color="auto" w:sz="4" w:space="0"/>
                    <w:bottom w:val="single" w:color="auto" w:sz="4" w:space="0"/>
                    <w:right w:val="single" w:color="auto" w:sz="4" w:space="0"/>
                  </w:tcBorders>
                  <w:vAlign w:val="center"/>
                </w:tcPr>
                <w:p w14:paraId="63E04F27">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1179" w:type="pct"/>
                  <w:gridSpan w:val="3"/>
                  <w:tcBorders>
                    <w:top w:val="single" w:color="auto" w:sz="4" w:space="0"/>
                    <w:left w:val="single" w:color="auto" w:sz="4" w:space="0"/>
                    <w:bottom w:val="single" w:color="auto" w:sz="4" w:space="0"/>
                    <w:right w:val="single" w:color="auto" w:sz="4" w:space="0"/>
                  </w:tcBorders>
                  <w:vAlign w:val="center"/>
                </w:tcPr>
                <w:p w14:paraId="11AE9ED6">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生态措施</w:t>
                  </w:r>
                </w:p>
              </w:tc>
              <w:tc>
                <w:tcPr>
                  <w:tcW w:w="3439" w:type="pct"/>
                  <w:tcBorders>
                    <w:top w:val="single" w:color="auto" w:sz="4" w:space="0"/>
                    <w:left w:val="single" w:color="auto" w:sz="4" w:space="0"/>
                    <w:bottom w:val="single" w:color="auto" w:sz="4" w:space="0"/>
                    <w:right w:val="single" w:color="auto" w:sz="4" w:space="0"/>
                  </w:tcBorders>
                  <w:vAlign w:val="center"/>
                </w:tcPr>
                <w:p w14:paraId="590BF372">
                  <w:pPr>
                    <w:keepNext w:val="0"/>
                    <w:keepLines w:val="0"/>
                    <w:pageBreakBefore w:val="0"/>
                    <w:widowControl/>
                    <w:kinsoku/>
                    <w:wordWrap/>
                    <w:overflowPunct/>
                    <w:topLinePunct w:val="0"/>
                    <w:autoSpaceDE w:val="0"/>
                    <w:autoSpaceDN w:val="0"/>
                    <w:bidi w:val="0"/>
                    <w:adjustRightInd w:val="0"/>
                    <w:snapToGrid w:val="0"/>
                    <w:spacing w:line="300" w:lineRule="exact"/>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施工结束后及时对临时占地进行清理、平整，植被自然恢复。</w:t>
                  </w:r>
                </w:p>
              </w:tc>
            </w:tr>
            <w:tr w14:paraId="112F47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1" w:type="pct"/>
                  <w:vMerge w:val="continue"/>
                  <w:tcBorders>
                    <w:top w:val="single" w:color="auto" w:sz="4" w:space="0"/>
                    <w:left w:val="single" w:color="auto" w:sz="4" w:space="0"/>
                    <w:bottom w:val="single" w:color="auto" w:sz="4" w:space="0"/>
                    <w:right w:val="single" w:color="auto" w:sz="4" w:space="0"/>
                  </w:tcBorders>
                  <w:vAlign w:val="center"/>
                </w:tcPr>
                <w:p w14:paraId="490170B8">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1179" w:type="pct"/>
                  <w:gridSpan w:val="3"/>
                  <w:tcBorders>
                    <w:top w:val="single" w:color="auto" w:sz="4" w:space="0"/>
                    <w:left w:val="single" w:color="auto" w:sz="4" w:space="0"/>
                    <w:bottom w:val="single" w:color="auto" w:sz="4" w:space="0"/>
                    <w:right w:val="single" w:color="auto" w:sz="4" w:space="0"/>
                  </w:tcBorders>
                  <w:vAlign w:val="center"/>
                </w:tcPr>
                <w:p w14:paraId="6A2D9934">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S监测</w:t>
                  </w:r>
                </w:p>
              </w:tc>
              <w:tc>
                <w:tcPr>
                  <w:tcW w:w="3439" w:type="pct"/>
                  <w:tcBorders>
                    <w:top w:val="single" w:color="auto" w:sz="4" w:space="0"/>
                    <w:left w:val="single" w:color="auto" w:sz="4" w:space="0"/>
                    <w:bottom w:val="single" w:color="auto" w:sz="4" w:space="0"/>
                    <w:right w:val="single" w:color="auto" w:sz="4" w:space="0"/>
                  </w:tcBorders>
                  <w:vAlign w:val="center"/>
                </w:tcPr>
                <w:p w14:paraId="4B1307B0">
                  <w:pPr>
                    <w:adjustRightInd w:val="0"/>
                    <w:snapToGrid w:val="0"/>
                    <w:spacing w:line="30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井场按规范设置H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S监测仪。</w:t>
                  </w:r>
                </w:p>
              </w:tc>
            </w:tr>
            <w:tr w14:paraId="4132BF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1" w:type="pct"/>
                  <w:vMerge w:val="continue"/>
                  <w:tcBorders>
                    <w:top w:val="single" w:color="auto" w:sz="4" w:space="0"/>
                    <w:left w:val="single" w:color="auto" w:sz="4" w:space="0"/>
                    <w:bottom w:val="single" w:color="auto" w:sz="4" w:space="0"/>
                    <w:right w:val="single" w:color="auto" w:sz="4" w:space="0"/>
                  </w:tcBorders>
                  <w:vAlign w:val="center"/>
                </w:tcPr>
                <w:p w14:paraId="22CECEB7">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1179" w:type="pct"/>
                  <w:gridSpan w:val="3"/>
                  <w:tcBorders>
                    <w:top w:val="single" w:color="auto" w:sz="4" w:space="0"/>
                    <w:left w:val="single" w:color="auto" w:sz="4" w:space="0"/>
                    <w:bottom w:val="single" w:color="auto" w:sz="4" w:space="0"/>
                    <w:right w:val="single" w:color="auto" w:sz="4" w:space="0"/>
                  </w:tcBorders>
                  <w:vAlign w:val="center"/>
                </w:tcPr>
                <w:p w14:paraId="2F798404">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w:t>
                  </w:r>
                </w:p>
              </w:tc>
              <w:tc>
                <w:tcPr>
                  <w:tcW w:w="3439" w:type="pct"/>
                  <w:tcBorders>
                    <w:top w:val="single" w:color="auto" w:sz="4" w:space="0"/>
                    <w:left w:val="single" w:color="auto" w:sz="4" w:space="0"/>
                    <w:bottom w:val="single" w:color="auto" w:sz="4" w:space="0"/>
                    <w:right w:val="single" w:color="auto" w:sz="4" w:space="0"/>
                  </w:tcBorders>
                  <w:vAlign w:val="center"/>
                </w:tcPr>
                <w:p w14:paraId="07F9B533">
                  <w:pPr>
                    <w:adjustRightInd w:val="0"/>
                    <w:snapToGrid w:val="0"/>
                    <w:spacing w:line="30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安装井控装置；防止井喷；柴油罐、原油储罐等储罐底部铺设防渗材料或设置围堰，防止泄漏；硫化氢监测；设置应急放喷池，对事故状态下，放喷液进行有效收集，防止污染周围地下水和土壤。</w:t>
                  </w:r>
                </w:p>
              </w:tc>
            </w:tr>
            <w:tr w14:paraId="36C61E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88" w:type="pct"/>
                  <w:gridSpan w:val="2"/>
                  <w:vMerge w:val="restart"/>
                  <w:tcBorders>
                    <w:top w:val="single" w:color="auto" w:sz="4" w:space="0"/>
                    <w:left w:val="single" w:color="auto" w:sz="4" w:space="0"/>
                    <w:right w:val="single" w:color="auto" w:sz="4" w:space="0"/>
                  </w:tcBorders>
                  <w:vAlign w:val="center"/>
                </w:tcPr>
                <w:p w14:paraId="3768B845">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依托工程</w:t>
                  </w:r>
                </w:p>
              </w:tc>
              <w:tc>
                <w:tcPr>
                  <w:tcW w:w="1171" w:type="pct"/>
                  <w:gridSpan w:val="2"/>
                  <w:tcBorders>
                    <w:top w:val="single" w:color="auto" w:sz="4" w:space="0"/>
                    <w:left w:val="single" w:color="auto" w:sz="4" w:space="0"/>
                    <w:bottom w:val="single" w:color="auto" w:sz="4" w:space="0"/>
                    <w:right w:val="single" w:color="auto" w:sz="4" w:space="0"/>
                  </w:tcBorders>
                  <w:vAlign w:val="center"/>
                </w:tcPr>
                <w:p w14:paraId="2E9F3980">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试油废水（洗井废水、压裂返排液）</w:t>
                  </w:r>
                </w:p>
              </w:tc>
              <w:tc>
                <w:tcPr>
                  <w:tcW w:w="3439" w:type="pct"/>
                  <w:tcBorders>
                    <w:top w:val="single" w:color="auto" w:sz="4" w:space="0"/>
                    <w:left w:val="single" w:color="auto" w:sz="4" w:space="0"/>
                    <w:bottom w:val="single" w:color="auto" w:sz="4" w:space="0"/>
                    <w:right w:val="single" w:color="auto" w:sz="4" w:space="0"/>
                  </w:tcBorders>
                  <w:vAlign w:val="center"/>
                </w:tcPr>
                <w:p w14:paraId="2F514F4B">
                  <w:pPr>
                    <w:adjustRightInd w:val="0"/>
                    <w:snapToGrid w:val="0"/>
                    <w:spacing w:line="300" w:lineRule="exact"/>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由</w:t>
                  </w:r>
                  <w:r>
                    <w:rPr>
                      <w:rFonts w:hint="eastAsia" w:ascii="Times New Roman" w:hAnsi="Times New Roman" w:cs="Times New Roman"/>
                      <w:color w:val="auto"/>
                      <w:sz w:val="21"/>
                      <w:szCs w:val="21"/>
                      <w:highlight w:val="none"/>
                      <w:lang w:val="en-US" w:eastAsia="zh-CN"/>
                    </w:rPr>
                    <w:t>施工队采取</w:t>
                  </w:r>
                  <w:r>
                    <w:rPr>
                      <w:rFonts w:hint="default" w:ascii="Times New Roman" w:hAnsi="Times New Roman" w:cs="Times New Roman"/>
                      <w:color w:val="auto"/>
                      <w:sz w:val="21"/>
                      <w:szCs w:val="21"/>
                      <w:highlight w:val="none"/>
                      <w:lang w:val="en-US" w:eastAsia="zh-CN"/>
                    </w:rPr>
                    <w:t>罐车送至吉康脱水站污水处理系统处理。</w:t>
                  </w:r>
                </w:p>
              </w:tc>
            </w:tr>
            <w:tr w14:paraId="068BA2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716" w:hRule="atLeast"/>
              </w:trPr>
              <w:tc>
                <w:tcPr>
                  <w:tcW w:w="388" w:type="pct"/>
                  <w:gridSpan w:val="2"/>
                  <w:vMerge w:val="continue"/>
                  <w:tcBorders>
                    <w:left w:val="single" w:color="auto" w:sz="4" w:space="0"/>
                    <w:right w:val="single" w:color="auto" w:sz="4" w:space="0"/>
                  </w:tcBorders>
                  <w:vAlign w:val="center"/>
                </w:tcPr>
                <w:p w14:paraId="34D5E942">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1171" w:type="pct"/>
                  <w:gridSpan w:val="2"/>
                  <w:tcBorders>
                    <w:top w:val="single" w:color="auto" w:sz="4" w:space="0"/>
                    <w:left w:val="single" w:color="auto" w:sz="4" w:space="0"/>
                    <w:right w:val="single" w:color="auto" w:sz="4" w:space="0"/>
                  </w:tcBorders>
                  <w:shd w:val="clear" w:color="auto" w:fill="auto"/>
                  <w:vAlign w:val="center"/>
                </w:tcPr>
                <w:p w14:paraId="3CE75030">
                  <w:pPr>
                    <w:adjustRightInd w:val="0"/>
                    <w:snapToGrid w:val="0"/>
                    <w:spacing w:line="300" w:lineRule="exact"/>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钻井</w:t>
                  </w:r>
                  <w:r>
                    <w:rPr>
                      <w:rFonts w:hint="default" w:ascii="Times New Roman" w:hAnsi="Times New Roman" w:cs="Times New Roman"/>
                      <w:color w:val="auto"/>
                      <w:sz w:val="21"/>
                      <w:szCs w:val="21"/>
                      <w:highlight w:val="none"/>
                    </w:rPr>
                    <w:t>岩屑</w:t>
                  </w:r>
                </w:p>
              </w:tc>
              <w:tc>
                <w:tcPr>
                  <w:tcW w:w="3439" w:type="pct"/>
                  <w:tcBorders>
                    <w:top w:val="single" w:color="auto" w:sz="4" w:space="0"/>
                    <w:left w:val="single" w:color="auto" w:sz="4" w:space="0"/>
                    <w:bottom w:val="single" w:color="auto" w:sz="4" w:space="0"/>
                    <w:right w:val="single" w:color="auto" w:sz="4" w:space="0"/>
                  </w:tcBorders>
                  <w:shd w:val="clear" w:color="auto" w:fill="auto"/>
                  <w:vAlign w:val="center"/>
                </w:tcPr>
                <w:p w14:paraId="6259B936">
                  <w:pPr>
                    <w:adjustRightInd w:val="0"/>
                    <w:snapToGrid w:val="0"/>
                    <w:spacing w:line="300" w:lineRule="exact"/>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导眼段和一开段产生的水基钻井岩屑不属于危险废物，暂存于水基钻井岩屑储罐内，并由具备相应资质的单位统一清运处理。二开段产生的油基钻井岩屑及三开段产生的沾染油基钻井液的水基钻井岩屑，均属于危险废物，暂存于油基钻井岩屑储罐内</w:t>
                  </w:r>
                  <w:r>
                    <w:rPr>
                      <w:rFonts w:hint="eastAsia" w:ascii="Times New Roman" w:hAnsi="Times New Roman" w:eastAsia="宋体" w:cs="Times New Roman"/>
                      <w:color w:val="auto"/>
                      <w:sz w:val="21"/>
                      <w:szCs w:val="21"/>
                      <w:highlight w:val="none"/>
                      <w:lang w:val="en-US" w:eastAsia="zh-CN"/>
                    </w:rPr>
                    <w:t>后转运至危废贮存点，定期</w:t>
                  </w:r>
                  <w:r>
                    <w:rPr>
                      <w:rFonts w:hint="default" w:ascii="Times New Roman" w:hAnsi="Times New Roman" w:cs="Times New Roman"/>
                      <w:color w:val="auto"/>
                      <w:sz w:val="21"/>
                      <w:szCs w:val="21"/>
                      <w:highlight w:val="none"/>
                    </w:rPr>
                    <w:t>交由</w:t>
                  </w:r>
                  <w:r>
                    <w:rPr>
                      <w:rFonts w:hint="eastAsia" w:ascii="Times New Roman" w:hAnsi="Times New Roman" w:eastAsia="宋体" w:cs="Times New Roman"/>
                      <w:color w:val="auto"/>
                      <w:sz w:val="21"/>
                      <w:szCs w:val="21"/>
                      <w:highlight w:val="none"/>
                      <w:lang w:val="en-US" w:eastAsia="zh-CN"/>
                    </w:rPr>
                    <w:t>有</w:t>
                  </w:r>
                  <w:r>
                    <w:rPr>
                      <w:rFonts w:hint="default" w:ascii="Times New Roman" w:hAnsi="Times New Roman" w:cs="Times New Roman"/>
                      <w:color w:val="auto"/>
                      <w:sz w:val="21"/>
                      <w:szCs w:val="21"/>
                      <w:highlight w:val="none"/>
                    </w:rPr>
                    <w:t>资质的单位</w:t>
                  </w:r>
                  <w:r>
                    <w:rPr>
                      <w:rFonts w:hint="eastAsia" w:ascii="Times New Roman" w:hAnsi="Times New Roman" w:eastAsia="宋体" w:cs="Times New Roman"/>
                      <w:color w:val="auto"/>
                      <w:sz w:val="21"/>
                      <w:szCs w:val="21"/>
                      <w:highlight w:val="none"/>
                      <w:lang w:val="en-US" w:eastAsia="zh-CN"/>
                    </w:rPr>
                    <w:t>处置</w:t>
                  </w:r>
                </w:p>
              </w:tc>
            </w:tr>
            <w:tr w14:paraId="10C1B2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30" w:hRule="atLeast"/>
              </w:trPr>
              <w:tc>
                <w:tcPr>
                  <w:tcW w:w="388" w:type="pct"/>
                  <w:gridSpan w:val="2"/>
                  <w:vMerge w:val="continue"/>
                  <w:tcBorders>
                    <w:left w:val="single" w:color="auto" w:sz="4" w:space="0"/>
                    <w:right w:val="single" w:color="auto" w:sz="4" w:space="0"/>
                  </w:tcBorders>
                  <w:vAlign w:val="center"/>
                </w:tcPr>
                <w:p w14:paraId="277E64E5">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1171" w:type="pct"/>
                  <w:gridSpan w:val="2"/>
                  <w:tcBorders>
                    <w:top w:val="single" w:color="auto" w:sz="4" w:space="0"/>
                    <w:left w:val="single" w:color="auto" w:sz="4" w:space="0"/>
                    <w:bottom w:val="single" w:color="auto" w:sz="4" w:space="0"/>
                    <w:right w:val="single" w:color="auto" w:sz="4" w:space="0"/>
                  </w:tcBorders>
                  <w:vAlign w:val="center"/>
                </w:tcPr>
                <w:p w14:paraId="131185CB">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生活污水</w:t>
                  </w:r>
                </w:p>
              </w:tc>
              <w:tc>
                <w:tcPr>
                  <w:tcW w:w="3439" w:type="pct"/>
                  <w:tcBorders>
                    <w:top w:val="single" w:color="auto" w:sz="4" w:space="0"/>
                    <w:left w:val="single" w:color="auto" w:sz="4" w:space="0"/>
                    <w:bottom w:val="single" w:color="auto" w:sz="4" w:space="0"/>
                    <w:right w:val="single" w:color="auto" w:sz="4" w:space="0"/>
                  </w:tcBorders>
                  <w:vAlign w:val="center"/>
                </w:tcPr>
                <w:p w14:paraId="37975AC2">
                  <w:pPr>
                    <w:adjustRightInd w:val="0"/>
                    <w:snapToGrid w:val="0"/>
                    <w:spacing w:line="30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钻井期生活污水定期拉运至吉木萨尔县污水处理厂</w:t>
                  </w:r>
                  <w:r>
                    <w:rPr>
                      <w:rFonts w:hint="default" w:ascii="Times New Roman" w:hAnsi="Times New Roman" w:eastAsia="宋体" w:cs="Times New Roman"/>
                      <w:color w:val="auto"/>
                      <w:sz w:val="21"/>
                      <w:szCs w:val="21"/>
                      <w:highlight w:val="none"/>
                      <w:lang w:val="en-US" w:eastAsia="zh-CN"/>
                    </w:rPr>
                    <w:t>处理。</w:t>
                  </w:r>
                </w:p>
              </w:tc>
            </w:tr>
            <w:tr w14:paraId="5E08AF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40" w:hRule="atLeast"/>
              </w:trPr>
              <w:tc>
                <w:tcPr>
                  <w:tcW w:w="388" w:type="pct"/>
                  <w:gridSpan w:val="2"/>
                  <w:vMerge w:val="continue"/>
                  <w:tcBorders>
                    <w:left w:val="single" w:color="auto" w:sz="4" w:space="0"/>
                    <w:right w:val="single" w:color="auto" w:sz="4" w:space="0"/>
                  </w:tcBorders>
                  <w:vAlign w:val="center"/>
                </w:tcPr>
                <w:p w14:paraId="05648A64">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1171" w:type="pct"/>
                  <w:gridSpan w:val="2"/>
                  <w:tcBorders>
                    <w:top w:val="single" w:color="auto" w:sz="4" w:space="0"/>
                    <w:left w:val="single" w:color="auto" w:sz="4" w:space="0"/>
                    <w:bottom w:val="single" w:color="auto" w:sz="4" w:space="0"/>
                    <w:right w:val="single" w:color="auto" w:sz="4" w:space="0"/>
                  </w:tcBorders>
                  <w:vAlign w:val="center"/>
                </w:tcPr>
                <w:p w14:paraId="457C525E">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3439" w:type="pct"/>
                  <w:tcBorders>
                    <w:top w:val="single" w:color="auto" w:sz="4" w:space="0"/>
                    <w:left w:val="single" w:color="auto" w:sz="4" w:space="0"/>
                    <w:bottom w:val="single" w:color="auto" w:sz="4" w:space="0"/>
                    <w:right w:val="single" w:color="auto" w:sz="4" w:space="0"/>
                  </w:tcBorders>
                  <w:vAlign w:val="center"/>
                </w:tcPr>
                <w:p w14:paraId="3F163947">
                  <w:pPr>
                    <w:adjustRightInd w:val="0"/>
                    <w:snapToGrid w:val="0"/>
                    <w:spacing w:line="300" w:lineRule="exact"/>
                    <w:jc w:val="both"/>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垃圾桶分类收集后</w:t>
                  </w:r>
                  <w:r>
                    <w:rPr>
                      <w:rFonts w:hint="default" w:ascii="Times New Roman" w:hAnsi="Times New Roman" w:cs="Times New Roman"/>
                      <w:color w:val="auto"/>
                      <w:sz w:val="21"/>
                      <w:szCs w:val="21"/>
                      <w:highlight w:val="none"/>
                    </w:rPr>
                    <w:t>定期清运至</w:t>
                  </w:r>
                  <w:r>
                    <w:rPr>
                      <w:rFonts w:hint="default" w:ascii="Times New Roman" w:hAnsi="Times New Roman" w:eastAsia="宋体" w:cs="Times New Roman"/>
                      <w:color w:val="auto"/>
                      <w:sz w:val="21"/>
                      <w:szCs w:val="21"/>
                      <w:highlight w:val="none"/>
                    </w:rPr>
                    <w:t>吉木萨尔县</w:t>
                  </w:r>
                  <w:r>
                    <w:rPr>
                      <w:rFonts w:hint="default" w:ascii="Times New Roman" w:hAnsi="Times New Roman" w:cs="Times New Roman"/>
                      <w:color w:val="auto"/>
                      <w:sz w:val="21"/>
                      <w:szCs w:val="21"/>
                      <w:highlight w:val="none"/>
                    </w:rPr>
                    <w:t>生活垃圾填埋场处置。</w:t>
                  </w:r>
                </w:p>
              </w:tc>
            </w:tr>
            <w:tr w14:paraId="455A9A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trPr>
              <w:tc>
                <w:tcPr>
                  <w:tcW w:w="388" w:type="pct"/>
                  <w:gridSpan w:val="2"/>
                  <w:vMerge w:val="continue"/>
                  <w:tcBorders>
                    <w:left w:val="single" w:color="auto" w:sz="4" w:space="0"/>
                    <w:bottom w:val="single" w:color="auto" w:sz="4" w:space="0"/>
                    <w:right w:val="single" w:color="auto" w:sz="4" w:space="0"/>
                  </w:tcBorders>
                  <w:vAlign w:val="center"/>
                </w:tcPr>
                <w:p w14:paraId="44688586">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117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8EC0A62">
                  <w:pPr>
                    <w:adjustRightInd w:val="0"/>
                    <w:snapToGrid w:val="0"/>
                    <w:spacing w:line="300" w:lineRule="exact"/>
                    <w:jc w:val="center"/>
                    <w:rPr>
                      <w:rFonts w:hint="default"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危险废物</w:t>
                  </w:r>
                </w:p>
              </w:tc>
              <w:tc>
                <w:tcPr>
                  <w:tcW w:w="3439" w:type="pct"/>
                  <w:tcBorders>
                    <w:top w:val="single" w:color="auto" w:sz="4" w:space="0"/>
                    <w:left w:val="single" w:color="auto" w:sz="4" w:space="0"/>
                    <w:bottom w:val="single" w:color="auto" w:sz="4" w:space="0"/>
                    <w:right w:val="single" w:color="auto" w:sz="4" w:space="0"/>
                  </w:tcBorders>
                  <w:shd w:val="clear" w:color="auto" w:fill="auto"/>
                  <w:vAlign w:val="center"/>
                </w:tcPr>
                <w:p w14:paraId="64F6AB0A">
                  <w:pPr>
                    <w:keepNext w:val="0"/>
                    <w:keepLines w:val="0"/>
                    <w:widowControl/>
                    <w:suppressLineNumbers w:val="0"/>
                    <w:jc w:val="both"/>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钻试过程中产生废防渗材料、废润滑油及废润滑油桶</w:t>
                  </w:r>
                  <w:r>
                    <w:rPr>
                      <w:rFonts w:hint="default" w:ascii="Times New Roman" w:hAnsi="Times New Roman" w:eastAsia="宋体" w:cs="Times New Roman"/>
                      <w:color w:val="auto"/>
                      <w:sz w:val="21"/>
                      <w:szCs w:val="21"/>
                      <w:highlight w:val="none"/>
                      <w:lang w:val="en-US" w:eastAsia="zh-CN"/>
                    </w:rPr>
                    <w:t>等</w:t>
                  </w:r>
                  <w:r>
                    <w:rPr>
                      <w:rFonts w:hint="default" w:ascii="Times New Roman" w:hAnsi="Times New Roman" w:cs="Times New Roman"/>
                      <w:color w:val="auto"/>
                      <w:sz w:val="21"/>
                      <w:szCs w:val="21"/>
                      <w:highlight w:val="none"/>
                    </w:rPr>
                    <w:t>危险废物，均</w:t>
                  </w:r>
                  <w:r>
                    <w:rPr>
                      <w:rFonts w:hint="eastAsia" w:ascii="Times New Roman" w:hAnsi="Times New Roman" w:eastAsia="宋体" w:cs="Times New Roman"/>
                      <w:color w:val="auto"/>
                      <w:sz w:val="21"/>
                      <w:szCs w:val="21"/>
                      <w:highlight w:val="none"/>
                      <w:lang w:val="en-US" w:eastAsia="zh-CN"/>
                    </w:rPr>
                    <w:t>贮存于危废贮存点，定期</w:t>
                  </w:r>
                  <w:r>
                    <w:rPr>
                      <w:rFonts w:hint="default" w:ascii="Times New Roman" w:hAnsi="Times New Roman" w:cs="Times New Roman"/>
                      <w:color w:val="auto"/>
                      <w:sz w:val="21"/>
                      <w:szCs w:val="21"/>
                      <w:highlight w:val="none"/>
                    </w:rPr>
                    <w:t>交由</w:t>
                  </w:r>
                  <w:r>
                    <w:rPr>
                      <w:rFonts w:hint="eastAsia" w:ascii="Times New Roman" w:hAnsi="Times New Roman" w:eastAsia="宋体" w:cs="Times New Roman"/>
                      <w:color w:val="auto"/>
                      <w:sz w:val="21"/>
                      <w:szCs w:val="21"/>
                      <w:highlight w:val="none"/>
                      <w:lang w:val="en-US" w:eastAsia="zh-CN"/>
                    </w:rPr>
                    <w:t>有</w:t>
                  </w:r>
                  <w:r>
                    <w:rPr>
                      <w:rFonts w:hint="default" w:ascii="Times New Roman" w:hAnsi="Times New Roman" w:cs="Times New Roman"/>
                      <w:color w:val="auto"/>
                      <w:sz w:val="21"/>
                      <w:szCs w:val="21"/>
                      <w:highlight w:val="none"/>
                    </w:rPr>
                    <w:t>资质的单位</w:t>
                  </w:r>
                  <w:r>
                    <w:rPr>
                      <w:rFonts w:hint="eastAsia" w:ascii="Times New Roman" w:hAnsi="Times New Roman" w:eastAsia="宋体" w:cs="Times New Roman"/>
                      <w:color w:val="auto"/>
                      <w:sz w:val="21"/>
                      <w:szCs w:val="21"/>
                      <w:highlight w:val="none"/>
                      <w:lang w:val="en-US" w:eastAsia="zh-CN"/>
                    </w:rPr>
                    <w:t>处置</w:t>
                  </w:r>
                </w:p>
              </w:tc>
            </w:tr>
            <w:bookmarkEnd w:id="6"/>
            <w:bookmarkEnd w:id="7"/>
          </w:tbl>
          <w:p w14:paraId="2A597B26">
            <w:pPr>
              <w:widowControl w:val="0"/>
              <w:snapToGrid w:val="0"/>
              <w:spacing w:line="360" w:lineRule="auto"/>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3.钻前工程</w:t>
            </w:r>
          </w:p>
          <w:p w14:paraId="1915300C">
            <w:pPr>
              <w:widowControl w:val="0"/>
              <w:snapToGrid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钻前工程包括井场平整、生活营地搭建、进场道路的铺设等，临时道路路宽设计为7m。主要工程占地详见表</w:t>
            </w:r>
            <w:r>
              <w:rPr>
                <w:rFonts w:hint="eastAsia"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en-US" w:eastAsia="zh-CN"/>
              </w:rPr>
              <w:t>。</w:t>
            </w:r>
          </w:p>
          <w:p w14:paraId="490EA49E">
            <w:pPr>
              <w:widowControl w:val="0"/>
              <w:snapToGrid w:val="0"/>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表2-</w:t>
            </w:r>
            <w:r>
              <w:rPr>
                <w:rFonts w:hint="default" w:ascii="Times New Roman" w:hAnsi="Times New Roman" w:eastAsia="宋体" w:cs="Times New Roman"/>
                <w:b/>
                <w:bCs/>
                <w:color w:val="auto"/>
                <w:sz w:val="21"/>
                <w:szCs w:val="21"/>
                <w:highlight w:val="none"/>
                <w:lang w:val="en-US" w:eastAsia="zh-CN"/>
              </w:rPr>
              <w:t xml:space="preserve">3 </w:t>
            </w:r>
            <w:r>
              <w:rPr>
                <w:rFonts w:hint="default" w:ascii="Times New Roman" w:hAnsi="Times New Roman" w:eastAsia="宋体" w:cs="Times New Roman"/>
                <w:b/>
                <w:bCs/>
                <w:color w:val="auto"/>
                <w:sz w:val="21"/>
                <w:szCs w:val="21"/>
                <w:highlight w:val="none"/>
              </w:rPr>
              <w:t>主要工程占地情况一览表</w:t>
            </w:r>
          </w:p>
          <w:tbl>
            <w:tblPr>
              <w:tblStyle w:val="11"/>
              <w:tblW w:w="8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34"/>
              <w:gridCol w:w="1125"/>
              <w:gridCol w:w="1315"/>
              <w:gridCol w:w="1095"/>
              <w:gridCol w:w="1148"/>
              <w:gridCol w:w="1104"/>
              <w:gridCol w:w="1277"/>
            </w:tblGrid>
            <w:tr w14:paraId="485CF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4" w:hRule="atLeast"/>
                <w:jc w:val="center"/>
              </w:trPr>
              <w:tc>
                <w:tcPr>
                  <w:tcW w:w="1234" w:type="dxa"/>
                  <w:vMerge w:val="restart"/>
                  <w:shd w:val="clear" w:color="auto" w:fill="auto"/>
                  <w:vAlign w:val="center"/>
                </w:tcPr>
                <w:p w14:paraId="3B10F125">
                  <w:pPr>
                    <w:keepNext w:val="0"/>
                    <w:keepLines w:val="0"/>
                    <w:widowControl/>
                    <w:suppressLineNumbers w:val="0"/>
                    <w:jc w:val="center"/>
                    <w:textAlignment w:val="top"/>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钻井名称</w:t>
                  </w:r>
                </w:p>
              </w:tc>
              <w:tc>
                <w:tcPr>
                  <w:tcW w:w="4683" w:type="dxa"/>
                  <w:gridSpan w:val="4"/>
                  <w:shd w:val="clear" w:color="auto" w:fill="auto"/>
                  <w:noWrap/>
                  <w:vAlign w:val="center"/>
                </w:tcPr>
                <w:p w14:paraId="3EEE49CD">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占地面积（m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2</w:t>
                  </w:r>
                  <w:r>
                    <w:rPr>
                      <w:rFonts w:hint="default" w:ascii="Times New Roman" w:hAnsi="Times New Roman" w:eastAsia="宋体" w:cs="Times New Roman"/>
                      <w:b/>
                      <w:bCs/>
                      <w:i w:val="0"/>
                      <w:iCs w:val="0"/>
                      <w:color w:val="auto"/>
                      <w:kern w:val="0"/>
                      <w:sz w:val="21"/>
                      <w:szCs w:val="21"/>
                      <w:highlight w:val="none"/>
                      <w:u w:val="none"/>
                      <w:lang w:val="en-US" w:eastAsia="zh-CN" w:bidi="ar"/>
                    </w:rPr>
                    <w:t>）</w:t>
                  </w:r>
                </w:p>
              </w:tc>
              <w:tc>
                <w:tcPr>
                  <w:tcW w:w="1104" w:type="dxa"/>
                  <w:vMerge w:val="restart"/>
                  <w:shd w:val="clear" w:color="auto" w:fill="auto"/>
                  <w:noWrap/>
                  <w:vAlign w:val="center"/>
                </w:tcPr>
                <w:p w14:paraId="301EEF9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lang w:val="en-US"/>
                    </w:rPr>
                  </w:pPr>
                  <w:r>
                    <w:rPr>
                      <w:rFonts w:hint="default" w:ascii="Times New Roman" w:hAnsi="Times New Roman" w:eastAsia="宋体" w:cs="Times New Roman"/>
                      <w:b/>
                      <w:bCs/>
                      <w:i w:val="0"/>
                      <w:iCs w:val="0"/>
                      <w:color w:val="auto"/>
                      <w:kern w:val="0"/>
                      <w:sz w:val="21"/>
                      <w:szCs w:val="21"/>
                      <w:highlight w:val="none"/>
                      <w:u w:val="none"/>
                      <w:lang w:val="en-US" w:eastAsia="zh-CN" w:bidi="ar"/>
                    </w:rPr>
                    <w:t>道路长度（m）</w:t>
                  </w:r>
                </w:p>
              </w:tc>
              <w:tc>
                <w:tcPr>
                  <w:tcW w:w="1277" w:type="dxa"/>
                  <w:vMerge w:val="restart"/>
                  <w:shd w:val="clear" w:color="auto" w:fill="auto"/>
                  <w:noWrap/>
                  <w:vAlign w:val="center"/>
                </w:tcPr>
                <w:p w14:paraId="582B1B23">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占地类型</w:t>
                  </w:r>
                </w:p>
              </w:tc>
            </w:tr>
            <w:tr w14:paraId="00456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234" w:type="dxa"/>
                  <w:vMerge w:val="continue"/>
                  <w:shd w:val="clear" w:color="auto" w:fill="auto"/>
                  <w:vAlign w:val="center"/>
                </w:tcPr>
                <w:p w14:paraId="4D260ADE">
                  <w:pPr>
                    <w:keepNext w:val="0"/>
                    <w:keepLines w:val="0"/>
                    <w:widowControl/>
                    <w:suppressLineNumbers w:val="0"/>
                    <w:jc w:val="center"/>
                    <w:textAlignment w:val="top"/>
                    <w:rPr>
                      <w:rFonts w:hint="default" w:ascii="Times New Roman" w:hAnsi="Times New Roman" w:eastAsia="宋体" w:cs="Times New Roman"/>
                      <w:b/>
                      <w:bCs/>
                      <w:i w:val="0"/>
                      <w:iCs w:val="0"/>
                      <w:color w:val="auto"/>
                      <w:sz w:val="21"/>
                      <w:szCs w:val="21"/>
                      <w:highlight w:val="none"/>
                      <w:u w:val="none"/>
                    </w:rPr>
                  </w:pPr>
                </w:p>
              </w:tc>
              <w:tc>
                <w:tcPr>
                  <w:tcW w:w="1125" w:type="dxa"/>
                  <w:shd w:val="clear" w:color="auto" w:fill="auto"/>
                  <w:noWrap/>
                  <w:vAlign w:val="center"/>
                </w:tcPr>
                <w:p w14:paraId="4995826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井场占地</w:t>
                  </w:r>
                </w:p>
              </w:tc>
              <w:tc>
                <w:tcPr>
                  <w:tcW w:w="1315" w:type="dxa"/>
                  <w:shd w:val="clear" w:color="auto" w:fill="auto"/>
                  <w:noWrap/>
                  <w:vAlign w:val="center"/>
                </w:tcPr>
                <w:p w14:paraId="183AA8D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生活营地</w:t>
                  </w:r>
                </w:p>
              </w:tc>
              <w:tc>
                <w:tcPr>
                  <w:tcW w:w="1095" w:type="dxa"/>
                  <w:shd w:val="clear" w:color="auto" w:fill="auto"/>
                  <w:noWrap/>
                  <w:vAlign w:val="center"/>
                </w:tcPr>
                <w:p w14:paraId="21D0824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进场道路</w:t>
                  </w:r>
                </w:p>
              </w:tc>
              <w:tc>
                <w:tcPr>
                  <w:tcW w:w="1148" w:type="dxa"/>
                  <w:shd w:val="clear" w:color="auto" w:fill="auto"/>
                  <w:noWrap/>
                  <w:vAlign w:val="center"/>
                </w:tcPr>
                <w:p w14:paraId="71D0185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合计</w:t>
                  </w:r>
                </w:p>
              </w:tc>
              <w:tc>
                <w:tcPr>
                  <w:tcW w:w="1104" w:type="dxa"/>
                  <w:vMerge w:val="continue"/>
                  <w:shd w:val="clear" w:color="auto" w:fill="auto"/>
                  <w:noWrap/>
                  <w:vAlign w:val="center"/>
                </w:tcPr>
                <w:p w14:paraId="43D9F5E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p>
              </w:tc>
              <w:tc>
                <w:tcPr>
                  <w:tcW w:w="1277" w:type="dxa"/>
                  <w:vMerge w:val="continue"/>
                  <w:shd w:val="clear" w:color="auto" w:fill="auto"/>
                  <w:noWrap/>
                  <w:vAlign w:val="center"/>
                </w:tcPr>
                <w:p w14:paraId="16CF952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p>
              </w:tc>
            </w:tr>
            <w:tr w14:paraId="7253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234" w:type="dxa"/>
                  <w:shd w:val="clear" w:color="auto" w:fill="auto"/>
                  <w:vAlign w:val="center"/>
                </w:tcPr>
                <w:p w14:paraId="5D4F6B7E">
                  <w:pPr>
                    <w:keepNext w:val="0"/>
                    <w:keepLines w:val="0"/>
                    <w:widowControl/>
                    <w:suppressLineNumbers w:val="0"/>
                    <w:jc w:val="center"/>
                    <w:textAlignment w:val="top"/>
                    <w:rPr>
                      <w:rFonts w:hint="default" w:ascii="Times New Roman" w:hAnsi="Times New Roman" w:eastAsia="宋体" w:cs="Times New Roman"/>
                      <w:b w:val="0"/>
                      <w:bCs w:val="0"/>
                      <w:i w:val="0"/>
                      <w:iCs w:val="0"/>
                      <w:color w:val="auto"/>
                      <w:sz w:val="21"/>
                      <w:szCs w:val="21"/>
                      <w:highlight w:val="none"/>
                      <w:u w:val="none"/>
                      <w:lang w:val="en-US"/>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1号</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钻试场</w:t>
                  </w:r>
                </w:p>
              </w:tc>
              <w:tc>
                <w:tcPr>
                  <w:tcW w:w="1125" w:type="dxa"/>
                  <w:shd w:val="clear" w:color="auto" w:fill="auto"/>
                  <w:noWrap/>
                  <w:vAlign w:val="center"/>
                </w:tcPr>
                <w:p w14:paraId="4693E8F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en-US"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19500.10</w:t>
                  </w:r>
                </w:p>
              </w:tc>
              <w:tc>
                <w:tcPr>
                  <w:tcW w:w="1315" w:type="dxa"/>
                  <w:shd w:val="clear" w:color="auto" w:fill="auto"/>
                  <w:noWrap/>
                  <w:vAlign w:val="center"/>
                </w:tcPr>
                <w:p w14:paraId="6781BDE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en-US"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4953.36</w:t>
                  </w:r>
                </w:p>
              </w:tc>
              <w:tc>
                <w:tcPr>
                  <w:tcW w:w="1095" w:type="dxa"/>
                  <w:shd w:val="clear" w:color="auto" w:fill="auto"/>
                  <w:noWrap/>
                  <w:vAlign w:val="center"/>
                </w:tcPr>
                <w:p w14:paraId="0CAA535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en-US"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3533.35</w:t>
                  </w:r>
                </w:p>
              </w:tc>
              <w:tc>
                <w:tcPr>
                  <w:tcW w:w="1148" w:type="dxa"/>
                  <w:shd w:val="clear" w:color="auto" w:fill="auto"/>
                  <w:noWrap/>
                  <w:vAlign w:val="center"/>
                </w:tcPr>
                <w:p w14:paraId="5035635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en-US"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27986.81</w:t>
                  </w:r>
                </w:p>
              </w:tc>
              <w:tc>
                <w:tcPr>
                  <w:tcW w:w="1104" w:type="dxa"/>
                  <w:shd w:val="clear" w:color="auto" w:fill="auto"/>
                  <w:noWrap/>
                  <w:vAlign w:val="center"/>
                </w:tcPr>
                <w:p w14:paraId="1674F50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512.12</w:t>
                  </w:r>
                </w:p>
              </w:tc>
              <w:tc>
                <w:tcPr>
                  <w:tcW w:w="1277" w:type="dxa"/>
                  <w:shd w:val="clear" w:color="auto" w:fill="auto"/>
                  <w:noWrap/>
                  <w:vAlign w:val="center"/>
                </w:tcPr>
                <w:p w14:paraId="1A3F013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水浇地</w:t>
                  </w:r>
                </w:p>
              </w:tc>
            </w:tr>
            <w:tr w14:paraId="65DE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34" w:type="dxa"/>
                  <w:shd w:val="clear" w:color="auto" w:fill="auto"/>
                  <w:vAlign w:val="center"/>
                </w:tcPr>
                <w:p w14:paraId="00AD2C26">
                  <w:pPr>
                    <w:keepNext w:val="0"/>
                    <w:keepLines w:val="0"/>
                    <w:widowControl/>
                    <w:suppressLineNumbers w:val="0"/>
                    <w:jc w:val="center"/>
                    <w:textAlignment w:val="top"/>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2号</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钻试场</w:t>
                  </w:r>
                </w:p>
              </w:tc>
              <w:tc>
                <w:tcPr>
                  <w:tcW w:w="1125" w:type="dxa"/>
                  <w:shd w:val="clear" w:color="auto" w:fill="auto"/>
                  <w:noWrap/>
                  <w:vAlign w:val="center"/>
                </w:tcPr>
                <w:p w14:paraId="2A8B066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20700.00</w:t>
                  </w:r>
                </w:p>
              </w:tc>
              <w:tc>
                <w:tcPr>
                  <w:tcW w:w="1315" w:type="dxa"/>
                  <w:shd w:val="clear" w:color="auto" w:fill="auto"/>
                  <w:noWrap/>
                  <w:vAlign w:val="center"/>
                </w:tcPr>
                <w:p w14:paraId="7BB45B7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5193.08</w:t>
                  </w:r>
                </w:p>
              </w:tc>
              <w:tc>
                <w:tcPr>
                  <w:tcW w:w="1095" w:type="dxa"/>
                  <w:shd w:val="clear" w:color="auto" w:fill="auto"/>
                  <w:noWrap/>
                  <w:vAlign w:val="center"/>
                </w:tcPr>
                <w:p w14:paraId="194A4AC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2704.87</w:t>
                  </w:r>
                </w:p>
              </w:tc>
              <w:tc>
                <w:tcPr>
                  <w:tcW w:w="1148" w:type="dxa"/>
                  <w:shd w:val="clear" w:color="auto" w:fill="auto"/>
                  <w:noWrap/>
                  <w:vAlign w:val="center"/>
                </w:tcPr>
                <w:p w14:paraId="18AE183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28597.95</w:t>
                  </w:r>
                </w:p>
              </w:tc>
              <w:tc>
                <w:tcPr>
                  <w:tcW w:w="1104" w:type="dxa"/>
                  <w:shd w:val="clear" w:color="auto" w:fill="auto"/>
                  <w:noWrap/>
                  <w:vAlign w:val="center"/>
                </w:tcPr>
                <w:p w14:paraId="3240EEF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386.41</w:t>
                  </w:r>
                </w:p>
              </w:tc>
              <w:tc>
                <w:tcPr>
                  <w:tcW w:w="1277" w:type="dxa"/>
                  <w:shd w:val="clear" w:color="auto" w:fill="auto"/>
                  <w:noWrap/>
                  <w:vAlign w:val="center"/>
                </w:tcPr>
                <w:p w14:paraId="4192192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内陆滩涂</w:t>
                  </w:r>
                </w:p>
              </w:tc>
            </w:tr>
            <w:tr w14:paraId="1B140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34" w:type="dxa"/>
                  <w:shd w:val="clear" w:color="auto" w:fill="auto"/>
                  <w:vAlign w:val="center"/>
                </w:tcPr>
                <w:p w14:paraId="27274E76">
                  <w:pPr>
                    <w:keepNext w:val="0"/>
                    <w:keepLines w:val="0"/>
                    <w:widowControl/>
                    <w:suppressLineNumbers w:val="0"/>
                    <w:jc w:val="center"/>
                    <w:textAlignment w:val="top"/>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3号</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钻试场</w:t>
                  </w:r>
                </w:p>
              </w:tc>
              <w:tc>
                <w:tcPr>
                  <w:tcW w:w="1125" w:type="dxa"/>
                  <w:shd w:val="clear" w:color="auto" w:fill="auto"/>
                  <w:noWrap/>
                  <w:vAlign w:val="center"/>
                </w:tcPr>
                <w:p w14:paraId="12DAE44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12475.28</w:t>
                  </w:r>
                </w:p>
              </w:tc>
              <w:tc>
                <w:tcPr>
                  <w:tcW w:w="1315" w:type="dxa"/>
                  <w:shd w:val="clear" w:color="auto" w:fill="auto"/>
                  <w:noWrap/>
                  <w:vAlign w:val="center"/>
                </w:tcPr>
                <w:p w14:paraId="30E9109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1752.30</w:t>
                  </w:r>
                </w:p>
              </w:tc>
              <w:tc>
                <w:tcPr>
                  <w:tcW w:w="1095" w:type="dxa"/>
                  <w:shd w:val="clear" w:color="auto" w:fill="auto"/>
                  <w:noWrap/>
                  <w:vAlign w:val="center"/>
                </w:tcPr>
                <w:p w14:paraId="410F61C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742.77</w:t>
                  </w:r>
                </w:p>
              </w:tc>
              <w:tc>
                <w:tcPr>
                  <w:tcW w:w="1148" w:type="dxa"/>
                  <w:shd w:val="clear" w:color="auto" w:fill="auto"/>
                  <w:noWrap/>
                  <w:vAlign w:val="center"/>
                </w:tcPr>
                <w:p w14:paraId="178EA03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14346.74</w:t>
                  </w:r>
                </w:p>
              </w:tc>
              <w:tc>
                <w:tcPr>
                  <w:tcW w:w="1104" w:type="dxa"/>
                  <w:shd w:val="clear" w:color="auto" w:fill="auto"/>
                  <w:noWrap/>
                  <w:vAlign w:val="center"/>
                </w:tcPr>
                <w:p w14:paraId="04F8992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106.11</w:t>
                  </w:r>
                </w:p>
              </w:tc>
              <w:tc>
                <w:tcPr>
                  <w:tcW w:w="1277" w:type="dxa"/>
                  <w:shd w:val="clear" w:color="auto" w:fill="auto"/>
                  <w:noWrap/>
                  <w:vAlign w:val="center"/>
                </w:tcPr>
                <w:p w14:paraId="372D3B2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水浇地</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内陆滩涂</w:t>
                  </w:r>
                </w:p>
              </w:tc>
            </w:tr>
            <w:tr w14:paraId="7E846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234" w:type="dxa"/>
                  <w:shd w:val="clear" w:color="auto" w:fill="auto"/>
                  <w:noWrap/>
                  <w:vAlign w:val="center"/>
                </w:tcPr>
                <w:p w14:paraId="0AAD31DB">
                  <w:pPr>
                    <w:keepNext w:val="0"/>
                    <w:keepLines w:val="0"/>
                    <w:widowControl/>
                    <w:suppressLineNumbers w:val="0"/>
                    <w:jc w:val="center"/>
                    <w:textAlignment w:val="top"/>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4号</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钻试场</w:t>
                  </w:r>
                </w:p>
              </w:tc>
              <w:tc>
                <w:tcPr>
                  <w:tcW w:w="1125" w:type="dxa"/>
                  <w:shd w:val="clear" w:color="auto" w:fill="auto"/>
                  <w:noWrap/>
                  <w:vAlign w:val="center"/>
                </w:tcPr>
                <w:p w14:paraId="67C8B17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37642.20</w:t>
                  </w:r>
                </w:p>
              </w:tc>
              <w:tc>
                <w:tcPr>
                  <w:tcW w:w="1315" w:type="dxa"/>
                  <w:shd w:val="clear" w:color="auto" w:fill="auto"/>
                  <w:noWrap/>
                  <w:vAlign w:val="center"/>
                </w:tcPr>
                <w:p w14:paraId="7E5DE9B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5913.05</w:t>
                  </w:r>
                </w:p>
              </w:tc>
              <w:tc>
                <w:tcPr>
                  <w:tcW w:w="1095" w:type="dxa"/>
                  <w:shd w:val="clear" w:color="auto" w:fill="auto"/>
                  <w:noWrap/>
                  <w:vAlign w:val="center"/>
                </w:tcPr>
                <w:p w14:paraId="2EB132E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4250.96</w:t>
                  </w:r>
                </w:p>
              </w:tc>
              <w:tc>
                <w:tcPr>
                  <w:tcW w:w="1148" w:type="dxa"/>
                  <w:shd w:val="clear" w:color="auto" w:fill="auto"/>
                  <w:noWrap/>
                  <w:vAlign w:val="center"/>
                </w:tcPr>
                <w:p w14:paraId="5736F58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47806.21</w:t>
                  </w:r>
                </w:p>
              </w:tc>
              <w:tc>
                <w:tcPr>
                  <w:tcW w:w="1104" w:type="dxa"/>
                  <w:shd w:val="clear" w:color="auto" w:fill="auto"/>
                  <w:noWrap/>
                  <w:vAlign w:val="center"/>
                </w:tcPr>
                <w:p w14:paraId="6927C2B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607.28</w:t>
                  </w:r>
                </w:p>
              </w:tc>
              <w:tc>
                <w:tcPr>
                  <w:tcW w:w="1277" w:type="dxa"/>
                  <w:shd w:val="clear" w:color="auto" w:fill="auto"/>
                  <w:noWrap/>
                  <w:vAlign w:val="center"/>
                </w:tcPr>
                <w:p w14:paraId="49B2C39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其他</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林地</w:t>
                  </w:r>
                </w:p>
              </w:tc>
            </w:tr>
            <w:tr w14:paraId="66FF3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234" w:type="dxa"/>
                  <w:shd w:val="clear" w:color="auto" w:fill="auto"/>
                  <w:noWrap/>
                  <w:vAlign w:val="center"/>
                </w:tcPr>
                <w:p w14:paraId="5A164C68">
                  <w:pPr>
                    <w:keepNext w:val="0"/>
                    <w:keepLines w:val="0"/>
                    <w:widowControl/>
                    <w:suppressLineNumbers w:val="0"/>
                    <w:jc w:val="center"/>
                    <w:textAlignment w:val="top"/>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合计</w:t>
                  </w:r>
                </w:p>
              </w:tc>
              <w:tc>
                <w:tcPr>
                  <w:tcW w:w="1125" w:type="dxa"/>
                  <w:shd w:val="clear" w:color="auto" w:fill="auto"/>
                  <w:noWrap/>
                  <w:vAlign w:val="center"/>
                </w:tcPr>
                <w:p w14:paraId="134AF9F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90317.58 </w:t>
                  </w:r>
                </w:p>
              </w:tc>
              <w:tc>
                <w:tcPr>
                  <w:tcW w:w="1315" w:type="dxa"/>
                  <w:shd w:val="clear" w:color="auto" w:fill="auto"/>
                  <w:noWrap/>
                  <w:vAlign w:val="center"/>
                </w:tcPr>
                <w:p w14:paraId="1330A34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17811.79 </w:t>
                  </w:r>
                </w:p>
              </w:tc>
              <w:tc>
                <w:tcPr>
                  <w:tcW w:w="1095" w:type="dxa"/>
                  <w:shd w:val="clear" w:color="auto" w:fill="auto"/>
                  <w:noWrap/>
                  <w:vAlign w:val="center"/>
                </w:tcPr>
                <w:p w14:paraId="787A7FF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11231.95 </w:t>
                  </w:r>
                </w:p>
              </w:tc>
              <w:tc>
                <w:tcPr>
                  <w:tcW w:w="1148" w:type="dxa"/>
                  <w:shd w:val="clear" w:color="auto" w:fill="auto"/>
                  <w:noWrap/>
                  <w:vAlign w:val="center"/>
                </w:tcPr>
                <w:p w14:paraId="14E4057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118737.71 </w:t>
                  </w:r>
                </w:p>
              </w:tc>
              <w:tc>
                <w:tcPr>
                  <w:tcW w:w="1104" w:type="dxa"/>
                  <w:shd w:val="clear" w:color="auto" w:fill="auto"/>
                  <w:noWrap/>
                  <w:vAlign w:val="center"/>
                </w:tcPr>
                <w:p w14:paraId="44D0D60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1611.92 </w:t>
                  </w:r>
                </w:p>
              </w:tc>
              <w:tc>
                <w:tcPr>
                  <w:tcW w:w="1277" w:type="dxa"/>
                  <w:shd w:val="clear" w:color="auto" w:fill="auto"/>
                  <w:noWrap/>
                  <w:vAlign w:val="center"/>
                </w:tcPr>
                <w:p w14:paraId="15406EE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r>
          </w:tbl>
          <w:p w14:paraId="285AAB3F">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上述临时</w:t>
            </w:r>
            <w:r>
              <w:rPr>
                <w:rFonts w:hint="default" w:ascii="Times New Roman" w:hAnsi="Times New Roman" w:eastAsia="宋体" w:cs="Times New Roman"/>
                <w:color w:val="auto"/>
                <w:sz w:val="24"/>
                <w:szCs w:val="24"/>
                <w:highlight w:val="none"/>
                <w:lang w:val="en-US" w:eastAsia="zh-CN"/>
              </w:rPr>
              <w:t>占地类型为水浇地、内陆滩涂、</w:t>
            </w:r>
            <w:r>
              <w:rPr>
                <w:rFonts w:hint="eastAsia" w:ascii="Times New Roman" w:hAnsi="Times New Roman" w:eastAsia="宋体" w:cs="Times New Roman"/>
                <w:color w:val="auto"/>
                <w:sz w:val="24"/>
                <w:szCs w:val="24"/>
                <w:highlight w:val="none"/>
                <w:lang w:val="en-US" w:eastAsia="zh-CN"/>
              </w:rPr>
              <w:t>其他</w:t>
            </w:r>
            <w:r>
              <w:rPr>
                <w:rFonts w:hint="default" w:ascii="Times New Roman" w:hAnsi="Times New Roman" w:eastAsia="宋体" w:cs="Times New Roman"/>
                <w:color w:val="auto"/>
                <w:sz w:val="24"/>
                <w:szCs w:val="24"/>
                <w:highlight w:val="none"/>
                <w:lang w:val="en-US" w:eastAsia="zh-CN"/>
              </w:rPr>
              <w:t>林地，单井临时占地征用时间一般为270天。探井钻试结束后根据试采结果确定后续是否进行开发，若无利用价值则永久封井，恢复地貌，若适宜开采，可转为生产井，则不进行封井，在井口安装采油树，并尽快开展产能开发建设环境影响评价工作，编制相应的环境影响评价文件，办理相应永久占地手续。</w:t>
            </w:r>
          </w:p>
          <w:p w14:paraId="4C2F2C25">
            <w:pPr>
              <w:widowControl w:val="0"/>
              <w:snapToGrid w:val="0"/>
              <w:spacing w:line="500" w:lineRule="exact"/>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4.钻井工程</w:t>
            </w:r>
          </w:p>
          <w:p w14:paraId="3FB1633D">
            <w:pPr>
              <w:widowControl w:val="0"/>
              <w:snapToGrid w:val="0"/>
              <w:spacing w:line="500" w:lineRule="exact"/>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4.1钻井基本参数</w:t>
            </w:r>
          </w:p>
          <w:p w14:paraId="1ADEDF61">
            <w:pPr>
              <w:keepNext w:val="0"/>
              <w:keepLines w:val="0"/>
              <w:pageBreakBefore w:val="0"/>
              <w:widowControl w:val="0"/>
              <w:kinsoku/>
              <w:wordWrap/>
              <w:overflowPunct w:val="0"/>
              <w:topLinePunct w:val="0"/>
              <w:autoSpaceDE w:val="0"/>
              <w:autoSpaceDN w:val="0"/>
              <w:bidi w:val="0"/>
              <w:adjustRightInd w:val="0"/>
              <w:snapToGrid w:val="0"/>
              <w:spacing w:line="500" w:lineRule="exact"/>
              <w:ind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本次拟钻井主要技术参数见表2-4。</w:t>
            </w:r>
          </w:p>
          <w:p w14:paraId="6B98C42E">
            <w:pPr>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表2-4 钻井基本参数</w:t>
            </w:r>
          </w:p>
          <w:tbl>
            <w:tblPr>
              <w:tblStyle w:val="11"/>
              <w:tblW w:w="8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64"/>
              <w:gridCol w:w="668"/>
              <w:gridCol w:w="1404"/>
              <w:gridCol w:w="1132"/>
              <w:gridCol w:w="1064"/>
              <w:gridCol w:w="1200"/>
              <w:gridCol w:w="1063"/>
              <w:gridCol w:w="1081"/>
            </w:tblGrid>
            <w:tr w14:paraId="54CEC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64" w:type="dxa"/>
                  <w:shd w:val="clear" w:color="auto" w:fill="auto"/>
                  <w:vAlign w:val="center"/>
                </w:tcPr>
                <w:p w14:paraId="74CA7241">
                  <w:pPr>
                    <w:jc w:val="center"/>
                    <w:rPr>
                      <w:rFonts w:hint="default" w:ascii="Times New Roman" w:hAnsi="Times New Roman" w:eastAsia="宋体" w:cs="Times New Roman"/>
                      <w:b/>
                      <w:bCs/>
                      <w:i w:val="0"/>
                      <w:iCs w:val="0"/>
                      <w:color w:val="auto"/>
                      <w:sz w:val="21"/>
                      <w:szCs w:val="21"/>
                      <w:u w:val="none"/>
                      <w:lang w:val="en-US" w:eastAsia="zh-CN"/>
                    </w:rPr>
                  </w:pPr>
                  <w:r>
                    <w:rPr>
                      <w:rFonts w:hint="default" w:ascii="Times New Roman" w:hAnsi="Times New Roman" w:eastAsia="宋体" w:cs="Times New Roman"/>
                      <w:b/>
                      <w:bCs/>
                      <w:i w:val="0"/>
                      <w:iCs w:val="0"/>
                      <w:color w:val="auto"/>
                      <w:sz w:val="21"/>
                      <w:szCs w:val="21"/>
                      <w:u w:val="none"/>
                      <w:lang w:val="en-US" w:eastAsia="zh-CN"/>
                    </w:rPr>
                    <w:t>序号</w:t>
                  </w:r>
                </w:p>
              </w:tc>
              <w:tc>
                <w:tcPr>
                  <w:tcW w:w="668" w:type="dxa"/>
                  <w:shd w:val="clear" w:color="auto" w:fill="auto"/>
                  <w:vAlign w:val="center"/>
                </w:tcPr>
                <w:p w14:paraId="14C04336">
                  <w:pPr>
                    <w:jc w:val="center"/>
                    <w:rPr>
                      <w:rFonts w:hint="default" w:ascii="Times New Roman" w:hAnsi="Times New Roman" w:eastAsia="宋体" w:cs="Times New Roman"/>
                      <w:b/>
                      <w:bCs/>
                      <w:i w:val="0"/>
                      <w:iCs w:val="0"/>
                      <w:snapToGrid w:val="0"/>
                      <w:color w:val="auto"/>
                      <w:kern w:val="0"/>
                      <w:sz w:val="21"/>
                      <w:szCs w:val="21"/>
                      <w:u w:val="none"/>
                      <w:lang w:val="en-US" w:eastAsia="zh-CN" w:bidi="ar"/>
                    </w:rPr>
                  </w:pPr>
                  <w:r>
                    <w:rPr>
                      <w:rFonts w:hint="eastAsia" w:ascii="Times New Roman" w:hAnsi="Times New Roman" w:eastAsia="宋体" w:cs="Times New Roman"/>
                      <w:b/>
                      <w:bCs/>
                      <w:i w:val="0"/>
                      <w:iCs w:val="0"/>
                      <w:color w:val="auto"/>
                      <w:sz w:val="21"/>
                      <w:szCs w:val="21"/>
                      <w:u w:val="none"/>
                      <w:lang w:val="en-US" w:eastAsia="zh-CN"/>
                    </w:rPr>
                    <w:t>钻试场</w:t>
                  </w:r>
                </w:p>
              </w:tc>
              <w:tc>
                <w:tcPr>
                  <w:tcW w:w="1404" w:type="dxa"/>
                  <w:shd w:val="clear" w:color="auto" w:fill="auto"/>
                  <w:vAlign w:val="center"/>
                </w:tcPr>
                <w:p w14:paraId="2FCB7596">
                  <w:pPr>
                    <w:keepNext w:val="0"/>
                    <w:keepLines w:val="0"/>
                    <w:widowControl/>
                    <w:suppressLineNumbers w:val="0"/>
                    <w:jc w:val="center"/>
                    <w:textAlignment w:val="center"/>
                    <w:rPr>
                      <w:rFonts w:hint="default" w:ascii="Times New Roman" w:hAnsi="Times New Roman" w:eastAsia="宋体" w:cs="Times New Roman"/>
                      <w:b/>
                      <w:bCs/>
                      <w:i w:val="0"/>
                      <w:iCs w:val="0"/>
                      <w:snapToGrid w:val="0"/>
                      <w:color w:val="auto"/>
                      <w:kern w:val="0"/>
                      <w:sz w:val="21"/>
                      <w:szCs w:val="21"/>
                      <w:u w:val="none"/>
                      <w:lang w:val="en-US" w:eastAsia="en-US" w:bidi="ar-SA"/>
                    </w:rPr>
                  </w:pPr>
                  <w:r>
                    <w:rPr>
                      <w:rFonts w:hint="default" w:ascii="Times New Roman" w:hAnsi="Times New Roman" w:eastAsia="宋体" w:cs="Times New Roman"/>
                      <w:b/>
                      <w:bCs/>
                      <w:i w:val="0"/>
                      <w:iCs w:val="0"/>
                      <w:snapToGrid w:val="0"/>
                      <w:color w:val="auto"/>
                      <w:kern w:val="0"/>
                      <w:sz w:val="21"/>
                      <w:szCs w:val="21"/>
                      <w:u w:val="none"/>
                      <w:lang w:val="en-US" w:eastAsia="zh-CN" w:bidi="ar"/>
                    </w:rPr>
                    <w:t>井号</w:t>
                  </w:r>
                </w:p>
              </w:tc>
              <w:tc>
                <w:tcPr>
                  <w:tcW w:w="1132" w:type="dxa"/>
                  <w:shd w:val="clear" w:color="auto" w:fill="auto"/>
                  <w:vAlign w:val="center"/>
                </w:tcPr>
                <w:p w14:paraId="7A42618E">
                  <w:pPr>
                    <w:jc w:val="center"/>
                    <w:rPr>
                      <w:rFonts w:hint="default" w:ascii="Times New Roman" w:hAnsi="Times New Roman" w:eastAsia="宋体" w:cs="Times New Roman"/>
                      <w:b/>
                      <w:bCs/>
                      <w:i w:val="0"/>
                      <w:iCs w:val="0"/>
                      <w:color w:val="auto"/>
                      <w:sz w:val="21"/>
                      <w:szCs w:val="21"/>
                      <w:u w:val="none"/>
                      <w:lang w:val="en-US" w:eastAsia="zh-CN"/>
                    </w:rPr>
                  </w:pPr>
                  <w:r>
                    <w:rPr>
                      <w:rFonts w:hint="default" w:ascii="Times New Roman" w:hAnsi="Times New Roman" w:eastAsia="宋体" w:cs="Times New Roman"/>
                      <w:b/>
                      <w:bCs/>
                      <w:i w:val="0"/>
                      <w:iCs w:val="0"/>
                      <w:color w:val="auto"/>
                      <w:sz w:val="21"/>
                      <w:szCs w:val="21"/>
                      <w:u w:val="none"/>
                      <w:lang w:val="en-US" w:eastAsia="zh-CN"/>
                    </w:rPr>
                    <w:t>井别</w:t>
                  </w:r>
                </w:p>
              </w:tc>
              <w:tc>
                <w:tcPr>
                  <w:tcW w:w="1064" w:type="dxa"/>
                  <w:shd w:val="clear" w:color="auto" w:fill="auto"/>
                  <w:vAlign w:val="center"/>
                </w:tcPr>
                <w:p w14:paraId="46B72B95">
                  <w:pPr>
                    <w:jc w:val="center"/>
                    <w:rPr>
                      <w:rFonts w:hint="default" w:ascii="Times New Roman" w:hAnsi="Times New Roman" w:eastAsia="宋体" w:cs="Times New Roman"/>
                      <w:b/>
                      <w:bCs/>
                      <w:i w:val="0"/>
                      <w:iCs w:val="0"/>
                      <w:color w:val="auto"/>
                      <w:sz w:val="21"/>
                      <w:szCs w:val="21"/>
                      <w:u w:val="none"/>
                      <w:lang w:val="en-US" w:eastAsia="zh-CN"/>
                    </w:rPr>
                  </w:pPr>
                  <w:r>
                    <w:rPr>
                      <w:rFonts w:hint="default" w:ascii="Times New Roman" w:hAnsi="Times New Roman" w:eastAsia="宋体" w:cs="Times New Roman"/>
                      <w:b/>
                      <w:bCs/>
                      <w:i w:val="0"/>
                      <w:iCs w:val="0"/>
                      <w:color w:val="auto"/>
                      <w:sz w:val="21"/>
                      <w:szCs w:val="21"/>
                      <w:u w:val="none"/>
                      <w:lang w:val="en-US" w:eastAsia="zh-CN"/>
                    </w:rPr>
                    <w:t>井型</w:t>
                  </w:r>
                </w:p>
              </w:tc>
              <w:tc>
                <w:tcPr>
                  <w:tcW w:w="1200" w:type="dxa"/>
                  <w:shd w:val="clear" w:color="auto" w:fill="auto"/>
                  <w:vAlign w:val="center"/>
                </w:tcPr>
                <w:p w14:paraId="327B1550">
                  <w:pPr>
                    <w:jc w:val="center"/>
                    <w:rPr>
                      <w:rFonts w:hint="default" w:ascii="Times New Roman" w:hAnsi="Times New Roman" w:eastAsia="宋体" w:cs="Times New Roman"/>
                      <w:b/>
                      <w:bCs/>
                      <w:i w:val="0"/>
                      <w:iCs w:val="0"/>
                      <w:color w:val="auto"/>
                      <w:sz w:val="21"/>
                      <w:szCs w:val="21"/>
                      <w:u w:val="none"/>
                      <w:lang w:val="en-US" w:eastAsia="zh-CN"/>
                    </w:rPr>
                  </w:pPr>
                  <w:r>
                    <w:rPr>
                      <w:rFonts w:hint="default" w:ascii="Times New Roman" w:hAnsi="Times New Roman" w:eastAsia="宋体" w:cs="Times New Roman"/>
                      <w:b/>
                      <w:bCs/>
                      <w:i w:val="0"/>
                      <w:iCs w:val="0"/>
                      <w:color w:val="auto"/>
                      <w:sz w:val="21"/>
                      <w:szCs w:val="21"/>
                      <w:u w:val="none"/>
                      <w:lang w:val="en-US" w:eastAsia="zh-CN"/>
                    </w:rPr>
                    <w:t>井深结构</w:t>
                  </w:r>
                </w:p>
              </w:tc>
              <w:tc>
                <w:tcPr>
                  <w:tcW w:w="1063" w:type="dxa"/>
                  <w:shd w:val="clear" w:color="auto" w:fill="auto"/>
                  <w:vAlign w:val="center"/>
                </w:tcPr>
                <w:p w14:paraId="4C60D93D">
                  <w:pPr>
                    <w:jc w:val="center"/>
                    <w:rPr>
                      <w:rFonts w:hint="default" w:ascii="Times New Roman" w:hAnsi="Times New Roman" w:eastAsia="宋体" w:cs="Times New Roman"/>
                      <w:b/>
                      <w:bCs/>
                      <w:i w:val="0"/>
                      <w:iCs w:val="0"/>
                      <w:color w:val="auto"/>
                      <w:sz w:val="21"/>
                      <w:szCs w:val="21"/>
                      <w:u w:val="none"/>
                      <w:lang w:val="en-US" w:eastAsia="zh-CN"/>
                    </w:rPr>
                  </w:pPr>
                  <w:r>
                    <w:rPr>
                      <w:rFonts w:hint="default" w:ascii="Times New Roman" w:hAnsi="Times New Roman" w:eastAsia="宋体" w:cs="Times New Roman"/>
                      <w:b/>
                      <w:bCs/>
                      <w:i w:val="0"/>
                      <w:iCs w:val="0"/>
                      <w:color w:val="auto"/>
                      <w:sz w:val="21"/>
                      <w:szCs w:val="21"/>
                      <w:u w:val="none"/>
                      <w:lang w:val="en-US" w:eastAsia="zh-CN"/>
                    </w:rPr>
                    <w:t>设计井深</w:t>
                  </w:r>
                </w:p>
              </w:tc>
              <w:tc>
                <w:tcPr>
                  <w:tcW w:w="1081" w:type="dxa"/>
                  <w:shd w:val="clear" w:color="auto" w:fill="auto"/>
                  <w:vAlign w:val="center"/>
                </w:tcPr>
                <w:p w14:paraId="0CAFC15C">
                  <w:pPr>
                    <w:jc w:val="center"/>
                    <w:rPr>
                      <w:rFonts w:hint="default" w:ascii="Times New Roman" w:hAnsi="Times New Roman" w:eastAsia="宋体" w:cs="Times New Roman"/>
                      <w:b/>
                      <w:bCs/>
                      <w:i w:val="0"/>
                      <w:iCs w:val="0"/>
                      <w:color w:val="auto"/>
                      <w:sz w:val="21"/>
                      <w:szCs w:val="21"/>
                      <w:u w:val="none"/>
                      <w:lang w:val="en-US" w:eastAsia="zh-CN"/>
                    </w:rPr>
                  </w:pPr>
                  <w:r>
                    <w:rPr>
                      <w:rFonts w:hint="default" w:ascii="Times New Roman" w:hAnsi="Times New Roman" w:eastAsia="宋体" w:cs="Times New Roman"/>
                      <w:b/>
                      <w:bCs/>
                      <w:i w:val="0"/>
                      <w:iCs w:val="0"/>
                      <w:color w:val="auto"/>
                      <w:sz w:val="21"/>
                      <w:szCs w:val="21"/>
                      <w:u w:val="none"/>
                      <w:lang w:val="en-US" w:eastAsia="zh-CN"/>
                    </w:rPr>
                    <w:t>钻井周期</w:t>
                  </w:r>
                </w:p>
              </w:tc>
            </w:tr>
            <w:tr w14:paraId="66980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64" w:type="dxa"/>
                  <w:shd w:val="clear" w:color="auto" w:fill="auto"/>
                  <w:vAlign w:val="center"/>
                </w:tcPr>
                <w:p w14:paraId="5AD7B1DA">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1</w:t>
                  </w:r>
                </w:p>
              </w:tc>
              <w:tc>
                <w:tcPr>
                  <w:tcW w:w="668" w:type="dxa"/>
                  <w:vMerge w:val="restart"/>
                  <w:shd w:val="clear" w:color="auto" w:fill="auto"/>
                  <w:vAlign w:val="center"/>
                </w:tcPr>
                <w:p w14:paraId="5120284C">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1号</w:t>
                  </w:r>
                </w:p>
              </w:tc>
              <w:tc>
                <w:tcPr>
                  <w:tcW w:w="1404" w:type="dxa"/>
                  <w:shd w:val="clear" w:color="auto" w:fill="auto"/>
                  <w:vAlign w:val="center"/>
                </w:tcPr>
                <w:p w14:paraId="5E6180F2">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萨10</w:t>
                  </w:r>
                  <w:r>
                    <w:rPr>
                      <w:rStyle w:val="29"/>
                      <w:rFonts w:hint="default" w:ascii="Times New Roman" w:hAnsi="Times New Roman" w:eastAsia="宋体" w:cs="Times New Roman"/>
                      <w:snapToGrid w:val="0"/>
                      <w:color w:val="auto"/>
                      <w:lang w:val="en-US" w:eastAsia="zh-CN" w:bidi="ar"/>
                    </w:rPr>
                    <w:t>5-11-7</w:t>
                  </w:r>
                </w:p>
              </w:tc>
              <w:tc>
                <w:tcPr>
                  <w:tcW w:w="1132" w:type="dxa"/>
                  <w:shd w:val="clear" w:color="auto" w:fill="auto"/>
                  <w:vAlign w:val="center"/>
                </w:tcPr>
                <w:p w14:paraId="7A9EB93B">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评价井</w:t>
                  </w:r>
                </w:p>
              </w:tc>
              <w:tc>
                <w:tcPr>
                  <w:tcW w:w="1064" w:type="dxa"/>
                  <w:shd w:val="clear" w:color="auto" w:fill="auto"/>
                  <w:vAlign w:val="center"/>
                </w:tcPr>
                <w:p w14:paraId="1FD46D4B">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定向井</w:t>
                  </w:r>
                </w:p>
              </w:tc>
              <w:tc>
                <w:tcPr>
                  <w:tcW w:w="1200" w:type="dxa"/>
                  <w:shd w:val="clear" w:color="auto" w:fill="auto"/>
                  <w:vAlign w:val="center"/>
                </w:tcPr>
                <w:p w14:paraId="5AA48325">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三开</w:t>
                  </w:r>
                </w:p>
              </w:tc>
              <w:tc>
                <w:tcPr>
                  <w:tcW w:w="1063" w:type="dxa"/>
                  <w:shd w:val="clear" w:color="auto" w:fill="auto"/>
                  <w:vAlign w:val="center"/>
                </w:tcPr>
                <w:p w14:paraId="24CE41FE">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3490</w:t>
                  </w:r>
                </w:p>
              </w:tc>
              <w:tc>
                <w:tcPr>
                  <w:tcW w:w="1081" w:type="dxa"/>
                  <w:shd w:val="clear" w:color="auto" w:fill="auto"/>
                  <w:vAlign w:val="center"/>
                </w:tcPr>
                <w:p w14:paraId="2BF08420">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30</w:t>
                  </w:r>
                  <w:r>
                    <w:rPr>
                      <w:rFonts w:hint="default" w:ascii="Times New Roman" w:hAnsi="Times New Roman" w:eastAsia="宋体" w:cs="Times New Roman"/>
                      <w:i w:val="0"/>
                      <w:iCs w:val="0"/>
                      <w:snapToGrid w:val="0"/>
                      <w:color w:val="auto"/>
                      <w:kern w:val="0"/>
                      <w:sz w:val="21"/>
                      <w:szCs w:val="21"/>
                      <w:u w:val="none"/>
                      <w:lang w:val="en-US" w:eastAsia="zh-CN" w:bidi="ar"/>
                    </w:rPr>
                    <w:t>d</w:t>
                  </w:r>
                </w:p>
              </w:tc>
            </w:tr>
            <w:tr w14:paraId="32D35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3" w:hRule="atLeast"/>
                <w:jc w:val="center"/>
              </w:trPr>
              <w:tc>
                <w:tcPr>
                  <w:tcW w:w="664" w:type="dxa"/>
                  <w:shd w:val="clear" w:color="auto" w:fill="auto"/>
                  <w:vAlign w:val="center"/>
                </w:tcPr>
                <w:p w14:paraId="7FE9D98B">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2</w:t>
                  </w:r>
                </w:p>
              </w:tc>
              <w:tc>
                <w:tcPr>
                  <w:tcW w:w="668" w:type="dxa"/>
                  <w:vMerge w:val="continue"/>
                  <w:shd w:val="clear" w:color="auto" w:fill="auto"/>
                  <w:vAlign w:val="center"/>
                </w:tcPr>
                <w:p w14:paraId="468F65B4">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04" w:type="dxa"/>
                  <w:shd w:val="clear" w:color="auto" w:fill="auto"/>
                  <w:vAlign w:val="center"/>
                </w:tcPr>
                <w:p w14:paraId="2F4214FB">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萨6</w:t>
                  </w:r>
                  <w:r>
                    <w:rPr>
                      <w:rStyle w:val="29"/>
                      <w:rFonts w:hint="default" w:ascii="Times New Roman" w:hAnsi="Times New Roman" w:eastAsia="宋体" w:cs="Times New Roman"/>
                      <w:snapToGrid w:val="0"/>
                      <w:color w:val="auto"/>
                      <w:lang w:val="en-US" w:eastAsia="zh-CN" w:bidi="ar"/>
                    </w:rPr>
                    <w:t>-11-11</w:t>
                  </w:r>
                </w:p>
              </w:tc>
              <w:tc>
                <w:tcPr>
                  <w:tcW w:w="1132" w:type="dxa"/>
                  <w:shd w:val="clear" w:color="auto" w:fill="auto"/>
                  <w:vAlign w:val="center"/>
                </w:tcPr>
                <w:p w14:paraId="12263A13">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评价井</w:t>
                  </w:r>
                </w:p>
              </w:tc>
              <w:tc>
                <w:tcPr>
                  <w:tcW w:w="1064" w:type="dxa"/>
                  <w:shd w:val="clear" w:color="auto" w:fill="auto"/>
                  <w:vAlign w:val="center"/>
                </w:tcPr>
                <w:p w14:paraId="73B89B14">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定向井</w:t>
                  </w:r>
                </w:p>
              </w:tc>
              <w:tc>
                <w:tcPr>
                  <w:tcW w:w="1200" w:type="dxa"/>
                  <w:shd w:val="clear" w:color="auto" w:fill="auto"/>
                  <w:vAlign w:val="center"/>
                </w:tcPr>
                <w:p w14:paraId="5213B6C5">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三开</w:t>
                  </w:r>
                </w:p>
              </w:tc>
              <w:tc>
                <w:tcPr>
                  <w:tcW w:w="1063" w:type="dxa"/>
                  <w:shd w:val="clear" w:color="auto" w:fill="auto"/>
                  <w:vAlign w:val="center"/>
                </w:tcPr>
                <w:p w14:paraId="5DD1968C">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3490</w:t>
                  </w:r>
                </w:p>
              </w:tc>
              <w:tc>
                <w:tcPr>
                  <w:tcW w:w="1081" w:type="dxa"/>
                  <w:shd w:val="clear" w:color="auto" w:fill="auto"/>
                  <w:vAlign w:val="center"/>
                </w:tcPr>
                <w:p w14:paraId="6C1ABCFC">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30</w:t>
                  </w:r>
                  <w:r>
                    <w:rPr>
                      <w:rFonts w:hint="default" w:ascii="Times New Roman" w:hAnsi="Times New Roman" w:eastAsia="宋体" w:cs="Times New Roman"/>
                      <w:i w:val="0"/>
                      <w:iCs w:val="0"/>
                      <w:snapToGrid w:val="0"/>
                      <w:color w:val="auto"/>
                      <w:kern w:val="0"/>
                      <w:sz w:val="21"/>
                      <w:szCs w:val="21"/>
                      <w:u w:val="none"/>
                      <w:lang w:val="en-US" w:eastAsia="zh-CN" w:bidi="ar"/>
                    </w:rPr>
                    <w:t>d</w:t>
                  </w:r>
                </w:p>
              </w:tc>
            </w:tr>
            <w:tr w14:paraId="6F30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64" w:type="dxa"/>
                  <w:shd w:val="clear" w:color="auto" w:fill="auto"/>
                  <w:vAlign w:val="center"/>
                </w:tcPr>
                <w:p w14:paraId="2C5CEEB7">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3</w:t>
                  </w:r>
                </w:p>
              </w:tc>
              <w:tc>
                <w:tcPr>
                  <w:tcW w:w="668" w:type="dxa"/>
                  <w:vMerge w:val="continue"/>
                  <w:shd w:val="clear" w:color="auto" w:fill="auto"/>
                  <w:vAlign w:val="center"/>
                </w:tcPr>
                <w:p w14:paraId="4D566E70">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04" w:type="dxa"/>
                  <w:shd w:val="clear" w:color="auto" w:fill="auto"/>
                  <w:vAlign w:val="center"/>
                </w:tcPr>
                <w:p w14:paraId="47545DDB">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萨6</w:t>
                  </w:r>
                  <w:r>
                    <w:rPr>
                      <w:rStyle w:val="29"/>
                      <w:rFonts w:hint="default" w:ascii="Times New Roman" w:hAnsi="Times New Roman" w:eastAsia="宋体" w:cs="Times New Roman"/>
                      <w:snapToGrid w:val="0"/>
                      <w:color w:val="auto"/>
                      <w:lang w:val="en-US" w:eastAsia="zh-CN" w:bidi="ar"/>
                    </w:rPr>
                    <w:t>-13-6</w:t>
                  </w:r>
                </w:p>
              </w:tc>
              <w:tc>
                <w:tcPr>
                  <w:tcW w:w="1132" w:type="dxa"/>
                  <w:shd w:val="clear" w:color="auto" w:fill="auto"/>
                  <w:vAlign w:val="center"/>
                </w:tcPr>
                <w:p w14:paraId="0DCD1C48">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评价井</w:t>
                  </w:r>
                </w:p>
              </w:tc>
              <w:tc>
                <w:tcPr>
                  <w:tcW w:w="1064" w:type="dxa"/>
                  <w:shd w:val="clear" w:color="auto" w:fill="auto"/>
                  <w:vAlign w:val="center"/>
                </w:tcPr>
                <w:p w14:paraId="1FF357BE">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定向井</w:t>
                  </w:r>
                </w:p>
              </w:tc>
              <w:tc>
                <w:tcPr>
                  <w:tcW w:w="1200" w:type="dxa"/>
                  <w:shd w:val="clear" w:color="auto" w:fill="auto"/>
                  <w:vAlign w:val="center"/>
                </w:tcPr>
                <w:p w14:paraId="0071137E">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三开</w:t>
                  </w:r>
                </w:p>
              </w:tc>
              <w:tc>
                <w:tcPr>
                  <w:tcW w:w="1063" w:type="dxa"/>
                  <w:shd w:val="clear" w:color="auto" w:fill="auto"/>
                  <w:vAlign w:val="center"/>
                </w:tcPr>
                <w:p w14:paraId="1B56F220">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3490</w:t>
                  </w:r>
                </w:p>
              </w:tc>
              <w:tc>
                <w:tcPr>
                  <w:tcW w:w="1081" w:type="dxa"/>
                  <w:shd w:val="clear" w:color="auto" w:fill="auto"/>
                  <w:vAlign w:val="center"/>
                </w:tcPr>
                <w:p w14:paraId="487F9B85">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30</w:t>
                  </w:r>
                  <w:r>
                    <w:rPr>
                      <w:rFonts w:hint="default" w:ascii="Times New Roman" w:hAnsi="Times New Roman" w:eastAsia="宋体" w:cs="Times New Roman"/>
                      <w:i w:val="0"/>
                      <w:iCs w:val="0"/>
                      <w:snapToGrid w:val="0"/>
                      <w:color w:val="auto"/>
                      <w:kern w:val="0"/>
                      <w:sz w:val="21"/>
                      <w:szCs w:val="21"/>
                      <w:u w:val="none"/>
                      <w:lang w:val="en-US" w:eastAsia="zh-CN" w:bidi="ar"/>
                    </w:rPr>
                    <w:t>d</w:t>
                  </w:r>
                </w:p>
              </w:tc>
            </w:tr>
            <w:tr w14:paraId="0CE67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64" w:type="dxa"/>
                  <w:shd w:val="clear" w:color="auto" w:fill="auto"/>
                  <w:vAlign w:val="center"/>
                </w:tcPr>
                <w:p w14:paraId="12C99843">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4</w:t>
                  </w:r>
                </w:p>
              </w:tc>
              <w:tc>
                <w:tcPr>
                  <w:tcW w:w="668" w:type="dxa"/>
                  <w:vMerge w:val="continue"/>
                  <w:shd w:val="clear" w:color="auto" w:fill="auto"/>
                  <w:vAlign w:val="center"/>
                </w:tcPr>
                <w:p w14:paraId="137FA8E2">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04" w:type="dxa"/>
                  <w:shd w:val="clear" w:color="auto" w:fill="auto"/>
                  <w:vAlign w:val="center"/>
                </w:tcPr>
                <w:p w14:paraId="4B5BA178">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萨6</w:t>
                  </w:r>
                  <w:r>
                    <w:rPr>
                      <w:rStyle w:val="29"/>
                      <w:rFonts w:hint="default" w:ascii="Times New Roman" w:hAnsi="Times New Roman" w:eastAsia="宋体" w:cs="Times New Roman"/>
                      <w:snapToGrid w:val="0"/>
                      <w:color w:val="auto"/>
                      <w:lang w:val="en-US" w:eastAsia="zh-CN" w:bidi="ar"/>
                    </w:rPr>
                    <w:t>-12-9</w:t>
                  </w:r>
                </w:p>
              </w:tc>
              <w:tc>
                <w:tcPr>
                  <w:tcW w:w="1132" w:type="dxa"/>
                  <w:shd w:val="clear" w:color="auto" w:fill="auto"/>
                  <w:vAlign w:val="center"/>
                </w:tcPr>
                <w:p w14:paraId="2CB217A6">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评价井</w:t>
                  </w:r>
                </w:p>
              </w:tc>
              <w:tc>
                <w:tcPr>
                  <w:tcW w:w="1064" w:type="dxa"/>
                  <w:shd w:val="clear" w:color="auto" w:fill="auto"/>
                  <w:vAlign w:val="center"/>
                </w:tcPr>
                <w:p w14:paraId="16D3BD06">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定向井</w:t>
                  </w:r>
                </w:p>
              </w:tc>
              <w:tc>
                <w:tcPr>
                  <w:tcW w:w="1200" w:type="dxa"/>
                  <w:shd w:val="clear" w:color="auto" w:fill="auto"/>
                  <w:vAlign w:val="center"/>
                </w:tcPr>
                <w:p w14:paraId="2F03448D">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三开</w:t>
                  </w:r>
                </w:p>
              </w:tc>
              <w:tc>
                <w:tcPr>
                  <w:tcW w:w="1063" w:type="dxa"/>
                  <w:shd w:val="clear" w:color="auto" w:fill="auto"/>
                  <w:vAlign w:val="center"/>
                </w:tcPr>
                <w:p w14:paraId="6B1EBBE4">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3490</w:t>
                  </w:r>
                </w:p>
              </w:tc>
              <w:tc>
                <w:tcPr>
                  <w:tcW w:w="1081" w:type="dxa"/>
                  <w:shd w:val="clear" w:color="auto" w:fill="auto"/>
                  <w:vAlign w:val="center"/>
                </w:tcPr>
                <w:p w14:paraId="55448383">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30</w:t>
                  </w:r>
                  <w:r>
                    <w:rPr>
                      <w:rFonts w:hint="default" w:ascii="Times New Roman" w:hAnsi="Times New Roman" w:eastAsia="宋体" w:cs="Times New Roman"/>
                      <w:i w:val="0"/>
                      <w:iCs w:val="0"/>
                      <w:snapToGrid w:val="0"/>
                      <w:color w:val="auto"/>
                      <w:kern w:val="0"/>
                      <w:sz w:val="21"/>
                      <w:szCs w:val="21"/>
                      <w:u w:val="none"/>
                      <w:lang w:val="en-US" w:eastAsia="zh-CN" w:bidi="ar"/>
                    </w:rPr>
                    <w:t>d</w:t>
                  </w:r>
                </w:p>
              </w:tc>
            </w:tr>
            <w:tr w14:paraId="2B9EA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64" w:type="dxa"/>
                  <w:shd w:val="clear" w:color="auto" w:fill="auto"/>
                  <w:vAlign w:val="center"/>
                </w:tcPr>
                <w:p w14:paraId="1F16813A">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default" w:ascii="Times New Roman" w:hAnsi="Times New Roman" w:eastAsia="宋体" w:cs="Times New Roman"/>
                      <w:i w:val="0"/>
                      <w:iCs w:val="0"/>
                      <w:snapToGrid w:val="0"/>
                      <w:color w:val="auto"/>
                      <w:kern w:val="0"/>
                      <w:sz w:val="20"/>
                      <w:szCs w:val="20"/>
                      <w:u w:val="none"/>
                      <w:lang w:val="en-US" w:eastAsia="zh-CN" w:bidi="ar"/>
                    </w:rPr>
                    <w:t>5</w:t>
                  </w:r>
                </w:p>
              </w:tc>
              <w:tc>
                <w:tcPr>
                  <w:tcW w:w="668" w:type="dxa"/>
                  <w:vMerge w:val="continue"/>
                  <w:shd w:val="clear" w:color="auto" w:fill="auto"/>
                  <w:vAlign w:val="center"/>
                </w:tcPr>
                <w:p w14:paraId="1909775E">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04" w:type="dxa"/>
                  <w:shd w:val="clear" w:color="auto" w:fill="auto"/>
                  <w:vAlign w:val="center"/>
                </w:tcPr>
                <w:p w14:paraId="6AC983E0">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萨6-16-9</w:t>
                  </w:r>
                </w:p>
              </w:tc>
              <w:tc>
                <w:tcPr>
                  <w:tcW w:w="1132" w:type="dxa"/>
                  <w:shd w:val="clear" w:color="auto" w:fill="auto"/>
                  <w:vAlign w:val="center"/>
                </w:tcPr>
                <w:p w14:paraId="76B48CD7">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评价井</w:t>
                  </w:r>
                </w:p>
              </w:tc>
              <w:tc>
                <w:tcPr>
                  <w:tcW w:w="1064" w:type="dxa"/>
                  <w:shd w:val="clear" w:color="auto" w:fill="auto"/>
                  <w:vAlign w:val="center"/>
                </w:tcPr>
                <w:p w14:paraId="44E2F060">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定向井</w:t>
                  </w:r>
                </w:p>
              </w:tc>
              <w:tc>
                <w:tcPr>
                  <w:tcW w:w="1200" w:type="dxa"/>
                  <w:shd w:val="clear" w:color="auto" w:fill="auto"/>
                  <w:vAlign w:val="center"/>
                </w:tcPr>
                <w:p w14:paraId="48B3ABD6">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三开</w:t>
                  </w:r>
                </w:p>
              </w:tc>
              <w:tc>
                <w:tcPr>
                  <w:tcW w:w="1063" w:type="dxa"/>
                  <w:shd w:val="clear" w:color="auto" w:fill="auto"/>
                  <w:vAlign w:val="center"/>
                </w:tcPr>
                <w:p w14:paraId="6E7D4B76">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3490</w:t>
                  </w:r>
                </w:p>
              </w:tc>
              <w:tc>
                <w:tcPr>
                  <w:tcW w:w="1081" w:type="dxa"/>
                  <w:shd w:val="clear" w:color="auto" w:fill="auto"/>
                  <w:vAlign w:val="center"/>
                </w:tcPr>
                <w:p w14:paraId="3F4913CB">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30</w:t>
                  </w:r>
                  <w:r>
                    <w:rPr>
                      <w:rFonts w:hint="default" w:ascii="Times New Roman" w:hAnsi="Times New Roman" w:eastAsia="宋体" w:cs="Times New Roman"/>
                      <w:i w:val="0"/>
                      <w:iCs w:val="0"/>
                      <w:snapToGrid w:val="0"/>
                      <w:color w:val="auto"/>
                      <w:kern w:val="0"/>
                      <w:sz w:val="21"/>
                      <w:szCs w:val="21"/>
                      <w:u w:val="none"/>
                      <w:lang w:val="en-US" w:eastAsia="zh-CN" w:bidi="ar"/>
                    </w:rPr>
                    <w:t>d</w:t>
                  </w:r>
                </w:p>
              </w:tc>
            </w:tr>
            <w:tr w14:paraId="3F875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64" w:type="dxa"/>
                  <w:shd w:val="clear" w:color="auto" w:fill="auto"/>
                  <w:noWrap/>
                  <w:vAlign w:val="center"/>
                </w:tcPr>
                <w:p w14:paraId="1F6E291A">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default" w:ascii="Times New Roman" w:hAnsi="Times New Roman" w:eastAsia="宋体" w:cs="Times New Roman"/>
                      <w:i w:val="0"/>
                      <w:iCs w:val="0"/>
                      <w:snapToGrid w:val="0"/>
                      <w:color w:val="auto"/>
                      <w:kern w:val="0"/>
                      <w:sz w:val="20"/>
                      <w:szCs w:val="20"/>
                      <w:u w:val="none"/>
                      <w:lang w:val="en-US" w:eastAsia="zh-CN" w:bidi="ar"/>
                    </w:rPr>
                    <w:t>6</w:t>
                  </w:r>
                </w:p>
              </w:tc>
              <w:tc>
                <w:tcPr>
                  <w:tcW w:w="668" w:type="dxa"/>
                  <w:vMerge w:val="restart"/>
                  <w:shd w:val="clear" w:color="auto" w:fill="auto"/>
                  <w:noWrap/>
                  <w:vAlign w:val="center"/>
                </w:tcPr>
                <w:p w14:paraId="35387ECB">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default" w:ascii="Times New Roman" w:hAnsi="Times New Roman" w:eastAsia="宋体" w:cs="Times New Roman"/>
                      <w:i w:val="0"/>
                      <w:iCs w:val="0"/>
                      <w:snapToGrid w:val="0"/>
                      <w:color w:val="auto"/>
                      <w:kern w:val="0"/>
                      <w:sz w:val="20"/>
                      <w:szCs w:val="20"/>
                      <w:u w:val="none"/>
                      <w:lang w:val="en-US" w:eastAsia="zh-CN" w:bidi="ar"/>
                    </w:rPr>
                    <w:t>2号</w:t>
                  </w:r>
                </w:p>
              </w:tc>
              <w:tc>
                <w:tcPr>
                  <w:tcW w:w="1404" w:type="dxa"/>
                  <w:shd w:val="clear" w:color="auto" w:fill="auto"/>
                  <w:noWrap/>
                  <w:vAlign w:val="center"/>
                </w:tcPr>
                <w:p w14:paraId="026E0D08">
                  <w:pPr>
                    <w:keepNext w:val="0"/>
                    <w:keepLines w:val="0"/>
                    <w:widowControl/>
                    <w:suppressLineNumbers w:val="0"/>
                    <w:jc w:val="center"/>
                    <w:textAlignment w:val="top"/>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萨101-9-16</w:t>
                  </w:r>
                </w:p>
              </w:tc>
              <w:tc>
                <w:tcPr>
                  <w:tcW w:w="1132" w:type="dxa"/>
                  <w:shd w:val="clear" w:color="auto" w:fill="auto"/>
                  <w:noWrap/>
                  <w:vAlign w:val="center"/>
                </w:tcPr>
                <w:p w14:paraId="6A8CCF3F">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评价井</w:t>
                  </w:r>
                </w:p>
              </w:tc>
              <w:tc>
                <w:tcPr>
                  <w:tcW w:w="1064" w:type="dxa"/>
                  <w:shd w:val="clear" w:color="auto" w:fill="auto"/>
                  <w:noWrap/>
                  <w:vAlign w:val="center"/>
                </w:tcPr>
                <w:p w14:paraId="79E2D6C7">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定向井</w:t>
                  </w:r>
                </w:p>
              </w:tc>
              <w:tc>
                <w:tcPr>
                  <w:tcW w:w="1200" w:type="dxa"/>
                  <w:shd w:val="clear" w:color="auto" w:fill="auto"/>
                  <w:noWrap/>
                  <w:vAlign w:val="center"/>
                </w:tcPr>
                <w:p w14:paraId="19D39E82">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三开</w:t>
                  </w:r>
                </w:p>
              </w:tc>
              <w:tc>
                <w:tcPr>
                  <w:tcW w:w="1063" w:type="dxa"/>
                  <w:shd w:val="clear" w:color="auto" w:fill="auto"/>
                  <w:noWrap/>
                  <w:vAlign w:val="center"/>
                </w:tcPr>
                <w:p w14:paraId="3D62D5D9">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3490</w:t>
                  </w:r>
                </w:p>
              </w:tc>
              <w:tc>
                <w:tcPr>
                  <w:tcW w:w="1081" w:type="dxa"/>
                  <w:shd w:val="clear" w:color="auto" w:fill="auto"/>
                  <w:noWrap/>
                  <w:vAlign w:val="center"/>
                </w:tcPr>
                <w:p w14:paraId="2AB15BFA">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30</w:t>
                  </w:r>
                  <w:r>
                    <w:rPr>
                      <w:rFonts w:hint="default" w:ascii="Times New Roman" w:hAnsi="Times New Roman" w:eastAsia="宋体" w:cs="Times New Roman"/>
                      <w:i w:val="0"/>
                      <w:iCs w:val="0"/>
                      <w:snapToGrid w:val="0"/>
                      <w:color w:val="auto"/>
                      <w:kern w:val="0"/>
                      <w:sz w:val="21"/>
                      <w:szCs w:val="21"/>
                      <w:u w:val="none"/>
                      <w:lang w:val="en-US" w:eastAsia="zh-CN" w:bidi="ar"/>
                    </w:rPr>
                    <w:t>d</w:t>
                  </w:r>
                </w:p>
              </w:tc>
            </w:tr>
            <w:tr w14:paraId="7EE12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64" w:type="dxa"/>
                  <w:shd w:val="clear" w:color="auto" w:fill="auto"/>
                  <w:noWrap/>
                  <w:vAlign w:val="center"/>
                </w:tcPr>
                <w:p w14:paraId="2A658E5D">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default" w:ascii="Times New Roman" w:hAnsi="Times New Roman" w:eastAsia="宋体" w:cs="Times New Roman"/>
                      <w:i w:val="0"/>
                      <w:iCs w:val="0"/>
                      <w:snapToGrid w:val="0"/>
                      <w:color w:val="auto"/>
                      <w:kern w:val="0"/>
                      <w:sz w:val="20"/>
                      <w:szCs w:val="20"/>
                      <w:u w:val="none"/>
                      <w:lang w:val="en-US" w:eastAsia="zh-CN" w:bidi="ar"/>
                    </w:rPr>
                    <w:t>7</w:t>
                  </w:r>
                </w:p>
              </w:tc>
              <w:tc>
                <w:tcPr>
                  <w:tcW w:w="668" w:type="dxa"/>
                  <w:vMerge w:val="continue"/>
                  <w:shd w:val="clear" w:color="auto" w:fill="auto"/>
                  <w:noWrap/>
                  <w:vAlign w:val="center"/>
                </w:tcPr>
                <w:p w14:paraId="4768EF17">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p>
              </w:tc>
              <w:tc>
                <w:tcPr>
                  <w:tcW w:w="1404" w:type="dxa"/>
                  <w:shd w:val="clear" w:color="auto" w:fill="auto"/>
                  <w:noWrap/>
                  <w:vAlign w:val="center"/>
                </w:tcPr>
                <w:p w14:paraId="5526828D">
                  <w:pPr>
                    <w:keepNext w:val="0"/>
                    <w:keepLines w:val="0"/>
                    <w:widowControl/>
                    <w:suppressLineNumbers w:val="0"/>
                    <w:jc w:val="center"/>
                    <w:textAlignment w:val="top"/>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萨101-11-16</w:t>
                  </w:r>
                </w:p>
              </w:tc>
              <w:tc>
                <w:tcPr>
                  <w:tcW w:w="1132" w:type="dxa"/>
                  <w:shd w:val="clear" w:color="auto" w:fill="auto"/>
                  <w:noWrap/>
                  <w:vAlign w:val="center"/>
                </w:tcPr>
                <w:p w14:paraId="56E55DC8">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评价井</w:t>
                  </w:r>
                </w:p>
              </w:tc>
              <w:tc>
                <w:tcPr>
                  <w:tcW w:w="1064" w:type="dxa"/>
                  <w:shd w:val="clear" w:color="auto" w:fill="auto"/>
                  <w:noWrap/>
                  <w:vAlign w:val="center"/>
                </w:tcPr>
                <w:p w14:paraId="3B97B091">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定向井</w:t>
                  </w:r>
                </w:p>
              </w:tc>
              <w:tc>
                <w:tcPr>
                  <w:tcW w:w="1200" w:type="dxa"/>
                  <w:shd w:val="clear" w:color="auto" w:fill="auto"/>
                  <w:noWrap/>
                  <w:vAlign w:val="center"/>
                </w:tcPr>
                <w:p w14:paraId="6397CD46">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三开</w:t>
                  </w:r>
                </w:p>
              </w:tc>
              <w:tc>
                <w:tcPr>
                  <w:tcW w:w="1063" w:type="dxa"/>
                  <w:shd w:val="clear" w:color="auto" w:fill="auto"/>
                  <w:noWrap/>
                  <w:vAlign w:val="center"/>
                </w:tcPr>
                <w:p w14:paraId="12868EB1">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3490</w:t>
                  </w:r>
                </w:p>
              </w:tc>
              <w:tc>
                <w:tcPr>
                  <w:tcW w:w="1081" w:type="dxa"/>
                  <w:shd w:val="clear" w:color="auto" w:fill="auto"/>
                  <w:noWrap/>
                  <w:vAlign w:val="center"/>
                </w:tcPr>
                <w:p w14:paraId="7D2BCFD5">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30</w:t>
                  </w:r>
                  <w:r>
                    <w:rPr>
                      <w:rFonts w:hint="default" w:ascii="Times New Roman" w:hAnsi="Times New Roman" w:eastAsia="宋体" w:cs="Times New Roman"/>
                      <w:i w:val="0"/>
                      <w:iCs w:val="0"/>
                      <w:snapToGrid w:val="0"/>
                      <w:color w:val="auto"/>
                      <w:kern w:val="0"/>
                      <w:sz w:val="21"/>
                      <w:szCs w:val="21"/>
                      <w:u w:val="none"/>
                      <w:lang w:val="en-US" w:eastAsia="zh-CN" w:bidi="ar"/>
                    </w:rPr>
                    <w:t>d</w:t>
                  </w:r>
                </w:p>
              </w:tc>
            </w:tr>
            <w:tr w14:paraId="70E76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64" w:type="dxa"/>
                  <w:shd w:val="clear" w:color="auto" w:fill="auto"/>
                  <w:noWrap/>
                  <w:vAlign w:val="center"/>
                </w:tcPr>
                <w:p w14:paraId="6D16EF05">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default" w:ascii="Times New Roman" w:hAnsi="Times New Roman" w:eastAsia="宋体" w:cs="Times New Roman"/>
                      <w:i w:val="0"/>
                      <w:iCs w:val="0"/>
                      <w:snapToGrid w:val="0"/>
                      <w:color w:val="auto"/>
                      <w:kern w:val="0"/>
                      <w:sz w:val="20"/>
                      <w:szCs w:val="20"/>
                      <w:u w:val="none"/>
                      <w:lang w:val="en-US" w:eastAsia="zh-CN" w:bidi="ar"/>
                    </w:rPr>
                    <w:t>8</w:t>
                  </w:r>
                </w:p>
              </w:tc>
              <w:tc>
                <w:tcPr>
                  <w:tcW w:w="668" w:type="dxa"/>
                  <w:vMerge w:val="continue"/>
                  <w:shd w:val="clear" w:color="auto" w:fill="auto"/>
                  <w:noWrap/>
                  <w:vAlign w:val="center"/>
                </w:tcPr>
                <w:p w14:paraId="26FE451F">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p>
              </w:tc>
              <w:tc>
                <w:tcPr>
                  <w:tcW w:w="1404" w:type="dxa"/>
                  <w:shd w:val="clear" w:color="auto" w:fill="auto"/>
                  <w:noWrap/>
                  <w:vAlign w:val="center"/>
                </w:tcPr>
                <w:p w14:paraId="208A8B9A">
                  <w:pPr>
                    <w:keepNext w:val="0"/>
                    <w:keepLines w:val="0"/>
                    <w:widowControl/>
                    <w:suppressLineNumbers w:val="0"/>
                    <w:jc w:val="center"/>
                    <w:textAlignment w:val="top"/>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萨102-9-18</w:t>
                  </w:r>
                </w:p>
              </w:tc>
              <w:tc>
                <w:tcPr>
                  <w:tcW w:w="1132" w:type="dxa"/>
                  <w:shd w:val="clear" w:color="auto" w:fill="auto"/>
                  <w:noWrap/>
                  <w:vAlign w:val="center"/>
                </w:tcPr>
                <w:p w14:paraId="4D5E163F">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评价井</w:t>
                  </w:r>
                </w:p>
              </w:tc>
              <w:tc>
                <w:tcPr>
                  <w:tcW w:w="1064" w:type="dxa"/>
                  <w:shd w:val="clear" w:color="auto" w:fill="auto"/>
                  <w:noWrap/>
                  <w:vAlign w:val="center"/>
                </w:tcPr>
                <w:p w14:paraId="0231BA0E">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定向井</w:t>
                  </w:r>
                </w:p>
              </w:tc>
              <w:tc>
                <w:tcPr>
                  <w:tcW w:w="1200" w:type="dxa"/>
                  <w:shd w:val="clear" w:color="auto" w:fill="auto"/>
                  <w:noWrap/>
                  <w:vAlign w:val="center"/>
                </w:tcPr>
                <w:p w14:paraId="70EC96B1">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三开</w:t>
                  </w:r>
                </w:p>
              </w:tc>
              <w:tc>
                <w:tcPr>
                  <w:tcW w:w="1063" w:type="dxa"/>
                  <w:shd w:val="clear" w:color="auto" w:fill="auto"/>
                  <w:noWrap/>
                  <w:vAlign w:val="center"/>
                </w:tcPr>
                <w:p w14:paraId="68542441">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3490</w:t>
                  </w:r>
                </w:p>
              </w:tc>
              <w:tc>
                <w:tcPr>
                  <w:tcW w:w="1081" w:type="dxa"/>
                  <w:shd w:val="clear" w:color="auto" w:fill="auto"/>
                  <w:noWrap/>
                  <w:vAlign w:val="center"/>
                </w:tcPr>
                <w:p w14:paraId="17C236EF">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30</w:t>
                  </w:r>
                  <w:r>
                    <w:rPr>
                      <w:rFonts w:hint="default" w:ascii="Times New Roman" w:hAnsi="Times New Roman" w:eastAsia="宋体" w:cs="Times New Roman"/>
                      <w:i w:val="0"/>
                      <w:iCs w:val="0"/>
                      <w:snapToGrid w:val="0"/>
                      <w:color w:val="auto"/>
                      <w:kern w:val="0"/>
                      <w:sz w:val="21"/>
                      <w:szCs w:val="21"/>
                      <w:u w:val="none"/>
                      <w:lang w:val="en-US" w:eastAsia="zh-CN" w:bidi="ar"/>
                    </w:rPr>
                    <w:t>d</w:t>
                  </w:r>
                </w:p>
              </w:tc>
            </w:tr>
            <w:tr w14:paraId="24D1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64" w:type="dxa"/>
                  <w:shd w:val="clear" w:color="auto" w:fill="auto"/>
                  <w:noWrap/>
                  <w:vAlign w:val="center"/>
                </w:tcPr>
                <w:p w14:paraId="04068269">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default" w:ascii="Times New Roman" w:hAnsi="Times New Roman" w:eastAsia="宋体" w:cs="Times New Roman"/>
                      <w:i w:val="0"/>
                      <w:iCs w:val="0"/>
                      <w:snapToGrid w:val="0"/>
                      <w:color w:val="auto"/>
                      <w:kern w:val="0"/>
                      <w:sz w:val="20"/>
                      <w:szCs w:val="20"/>
                      <w:u w:val="none"/>
                      <w:lang w:val="en-US" w:eastAsia="zh-CN" w:bidi="ar"/>
                    </w:rPr>
                    <w:t>9</w:t>
                  </w:r>
                </w:p>
              </w:tc>
              <w:tc>
                <w:tcPr>
                  <w:tcW w:w="668" w:type="dxa"/>
                  <w:vMerge w:val="continue"/>
                  <w:shd w:val="clear" w:color="auto" w:fill="auto"/>
                  <w:noWrap/>
                  <w:vAlign w:val="center"/>
                </w:tcPr>
                <w:p w14:paraId="3B6300B1">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p>
              </w:tc>
              <w:tc>
                <w:tcPr>
                  <w:tcW w:w="1404" w:type="dxa"/>
                  <w:shd w:val="clear" w:color="auto" w:fill="auto"/>
                  <w:noWrap/>
                  <w:vAlign w:val="center"/>
                </w:tcPr>
                <w:p w14:paraId="566963DA">
                  <w:pPr>
                    <w:keepNext w:val="0"/>
                    <w:keepLines w:val="0"/>
                    <w:widowControl/>
                    <w:suppressLineNumbers w:val="0"/>
                    <w:jc w:val="center"/>
                    <w:textAlignment w:val="top"/>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萨102-7-19</w:t>
                  </w:r>
                </w:p>
              </w:tc>
              <w:tc>
                <w:tcPr>
                  <w:tcW w:w="1132" w:type="dxa"/>
                  <w:shd w:val="clear" w:color="auto" w:fill="auto"/>
                  <w:noWrap/>
                  <w:vAlign w:val="center"/>
                </w:tcPr>
                <w:p w14:paraId="6B006F49">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评价井</w:t>
                  </w:r>
                </w:p>
              </w:tc>
              <w:tc>
                <w:tcPr>
                  <w:tcW w:w="1064" w:type="dxa"/>
                  <w:shd w:val="clear" w:color="auto" w:fill="auto"/>
                  <w:noWrap/>
                  <w:vAlign w:val="center"/>
                </w:tcPr>
                <w:p w14:paraId="41F299AF">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定向井</w:t>
                  </w:r>
                </w:p>
              </w:tc>
              <w:tc>
                <w:tcPr>
                  <w:tcW w:w="1200" w:type="dxa"/>
                  <w:shd w:val="clear" w:color="auto" w:fill="auto"/>
                  <w:noWrap/>
                  <w:vAlign w:val="center"/>
                </w:tcPr>
                <w:p w14:paraId="59A7C51D">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三开</w:t>
                  </w:r>
                </w:p>
              </w:tc>
              <w:tc>
                <w:tcPr>
                  <w:tcW w:w="1063" w:type="dxa"/>
                  <w:shd w:val="clear" w:color="auto" w:fill="auto"/>
                  <w:noWrap/>
                  <w:vAlign w:val="center"/>
                </w:tcPr>
                <w:p w14:paraId="496D7FE5">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3490</w:t>
                  </w:r>
                </w:p>
              </w:tc>
              <w:tc>
                <w:tcPr>
                  <w:tcW w:w="1081" w:type="dxa"/>
                  <w:shd w:val="clear" w:color="auto" w:fill="auto"/>
                  <w:noWrap/>
                  <w:vAlign w:val="center"/>
                </w:tcPr>
                <w:p w14:paraId="229551A9">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30</w:t>
                  </w:r>
                  <w:r>
                    <w:rPr>
                      <w:rFonts w:hint="default" w:ascii="Times New Roman" w:hAnsi="Times New Roman" w:eastAsia="宋体" w:cs="Times New Roman"/>
                      <w:i w:val="0"/>
                      <w:iCs w:val="0"/>
                      <w:snapToGrid w:val="0"/>
                      <w:color w:val="auto"/>
                      <w:kern w:val="0"/>
                      <w:sz w:val="21"/>
                      <w:szCs w:val="21"/>
                      <w:u w:val="none"/>
                      <w:lang w:val="en-US" w:eastAsia="zh-CN" w:bidi="ar"/>
                    </w:rPr>
                    <w:t>d</w:t>
                  </w:r>
                </w:p>
              </w:tc>
            </w:tr>
            <w:tr w14:paraId="488F8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64" w:type="dxa"/>
                  <w:shd w:val="clear" w:color="auto" w:fill="auto"/>
                  <w:noWrap/>
                  <w:vAlign w:val="center"/>
                </w:tcPr>
                <w:p w14:paraId="4F059198">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default" w:ascii="Times New Roman" w:hAnsi="Times New Roman" w:eastAsia="宋体" w:cs="Times New Roman"/>
                      <w:i w:val="0"/>
                      <w:iCs w:val="0"/>
                      <w:snapToGrid w:val="0"/>
                      <w:color w:val="auto"/>
                      <w:kern w:val="0"/>
                      <w:sz w:val="20"/>
                      <w:szCs w:val="20"/>
                      <w:u w:val="none"/>
                      <w:lang w:val="en-US" w:eastAsia="zh-CN" w:bidi="ar"/>
                    </w:rPr>
                    <w:t>10</w:t>
                  </w:r>
                </w:p>
              </w:tc>
              <w:tc>
                <w:tcPr>
                  <w:tcW w:w="668" w:type="dxa"/>
                  <w:vMerge w:val="continue"/>
                  <w:shd w:val="clear" w:color="auto" w:fill="auto"/>
                  <w:noWrap/>
                  <w:vAlign w:val="center"/>
                </w:tcPr>
                <w:p w14:paraId="4137E114">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p>
              </w:tc>
              <w:tc>
                <w:tcPr>
                  <w:tcW w:w="1404" w:type="dxa"/>
                  <w:shd w:val="clear" w:color="auto" w:fill="auto"/>
                  <w:noWrap/>
                  <w:vAlign w:val="center"/>
                </w:tcPr>
                <w:p w14:paraId="3FD22D82">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default" w:ascii="Times New Roman" w:hAnsi="Times New Roman" w:eastAsia="宋体" w:cs="Times New Roman"/>
                      <w:i w:val="0"/>
                      <w:iCs w:val="0"/>
                      <w:snapToGrid w:val="0"/>
                      <w:color w:val="auto"/>
                      <w:kern w:val="0"/>
                      <w:sz w:val="20"/>
                      <w:szCs w:val="20"/>
                      <w:u w:val="none"/>
                      <w:lang w:val="en-US" w:eastAsia="zh-CN" w:bidi="ar"/>
                    </w:rPr>
                    <w:t>萨102-11-17</w:t>
                  </w:r>
                </w:p>
              </w:tc>
              <w:tc>
                <w:tcPr>
                  <w:tcW w:w="1132" w:type="dxa"/>
                  <w:shd w:val="clear" w:color="auto" w:fill="auto"/>
                  <w:noWrap/>
                  <w:vAlign w:val="center"/>
                </w:tcPr>
                <w:p w14:paraId="62429E60">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评价井</w:t>
                  </w:r>
                </w:p>
              </w:tc>
              <w:tc>
                <w:tcPr>
                  <w:tcW w:w="1064" w:type="dxa"/>
                  <w:shd w:val="clear" w:color="auto" w:fill="auto"/>
                  <w:noWrap/>
                  <w:vAlign w:val="center"/>
                </w:tcPr>
                <w:p w14:paraId="319FCA24">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定向井</w:t>
                  </w:r>
                </w:p>
              </w:tc>
              <w:tc>
                <w:tcPr>
                  <w:tcW w:w="1200" w:type="dxa"/>
                  <w:shd w:val="clear" w:color="auto" w:fill="auto"/>
                  <w:noWrap/>
                  <w:vAlign w:val="center"/>
                </w:tcPr>
                <w:p w14:paraId="4CF88812">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三开</w:t>
                  </w:r>
                </w:p>
              </w:tc>
              <w:tc>
                <w:tcPr>
                  <w:tcW w:w="1063" w:type="dxa"/>
                  <w:shd w:val="clear" w:color="auto" w:fill="auto"/>
                  <w:noWrap/>
                  <w:vAlign w:val="center"/>
                </w:tcPr>
                <w:p w14:paraId="26A22006">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3490</w:t>
                  </w:r>
                </w:p>
              </w:tc>
              <w:tc>
                <w:tcPr>
                  <w:tcW w:w="1081" w:type="dxa"/>
                  <w:shd w:val="clear" w:color="auto" w:fill="auto"/>
                  <w:noWrap/>
                  <w:vAlign w:val="center"/>
                </w:tcPr>
                <w:p w14:paraId="5E8330AA">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30</w:t>
                  </w:r>
                  <w:r>
                    <w:rPr>
                      <w:rFonts w:hint="default" w:ascii="Times New Roman" w:hAnsi="Times New Roman" w:eastAsia="宋体" w:cs="Times New Roman"/>
                      <w:i w:val="0"/>
                      <w:iCs w:val="0"/>
                      <w:snapToGrid w:val="0"/>
                      <w:color w:val="auto"/>
                      <w:kern w:val="0"/>
                      <w:sz w:val="21"/>
                      <w:szCs w:val="21"/>
                      <w:u w:val="none"/>
                      <w:lang w:val="en-US" w:eastAsia="zh-CN" w:bidi="ar"/>
                    </w:rPr>
                    <w:t>d</w:t>
                  </w:r>
                </w:p>
              </w:tc>
            </w:tr>
            <w:tr w14:paraId="498E0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64" w:type="dxa"/>
                  <w:shd w:val="clear" w:color="auto" w:fill="auto"/>
                  <w:noWrap/>
                  <w:vAlign w:val="center"/>
                </w:tcPr>
                <w:p w14:paraId="0820D7A6">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default" w:ascii="Times New Roman" w:hAnsi="Times New Roman" w:eastAsia="宋体" w:cs="Times New Roman"/>
                      <w:i w:val="0"/>
                      <w:iCs w:val="0"/>
                      <w:snapToGrid w:val="0"/>
                      <w:color w:val="auto"/>
                      <w:kern w:val="0"/>
                      <w:sz w:val="20"/>
                      <w:szCs w:val="20"/>
                      <w:u w:val="none"/>
                      <w:lang w:val="en-US" w:eastAsia="zh-CN" w:bidi="ar"/>
                    </w:rPr>
                    <w:t>11</w:t>
                  </w:r>
                </w:p>
              </w:tc>
              <w:tc>
                <w:tcPr>
                  <w:tcW w:w="668" w:type="dxa"/>
                  <w:vMerge w:val="restart"/>
                  <w:shd w:val="clear" w:color="auto" w:fill="auto"/>
                  <w:noWrap/>
                  <w:vAlign w:val="center"/>
                </w:tcPr>
                <w:p w14:paraId="7FA6589D">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default" w:ascii="Times New Roman" w:hAnsi="Times New Roman" w:eastAsia="宋体" w:cs="Times New Roman"/>
                      <w:i w:val="0"/>
                      <w:iCs w:val="0"/>
                      <w:snapToGrid w:val="0"/>
                      <w:color w:val="auto"/>
                      <w:kern w:val="0"/>
                      <w:sz w:val="20"/>
                      <w:szCs w:val="20"/>
                      <w:u w:val="none"/>
                      <w:lang w:val="en-US" w:eastAsia="zh-CN" w:bidi="ar"/>
                    </w:rPr>
                    <w:t>3号</w:t>
                  </w:r>
                </w:p>
              </w:tc>
              <w:tc>
                <w:tcPr>
                  <w:tcW w:w="1404" w:type="dxa"/>
                  <w:shd w:val="clear" w:color="auto" w:fill="auto"/>
                  <w:noWrap/>
                  <w:vAlign w:val="center"/>
                </w:tcPr>
                <w:p w14:paraId="4698BF67">
                  <w:pPr>
                    <w:keepNext w:val="0"/>
                    <w:keepLines w:val="0"/>
                    <w:widowControl/>
                    <w:suppressLineNumbers w:val="0"/>
                    <w:jc w:val="center"/>
                    <w:textAlignment w:val="top"/>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萨101-9-13</w:t>
                  </w:r>
                </w:p>
              </w:tc>
              <w:tc>
                <w:tcPr>
                  <w:tcW w:w="1132" w:type="dxa"/>
                  <w:shd w:val="clear" w:color="auto" w:fill="auto"/>
                  <w:noWrap/>
                  <w:vAlign w:val="center"/>
                </w:tcPr>
                <w:p w14:paraId="2D807619">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评价井</w:t>
                  </w:r>
                </w:p>
              </w:tc>
              <w:tc>
                <w:tcPr>
                  <w:tcW w:w="1064" w:type="dxa"/>
                  <w:shd w:val="clear" w:color="auto" w:fill="auto"/>
                  <w:noWrap/>
                  <w:vAlign w:val="center"/>
                </w:tcPr>
                <w:p w14:paraId="1EBC34F5">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定向井</w:t>
                  </w:r>
                </w:p>
              </w:tc>
              <w:tc>
                <w:tcPr>
                  <w:tcW w:w="1200" w:type="dxa"/>
                  <w:shd w:val="clear" w:color="auto" w:fill="auto"/>
                  <w:noWrap/>
                  <w:vAlign w:val="center"/>
                </w:tcPr>
                <w:p w14:paraId="3E54FA31">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三开</w:t>
                  </w:r>
                </w:p>
              </w:tc>
              <w:tc>
                <w:tcPr>
                  <w:tcW w:w="1063" w:type="dxa"/>
                  <w:shd w:val="clear" w:color="auto" w:fill="auto"/>
                  <w:noWrap/>
                  <w:vAlign w:val="center"/>
                </w:tcPr>
                <w:p w14:paraId="5589A5CE">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3490</w:t>
                  </w:r>
                </w:p>
              </w:tc>
              <w:tc>
                <w:tcPr>
                  <w:tcW w:w="1081" w:type="dxa"/>
                  <w:shd w:val="clear" w:color="auto" w:fill="auto"/>
                  <w:noWrap/>
                  <w:vAlign w:val="center"/>
                </w:tcPr>
                <w:p w14:paraId="5AA02B61">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30</w:t>
                  </w:r>
                  <w:r>
                    <w:rPr>
                      <w:rFonts w:hint="default" w:ascii="Times New Roman" w:hAnsi="Times New Roman" w:eastAsia="宋体" w:cs="Times New Roman"/>
                      <w:i w:val="0"/>
                      <w:iCs w:val="0"/>
                      <w:snapToGrid w:val="0"/>
                      <w:color w:val="auto"/>
                      <w:kern w:val="0"/>
                      <w:sz w:val="21"/>
                      <w:szCs w:val="21"/>
                      <w:u w:val="none"/>
                      <w:lang w:val="en-US" w:eastAsia="zh-CN" w:bidi="ar"/>
                    </w:rPr>
                    <w:t>d</w:t>
                  </w:r>
                </w:p>
              </w:tc>
            </w:tr>
            <w:tr w14:paraId="2B395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64" w:type="dxa"/>
                  <w:shd w:val="clear" w:color="auto" w:fill="auto"/>
                  <w:noWrap/>
                  <w:vAlign w:val="center"/>
                </w:tcPr>
                <w:p w14:paraId="0AF48083">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default" w:ascii="Times New Roman" w:hAnsi="Times New Roman" w:eastAsia="宋体" w:cs="Times New Roman"/>
                      <w:i w:val="0"/>
                      <w:iCs w:val="0"/>
                      <w:snapToGrid w:val="0"/>
                      <w:color w:val="auto"/>
                      <w:kern w:val="0"/>
                      <w:sz w:val="20"/>
                      <w:szCs w:val="20"/>
                      <w:u w:val="none"/>
                      <w:lang w:val="en-US" w:eastAsia="zh-CN" w:bidi="ar"/>
                    </w:rPr>
                    <w:t>12</w:t>
                  </w:r>
                </w:p>
              </w:tc>
              <w:tc>
                <w:tcPr>
                  <w:tcW w:w="668" w:type="dxa"/>
                  <w:vMerge w:val="continue"/>
                  <w:shd w:val="clear" w:color="auto" w:fill="auto"/>
                  <w:noWrap/>
                  <w:vAlign w:val="center"/>
                </w:tcPr>
                <w:p w14:paraId="1D75858D">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p>
              </w:tc>
              <w:tc>
                <w:tcPr>
                  <w:tcW w:w="1404" w:type="dxa"/>
                  <w:shd w:val="clear" w:color="auto" w:fill="auto"/>
                  <w:noWrap/>
                  <w:vAlign w:val="center"/>
                </w:tcPr>
                <w:p w14:paraId="7A8634C7">
                  <w:pPr>
                    <w:keepNext w:val="0"/>
                    <w:keepLines w:val="0"/>
                    <w:widowControl/>
                    <w:suppressLineNumbers w:val="0"/>
                    <w:jc w:val="center"/>
                    <w:textAlignment w:val="top"/>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萨101-7-13</w:t>
                  </w:r>
                </w:p>
              </w:tc>
              <w:tc>
                <w:tcPr>
                  <w:tcW w:w="1132" w:type="dxa"/>
                  <w:shd w:val="clear" w:color="auto" w:fill="auto"/>
                  <w:noWrap/>
                  <w:vAlign w:val="center"/>
                </w:tcPr>
                <w:p w14:paraId="0328B87E">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评价井</w:t>
                  </w:r>
                </w:p>
              </w:tc>
              <w:tc>
                <w:tcPr>
                  <w:tcW w:w="1064" w:type="dxa"/>
                  <w:shd w:val="clear" w:color="auto" w:fill="auto"/>
                  <w:noWrap/>
                  <w:vAlign w:val="center"/>
                </w:tcPr>
                <w:p w14:paraId="01D48CE7">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定向井</w:t>
                  </w:r>
                </w:p>
              </w:tc>
              <w:tc>
                <w:tcPr>
                  <w:tcW w:w="1200" w:type="dxa"/>
                  <w:shd w:val="clear" w:color="auto" w:fill="auto"/>
                  <w:noWrap/>
                  <w:vAlign w:val="center"/>
                </w:tcPr>
                <w:p w14:paraId="2FBF5618">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三开</w:t>
                  </w:r>
                </w:p>
              </w:tc>
              <w:tc>
                <w:tcPr>
                  <w:tcW w:w="1063" w:type="dxa"/>
                  <w:shd w:val="clear" w:color="auto" w:fill="auto"/>
                  <w:noWrap/>
                  <w:vAlign w:val="center"/>
                </w:tcPr>
                <w:p w14:paraId="4836F280">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3490</w:t>
                  </w:r>
                </w:p>
              </w:tc>
              <w:tc>
                <w:tcPr>
                  <w:tcW w:w="1081" w:type="dxa"/>
                  <w:shd w:val="clear" w:color="auto" w:fill="auto"/>
                  <w:noWrap/>
                  <w:vAlign w:val="center"/>
                </w:tcPr>
                <w:p w14:paraId="2C374C1B">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30</w:t>
                  </w:r>
                  <w:r>
                    <w:rPr>
                      <w:rFonts w:hint="default" w:ascii="Times New Roman" w:hAnsi="Times New Roman" w:eastAsia="宋体" w:cs="Times New Roman"/>
                      <w:i w:val="0"/>
                      <w:iCs w:val="0"/>
                      <w:snapToGrid w:val="0"/>
                      <w:color w:val="auto"/>
                      <w:kern w:val="0"/>
                      <w:sz w:val="21"/>
                      <w:szCs w:val="21"/>
                      <w:u w:val="none"/>
                      <w:lang w:val="en-US" w:eastAsia="zh-CN" w:bidi="ar"/>
                    </w:rPr>
                    <w:t>d</w:t>
                  </w:r>
                </w:p>
              </w:tc>
            </w:tr>
            <w:tr w14:paraId="43B33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64" w:type="dxa"/>
                  <w:shd w:val="clear" w:color="auto" w:fill="auto"/>
                  <w:noWrap/>
                  <w:vAlign w:val="center"/>
                </w:tcPr>
                <w:p w14:paraId="4E779FAD">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13</w:t>
                  </w:r>
                </w:p>
              </w:tc>
              <w:tc>
                <w:tcPr>
                  <w:tcW w:w="668" w:type="dxa"/>
                  <w:vMerge w:val="continue"/>
                  <w:shd w:val="clear" w:color="auto" w:fill="auto"/>
                  <w:noWrap/>
                  <w:vAlign w:val="center"/>
                </w:tcPr>
                <w:p w14:paraId="6D75CBC7">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p>
              </w:tc>
              <w:tc>
                <w:tcPr>
                  <w:tcW w:w="1404" w:type="dxa"/>
                  <w:shd w:val="clear" w:color="auto" w:fill="auto"/>
                  <w:noWrap/>
                  <w:vAlign w:val="center"/>
                </w:tcPr>
                <w:p w14:paraId="69DEEBDC">
                  <w:pPr>
                    <w:keepNext w:val="0"/>
                    <w:keepLines w:val="0"/>
                    <w:widowControl/>
                    <w:suppressLineNumbers w:val="0"/>
                    <w:jc w:val="center"/>
                    <w:textAlignment w:val="top"/>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萨101-6-15</w:t>
                  </w:r>
                </w:p>
              </w:tc>
              <w:tc>
                <w:tcPr>
                  <w:tcW w:w="1132" w:type="dxa"/>
                  <w:shd w:val="clear" w:color="auto" w:fill="auto"/>
                  <w:noWrap/>
                  <w:vAlign w:val="center"/>
                </w:tcPr>
                <w:p w14:paraId="37AC9B03">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评价井</w:t>
                  </w:r>
                </w:p>
              </w:tc>
              <w:tc>
                <w:tcPr>
                  <w:tcW w:w="1064" w:type="dxa"/>
                  <w:shd w:val="clear" w:color="auto" w:fill="auto"/>
                  <w:noWrap/>
                  <w:vAlign w:val="center"/>
                </w:tcPr>
                <w:p w14:paraId="28E2FB93">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定向井</w:t>
                  </w:r>
                </w:p>
              </w:tc>
              <w:tc>
                <w:tcPr>
                  <w:tcW w:w="1200" w:type="dxa"/>
                  <w:shd w:val="clear" w:color="auto" w:fill="auto"/>
                  <w:noWrap/>
                  <w:vAlign w:val="center"/>
                </w:tcPr>
                <w:p w14:paraId="7477D0BE">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三开</w:t>
                  </w:r>
                </w:p>
              </w:tc>
              <w:tc>
                <w:tcPr>
                  <w:tcW w:w="1063" w:type="dxa"/>
                  <w:shd w:val="clear" w:color="auto" w:fill="auto"/>
                  <w:noWrap/>
                  <w:vAlign w:val="center"/>
                </w:tcPr>
                <w:p w14:paraId="271EE79B">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3490</w:t>
                  </w:r>
                </w:p>
              </w:tc>
              <w:tc>
                <w:tcPr>
                  <w:tcW w:w="1081" w:type="dxa"/>
                  <w:shd w:val="clear" w:color="auto" w:fill="auto"/>
                  <w:noWrap/>
                  <w:vAlign w:val="center"/>
                </w:tcPr>
                <w:p w14:paraId="4239DDFF">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30</w:t>
                  </w:r>
                  <w:r>
                    <w:rPr>
                      <w:rFonts w:hint="default" w:ascii="Times New Roman" w:hAnsi="Times New Roman" w:eastAsia="宋体" w:cs="Times New Roman"/>
                      <w:i w:val="0"/>
                      <w:iCs w:val="0"/>
                      <w:snapToGrid w:val="0"/>
                      <w:color w:val="auto"/>
                      <w:kern w:val="0"/>
                      <w:sz w:val="21"/>
                      <w:szCs w:val="21"/>
                      <w:u w:val="none"/>
                      <w:lang w:val="en-US" w:eastAsia="zh-CN" w:bidi="ar"/>
                    </w:rPr>
                    <w:t>d</w:t>
                  </w:r>
                </w:p>
              </w:tc>
            </w:tr>
            <w:tr w14:paraId="04176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64" w:type="dxa"/>
                  <w:shd w:val="clear" w:color="auto" w:fill="auto"/>
                  <w:noWrap/>
                  <w:vAlign w:val="center"/>
                </w:tcPr>
                <w:p w14:paraId="23DA5891">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14</w:t>
                  </w:r>
                </w:p>
              </w:tc>
              <w:tc>
                <w:tcPr>
                  <w:tcW w:w="668" w:type="dxa"/>
                  <w:vMerge w:val="continue"/>
                  <w:shd w:val="clear" w:color="auto" w:fill="auto"/>
                  <w:noWrap/>
                  <w:vAlign w:val="center"/>
                </w:tcPr>
                <w:p w14:paraId="128545E3">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p>
              </w:tc>
              <w:tc>
                <w:tcPr>
                  <w:tcW w:w="1404" w:type="dxa"/>
                  <w:shd w:val="clear" w:color="auto" w:fill="auto"/>
                  <w:noWrap/>
                  <w:vAlign w:val="center"/>
                </w:tcPr>
                <w:p w14:paraId="19135231">
                  <w:pPr>
                    <w:keepNext w:val="0"/>
                    <w:keepLines w:val="0"/>
                    <w:widowControl/>
                    <w:suppressLineNumbers w:val="0"/>
                    <w:jc w:val="center"/>
                    <w:textAlignment w:val="top"/>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萨101-5-15</w:t>
                  </w:r>
                </w:p>
              </w:tc>
              <w:tc>
                <w:tcPr>
                  <w:tcW w:w="1132" w:type="dxa"/>
                  <w:shd w:val="clear" w:color="auto" w:fill="auto"/>
                  <w:noWrap/>
                  <w:vAlign w:val="center"/>
                </w:tcPr>
                <w:p w14:paraId="09EC2CEC">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评价井</w:t>
                  </w:r>
                </w:p>
              </w:tc>
              <w:tc>
                <w:tcPr>
                  <w:tcW w:w="1064" w:type="dxa"/>
                  <w:shd w:val="clear" w:color="auto" w:fill="auto"/>
                  <w:noWrap/>
                  <w:vAlign w:val="center"/>
                </w:tcPr>
                <w:p w14:paraId="7D31CFAF">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定向井</w:t>
                  </w:r>
                </w:p>
              </w:tc>
              <w:tc>
                <w:tcPr>
                  <w:tcW w:w="1200" w:type="dxa"/>
                  <w:shd w:val="clear" w:color="auto" w:fill="auto"/>
                  <w:noWrap/>
                  <w:vAlign w:val="center"/>
                </w:tcPr>
                <w:p w14:paraId="1E6BDE92">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三开</w:t>
                  </w:r>
                </w:p>
              </w:tc>
              <w:tc>
                <w:tcPr>
                  <w:tcW w:w="1063" w:type="dxa"/>
                  <w:shd w:val="clear" w:color="auto" w:fill="auto"/>
                  <w:noWrap/>
                  <w:vAlign w:val="center"/>
                </w:tcPr>
                <w:p w14:paraId="1A8A53CF">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3490</w:t>
                  </w:r>
                </w:p>
              </w:tc>
              <w:tc>
                <w:tcPr>
                  <w:tcW w:w="1081" w:type="dxa"/>
                  <w:shd w:val="clear" w:color="auto" w:fill="auto"/>
                  <w:noWrap/>
                  <w:vAlign w:val="center"/>
                </w:tcPr>
                <w:p w14:paraId="542675A2">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30</w:t>
                  </w:r>
                  <w:r>
                    <w:rPr>
                      <w:rFonts w:hint="default" w:ascii="Times New Roman" w:hAnsi="Times New Roman" w:eastAsia="宋体" w:cs="Times New Roman"/>
                      <w:i w:val="0"/>
                      <w:iCs w:val="0"/>
                      <w:snapToGrid w:val="0"/>
                      <w:color w:val="auto"/>
                      <w:kern w:val="0"/>
                      <w:sz w:val="21"/>
                      <w:szCs w:val="21"/>
                      <w:u w:val="none"/>
                      <w:lang w:val="en-US" w:eastAsia="zh-CN" w:bidi="ar"/>
                    </w:rPr>
                    <w:t>d</w:t>
                  </w:r>
                </w:p>
              </w:tc>
            </w:tr>
            <w:tr w14:paraId="7F8EE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64" w:type="dxa"/>
                  <w:shd w:val="clear" w:color="auto" w:fill="auto"/>
                  <w:noWrap/>
                  <w:vAlign w:val="center"/>
                </w:tcPr>
                <w:p w14:paraId="6AE2E1A1">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15</w:t>
                  </w:r>
                </w:p>
              </w:tc>
              <w:tc>
                <w:tcPr>
                  <w:tcW w:w="668" w:type="dxa"/>
                  <w:vMerge w:val="continue"/>
                  <w:shd w:val="clear" w:color="auto" w:fill="auto"/>
                  <w:noWrap/>
                  <w:vAlign w:val="center"/>
                </w:tcPr>
                <w:p w14:paraId="1DBD1DBB">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p>
              </w:tc>
              <w:tc>
                <w:tcPr>
                  <w:tcW w:w="1404" w:type="dxa"/>
                  <w:shd w:val="clear" w:color="auto" w:fill="auto"/>
                  <w:noWrap/>
                  <w:vAlign w:val="center"/>
                </w:tcPr>
                <w:p w14:paraId="717FBB8A">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0"/>
                      <w:szCs w:val="20"/>
                      <w:u w:val="none"/>
                      <w:lang w:val="en-US" w:eastAsia="zh-CN" w:bidi="ar"/>
                    </w:rPr>
                  </w:pPr>
                  <w:r>
                    <w:rPr>
                      <w:rFonts w:hint="default" w:ascii="Times New Roman" w:hAnsi="Times New Roman" w:eastAsia="宋体" w:cs="Times New Roman"/>
                      <w:i w:val="0"/>
                      <w:iCs w:val="0"/>
                      <w:snapToGrid w:val="0"/>
                      <w:color w:val="auto"/>
                      <w:kern w:val="0"/>
                      <w:sz w:val="20"/>
                      <w:szCs w:val="20"/>
                      <w:u w:val="none"/>
                      <w:lang w:val="en-US" w:eastAsia="zh-CN" w:bidi="ar"/>
                    </w:rPr>
                    <w:t>萨101-3-15</w:t>
                  </w:r>
                </w:p>
              </w:tc>
              <w:tc>
                <w:tcPr>
                  <w:tcW w:w="1132" w:type="dxa"/>
                  <w:shd w:val="clear" w:color="auto" w:fill="auto"/>
                  <w:noWrap/>
                  <w:vAlign w:val="center"/>
                </w:tcPr>
                <w:p w14:paraId="1B62F0F9">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评价井</w:t>
                  </w:r>
                </w:p>
              </w:tc>
              <w:tc>
                <w:tcPr>
                  <w:tcW w:w="1064" w:type="dxa"/>
                  <w:shd w:val="clear" w:color="auto" w:fill="auto"/>
                  <w:noWrap/>
                  <w:vAlign w:val="center"/>
                </w:tcPr>
                <w:p w14:paraId="774E5B5A">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定向井</w:t>
                  </w:r>
                </w:p>
              </w:tc>
              <w:tc>
                <w:tcPr>
                  <w:tcW w:w="1200" w:type="dxa"/>
                  <w:shd w:val="clear" w:color="auto" w:fill="auto"/>
                  <w:noWrap/>
                  <w:vAlign w:val="center"/>
                </w:tcPr>
                <w:p w14:paraId="5FA068B9">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三开</w:t>
                  </w:r>
                </w:p>
              </w:tc>
              <w:tc>
                <w:tcPr>
                  <w:tcW w:w="1063" w:type="dxa"/>
                  <w:shd w:val="clear" w:color="auto" w:fill="auto"/>
                  <w:noWrap/>
                  <w:vAlign w:val="center"/>
                </w:tcPr>
                <w:p w14:paraId="0E5046AE">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3490</w:t>
                  </w:r>
                </w:p>
              </w:tc>
              <w:tc>
                <w:tcPr>
                  <w:tcW w:w="1081" w:type="dxa"/>
                  <w:shd w:val="clear" w:color="auto" w:fill="auto"/>
                  <w:noWrap/>
                  <w:vAlign w:val="center"/>
                </w:tcPr>
                <w:p w14:paraId="6B2BCC89">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30</w:t>
                  </w:r>
                  <w:r>
                    <w:rPr>
                      <w:rFonts w:hint="default" w:ascii="Times New Roman" w:hAnsi="Times New Roman" w:eastAsia="宋体" w:cs="Times New Roman"/>
                      <w:i w:val="0"/>
                      <w:iCs w:val="0"/>
                      <w:snapToGrid w:val="0"/>
                      <w:color w:val="auto"/>
                      <w:kern w:val="0"/>
                      <w:sz w:val="21"/>
                      <w:szCs w:val="21"/>
                      <w:u w:val="none"/>
                      <w:lang w:val="en-US" w:eastAsia="zh-CN" w:bidi="ar"/>
                    </w:rPr>
                    <w:t>d</w:t>
                  </w:r>
                </w:p>
              </w:tc>
            </w:tr>
            <w:tr w14:paraId="61C3B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64" w:type="dxa"/>
                  <w:shd w:val="clear" w:color="auto" w:fill="auto"/>
                  <w:vAlign w:val="center"/>
                </w:tcPr>
                <w:p w14:paraId="0513E43D">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16</w:t>
                  </w:r>
                </w:p>
              </w:tc>
              <w:tc>
                <w:tcPr>
                  <w:tcW w:w="668" w:type="dxa"/>
                  <w:vMerge w:val="restart"/>
                  <w:shd w:val="clear" w:color="auto" w:fill="auto"/>
                  <w:vAlign w:val="center"/>
                </w:tcPr>
                <w:p w14:paraId="4F6A3944">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4号</w:t>
                  </w:r>
                </w:p>
              </w:tc>
              <w:tc>
                <w:tcPr>
                  <w:tcW w:w="1404" w:type="dxa"/>
                  <w:shd w:val="clear" w:color="auto" w:fill="auto"/>
                  <w:vAlign w:val="center"/>
                </w:tcPr>
                <w:p w14:paraId="324FBC3A">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萨</w:t>
                  </w:r>
                  <w:r>
                    <w:rPr>
                      <w:rStyle w:val="29"/>
                      <w:rFonts w:hint="default" w:ascii="Times New Roman" w:hAnsi="Times New Roman" w:eastAsia="宋体" w:cs="Times New Roman"/>
                      <w:snapToGrid w:val="0"/>
                      <w:color w:val="auto"/>
                      <w:lang w:val="en-US" w:eastAsia="zh-CN" w:bidi="ar"/>
                    </w:rPr>
                    <w:t>6-16-11</w:t>
                  </w:r>
                </w:p>
              </w:tc>
              <w:tc>
                <w:tcPr>
                  <w:tcW w:w="1132" w:type="dxa"/>
                  <w:shd w:val="clear" w:color="auto" w:fill="auto"/>
                  <w:vAlign w:val="center"/>
                </w:tcPr>
                <w:p w14:paraId="5327DC3B">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评价井</w:t>
                  </w:r>
                </w:p>
              </w:tc>
              <w:tc>
                <w:tcPr>
                  <w:tcW w:w="1064" w:type="dxa"/>
                  <w:shd w:val="clear" w:color="auto" w:fill="auto"/>
                  <w:vAlign w:val="center"/>
                </w:tcPr>
                <w:p w14:paraId="33330C3D">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定向井</w:t>
                  </w:r>
                </w:p>
              </w:tc>
              <w:tc>
                <w:tcPr>
                  <w:tcW w:w="1200" w:type="dxa"/>
                  <w:shd w:val="clear" w:color="auto" w:fill="auto"/>
                  <w:vAlign w:val="center"/>
                </w:tcPr>
                <w:p w14:paraId="53F2598E">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三开</w:t>
                  </w:r>
                </w:p>
              </w:tc>
              <w:tc>
                <w:tcPr>
                  <w:tcW w:w="1063" w:type="dxa"/>
                  <w:shd w:val="clear" w:color="auto" w:fill="auto"/>
                  <w:vAlign w:val="center"/>
                </w:tcPr>
                <w:p w14:paraId="56E66D2C">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3490</w:t>
                  </w:r>
                </w:p>
              </w:tc>
              <w:tc>
                <w:tcPr>
                  <w:tcW w:w="1081" w:type="dxa"/>
                  <w:shd w:val="clear" w:color="auto" w:fill="auto"/>
                  <w:vAlign w:val="center"/>
                </w:tcPr>
                <w:p w14:paraId="6F4FFF2C">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30</w:t>
                  </w:r>
                  <w:r>
                    <w:rPr>
                      <w:rFonts w:hint="default" w:ascii="Times New Roman" w:hAnsi="Times New Roman" w:eastAsia="宋体" w:cs="Times New Roman"/>
                      <w:i w:val="0"/>
                      <w:iCs w:val="0"/>
                      <w:snapToGrid w:val="0"/>
                      <w:color w:val="auto"/>
                      <w:kern w:val="0"/>
                      <w:sz w:val="21"/>
                      <w:szCs w:val="21"/>
                      <w:u w:val="none"/>
                      <w:lang w:val="en-US" w:eastAsia="zh-CN" w:bidi="ar"/>
                    </w:rPr>
                    <w:t>d</w:t>
                  </w:r>
                </w:p>
              </w:tc>
            </w:tr>
            <w:tr w14:paraId="69A7D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64" w:type="dxa"/>
                  <w:shd w:val="clear" w:color="auto" w:fill="auto"/>
                  <w:vAlign w:val="center"/>
                </w:tcPr>
                <w:p w14:paraId="4CBDCFF4">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17</w:t>
                  </w:r>
                </w:p>
              </w:tc>
              <w:tc>
                <w:tcPr>
                  <w:tcW w:w="668" w:type="dxa"/>
                  <w:vMerge w:val="continue"/>
                  <w:shd w:val="clear" w:color="auto" w:fill="auto"/>
                  <w:vAlign w:val="top"/>
                </w:tcPr>
                <w:p w14:paraId="40BDD55A">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04" w:type="dxa"/>
                  <w:shd w:val="clear" w:color="auto" w:fill="auto"/>
                  <w:vAlign w:val="center"/>
                </w:tcPr>
                <w:p w14:paraId="07B9A7F1">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萨</w:t>
                  </w:r>
                  <w:r>
                    <w:rPr>
                      <w:rStyle w:val="29"/>
                      <w:rFonts w:hint="default" w:ascii="Times New Roman" w:hAnsi="Times New Roman" w:eastAsia="宋体" w:cs="Times New Roman"/>
                      <w:snapToGrid w:val="0"/>
                      <w:color w:val="auto"/>
                      <w:lang w:val="en-US" w:eastAsia="zh-CN" w:bidi="ar"/>
                    </w:rPr>
                    <w:t>6-11-12</w:t>
                  </w:r>
                </w:p>
              </w:tc>
              <w:tc>
                <w:tcPr>
                  <w:tcW w:w="1132" w:type="dxa"/>
                  <w:shd w:val="clear" w:color="auto" w:fill="auto"/>
                  <w:vAlign w:val="center"/>
                </w:tcPr>
                <w:p w14:paraId="71A1E17D">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评价井</w:t>
                  </w:r>
                </w:p>
              </w:tc>
              <w:tc>
                <w:tcPr>
                  <w:tcW w:w="1064" w:type="dxa"/>
                  <w:shd w:val="clear" w:color="auto" w:fill="auto"/>
                  <w:vAlign w:val="center"/>
                </w:tcPr>
                <w:p w14:paraId="0E929A0B">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定向井</w:t>
                  </w:r>
                </w:p>
              </w:tc>
              <w:tc>
                <w:tcPr>
                  <w:tcW w:w="1200" w:type="dxa"/>
                  <w:shd w:val="clear" w:color="auto" w:fill="auto"/>
                  <w:vAlign w:val="center"/>
                </w:tcPr>
                <w:p w14:paraId="51C06FAC">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三开</w:t>
                  </w:r>
                </w:p>
              </w:tc>
              <w:tc>
                <w:tcPr>
                  <w:tcW w:w="1063" w:type="dxa"/>
                  <w:shd w:val="clear" w:color="auto" w:fill="auto"/>
                  <w:vAlign w:val="center"/>
                </w:tcPr>
                <w:p w14:paraId="1D91F8FB">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3490</w:t>
                  </w:r>
                </w:p>
              </w:tc>
              <w:tc>
                <w:tcPr>
                  <w:tcW w:w="1081" w:type="dxa"/>
                  <w:shd w:val="clear" w:color="auto" w:fill="auto"/>
                  <w:vAlign w:val="center"/>
                </w:tcPr>
                <w:p w14:paraId="6DC4F237">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30</w:t>
                  </w:r>
                  <w:r>
                    <w:rPr>
                      <w:rFonts w:hint="default" w:ascii="Times New Roman" w:hAnsi="Times New Roman" w:eastAsia="宋体" w:cs="Times New Roman"/>
                      <w:i w:val="0"/>
                      <w:iCs w:val="0"/>
                      <w:snapToGrid w:val="0"/>
                      <w:color w:val="auto"/>
                      <w:kern w:val="0"/>
                      <w:sz w:val="21"/>
                      <w:szCs w:val="21"/>
                      <w:u w:val="none"/>
                      <w:lang w:val="en-US" w:eastAsia="zh-CN" w:bidi="ar"/>
                    </w:rPr>
                    <w:t>d</w:t>
                  </w:r>
                </w:p>
              </w:tc>
            </w:tr>
            <w:tr w14:paraId="6FAD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3" w:hRule="atLeast"/>
                <w:jc w:val="center"/>
              </w:trPr>
              <w:tc>
                <w:tcPr>
                  <w:tcW w:w="664" w:type="dxa"/>
                  <w:shd w:val="clear" w:color="auto" w:fill="auto"/>
                  <w:vAlign w:val="center"/>
                </w:tcPr>
                <w:p w14:paraId="4A92BE4A">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18</w:t>
                  </w:r>
                </w:p>
              </w:tc>
              <w:tc>
                <w:tcPr>
                  <w:tcW w:w="668" w:type="dxa"/>
                  <w:vMerge w:val="continue"/>
                  <w:shd w:val="clear" w:color="auto" w:fill="auto"/>
                  <w:vAlign w:val="top"/>
                </w:tcPr>
                <w:p w14:paraId="6856E5DA">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04" w:type="dxa"/>
                  <w:shd w:val="clear" w:color="auto" w:fill="auto"/>
                  <w:vAlign w:val="center"/>
                </w:tcPr>
                <w:p w14:paraId="3E47AEF8">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萨6</w:t>
                  </w:r>
                  <w:r>
                    <w:rPr>
                      <w:rStyle w:val="29"/>
                      <w:rFonts w:hint="default" w:ascii="Times New Roman" w:hAnsi="Times New Roman" w:eastAsia="宋体" w:cs="Times New Roman"/>
                      <w:snapToGrid w:val="0"/>
                      <w:color w:val="auto"/>
                      <w:lang w:val="en-US" w:eastAsia="zh-CN" w:bidi="ar"/>
                    </w:rPr>
                    <w:t>-13-12</w:t>
                  </w:r>
                </w:p>
              </w:tc>
              <w:tc>
                <w:tcPr>
                  <w:tcW w:w="1132" w:type="dxa"/>
                  <w:shd w:val="clear" w:color="auto" w:fill="auto"/>
                  <w:vAlign w:val="center"/>
                </w:tcPr>
                <w:p w14:paraId="1B360C7B">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评价井</w:t>
                  </w:r>
                </w:p>
              </w:tc>
              <w:tc>
                <w:tcPr>
                  <w:tcW w:w="1064" w:type="dxa"/>
                  <w:shd w:val="clear" w:color="auto" w:fill="auto"/>
                  <w:vAlign w:val="center"/>
                </w:tcPr>
                <w:p w14:paraId="0F0B2CA4">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定向井</w:t>
                  </w:r>
                </w:p>
              </w:tc>
              <w:tc>
                <w:tcPr>
                  <w:tcW w:w="1200" w:type="dxa"/>
                  <w:shd w:val="clear" w:color="auto" w:fill="auto"/>
                  <w:vAlign w:val="center"/>
                </w:tcPr>
                <w:p w14:paraId="3F8545B0">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三开</w:t>
                  </w:r>
                </w:p>
              </w:tc>
              <w:tc>
                <w:tcPr>
                  <w:tcW w:w="1063" w:type="dxa"/>
                  <w:shd w:val="clear" w:color="auto" w:fill="auto"/>
                  <w:vAlign w:val="center"/>
                </w:tcPr>
                <w:p w14:paraId="5AA2599C">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3490</w:t>
                  </w:r>
                </w:p>
              </w:tc>
              <w:tc>
                <w:tcPr>
                  <w:tcW w:w="1081" w:type="dxa"/>
                  <w:shd w:val="clear" w:color="auto" w:fill="auto"/>
                  <w:vAlign w:val="center"/>
                </w:tcPr>
                <w:p w14:paraId="09123B5F">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30</w:t>
                  </w:r>
                  <w:r>
                    <w:rPr>
                      <w:rFonts w:hint="default" w:ascii="Times New Roman" w:hAnsi="Times New Roman" w:eastAsia="宋体" w:cs="Times New Roman"/>
                      <w:i w:val="0"/>
                      <w:iCs w:val="0"/>
                      <w:snapToGrid w:val="0"/>
                      <w:color w:val="auto"/>
                      <w:kern w:val="0"/>
                      <w:sz w:val="21"/>
                      <w:szCs w:val="21"/>
                      <w:u w:val="none"/>
                      <w:lang w:val="en-US" w:eastAsia="zh-CN" w:bidi="ar"/>
                    </w:rPr>
                    <w:t>d</w:t>
                  </w:r>
                </w:p>
              </w:tc>
            </w:tr>
            <w:tr w14:paraId="7EF8D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64" w:type="dxa"/>
                  <w:shd w:val="clear" w:color="auto" w:fill="auto"/>
                  <w:vAlign w:val="center"/>
                </w:tcPr>
                <w:p w14:paraId="67AD0654">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19</w:t>
                  </w:r>
                </w:p>
              </w:tc>
              <w:tc>
                <w:tcPr>
                  <w:tcW w:w="668" w:type="dxa"/>
                  <w:vMerge w:val="continue"/>
                  <w:shd w:val="clear" w:color="auto" w:fill="auto"/>
                  <w:vAlign w:val="top"/>
                </w:tcPr>
                <w:p w14:paraId="023C77AE">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04" w:type="dxa"/>
                  <w:shd w:val="clear" w:color="auto" w:fill="auto"/>
                  <w:vAlign w:val="center"/>
                </w:tcPr>
                <w:p w14:paraId="1734A907">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萨6</w:t>
                  </w:r>
                  <w:r>
                    <w:rPr>
                      <w:rStyle w:val="29"/>
                      <w:rFonts w:hint="default" w:ascii="Times New Roman" w:hAnsi="Times New Roman" w:eastAsia="宋体" w:cs="Times New Roman"/>
                      <w:snapToGrid w:val="0"/>
                      <w:color w:val="auto"/>
                      <w:lang w:val="en-US" w:eastAsia="zh-CN" w:bidi="ar"/>
                    </w:rPr>
                    <w:t>-15-12</w:t>
                  </w:r>
                </w:p>
              </w:tc>
              <w:tc>
                <w:tcPr>
                  <w:tcW w:w="1132" w:type="dxa"/>
                  <w:shd w:val="clear" w:color="auto" w:fill="auto"/>
                  <w:vAlign w:val="center"/>
                </w:tcPr>
                <w:p w14:paraId="22885A62">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评价井</w:t>
                  </w:r>
                </w:p>
              </w:tc>
              <w:tc>
                <w:tcPr>
                  <w:tcW w:w="1064" w:type="dxa"/>
                  <w:shd w:val="clear" w:color="auto" w:fill="auto"/>
                  <w:vAlign w:val="center"/>
                </w:tcPr>
                <w:p w14:paraId="343B68F2">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定向井</w:t>
                  </w:r>
                </w:p>
              </w:tc>
              <w:tc>
                <w:tcPr>
                  <w:tcW w:w="1200" w:type="dxa"/>
                  <w:shd w:val="clear" w:color="auto" w:fill="auto"/>
                  <w:vAlign w:val="center"/>
                </w:tcPr>
                <w:p w14:paraId="5869135D">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三开</w:t>
                  </w:r>
                </w:p>
              </w:tc>
              <w:tc>
                <w:tcPr>
                  <w:tcW w:w="1063" w:type="dxa"/>
                  <w:shd w:val="clear" w:color="auto" w:fill="auto"/>
                  <w:vAlign w:val="center"/>
                </w:tcPr>
                <w:p w14:paraId="2BFA1791">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3490</w:t>
                  </w:r>
                </w:p>
              </w:tc>
              <w:tc>
                <w:tcPr>
                  <w:tcW w:w="1081" w:type="dxa"/>
                  <w:shd w:val="clear" w:color="auto" w:fill="auto"/>
                  <w:vAlign w:val="center"/>
                </w:tcPr>
                <w:p w14:paraId="603C542F">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30</w:t>
                  </w:r>
                  <w:r>
                    <w:rPr>
                      <w:rFonts w:hint="default" w:ascii="Times New Roman" w:hAnsi="Times New Roman" w:eastAsia="宋体" w:cs="Times New Roman"/>
                      <w:i w:val="0"/>
                      <w:iCs w:val="0"/>
                      <w:snapToGrid w:val="0"/>
                      <w:color w:val="auto"/>
                      <w:kern w:val="0"/>
                      <w:sz w:val="21"/>
                      <w:szCs w:val="21"/>
                      <w:u w:val="none"/>
                      <w:lang w:val="en-US" w:eastAsia="zh-CN" w:bidi="ar"/>
                    </w:rPr>
                    <w:t>d</w:t>
                  </w:r>
                </w:p>
              </w:tc>
            </w:tr>
            <w:tr w14:paraId="383E5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64" w:type="dxa"/>
                  <w:shd w:val="clear" w:color="auto" w:fill="auto"/>
                  <w:vAlign w:val="center"/>
                </w:tcPr>
                <w:p w14:paraId="369A4289">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20</w:t>
                  </w:r>
                </w:p>
              </w:tc>
              <w:tc>
                <w:tcPr>
                  <w:tcW w:w="668" w:type="dxa"/>
                  <w:vMerge w:val="continue"/>
                  <w:shd w:val="clear" w:color="auto" w:fill="auto"/>
                  <w:vAlign w:val="top"/>
                </w:tcPr>
                <w:p w14:paraId="117F0E9F">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p>
              </w:tc>
              <w:tc>
                <w:tcPr>
                  <w:tcW w:w="1404" w:type="dxa"/>
                  <w:shd w:val="clear" w:color="auto" w:fill="auto"/>
                  <w:vAlign w:val="center"/>
                </w:tcPr>
                <w:p w14:paraId="18F15313">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萨6-12-12</w:t>
                  </w:r>
                </w:p>
              </w:tc>
              <w:tc>
                <w:tcPr>
                  <w:tcW w:w="1132" w:type="dxa"/>
                  <w:shd w:val="clear" w:color="auto" w:fill="auto"/>
                  <w:vAlign w:val="center"/>
                </w:tcPr>
                <w:p w14:paraId="2F9FE9AB">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评价井</w:t>
                  </w:r>
                </w:p>
              </w:tc>
              <w:tc>
                <w:tcPr>
                  <w:tcW w:w="1064" w:type="dxa"/>
                  <w:shd w:val="clear" w:color="auto" w:fill="auto"/>
                  <w:vAlign w:val="center"/>
                </w:tcPr>
                <w:p w14:paraId="2F37909A">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定向井</w:t>
                  </w:r>
                </w:p>
              </w:tc>
              <w:tc>
                <w:tcPr>
                  <w:tcW w:w="1200" w:type="dxa"/>
                  <w:shd w:val="clear" w:color="auto" w:fill="auto"/>
                  <w:vAlign w:val="center"/>
                </w:tcPr>
                <w:p w14:paraId="0169C1AD">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三开</w:t>
                  </w:r>
                </w:p>
              </w:tc>
              <w:tc>
                <w:tcPr>
                  <w:tcW w:w="1063" w:type="dxa"/>
                  <w:shd w:val="clear" w:color="auto" w:fill="auto"/>
                  <w:vAlign w:val="center"/>
                </w:tcPr>
                <w:p w14:paraId="2CF981AB">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3490</w:t>
                  </w:r>
                </w:p>
              </w:tc>
              <w:tc>
                <w:tcPr>
                  <w:tcW w:w="1081" w:type="dxa"/>
                  <w:shd w:val="clear" w:color="auto" w:fill="auto"/>
                  <w:vAlign w:val="center"/>
                </w:tcPr>
                <w:p w14:paraId="562FDD54">
                  <w:pPr>
                    <w:keepNext w:val="0"/>
                    <w:keepLines w:val="0"/>
                    <w:widowControl/>
                    <w:suppressLineNumbers w:val="0"/>
                    <w:jc w:val="center"/>
                    <w:textAlignment w:val="top"/>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30</w:t>
                  </w:r>
                  <w:r>
                    <w:rPr>
                      <w:rFonts w:hint="default" w:ascii="Times New Roman" w:hAnsi="Times New Roman" w:eastAsia="宋体" w:cs="Times New Roman"/>
                      <w:i w:val="0"/>
                      <w:iCs w:val="0"/>
                      <w:snapToGrid w:val="0"/>
                      <w:color w:val="auto"/>
                      <w:kern w:val="0"/>
                      <w:sz w:val="21"/>
                      <w:szCs w:val="21"/>
                      <w:u w:val="none"/>
                      <w:lang w:val="en-US" w:eastAsia="zh-CN" w:bidi="ar"/>
                    </w:rPr>
                    <w:t>d</w:t>
                  </w:r>
                </w:p>
              </w:tc>
            </w:tr>
          </w:tbl>
          <w:p w14:paraId="24FF52CE">
            <w:pPr>
              <w:widowControl w:val="0"/>
              <w:snapToGrid w:val="0"/>
              <w:spacing w:line="500" w:lineRule="exact"/>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4.2井身结构</w:t>
            </w:r>
          </w:p>
          <w:p w14:paraId="490F6C36">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本次拟钻井井身结构</w:t>
            </w:r>
            <w:r>
              <w:rPr>
                <w:rFonts w:hint="default" w:ascii="Times New Roman" w:hAnsi="Times New Roman" w:eastAsia="宋体" w:cs="Times New Roman"/>
                <w:color w:val="auto"/>
                <w:sz w:val="24"/>
                <w:szCs w:val="24"/>
                <w:highlight w:val="none"/>
                <w:lang w:val="en-US" w:eastAsia="zh-CN"/>
              </w:rPr>
              <w:t>数据</w:t>
            </w:r>
            <w:r>
              <w:rPr>
                <w:rFonts w:hint="default" w:ascii="Times New Roman" w:hAnsi="Times New Roman" w:eastAsia="宋体" w:cs="Times New Roman"/>
                <w:color w:val="auto"/>
                <w:sz w:val="24"/>
                <w:szCs w:val="24"/>
                <w:highlight w:val="none"/>
              </w:rPr>
              <w:t>见表2-</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井身结构设计说明见表2-6，</w:t>
            </w:r>
            <w:r>
              <w:rPr>
                <w:rFonts w:hint="default" w:ascii="Times New Roman" w:hAnsi="Times New Roman" w:eastAsia="宋体" w:cs="Times New Roman"/>
                <w:color w:val="auto"/>
                <w:sz w:val="24"/>
                <w:szCs w:val="24"/>
                <w:highlight w:val="none"/>
              </w:rPr>
              <w:t>井身结构图见图2-</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w:t>
            </w:r>
          </w:p>
          <w:p w14:paraId="6B166DE7">
            <w:pPr>
              <w:pStyle w:val="16"/>
              <w:widowControl w:val="0"/>
              <w:spacing w:before="161" w:line="224"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spacing w:val="5"/>
                <w:sz w:val="21"/>
                <w:szCs w:val="21"/>
                <w:highlight w:val="none"/>
              </w:rPr>
              <w:t>表</w:t>
            </w:r>
            <w:r>
              <w:rPr>
                <w:rFonts w:hint="default" w:ascii="Times New Roman" w:hAnsi="Times New Roman" w:eastAsia="宋体" w:cs="Times New Roman"/>
                <w:b/>
                <w:bCs/>
                <w:color w:val="auto"/>
                <w:spacing w:val="5"/>
                <w:sz w:val="21"/>
                <w:szCs w:val="21"/>
                <w:highlight w:val="none"/>
                <w:lang w:val="en-US" w:eastAsia="zh-CN"/>
              </w:rPr>
              <w:t>2-</w:t>
            </w:r>
            <w:r>
              <w:rPr>
                <w:rFonts w:hint="default" w:ascii="Times New Roman" w:hAnsi="Times New Roman" w:cs="Times New Roman"/>
                <w:b/>
                <w:bCs/>
                <w:color w:val="auto"/>
                <w:spacing w:val="5"/>
                <w:sz w:val="21"/>
                <w:szCs w:val="21"/>
                <w:highlight w:val="none"/>
                <w:lang w:val="en-US" w:eastAsia="zh-CN"/>
              </w:rPr>
              <w:t>5</w:t>
            </w:r>
            <w:r>
              <w:rPr>
                <w:rFonts w:hint="default" w:ascii="Times New Roman" w:hAnsi="Times New Roman" w:eastAsia="宋体" w:cs="Times New Roman"/>
                <w:b/>
                <w:bCs/>
                <w:color w:val="auto"/>
                <w:spacing w:val="5"/>
                <w:sz w:val="21"/>
                <w:szCs w:val="21"/>
                <w:highlight w:val="none"/>
                <w:lang w:val="en-US" w:eastAsia="zh-CN"/>
              </w:rPr>
              <w:t xml:space="preserve"> </w:t>
            </w:r>
            <w:r>
              <w:rPr>
                <w:rFonts w:hint="default" w:ascii="Times New Roman" w:hAnsi="Times New Roman" w:eastAsia="宋体" w:cs="Times New Roman"/>
                <w:b/>
                <w:bCs/>
                <w:color w:val="auto"/>
                <w:spacing w:val="5"/>
                <w:sz w:val="21"/>
                <w:szCs w:val="21"/>
                <w:highlight w:val="none"/>
              </w:rPr>
              <w:t>井身结构设计</w:t>
            </w:r>
            <w:r>
              <w:rPr>
                <w:rFonts w:hint="default" w:ascii="Times New Roman" w:hAnsi="Times New Roman" w:eastAsia="宋体" w:cs="Times New Roman"/>
                <w:b/>
                <w:bCs/>
                <w:color w:val="auto"/>
                <w:spacing w:val="5"/>
                <w:sz w:val="21"/>
                <w:szCs w:val="21"/>
                <w:highlight w:val="none"/>
                <w:lang w:val="en-US" w:eastAsia="zh-CN"/>
              </w:rPr>
              <w:t>数据表</w:t>
            </w:r>
          </w:p>
          <w:tbl>
            <w:tblPr>
              <w:tblStyle w:val="11"/>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8"/>
              <w:gridCol w:w="785"/>
              <w:gridCol w:w="1234"/>
              <w:gridCol w:w="1315"/>
              <w:gridCol w:w="1532"/>
              <w:gridCol w:w="1527"/>
              <w:gridCol w:w="1275"/>
            </w:tblGrid>
            <w:tr w14:paraId="05C44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628" w:type="dxa"/>
                  <w:noWrap w:val="0"/>
                  <w:vAlign w:val="center"/>
                </w:tcPr>
                <w:p w14:paraId="594D040E">
                  <w:pPr>
                    <w:pStyle w:val="19"/>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开钻</w:t>
                  </w:r>
                </w:p>
                <w:p w14:paraId="5B121251">
                  <w:pPr>
                    <w:pStyle w:val="19"/>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次序</w:t>
                  </w:r>
                </w:p>
              </w:tc>
              <w:tc>
                <w:tcPr>
                  <w:tcW w:w="785" w:type="dxa"/>
                  <w:noWrap w:val="0"/>
                  <w:vAlign w:val="center"/>
                </w:tcPr>
                <w:p w14:paraId="20483860">
                  <w:pPr>
                    <w:pStyle w:val="19"/>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井深</w:t>
                  </w:r>
                </w:p>
                <w:p w14:paraId="13C20E34">
                  <w:pPr>
                    <w:pStyle w:val="19"/>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(m)</w:t>
                  </w:r>
                </w:p>
              </w:tc>
              <w:tc>
                <w:tcPr>
                  <w:tcW w:w="1234" w:type="dxa"/>
                  <w:noWrap w:val="0"/>
                  <w:vAlign w:val="center"/>
                </w:tcPr>
                <w:p w14:paraId="768252DD">
                  <w:pPr>
                    <w:pStyle w:val="19"/>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钻头尺寸</w:t>
                  </w:r>
                </w:p>
                <w:p w14:paraId="546A44DA">
                  <w:pPr>
                    <w:pStyle w:val="19"/>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(mm)</w:t>
                  </w:r>
                </w:p>
              </w:tc>
              <w:tc>
                <w:tcPr>
                  <w:tcW w:w="1315" w:type="dxa"/>
                  <w:noWrap w:val="0"/>
                  <w:vAlign w:val="center"/>
                </w:tcPr>
                <w:p w14:paraId="14E16087">
                  <w:pPr>
                    <w:pStyle w:val="19"/>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套管尺寸</w:t>
                  </w:r>
                </w:p>
                <w:p w14:paraId="66ADA3D4">
                  <w:pPr>
                    <w:pStyle w:val="19"/>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(mm)</w:t>
                  </w:r>
                </w:p>
              </w:tc>
              <w:tc>
                <w:tcPr>
                  <w:tcW w:w="1532" w:type="dxa"/>
                  <w:noWrap w:val="0"/>
                  <w:vAlign w:val="center"/>
                </w:tcPr>
                <w:p w14:paraId="325AFAF1">
                  <w:pPr>
                    <w:pStyle w:val="19"/>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套管下入层位</w:t>
                  </w:r>
                </w:p>
              </w:tc>
              <w:tc>
                <w:tcPr>
                  <w:tcW w:w="1527" w:type="dxa"/>
                  <w:noWrap w:val="0"/>
                  <w:vAlign w:val="center"/>
                </w:tcPr>
                <w:p w14:paraId="0393C312">
                  <w:pPr>
                    <w:pStyle w:val="19"/>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套管下入深度</w:t>
                  </w:r>
                </w:p>
                <w:p w14:paraId="2FBE85C3">
                  <w:pPr>
                    <w:pStyle w:val="19"/>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(m)</w:t>
                  </w:r>
                </w:p>
              </w:tc>
              <w:tc>
                <w:tcPr>
                  <w:tcW w:w="1275" w:type="dxa"/>
                  <w:noWrap w:val="0"/>
                  <w:vAlign w:val="center"/>
                </w:tcPr>
                <w:p w14:paraId="4A96B0D4">
                  <w:pPr>
                    <w:pStyle w:val="19"/>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环空水泥返深</w:t>
                  </w:r>
                </w:p>
                <w:p w14:paraId="25032A09">
                  <w:pPr>
                    <w:pStyle w:val="19"/>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(m)</w:t>
                  </w:r>
                </w:p>
              </w:tc>
            </w:tr>
            <w:tr w14:paraId="53D7F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628" w:type="dxa"/>
                  <w:noWrap w:val="0"/>
                  <w:vAlign w:val="center"/>
                </w:tcPr>
                <w:p w14:paraId="04CB365E">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导眼</w:t>
                  </w:r>
                </w:p>
              </w:tc>
              <w:tc>
                <w:tcPr>
                  <w:tcW w:w="785" w:type="dxa"/>
                  <w:noWrap w:val="0"/>
                  <w:vAlign w:val="center"/>
                </w:tcPr>
                <w:p w14:paraId="3A047788">
                  <w:pPr>
                    <w:pStyle w:val="19"/>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30</w:t>
                  </w:r>
                </w:p>
              </w:tc>
              <w:tc>
                <w:tcPr>
                  <w:tcW w:w="1234" w:type="dxa"/>
                  <w:noWrap w:val="0"/>
                  <w:vAlign w:val="center"/>
                </w:tcPr>
                <w:p w14:paraId="262B7AE3">
                  <w:pPr>
                    <w:pStyle w:val="19"/>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Φ660</w:t>
                  </w:r>
                </w:p>
              </w:tc>
              <w:tc>
                <w:tcPr>
                  <w:tcW w:w="1315" w:type="dxa"/>
                  <w:noWrap w:val="0"/>
                  <w:vAlign w:val="center"/>
                </w:tcPr>
                <w:p w14:paraId="5D36AA75">
                  <w:pPr>
                    <w:pStyle w:val="19"/>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Φ508</w:t>
                  </w:r>
                </w:p>
              </w:tc>
              <w:tc>
                <w:tcPr>
                  <w:tcW w:w="1532" w:type="dxa"/>
                  <w:noWrap w:val="0"/>
                  <w:vAlign w:val="center"/>
                </w:tcPr>
                <w:p w14:paraId="4B4A31A5">
                  <w:pPr>
                    <w:pStyle w:val="19"/>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Q</w:t>
                  </w:r>
                </w:p>
              </w:tc>
              <w:tc>
                <w:tcPr>
                  <w:tcW w:w="1527" w:type="dxa"/>
                  <w:noWrap w:val="0"/>
                  <w:vAlign w:val="center"/>
                </w:tcPr>
                <w:p w14:paraId="78D9503F">
                  <w:pPr>
                    <w:pStyle w:val="19"/>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30</w:t>
                  </w:r>
                </w:p>
              </w:tc>
              <w:tc>
                <w:tcPr>
                  <w:tcW w:w="1275" w:type="dxa"/>
                  <w:noWrap w:val="0"/>
                  <w:vAlign w:val="center"/>
                </w:tcPr>
                <w:p w14:paraId="53C0054E">
                  <w:pPr>
                    <w:pStyle w:val="19"/>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0</w:t>
                  </w:r>
                </w:p>
              </w:tc>
            </w:tr>
            <w:tr w14:paraId="4DB68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628" w:type="dxa"/>
                  <w:noWrap w:val="0"/>
                  <w:vAlign w:val="center"/>
                </w:tcPr>
                <w:p w14:paraId="18BAB845">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一开</w:t>
                  </w:r>
                </w:p>
              </w:tc>
              <w:tc>
                <w:tcPr>
                  <w:tcW w:w="785" w:type="dxa"/>
                  <w:noWrap w:val="0"/>
                  <w:vAlign w:val="center"/>
                </w:tcPr>
                <w:p w14:paraId="3BD9E06F">
                  <w:pPr>
                    <w:pStyle w:val="19"/>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700</w:t>
                  </w:r>
                </w:p>
              </w:tc>
              <w:tc>
                <w:tcPr>
                  <w:tcW w:w="1234" w:type="dxa"/>
                  <w:noWrap w:val="0"/>
                  <w:vAlign w:val="center"/>
                </w:tcPr>
                <w:p w14:paraId="09ECA364">
                  <w:pPr>
                    <w:pStyle w:val="19"/>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Φ375</w:t>
                  </w:r>
                </w:p>
              </w:tc>
              <w:tc>
                <w:tcPr>
                  <w:tcW w:w="1315" w:type="dxa"/>
                  <w:noWrap w:val="0"/>
                  <w:vAlign w:val="center"/>
                </w:tcPr>
                <w:p w14:paraId="257AECD8">
                  <w:pPr>
                    <w:pStyle w:val="19"/>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Φ273</w:t>
                  </w:r>
                </w:p>
              </w:tc>
              <w:tc>
                <w:tcPr>
                  <w:tcW w:w="1532" w:type="dxa"/>
                  <w:noWrap w:val="0"/>
                  <w:vAlign w:val="center"/>
                </w:tcPr>
                <w:p w14:paraId="67A9ADC1">
                  <w:pPr>
                    <w:pStyle w:val="19"/>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E</w:t>
                  </w:r>
                </w:p>
              </w:tc>
              <w:tc>
                <w:tcPr>
                  <w:tcW w:w="1527" w:type="dxa"/>
                  <w:noWrap w:val="0"/>
                  <w:vAlign w:val="center"/>
                </w:tcPr>
                <w:p w14:paraId="3A225AF7">
                  <w:pPr>
                    <w:pStyle w:val="19"/>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700</w:t>
                  </w:r>
                </w:p>
              </w:tc>
              <w:tc>
                <w:tcPr>
                  <w:tcW w:w="1275" w:type="dxa"/>
                  <w:noWrap w:val="0"/>
                  <w:vAlign w:val="center"/>
                </w:tcPr>
                <w:p w14:paraId="53C19174">
                  <w:pPr>
                    <w:pStyle w:val="19"/>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0</w:t>
                  </w:r>
                </w:p>
              </w:tc>
            </w:tr>
            <w:tr w14:paraId="5E570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628" w:type="dxa"/>
                  <w:noWrap w:val="0"/>
                  <w:vAlign w:val="center"/>
                </w:tcPr>
                <w:p w14:paraId="55F6CCBC">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二开</w:t>
                  </w:r>
                </w:p>
              </w:tc>
              <w:tc>
                <w:tcPr>
                  <w:tcW w:w="785" w:type="dxa"/>
                  <w:noWrap w:val="0"/>
                  <w:vAlign w:val="center"/>
                </w:tcPr>
                <w:p w14:paraId="677FEF17">
                  <w:pPr>
                    <w:pStyle w:val="19"/>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3070</w:t>
                  </w:r>
                </w:p>
              </w:tc>
              <w:tc>
                <w:tcPr>
                  <w:tcW w:w="1234" w:type="dxa"/>
                  <w:noWrap w:val="0"/>
                  <w:vAlign w:val="center"/>
                </w:tcPr>
                <w:p w14:paraId="116C73E8">
                  <w:pPr>
                    <w:pStyle w:val="19"/>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Φ251</w:t>
                  </w:r>
                </w:p>
              </w:tc>
              <w:tc>
                <w:tcPr>
                  <w:tcW w:w="1315" w:type="dxa"/>
                  <w:noWrap w:val="0"/>
                  <w:vAlign w:val="center"/>
                </w:tcPr>
                <w:p w14:paraId="32E169C1">
                  <w:pPr>
                    <w:pStyle w:val="19"/>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Φ193.7</w:t>
                  </w:r>
                </w:p>
              </w:tc>
              <w:tc>
                <w:tcPr>
                  <w:tcW w:w="1532" w:type="dxa"/>
                  <w:noWrap w:val="0"/>
                  <w:vAlign w:val="center"/>
                </w:tcPr>
                <w:p w14:paraId="5BDCEF4B">
                  <w:pPr>
                    <w:pStyle w:val="19"/>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P2l</w:t>
                  </w:r>
                </w:p>
              </w:tc>
              <w:tc>
                <w:tcPr>
                  <w:tcW w:w="1527" w:type="dxa"/>
                  <w:noWrap w:val="0"/>
                  <w:vAlign w:val="center"/>
                </w:tcPr>
                <w:p w14:paraId="0254B9F4">
                  <w:pPr>
                    <w:pStyle w:val="19"/>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3070</w:t>
                  </w:r>
                </w:p>
              </w:tc>
              <w:tc>
                <w:tcPr>
                  <w:tcW w:w="1275" w:type="dxa"/>
                  <w:noWrap w:val="0"/>
                  <w:vAlign w:val="center"/>
                </w:tcPr>
                <w:p w14:paraId="679389F6">
                  <w:pPr>
                    <w:pStyle w:val="19"/>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低密度0</w:t>
                  </w:r>
                </w:p>
              </w:tc>
            </w:tr>
            <w:tr w14:paraId="5D9CD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628" w:type="dxa"/>
                  <w:noWrap w:val="0"/>
                  <w:vAlign w:val="center"/>
                </w:tcPr>
                <w:p w14:paraId="003D812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三开</w:t>
                  </w:r>
                </w:p>
              </w:tc>
              <w:tc>
                <w:tcPr>
                  <w:tcW w:w="785" w:type="dxa"/>
                  <w:noWrap w:val="0"/>
                  <w:vAlign w:val="center"/>
                </w:tcPr>
                <w:p w14:paraId="3F5400E9">
                  <w:pPr>
                    <w:pStyle w:val="19"/>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3490</w:t>
                  </w:r>
                </w:p>
              </w:tc>
              <w:tc>
                <w:tcPr>
                  <w:tcW w:w="1234" w:type="dxa"/>
                  <w:noWrap w:val="0"/>
                  <w:vAlign w:val="center"/>
                </w:tcPr>
                <w:p w14:paraId="61CE092D">
                  <w:pPr>
                    <w:pStyle w:val="19"/>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Φ168</w:t>
                  </w:r>
                </w:p>
              </w:tc>
              <w:tc>
                <w:tcPr>
                  <w:tcW w:w="1315" w:type="dxa"/>
                  <w:noWrap w:val="0"/>
                  <w:vAlign w:val="center"/>
                </w:tcPr>
                <w:p w14:paraId="0045C12D">
                  <w:pPr>
                    <w:pStyle w:val="19"/>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Φ127</w:t>
                  </w:r>
                </w:p>
              </w:tc>
              <w:tc>
                <w:tcPr>
                  <w:tcW w:w="1532" w:type="dxa"/>
                  <w:noWrap w:val="0"/>
                  <w:vAlign w:val="center"/>
                </w:tcPr>
                <w:p w14:paraId="2059587F">
                  <w:pPr>
                    <w:pStyle w:val="19"/>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P2jj</w:t>
                  </w:r>
                </w:p>
              </w:tc>
              <w:tc>
                <w:tcPr>
                  <w:tcW w:w="1527" w:type="dxa"/>
                  <w:noWrap w:val="0"/>
                  <w:vAlign w:val="center"/>
                </w:tcPr>
                <w:p w14:paraId="58653D3B">
                  <w:pPr>
                    <w:pStyle w:val="19"/>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3490</w:t>
                  </w:r>
                </w:p>
              </w:tc>
              <w:tc>
                <w:tcPr>
                  <w:tcW w:w="1275" w:type="dxa"/>
                  <w:noWrap w:val="0"/>
                  <w:vAlign w:val="center"/>
                </w:tcPr>
                <w:p w14:paraId="48A01CA0">
                  <w:pPr>
                    <w:pStyle w:val="19"/>
                    <w:spacing w:line="320" w:lineRule="exact"/>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抗盐2820</w:t>
                  </w:r>
                </w:p>
              </w:tc>
            </w:tr>
          </w:tbl>
          <w:p w14:paraId="358D001D">
            <w:pPr>
              <w:pStyle w:val="16"/>
              <w:widowControl w:val="0"/>
              <w:spacing w:before="161" w:line="224" w:lineRule="auto"/>
              <w:jc w:val="center"/>
              <w:rPr>
                <w:rFonts w:hint="default" w:ascii="Times New Roman" w:hAnsi="Times New Roman" w:eastAsia="宋体" w:cs="Times New Roman"/>
                <w:color w:val="auto"/>
                <w:highlight w:val="none"/>
                <w:lang w:val="en-US"/>
              </w:rPr>
            </w:pPr>
            <w:r>
              <w:rPr>
                <w:rFonts w:hint="default" w:ascii="Times New Roman" w:hAnsi="Times New Roman" w:eastAsia="宋体" w:cs="Times New Roman"/>
                <w:b/>
                <w:bCs/>
                <w:color w:val="auto"/>
                <w:spacing w:val="5"/>
                <w:sz w:val="21"/>
                <w:szCs w:val="21"/>
                <w:highlight w:val="none"/>
              </w:rPr>
              <w:t>表</w:t>
            </w:r>
            <w:r>
              <w:rPr>
                <w:rFonts w:hint="default" w:ascii="Times New Roman" w:hAnsi="Times New Roman" w:eastAsia="宋体" w:cs="Times New Roman"/>
                <w:b/>
                <w:bCs/>
                <w:color w:val="auto"/>
                <w:spacing w:val="5"/>
                <w:sz w:val="21"/>
                <w:szCs w:val="21"/>
                <w:highlight w:val="none"/>
                <w:lang w:val="en-US" w:eastAsia="zh-CN"/>
              </w:rPr>
              <w:t>2-</w:t>
            </w:r>
            <w:r>
              <w:rPr>
                <w:rFonts w:hint="default" w:ascii="Times New Roman" w:hAnsi="Times New Roman" w:cs="Times New Roman"/>
                <w:b/>
                <w:bCs/>
                <w:color w:val="auto"/>
                <w:spacing w:val="5"/>
                <w:sz w:val="21"/>
                <w:szCs w:val="21"/>
                <w:highlight w:val="none"/>
                <w:lang w:val="en-US" w:eastAsia="zh-CN"/>
              </w:rPr>
              <w:t>6</w:t>
            </w:r>
            <w:r>
              <w:rPr>
                <w:rFonts w:hint="default" w:ascii="Times New Roman" w:hAnsi="Times New Roman" w:eastAsia="宋体" w:cs="Times New Roman"/>
                <w:b/>
                <w:bCs/>
                <w:color w:val="auto"/>
                <w:spacing w:val="5"/>
                <w:sz w:val="21"/>
                <w:szCs w:val="21"/>
                <w:highlight w:val="none"/>
                <w:lang w:val="en-US" w:eastAsia="zh-CN"/>
              </w:rPr>
              <w:t xml:space="preserve"> </w:t>
            </w:r>
            <w:r>
              <w:rPr>
                <w:rFonts w:hint="default" w:ascii="Times New Roman" w:hAnsi="Times New Roman" w:eastAsia="宋体" w:cs="Times New Roman"/>
                <w:b/>
                <w:bCs/>
                <w:color w:val="auto"/>
                <w:spacing w:val="5"/>
                <w:sz w:val="21"/>
                <w:szCs w:val="21"/>
                <w:highlight w:val="none"/>
              </w:rPr>
              <w:t>井身结构设计</w:t>
            </w:r>
            <w:r>
              <w:rPr>
                <w:rFonts w:hint="default" w:ascii="Times New Roman" w:hAnsi="Times New Roman" w:cs="Times New Roman"/>
                <w:b/>
                <w:bCs/>
                <w:color w:val="auto"/>
                <w:spacing w:val="5"/>
                <w:sz w:val="21"/>
                <w:szCs w:val="21"/>
                <w:highlight w:val="none"/>
                <w:lang w:val="en-US" w:eastAsia="zh-CN"/>
              </w:rPr>
              <w:t>说明表</w:t>
            </w:r>
          </w:p>
          <w:tbl>
            <w:tblPr>
              <w:tblStyle w:val="11"/>
              <w:tblW w:w="49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204"/>
              <w:gridCol w:w="6139"/>
            </w:tblGrid>
            <w:tr w14:paraId="42A99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87" w:type="pct"/>
                  <w:noWrap w:val="0"/>
                  <w:vAlign w:val="center"/>
                </w:tcPr>
                <w:p w14:paraId="4C79593C">
                  <w:pPr>
                    <w:pStyle w:val="19"/>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开钻次序</w:t>
                  </w:r>
                </w:p>
              </w:tc>
              <w:tc>
                <w:tcPr>
                  <w:tcW w:w="739" w:type="pct"/>
                  <w:noWrap w:val="0"/>
                  <w:vAlign w:val="center"/>
                </w:tcPr>
                <w:p w14:paraId="65595044">
                  <w:pPr>
                    <w:pStyle w:val="19"/>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套管尺寸(mm)</w:t>
                  </w:r>
                </w:p>
              </w:tc>
              <w:tc>
                <w:tcPr>
                  <w:tcW w:w="3772" w:type="pct"/>
                  <w:noWrap w:val="0"/>
                  <w:vAlign w:val="center"/>
                </w:tcPr>
                <w:p w14:paraId="4FE16DBB">
                  <w:pPr>
                    <w:pStyle w:val="19"/>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设计说明</w:t>
                  </w:r>
                </w:p>
              </w:tc>
            </w:tr>
            <w:tr w14:paraId="7EE82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87" w:type="pct"/>
                  <w:noWrap w:val="0"/>
                  <w:vAlign w:val="center"/>
                </w:tcPr>
                <w:p w14:paraId="13A6EB51">
                  <w:pPr>
                    <w:pStyle w:val="19"/>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导眼</w:t>
                  </w:r>
                </w:p>
              </w:tc>
              <w:tc>
                <w:tcPr>
                  <w:tcW w:w="739" w:type="pct"/>
                  <w:noWrap w:val="0"/>
                  <w:vAlign w:val="center"/>
                </w:tcPr>
                <w:p w14:paraId="687066D1">
                  <w:pPr>
                    <w:pStyle w:val="19"/>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szCs w:val="21"/>
                    </w:rPr>
                    <w:t>Φ508</w:t>
                  </w:r>
                </w:p>
              </w:tc>
              <w:tc>
                <w:tcPr>
                  <w:tcW w:w="3772" w:type="pct"/>
                  <w:noWrap w:val="0"/>
                  <w:vAlign w:val="center"/>
                </w:tcPr>
                <w:p w14:paraId="704C8640">
                  <w:pPr>
                    <w:pStyle w:val="19"/>
                    <w:spacing w:line="240" w:lineRule="auto"/>
                    <w:jc w:val="both"/>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snapToGrid w:val="0"/>
                      <w:color w:val="auto"/>
                      <w:kern w:val="0"/>
                      <w:sz w:val="21"/>
                      <w:szCs w:val="21"/>
                      <w:highlight w:val="none"/>
                      <w:lang w:val="en-US" w:eastAsia="en-US" w:bidi="ar-SA"/>
                    </w:rPr>
                    <w:t>用Φ660mm钻头打导眼5-30m，下入Φ508mm的导管固井，水泥返至地面。</w:t>
                  </w:r>
                </w:p>
              </w:tc>
            </w:tr>
            <w:tr w14:paraId="618BB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87" w:type="pct"/>
                  <w:noWrap w:val="0"/>
                  <w:vAlign w:val="center"/>
                </w:tcPr>
                <w:p w14:paraId="51DC895B">
                  <w:pPr>
                    <w:pStyle w:val="19"/>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一开</w:t>
                  </w:r>
                </w:p>
              </w:tc>
              <w:tc>
                <w:tcPr>
                  <w:tcW w:w="739" w:type="pct"/>
                  <w:noWrap w:val="0"/>
                  <w:vAlign w:val="center"/>
                </w:tcPr>
                <w:p w14:paraId="3385F34C">
                  <w:pPr>
                    <w:pStyle w:val="19"/>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Φ</w:t>
                  </w:r>
                  <w:r>
                    <w:rPr>
                      <w:rFonts w:hint="default" w:ascii="Times New Roman" w:hAnsi="Times New Roman" w:eastAsia="宋体" w:cs="Times New Roman"/>
                      <w:color w:val="auto"/>
                      <w:szCs w:val="21"/>
                    </w:rPr>
                    <w:t>273</w:t>
                  </w:r>
                </w:p>
              </w:tc>
              <w:tc>
                <w:tcPr>
                  <w:tcW w:w="3772" w:type="pct"/>
                  <w:noWrap w:val="0"/>
                  <w:vAlign w:val="center"/>
                </w:tcPr>
                <w:p w14:paraId="2B968F0D">
                  <w:pPr>
                    <w:pStyle w:val="19"/>
                    <w:spacing w:line="240" w:lineRule="auto"/>
                    <w:jc w:val="both"/>
                    <w:rPr>
                      <w:rFonts w:hint="default" w:ascii="Times New Roman" w:hAnsi="Times New Roman" w:eastAsia="Arial" w:cs="Times New Roman"/>
                      <w:snapToGrid w:val="0"/>
                      <w:color w:val="auto"/>
                      <w:kern w:val="0"/>
                      <w:sz w:val="21"/>
                      <w:szCs w:val="21"/>
                      <w:highlight w:val="none"/>
                      <w:lang w:val="en-US" w:eastAsia="en-US" w:bidi="ar-SA"/>
                    </w:rPr>
                  </w:pPr>
                  <w:r>
                    <w:rPr>
                      <w:rFonts w:hint="default" w:ascii="Times New Roman" w:hAnsi="Times New Roman" w:eastAsia="Arial" w:cs="Times New Roman"/>
                      <w:snapToGrid w:val="0"/>
                      <w:color w:val="auto"/>
                      <w:kern w:val="0"/>
                      <w:sz w:val="21"/>
                      <w:szCs w:val="21"/>
                      <w:highlight w:val="none"/>
                      <w:lang w:val="en-US" w:eastAsia="en-US" w:bidi="ar-SA"/>
                    </w:rPr>
                    <w:t>用Φ375mm钻头一开，钻穿砾石层至少20m，钻至井深700m左右，下入Φ273mm表层套管，采用常规水泥浆体系固井，水泥返至地面。</w:t>
                  </w:r>
                </w:p>
                <w:p w14:paraId="2146E5D1">
                  <w:pPr>
                    <w:pStyle w:val="19"/>
                    <w:spacing w:line="240" w:lineRule="auto"/>
                    <w:jc w:val="both"/>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Arial" w:cs="Times New Roman"/>
                      <w:snapToGrid w:val="0"/>
                      <w:color w:val="auto"/>
                      <w:kern w:val="0"/>
                      <w:sz w:val="21"/>
                      <w:szCs w:val="21"/>
                      <w:highlight w:val="none"/>
                      <w:lang w:val="en-US" w:eastAsia="en-US" w:bidi="ar-SA"/>
                    </w:rPr>
                    <w:t>表套下深原则：封固砾石层。</w:t>
                  </w:r>
                </w:p>
              </w:tc>
            </w:tr>
            <w:tr w14:paraId="27F4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87" w:type="pct"/>
                  <w:noWrap w:val="0"/>
                  <w:vAlign w:val="center"/>
                </w:tcPr>
                <w:p w14:paraId="17D7582B">
                  <w:pPr>
                    <w:pStyle w:val="19"/>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二开</w:t>
                  </w:r>
                </w:p>
              </w:tc>
              <w:tc>
                <w:tcPr>
                  <w:tcW w:w="739" w:type="pct"/>
                  <w:noWrap w:val="0"/>
                  <w:vAlign w:val="center"/>
                </w:tcPr>
                <w:p w14:paraId="5C5C36D5">
                  <w:pPr>
                    <w:pStyle w:val="19"/>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Φ193.7</w:t>
                  </w:r>
                </w:p>
              </w:tc>
              <w:tc>
                <w:tcPr>
                  <w:tcW w:w="3772" w:type="pct"/>
                  <w:noWrap w:val="0"/>
                  <w:vAlign w:val="center"/>
                </w:tcPr>
                <w:p w14:paraId="06EA8758">
                  <w:pPr>
                    <w:pStyle w:val="19"/>
                    <w:spacing w:line="240" w:lineRule="auto"/>
                    <w:jc w:val="both"/>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snapToGrid w:val="0"/>
                      <w:color w:val="auto"/>
                      <w:kern w:val="0"/>
                      <w:sz w:val="21"/>
                      <w:szCs w:val="21"/>
                      <w:highlight w:val="none"/>
                      <w:lang w:val="en-US" w:eastAsia="en-US" w:bidi="ar-SA"/>
                    </w:rPr>
                    <w:t>用Φ251mm钻头二开，钻至井深3070m，下入Φ193.7mm技术套管，采用低密度水泥浆体系固井，低密度水泥自井底返至地面，封固段长3070m。</w:t>
                  </w:r>
                </w:p>
                <w:p w14:paraId="76818D8C">
                  <w:pPr>
                    <w:pStyle w:val="19"/>
                    <w:spacing w:line="240" w:lineRule="auto"/>
                    <w:jc w:val="both"/>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snapToGrid w:val="0"/>
                      <w:color w:val="auto"/>
                      <w:kern w:val="0"/>
                      <w:sz w:val="21"/>
                      <w:szCs w:val="21"/>
                      <w:highlight w:val="none"/>
                      <w:lang w:val="en-US" w:eastAsia="en-US" w:bidi="ar-SA"/>
                    </w:rPr>
                    <w:t>技套下深原则：进入芦草沟组地层140m（垂深）。</w:t>
                  </w:r>
                </w:p>
              </w:tc>
            </w:tr>
            <w:tr w14:paraId="244AB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87" w:type="pct"/>
                  <w:noWrap w:val="0"/>
                  <w:vAlign w:val="center"/>
                </w:tcPr>
                <w:p w14:paraId="53CD3818">
                  <w:pPr>
                    <w:pStyle w:val="19"/>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三开</w:t>
                  </w:r>
                </w:p>
              </w:tc>
              <w:tc>
                <w:tcPr>
                  <w:tcW w:w="739" w:type="pct"/>
                  <w:noWrap w:val="0"/>
                  <w:vAlign w:val="center"/>
                </w:tcPr>
                <w:p w14:paraId="4CEC34E5">
                  <w:pPr>
                    <w:pStyle w:val="19"/>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Φ127</w:t>
                  </w:r>
                </w:p>
              </w:tc>
              <w:tc>
                <w:tcPr>
                  <w:tcW w:w="3772" w:type="pct"/>
                  <w:noWrap w:val="0"/>
                  <w:vAlign w:val="center"/>
                </w:tcPr>
                <w:p w14:paraId="7A24C3F2">
                  <w:pPr>
                    <w:pStyle w:val="19"/>
                    <w:spacing w:line="240" w:lineRule="auto"/>
                    <w:jc w:val="both"/>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snapToGrid w:val="0"/>
                      <w:color w:val="auto"/>
                      <w:kern w:val="0"/>
                      <w:sz w:val="21"/>
                      <w:szCs w:val="21"/>
                      <w:highlight w:val="none"/>
                      <w:lang w:val="en-US" w:eastAsia="en-US" w:bidi="ar-SA"/>
                    </w:rPr>
                    <w:t>用168mm钻头三开，钻至井深3490m完钻，井段2820-3490m悬挂下入Φ127mm生产尾管，采用抗盐水泥浆体系固井，抗盐水泥自井底返至喇叭口2820m，封固段长670m。</w:t>
                  </w:r>
                </w:p>
              </w:tc>
            </w:tr>
          </w:tbl>
          <w:p w14:paraId="73412CB8">
            <w:pPr>
              <w:widowControl w:val="0"/>
              <w:snapToGrid w:val="0"/>
              <w:spacing w:line="240" w:lineRule="auto"/>
              <w:jc w:val="center"/>
              <w:rPr>
                <w:rFonts w:hint="default" w:ascii="Times New Roman" w:hAnsi="Times New Roman" w:eastAsia="宋体" w:cs="Times New Roman"/>
                <w:b/>
                <w:bCs/>
                <w:color w:val="auto"/>
                <w:sz w:val="24"/>
                <w:szCs w:val="24"/>
                <w:highlight w:val="none"/>
                <w:lang w:val="en-US" w:eastAsia="zh-CN"/>
              </w:rPr>
            </w:pPr>
          </w:p>
          <w:p w14:paraId="65C36DF9">
            <w:pPr>
              <w:widowControl w:val="0"/>
              <w:snapToGrid w:val="0"/>
              <w:spacing w:line="240" w:lineRule="auto"/>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drawing>
                <wp:inline distT="0" distB="0" distL="114300" distR="114300">
                  <wp:extent cx="4810760" cy="5777865"/>
                  <wp:effectExtent l="0" t="0" r="8890" b="13335"/>
                  <wp:docPr id="18" name="图片 18" descr="6c830c31c8b10d95f5b86ee3f4928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c830c31c8b10d95f5b86ee3f49283e"/>
                          <pic:cNvPicPr>
                            <a:picLocks noChangeAspect="1"/>
                          </pic:cNvPicPr>
                        </pic:nvPicPr>
                        <pic:blipFill>
                          <a:blip r:embed="rId12"/>
                          <a:stretch>
                            <a:fillRect/>
                          </a:stretch>
                        </pic:blipFill>
                        <pic:spPr>
                          <a:xfrm>
                            <a:off x="0" y="0"/>
                            <a:ext cx="4810760" cy="5777865"/>
                          </a:xfrm>
                          <a:prstGeom prst="rect">
                            <a:avLst/>
                          </a:prstGeom>
                        </pic:spPr>
                      </pic:pic>
                    </a:graphicData>
                  </a:graphic>
                </wp:inline>
              </w:drawing>
            </w:r>
          </w:p>
          <w:p w14:paraId="16E3C0EF">
            <w:pPr>
              <w:pStyle w:val="16"/>
              <w:widowControl w:val="0"/>
              <w:spacing w:before="152" w:line="228" w:lineRule="auto"/>
              <w:ind w:left="3204"/>
              <w:rPr>
                <w:rFonts w:hint="default" w:ascii="Times New Roman" w:hAnsi="Times New Roman" w:cs="Times New Roman"/>
                <w:color w:val="auto"/>
              </w:rPr>
            </w:pPr>
            <w:r>
              <w:rPr>
                <w:rFonts w:hint="default" w:ascii="Times New Roman" w:hAnsi="Times New Roman" w:cs="Times New Roman"/>
                <w:b/>
                <w:bCs/>
                <w:color w:val="auto"/>
                <w:spacing w:val="4"/>
              </w:rPr>
              <w:t>图</w:t>
            </w:r>
            <w:r>
              <w:rPr>
                <w:rFonts w:hint="default" w:ascii="Times New Roman" w:hAnsi="Times New Roman" w:eastAsia="宋体" w:cs="Times New Roman"/>
                <w:b/>
                <w:bCs/>
                <w:color w:val="auto"/>
                <w:spacing w:val="4"/>
                <w:lang w:val="en-US" w:eastAsia="zh-CN"/>
              </w:rPr>
              <w:t xml:space="preserve">2-1 </w:t>
            </w:r>
            <w:r>
              <w:rPr>
                <w:rFonts w:hint="default" w:ascii="Times New Roman" w:hAnsi="Times New Roman" w:cs="Times New Roman"/>
                <w:b/>
                <w:bCs/>
                <w:color w:val="auto"/>
                <w:spacing w:val="4"/>
              </w:rPr>
              <w:t>井身结构示意图</w:t>
            </w:r>
          </w:p>
          <w:p w14:paraId="5F0BF358">
            <w:pPr>
              <w:widowControl w:val="0"/>
              <w:snapToGrid w:val="0"/>
              <w:spacing w:line="500" w:lineRule="exact"/>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5.主要设备</w:t>
            </w:r>
          </w:p>
          <w:p w14:paraId="3562D3F6">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本项目单个钻井工程主要设备见下表2-7，单个钻井试油工程主要设备见下表2-8，储层改造设备见表2-9。</w:t>
            </w:r>
          </w:p>
          <w:p w14:paraId="5962249C">
            <w:pPr>
              <w:widowControl w:val="0"/>
              <w:snapToGrid w:val="0"/>
              <w:spacing w:line="500" w:lineRule="exact"/>
              <w:jc w:val="center"/>
              <w:rPr>
                <w:rFonts w:hint="default" w:ascii="Times New Roman" w:hAnsi="Times New Roman" w:eastAsia="宋体" w:cs="Times New Roman"/>
                <w:b/>
                <w:bCs/>
                <w:color w:val="auto"/>
                <w:spacing w:val="5"/>
                <w:kern w:val="2"/>
                <w:sz w:val="21"/>
                <w:szCs w:val="21"/>
                <w:highlight w:val="none"/>
                <w:lang w:val="en-US" w:eastAsia="zh-CN" w:bidi="ar-SA"/>
              </w:rPr>
            </w:pPr>
            <w:r>
              <w:rPr>
                <w:rFonts w:hint="default" w:ascii="Times New Roman" w:hAnsi="Times New Roman" w:eastAsia="宋体" w:cs="Times New Roman"/>
                <w:b/>
                <w:bCs/>
                <w:color w:val="auto"/>
                <w:spacing w:val="5"/>
                <w:kern w:val="2"/>
                <w:sz w:val="21"/>
                <w:szCs w:val="21"/>
                <w:highlight w:val="none"/>
                <w:lang w:val="en-US" w:eastAsia="zh-CN" w:bidi="ar-SA"/>
              </w:rPr>
              <w:t>表2-7 单个钻井工程主要设备</w:t>
            </w:r>
          </w:p>
          <w:tbl>
            <w:tblPr>
              <w:tblStyle w:val="11"/>
              <w:tblW w:w="8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05"/>
              <w:gridCol w:w="1000"/>
              <w:gridCol w:w="1319"/>
              <w:gridCol w:w="1953"/>
              <w:gridCol w:w="975"/>
              <w:gridCol w:w="631"/>
              <w:gridCol w:w="1574"/>
            </w:tblGrid>
            <w:tr w14:paraId="5FACF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3" w:hRule="atLeast"/>
                <w:jc w:val="center"/>
              </w:trPr>
              <w:tc>
                <w:tcPr>
                  <w:tcW w:w="605" w:type="dxa"/>
                  <w:tcBorders>
                    <w:top w:val="single" w:color="auto" w:sz="4" w:space="0"/>
                    <w:left w:val="single" w:color="auto" w:sz="0" w:space="0"/>
                    <w:bottom w:val="single" w:color="auto" w:sz="4" w:space="0"/>
                    <w:right w:val="single" w:color="auto" w:sz="4" w:space="0"/>
                  </w:tcBorders>
                  <w:vAlign w:val="center"/>
                </w:tcPr>
                <w:p w14:paraId="539BD240">
                  <w:pPr>
                    <w:pStyle w:val="1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319" w:type="dxa"/>
                  <w:gridSpan w:val="2"/>
                  <w:tcBorders>
                    <w:top w:val="single" w:color="auto" w:sz="4" w:space="0"/>
                    <w:left w:val="single" w:color="auto" w:sz="4" w:space="0"/>
                    <w:bottom w:val="single" w:color="auto" w:sz="4" w:space="0"/>
                    <w:right w:val="single" w:color="auto" w:sz="4" w:space="0"/>
                  </w:tcBorders>
                  <w:vAlign w:val="center"/>
                </w:tcPr>
                <w:p w14:paraId="6C563525">
                  <w:pPr>
                    <w:pStyle w:val="1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1953" w:type="dxa"/>
                  <w:tcBorders>
                    <w:top w:val="single" w:color="auto" w:sz="4" w:space="0"/>
                    <w:left w:val="single" w:color="auto" w:sz="4" w:space="0"/>
                    <w:bottom w:val="single" w:color="auto" w:sz="4" w:space="0"/>
                    <w:right w:val="single" w:color="auto" w:sz="4" w:space="0"/>
                  </w:tcBorders>
                  <w:vAlign w:val="center"/>
                </w:tcPr>
                <w:p w14:paraId="798AC7D5">
                  <w:pPr>
                    <w:pStyle w:val="1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型号</w:t>
                  </w:r>
                </w:p>
              </w:tc>
              <w:tc>
                <w:tcPr>
                  <w:tcW w:w="975" w:type="dxa"/>
                  <w:tcBorders>
                    <w:top w:val="single" w:color="auto" w:sz="4" w:space="0"/>
                    <w:left w:val="single" w:color="auto" w:sz="4" w:space="0"/>
                    <w:bottom w:val="single" w:color="auto" w:sz="4" w:space="0"/>
                    <w:right w:val="single" w:color="auto" w:sz="4" w:space="0"/>
                  </w:tcBorders>
                  <w:vAlign w:val="center"/>
                </w:tcPr>
                <w:p w14:paraId="23834105">
                  <w:pPr>
                    <w:pStyle w:val="1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规格</w:t>
                  </w:r>
                </w:p>
              </w:tc>
              <w:tc>
                <w:tcPr>
                  <w:tcW w:w="631" w:type="dxa"/>
                  <w:tcBorders>
                    <w:top w:val="single" w:color="auto" w:sz="4" w:space="0"/>
                    <w:left w:val="single" w:color="auto" w:sz="4" w:space="0"/>
                    <w:bottom w:val="single" w:color="auto" w:sz="4" w:space="0"/>
                    <w:right w:val="single" w:color="auto" w:sz="4" w:space="0"/>
                  </w:tcBorders>
                  <w:vAlign w:val="center"/>
                </w:tcPr>
                <w:p w14:paraId="47FC7EAC">
                  <w:pPr>
                    <w:pStyle w:val="1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数量</w:t>
                  </w:r>
                </w:p>
              </w:tc>
              <w:tc>
                <w:tcPr>
                  <w:tcW w:w="1574" w:type="dxa"/>
                  <w:tcBorders>
                    <w:top w:val="single" w:color="auto" w:sz="4" w:space="0"/>
                    <w:left w:val="single" w:color="auto" w:sz="4" w:space="0"/>
                    <w:bottom w:val="single" w:color="auto" w:sz="4" w:space="0"/>
                    <w:right w:val="single" w:color="auto" w:sz="4" w:space="0"/>
                  </w:tcBorders>
                  <w:vAlign w:val="center"/>
                </w:tcPr>
                <w:p w14:paraId="763CCF60">
                  <w:pPr>
                    <w:pStyle w:val="1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r>
            <w:tr w14:paraId="7C030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3" w:hRule="atLeast"/>
                <w:jc w:val="center"/>
              </w:trPr>
              <w:tc>
                <w:tcPr>
                  <w:tcW w:w="605" w:type="dxa"/>
                  <w:tcBorders>
                    <w:top w:val="single" w:color="auto" w:sz="4" w:space="0"/>
                    <w:left w:val="single" w:color="auto" w:sz="4" w:space="0"/>
                    <w:bottom w:val="single" w:color="auto" w:sz="4" w:space="0"/>
                    <w:right w:val="single" w:color="auto" w:sz="4" w:space="0"/>
                  </w:tcBorders>
                  <w:vAlign w:val="center"/>
                </w:tcPr>
                <w:p w14:paraId="4E5CD5C6">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w:t>
                  </w:r>
                </w:p>
              </w:tc>
              <w:tc>
                <w:tcPr>
                  <w:tcW w:w="2319" w:type="dxa"/>
                  <w:gridSpan w:val="2"/>
                  <w:tcBorders>
                    <w:top w:val="single" w:color="auto" w:sz="4" w:space="0"/>
                    <w:left w:val="single" w:color="auto" w:sz="4" w:space="0"/>
                    <w:bottom w:val="single" w:color="auto" w:sz="4" w:space="0"/>
                    <w:right w:val="single" w:color="auto" w:sz="4" w:space="0"/>
                  </w:tcBorders>
                  <w:vAlign w:val="center"/>
                </w:tcPr>
                <w:p w14:paraId="3837342E">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钻机</w:t>
                  </w:r>
                </w:p>
              </w:tc>
              <w:tc>
                <w:tcPr>
                  <w:tcW w:w="1953" w:type="dxa"/>
                  <w:tcBorders>
                    <w:top w:val="single" w:color="auto" w:sz="4" w:space="0"/>
                    <w:left w:val="single" w:color="auto" w:sz="4" w:space="0"/>
                    <w:bottom w:val="single" w:color="auto" w:sz="4" w:space="0"/>
                    <w:right w:val="single" w:color="auto" w:sz="4" w:space="0"/>
                  </w:tcBorders>
                  <w:vAlign w:val="center"/>
                </w:tcPr>
                <w:p w14:paraId="6BF1F850">
                  <w:pPr>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ZJ-40</w:t>
                  </w:r>
                </w:p>
              </w:tc>
              <w:tc>
                <w:tcPr>
                  <w:tcW w:w="975" w:type="dxa"/>
                  <w:tcBorders>
                    <w:top w:val="single" w:color="auto" w:sz="4" w:space="0"/>
                    <w:left w:val="single" w:color="auto" w:sz="4" w:space="0"/>
                    <w:bottom w:val="single" w:color="auto" w:sz="4" w:space="0"/>
                    <w:right w:val="single" w:color="auto" w:sz="4" w:space="0"/>
                  </w:tcBorders>
                  <w:vAlign w:val="center"/>
                </w:tcPr>
                <w:p w14:paraId="401F6BE9">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2000kN</w:t>
                  </w:r>
                </w:p>
              </w:tc>
              <w:tc>
                <w:tcPr>
                  <w:tcW w:w="631" w:type="dxa"/>
                  <w:tcBorders>
                    <w:top w:val="single" w:color="auto" w:sz="4" w:space="0"/>
                    <w:left w:val="single" w:color="auto" w:sz="4" w:space="0"/>
                    <w:bottom w:val="single" w:color="auto" w:sz="4" w:space="0"/>
                    <w:right w:val="single" w:color="auto" w:sz="4" w:space="0"/>
                  </w:tcBorders>
                  <w:vAlign w:val="center"/>
                </w:tcPr>
                <w:p w14:paraId="08A9B880">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w:t>
                  </w:r>
                </w:p>
              </w:tc>
              <w:tc>
                <w:tcPr>
                  <w:tcW w:w="1574" w:type="dxa"/>
                  <w:tcBorders>
                    <w:top w:val="single" w:color="auto" w:sz="4" w:space="0"/>
                    <w:left w:val="single" w:color="auto" w:sz="4" w:space="0"/>
                    <w:bottom w:val="single" w:color="auto" w:sz="4" w:space="0"/>
                    <w:right w:val="single" w:color="auto" w:sz="4" w:space="0"/>
                  </w:tcBorders>
                  <w:vAlign w:val="center"/>
                </w:tcPr>
                <w:p w14:paraId="697F5F56">
                  <w:pPr>
                    <w:pStyle w:val="1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4C63F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3" w:hRule="atLeast"/>
                <w:jc w:val="center"/>
              </w:trPr>
              <w:tc>
                <w:tcPr>
                  <w:tcW w:w="605" w:type="dxa"/>
                  <w:tcBorders>
                    <w:top w:val="single" w:color="auto" w:sz="4" w:space="0"/>
                    <w:left w:val="single" w:color="auto" w:sz="4" w:space="0"/>
                    <w:bottom w:val="single" w:color="auto" w:sz="4" w:space="0"/>
                    <w:right w:val="single" w:color="auto" w:sz="4" w:space="0"/>
                  </w:tcBorders>
                  <w:vAlign w:val="center"/>
                </w:tcPr>
                <w:p w14:paraId="6EBF703D">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w:t>
                  </w:r>
                </w:p>
              </w:tc>
              <w:tc>
                <w:tcPr>
                  <w:tcW w:w="2319" w:type="dxa"/>
                  <w:gridSpan w:val="2"/>
                  <w:tcBorders>
                    <w:top w:val="single" w:color="auto" w:sz="4" w:space="0"/>
                    <w:left w:val="single" w:color="auto" w:sz="4" w:space="0"/>
                    <w:bottom w:val="single" w:color="auto" w:sz="4" w:space="0"/>
                    <w:right w:val="single" w:color="auto" w:sz="4" w:space="0"/>
                  </w:tcBorders>
                  <w:vAlign w:val="center"/>
                </w:tcPr>
                <w:p w14:paraId="1572E0C5">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井架</w:t>
                  </w:r>
                </w:p>
              </w:tc>
              <w:tc>
                <w:tcPr>
                  <w:tcW w:w="1953" w:type="dxa"/>
                  <w:tcBorders>
                    <w:top w:val="single" w:color="auto" w:sz="4" w:space="0"/>
                    <w:left w:val="single" w:color="auto" w:sz="4" w:space="0"/>
                    <w:bottom w:val="single" w:color="auto" w:sz="4" w:space="0"/>
                    <w:right w:val="single" w:color="auto" w:sz="4" w:space="0"/>
                  </w:tcBorders>
                  <w:vAlign w:val="center"/>
                </w:tcPr>
                <w:p w14:paraId="61189CFD">
                  <w:pPr>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JJ-40</w:t>
                  </w:r>
                </w:p>
              </w:tc>
              <w:tc>
                <w:tcPr>
                  <w:tcW w:w="975" w:type="dxa"/>
                  <w:tcBorders>
                    <w:top w:val="single" w:color="auto" w:sz="4" w:space="0"/>
                    <w:left w:val="single" w:color="auto" w:sz="4" w:space="0"/>
                    <w:bottom w:val="single" w:color="auto" w:sz="4" w:space="0"/>
                    <w:right w:val="single" w:color="auto" w:sz="4" w:space="0"/>
                  </w:tcBorders>
                  <w:vAlign w:val="center"/>
                </w:tcPr>
                <w:p w14:paraId="2826AEF2">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2000kN</w:t>
                  </w:r>
                </w:p>
              </w:tc>
              <w:tc>
                <w:tcPr>
                  <w:tcW w:w="631" w:type="dxa"/>
                  <w:tcBorders>
                    <w:top w:val="single" w:color="auto" w:sz="4" w:space="0"/>
                    <w:left w:val="single" w:color="auto" w:sz="4" w:space="0"/>
                    <w:bottom w:val="single" w:color="auto" w:sz="4" w:space="0"/>
                    <w:right w:val="single" w:color="auto" w:sz="4" w:space="0"/>
                  </w:tcBorders>
                  <w:vAlign w:val="center"/>
                </w:tcPr>
                <w:p w14:paraId="2FD5FDDB">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w:t>
                  </w:r>
                </w:p>
              </w:tc>
              <w:tc>
                <w:tcPr>
                  <w:tcW w:w="1574" w:type="dxa"/>
                  <w:tcBorders>
                    <w:top w:val="single" w:color="auto" w:sz="4" w:space="0"/>
                    <w:left w:val="single" w:color="auto" w:sz="4" w:space="0"/>
                    <w:bottom w:val="single" w:color="auto" w:sz="4" w:space="0"/>
                    <w:right w:val="single" w:color="auto" w:sz="4" w:space="0"/>
                  </w:tcBorders>
                  <w:vAlign w:val="center"/>
                </w:tcPr>
                <w:p w14:paraId="16DFF2BC">
                  <w:pPr>
                    <w:pStyle w:val="1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1337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3" w:hRule="atLeast"/>
                <w:jc w:val="center"/>
              </w:trPr>
              <w:tc>
                <w:tcPr>
                  <w:tcW w:w="605" w:type="dxa"/>
                  <w:vMerge w:val="restart"/>
                  <w:tcBorders>
                    <w:top w:val="single" w:color="auto" w:sz="4" w:space="0"/>
                    <w:left w:val="single" w:color="auto" w:sz="4" w:space="0"/>
                    <w:bottom w:val="single" w:color="auto" w:sz="4" w:space="0"/>
                    <w:right w:val="single" w:color="auto" w:sz="4" w:space="0"/>
                  </w:tcBorders>
                  <w:vAlign w:val="center"/>
                </w:tcPr>
                <w:p w14:paraId="67D46C63">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w:t>
                  </w:r>
                </w:p>
              </w:tc>
              <w:tc>
                <w:tcPr>
                  <w:tcW w:w="1000" w:type="dxa"/>
                  <w:vMerge w:val="restart"/>
                  <w:tcBorders>
                    <w:top w:val="single" w:color="auto" w:sz="4" w:space="0"/>
                    <w:left w:val="single" w:color="auto" w:sz="4" w:space="0"/>
                    <w:bottom w:val="single" w:color="auto" w:sz="4" w:space="0"/>
                    <w:right w:val="single" w:color="auto" w:sz="4" w:space="0"/>
                  </w:tcBorders>
                  <w:vAlign w:val="center"/>
                </w:tcPr>
                <w:p w14:paraId="10D7A9AE">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提升</w:t>
                  </w:r>
                </w:p>
                <w:p w14:paraId="3BC7B806">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系统</w:t>
                  </w:r>
                </w:p>
              </w:tc>
              <w:tc>
                <w:tcPr>
                  <w:tcW w:w="1319" w:type="dxa"/>
                  <w:tcBorders>
                    <w:top w:val="single" w:color="auto" w:sz="4" w:space="0"/>
                    <w:left w:val="single" w:color="auto" w:sz="4" w:space="0"/>
                    <w:bottom w:val="single" w:color="auto" w:sz="4" w:space="0"/>
                    <w:right w:val="single" w:color="auto" w:sz="4" w:space="0"/>
                  </w:tcBorders>
                  <w:vAlign w:val="center"/>
                </w:tcPr>
                <w:p w14:paraId="29BB4864">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绞车</w:t>
                  </w:r>
                </w:p>
              </w:tc>
              <w:tc>
                <w:tcPr>
                  <w:tcW w:w="1953" w:type="dxa"/>
                  <w:tcBorders>
                    <w:top w:val="single" w:color="auto" w:sz="4" w:space="0"/>
                    <w:left w:val="single" w:color="auto" w:sz="4" w:space="0"/>
                    <w:bottom w:val="single" w:color="auto" w:sz="4" w:space="0"/>
                    <w:right w:val="single" w:color="auto" w:sz="4" w:space="0"/>
                  </w:tcBorders>
                  <w:vAlign w:val="center"/>
                </w:tcPr>
                <w:p w14:paraId="6BBF568F">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JC-50</w:t>
                  </w:r>
                </w:p>
              </w:tc>
              <w:tc>
                <w:tcPr>
                  <w:tcW w:w="975" w:type="dxa"/>
                  <w:tcBorders>
                    <w:top w:val="single" w:color="auto" w:sz="4" w:space="0"/>
                    <w:left w:val="single" w:color="auto" w:sz="4" w:space="0"/>
                    <w:bottom w:val="single" w:color="auto" w:sz="4" w:space="0"/>
                    <w:right w:val="single" w:color="auto" w:sz="4" w:space="0"/>
                  </w:tcBorders>
                  <w:vAlign w:val="center"/>
                </w:tcPr>
                <w:p w14:paraId="551849CA">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1100kW</w:t>
                  </w:r>
                </w:p>
              </w:tc>
              <w:tc>
                <w:tcPr>
                  <w:tcW w:w="631" w:type="dxa"/>
                  <w:tcBorders>
                    <w:top w:val="single" w:color="auto" w:sz="4" w:space="0"/>
                    <w:left w:val="single" w:color="auto" w:sz="4" w:space="0"/>
                    <w:bottom w:val="single" w:color="auto" w:sz="4" w:space="0"/>
                    <w:right w:val="single" w:color="auto" w:sz="4" w:space="0"/>
                  </w:tcBorders>
                  <w:vAlign w:val="center"/>
                </w:tcPr>
                <w:p w14:paraId="04B2009F">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w:t>
                  </w:r>
                </w:p>
              </w:tc>
              <w:tc>
                <w:tcPr>
                  <w:tcW w:w="1574" w:type="dxa"/>
                  <w:tcBorders>
                    <w:top w:val="single" w:color="auto" w:sz="4" w:space="0"/>
                    <w:left w:val="single" w:color="auto" w:sz="4" w:space="0"/>
                    <w:bottom w:val="single" w:color="auto" w:sz="4" w:space="0"/>
                    <w:right w:val="single" w:color="auto" w:sz="4" w:space="0"/>
                  </w:tcBorders>
                  <w:vAlign w:val="center"/>
                </w:tcPr>
                <w:p w14:paraId="1723058F">
                  <w:pPr>
                    <w:pStyle w:val="1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4D3FA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3" w:hRule="atLeast"/>
                <w:jc w:val="center"/>
              </w:trPr>
              <w:tc>
                <w:tcPr>
                  <w:tcW w:w="605" w:type="dxa"/>
                  <w:vMerge w:val="continue"/>
                  <w:tcBorders>
                    <w:top w:val="single" w:color="auto" w:sz="4" w:space="0"/>
                    <w:left w:val="single" w:color="auto" w:sz="4" w:space="0"/>
                    <w:bottom w:val="single" w:color="auto" w:sz="4" w:space="0"/>
                    <w:right w:val="single" w:color="auto" w:sz="4" w:space="0"/>
                  </w:tcBorders>
                  <w:vAlign w:val="center"/>
                </w:tcPr>
                <w:p w14:paraId="2689F039">
                  <w:pPr>
                    <w:pStyle w:val="19"/>
                    <w:jc w:val="center"/>
                    <w:rPr>
                      <w:rFonts w:hint="default" w:ascii="Times New Roman" w:hAnsi="Times New Roman" w:eastAsia="宋体" w:cs="Times New Roman"/>
                      <w:color w:val="auto"/>
                      <w:sz w:val="21"/>
                      <w:szCs w:val="21"/>
                      <w:highlight w:val="none"/>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14:paraId="29CD875D">
                  <w:pPr>
                    <w:pStyle w:val="19"/>
                    <w:jc w:val="center"/>
                    <w:rPr>
                      <w:rFonts w:hint="default" w:ascii="Times New Roman" w:hAnsi="Times New Roman" w:eastAsia="宋体" w:cs="Times New Roman"/>
                      <w:color w:val="auto"/>
                      <w:sz w:val="21"/>
                      <w:szCs w:val="21"/>
                      <w:highlight w:val="none"/>
                    </w:rPr>
                  </w:pPr>
                </w:p>
              </w:tc>
              <w:tc>
                <w:tcPr>
                  <w:tcW w:w="1319" w:type="dxa"/>
                  <w:tcBorders>
                    <w:top w:val="single" w:color="auto" w:sz="4" w:space="0"/>
                    <w:left w:val="single" w:color="auto" w:sz="4" w:space="0"/>
                    <w:bottom w:val="single" w:color="auto" w:sz="4" w:space="0"/>
                    <w:right w:val="single" w:color="auto" w:sz="4" w:space="0"/>
                  </w:tcBorders>
                  <w:vAlign w:val="center"/>
                </w:tcPr>
                <w:p w14:paraId="6CCE1354">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天车</w:t>
                  </w:r>
                </w:p>
              </w:tc>
              <w:tc>
                <w:tcPr>
                  <w:tcW w:w="1953" w:type="dxa"/>
                  <w:tcBorders>
                    <w:top w:val="single" w:color="auto" w:sz="4" w:space="0"/>
                    <w:left w:val="single" w:color="auto" w:sz="4" w:space="0"/>
                    <w:bottom w:val="single" w:color="auto" w:sz="4" w:space="0"/>
                    <w:right w:val="single" w:color="auto" w:sz="4" w:space="0"/>
                  </w:tcBorders>
                  <w:vAlign w:val="center"/>
                </w:tcPr>
                <w:p w14:paraId="2942F8E3">
                  <w:pPr>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TC-200</w:t>
                  </w:r>
                </w:p>
              </w:tc>
              <w:tc>
                <w:tcPr>
                  <w:tcW w:w="975" w:type="dxa"/>
                  <w:tcBorders>
                    <w:top w:val="single" w:color="auto" w:sz="4" w:space="0"/>
                    <w:left w:val="single" w:color="auto" w:sz="4" w:space="0"/>
                    <w:bottom w:val="single" w:color="auto" w:sz="4" w:space="0"/>
                    <w:right w:val="single" w:color="auto" w:sz="4" w:space="0"/>
                  </w:tcBorders>
                  <w:vAlign w:val="center"/>
                </w:tcPr>
                <w:p w14:paraId="3B7D1907">
                  <w:pPr>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2000kN</w:t>
                  </w:r>
                </w:p>
              </w:tc>
              <w:tc>
                <w:tcPr>
                  <w:tcW w:w="631" w:type="dxa"/>
                  <w:tcBorders>
                    <w:top w:val="single" w:color="auto" w:sz="4" w:space="0"/>
                    <w:left w:val="single" w:color="auto" w:sz="4" w:space="0"/>
                    <w:bottom w:val="single" w:color="auto" w:sz="4" w:space="0"/>
                    <w:right w:val="single" w:color="auto" w:sz="4" w:space="0"/>
                  </w:tcBorders>
                  <w:vAlign w:val="center"/>
                </w:tcPr>
                <w:p w14:paraId="2EF57633">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w:t>
                  </w:r>
                </w:p>
              </w:tc>
              <w:tc>
                <w:tcPr>
                  <w:tcW w:w="1574" w:type="dxa"/>
                  <w:tcBorders>
                    <w:top w:val="single" w:color="auto" w:sz="4" w:space="0"/>
                    <w:left w:val="single" w:color="auto" w:sz="4" w:space="0"/>
                    <w:bottom w:val="single" w:color="auto" w:sz="4" w:space="0"/>
                    <w:right w:val="single" w:color="auto" w:sz="4" w:space="0"/>
                  </w:tcBorders>
                  <w:vAlign w:val="center"/>
                </w:tcPr>
                <w:p w14:paraId="20F65C4C">
                  <w:pPr>
                    <w:pStyle w:val="1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1B742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3" w:hRule="atLeast"/>
                <w:jc w:val="center"/>
              </w:trPr>
              <w:tc>
                <w:tcPr>
                  <w:tcW w:w="605" w:type="dxa"/>
                  <w:vMerge w:val="continue"/>
                  <w:tcBorders>
                    <w:top w:val="single" w:color="auto" w:sz="4" w:space="0"/>
                    <w:left w:val="single" w:color="auto" w:sz="4" w:space="0"/>
                    <w:bottom w:val="single" w:color="auto" w:sz="4" w:space="0"/>
                    <w:right w:val="single" w:color="auto" w:sz="4" w:space="0"/>
                  </w:tcBorders>
                  <w:vAlign w:val="center"/>
                </w:tcPr>
                <w:p w14:paraId="32A190AE">
                  <w:pPr>
                    <w:pStyle w:val="19"/>
                    <w:jc w:val="center"/>
                    <w:rPr>
                      <w:rFonts w:hint="default" w:ascii="Times New Roman" w:hAnsi="Times New Roman" w:eastAsia="宋体" w:cs="Times New Roman"/>
                      <w:color w:val="auto"/>
                      <w:sz w:val="21"/>
                      <w:szCs w:val="21"/>
                      <w:highlight w:val="none"/>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14:paraId="48EDE81A">
                  <w:pPr>
                    <w:pStyle w:val="19"/>
                    <w:jc w:val="center"/>
                    <w:rPr>
                      <w:rFonts w:hint="default" w:ascii="Times New Roman" w:hAnsi="Times New Roman" w:eastAsia="宋体" w:cs="Times New Roman"/>
                      <w:color w:val="auto"/>
                      <w:sz w:val="21"/>
                      <w:szCs w:val="21"/>
                      <w:highlight w:val="none"/>
                    </w:rPr>
                  </w:pPr>
                </w:p>
              </w:tc>
              <w:tc>
                <w:tcPr>
                  <w:tcW w:w="1319" w:type="dxa"/>
                  <w:tcBorders>
                    <w:top w:val="single" w:color="auto" w:sz="4" w:space="0"/>
                    <w:left w:val="single" w:color="auto" w:sz="4" w:space="0"/>
                    <w:bottom w:val="single" w:color="auto" w:sz="4" w:space="0"/>
                    <w:right w:val="single" w:color="auto" w:sz="4" w:space="0"/>
                  </w:tcBorders>
                  <w:vAlign w:val="center"/>
                </w:tcPr>
                <w:p w14:paraId="06B75883">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游动滑车</w:t>
                  </w:r>
                </w:p>
              </w:tc>
              <w:tc>
                <w:tcPr>
                  <w:tcW w:w="1953" w:type="dxa"/>
                  <w:tcBorders>
                    <w:top w:val="single" w:color="auto" w:sz="4" w:space="0"/>
                    <w:left w:val="single" w:color="auto" w:sz="4" w:space="0"/>
                    <w:bottom w:val="single" w:color="auto" w:sz="4" w:space="0"/>
                    <w:right w:val="single" w:color="auto" w:sz="4" w:space="0"/>
                  </w:tcBorders>
                  <w:vAlign w:val="center"/>
                </w:tcPr>
                <w:p w14:paraId="54AE2CB2">
                  <w:pPr>
                    <w:pStyle w:val="1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YC-</w:t>
                  </w:r>
                  <w:r>
                    <w:rPr>
                      <w:rFonts w:hint="default" w:ascii="Times New Roman" w:hAnsi="Times New Roman" w:eastAsia="宋体" w:cs="Times New Roman"/>
                      <w:color w:val="auto"/>
                      <w:sz w:val="21"/>
                      <w:szCs w:val="21"/>
                      <w:highlight w:val="none"/>
                      <w:lang w:val="en-US" w:eastAsia="zh-CN"/>
                    </w:rPr>
                    <w:t>200</w:t>
                  </w:r>
                </w:p>
              </w:tc>
              <w:tc>
                <w:tcPr>
                  <w:tcW w:w="975" w:type="dxa"/>
                  <w:tcBorders>
                    <w:top w:val="single" w:color="auto" w:sz="4" w:space="0"/>
                    <w:left w:val="single" w:color="auto" w:sz="4" w:space="0"/>
                    <w:bottom w:val="single" w:color="auto" w:sz="4" w:space="0"/>
                    <w:right w:val="single" w:color="auto" w:sz="4" w:space="0"/>
                  </w:tcBorders>
                  <w:vAlign w:val="center"/>
                </w:tcPr>
                <w:p w14:paraId="6EEFD789">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2000kN</w:t>
                  </w:r>
                </w:p>
              </w:tc>
              <w:tc>
                <w:tcPr>
                  <w:tcW w:w="631" w:type="dxa"/>
                  <w:tcBorders>
                    <w:top w:val="single" w:color="auto" w:sz="4" w:space="0"/>
                    <w:left w:val="single" w:color="auto" w:sz="4" w:space="0"/>
                    <w:bottom w:val="single" w:color="auto" w:sz="4" w:space="0"/>
                    <w:right w:val="single" w:color="auto" w:sz="4" w:space="0"/>
                  </w:tcBorders>
                  <w:vAlign w:val="center"/>
                </w:tcPr>
                <w:p w14:paraId="3527D630">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w:t>
                  </w:r>
                </w:p>
              </w:tc>
              <w:tc>
                <w:tcPr>
                  <w:tcW w:w="1574" w:type="dxa"/>
                  <w:tcBorders>
                    <w:top w:val="single" w:color="auto" w:sz="4" w:space="0"/>
                    <w:left w:val="single" w:color="auto" w:sz="4" w:space="0"/>
                    <w:bottom w:val="single" w:color="auto" w:sz="4" w:space="0"/>
                    <w:right w:val="single" w:color="auto" w:sz="4" w:space="0"/>
                  </w:tcBorders>
                  <w:vAlign w:val="center"/>
                </w:tcPr>
                <w:p w14:paraId="790C8ED2">
                  <w:pPr>
                    <w:pStyle w:val="1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4903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3" w:hRule="atLeast"/>
                <w:jc w:val="center"/>
              </w:trPr>
              <w:tc>
                <w:tcPr>
                  <w:tcW w:w="605" w:type="dxa"/>
                  <w:vMerge w:val="continue"/>
                  <w:tcBorders>
                    <w:top w:val="single" w:color="auto" w:sz="4" w:space="0"/>
                    <w:left w:val="single" w:color="auto" w:sz="4" w:space="0"/>
                    <w:bottom w:val="single" w:color="auto" w:sz="4" w:space="0"/>
                    <w:right w:val="single" w:color="auto" w:sz="4" w:space="0"/>
                  </w:tcBorders>
                  <w:vAlign w:val="center"/>
                </w:tcPr>
                <w:p w14:paraId="160E79DE">
                  <w:pPr>
                    <w:pStyle w:val="19"/>
                    <w:jc w:val="center"/>
                    <w:rPr>
                      <w:rFonts w:hint="default" w:ascii="Times New Roman" w:hAnsi="Times New Roman" w:eastAsia="宋体" w:cs="Times New Roman"/>
                      <w:color w:val="auto"/>
                      <w:sz w:val="21"/>
                      <w:szCs w:val="21"/>
                      <w:highlight w:val="none"/>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14:paraId="0B7CED62">
                  <w:pPr>
                    <w:pStyle w:val="19"/>
                    <w:jc w:val="center"/>
                    <w:rPr>
                      <w:rFonts w:hint="default" w:ascii="Times New Roman" w:hAnsi="Times New Roman" w:eastAsia="宋体" w:cs="Times New Roman"/>
                      <w:color w:val="auto"/>
                      <w:sz w:val="21"/>
                      <w:szCs w:val="21"/>
                      <w:highlight w:val="none"/>
                    </w:rPr>
                  </w:pPr>
                </w:p>
              </w:tc>
              <w:tc>
                <w:tcPr>
                  <w:tcW w:w="1319" w:type="dxa"/>
                  <w:tcBorders>
                    <w:top w:val="single" w:color="auto" w:sz="4" w:space="0"/>
                    <w:left w:val="single" w:color="auto" w:sz="4" w:space="0"/>
                    <w:bottom w:val="single" w:color="auto" w:sz="4" w:space="0"/>
                    <w:right w:val="single" w:color="auto" w:sz="4" w:space="0"/>
                  </w:tcBorders>
                  <w:vAlign w:val="center"/>
                </w:tcPr>
                <w:p w14:paraId="48941757">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大钩</w:t>
                  </w:r>
                </w:p>
              </w:tc>
              <w:tc>
                <w:tcPr>
                  <w:tcW w:w="1953" w:type="dxa"/>
                  <w:tcBorders>
                    <w:top w:val="single" w:color="auto" w:sz="4" w:space="0"/>
                    <w:left w:val="single" w:color="auto" w:sz="4" w:space="0"/>
                    <w:bottom w:val="single" w:color="auto" w:sz="4" w:space="0"/>
                    <w:right w:val="single" w:color="auto" w:sz="4" w:space="0"/>
                  </w:tcBorders>
                  <w:vAlign w:val="center"/>
                </w:tcPr>
                <w:p w14:paraId="37230397">
                  <w:pPr>
                    <w:pStyle w:val="1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YG-</w:t>
                  </w:r>
                  <w:r>
                    <w:rPr>
                      <w:rFonts w:hint="default" w:ascii="Times New Roman" w:hAnsi="Times New Roman" w:eastAsia="宋体" w:cs="Times New Roman"/>
                      <w:color w:val="auto"/>
                      <w:sz w:val="21"/>
                      <w:szCs w:val="21"/>
                      <w:highlight w:val="none"/>
                      <w:lang w:val="en-US" w:eastAsia="zh-CN"/>
                    </w:rPr>
                    <w:t>200</w:t>
                  </w:r>
                </w:p>
              </w:tc>
              <w:tc>
                <w:tcPr>
                  <w:tcW w:w="975" w:type="dxa"/>
                  <w:tcBorders>
                    <w:top w:val="single" w:color="auto" w:sz="4" w:space="0"/>
                    <w:left w:val="single" w:color="auto" w:sz="4" w:space="0"/>
                    <w:bottom w:val="single" w:color="auto" w:sz="4" w:space="0"/>
                    <w:right w:val="single" w:color="auto" w:sz="4" w:space="0"/>
                  </w:tcBorders>
                  <w:vAlign w:val="center"/>
                </w:tcPr>
                <w:p w14:paraId="1E1ABCDF">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2000kN</w:t>
                  </w:r>
                </w:p>
              </w:tc>
              <w:tc>
                <w:tcPr>
                  <w:tcW w:w="631" w:type="dxa"/>
                  <w:tcBorders>
                    <w:top w:val="single" w:color="auto" w:sz="4" w:space="0"/>
                    <w:left w:val="single" w:color="auto" w:sz="4" w:space="0"/>
                    <w:bottom w:val="single" w:color="auto" w:sz="4" w:space="0"/>
                    <w:right w:val="single" w:color="auto" w:sz="4" w:space="0"/>
                  </w:tcBorders>
                  <w:vAlign w:val="center"/>
                </w:tcPr>
                <w:p w14:paraId="041BD6DA">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w:t>
                  </w:r>
                </w:p>
              </w:tc>
              <w:tc>
                <w:tcPr>
                  <w:tcW w:w="1574" w:type="dxa"/>
                  <w:tcBorders>
                    <w:top w:val="single" w:color="auto" w:sz="4" w:space="0"/>
                    <w:left w:val="single" w:color="auto" w:sz="4" w:space="0"/>
                    <w:bottom w:val="single" w:color="auto" w:sz="4" w:space="0"/>
                    <w:right w:val="single" w:color="auto" w:sz="4" w:space="0"/>
                  </w:tcBorders>
                  <w:vAlign w:val="center"/>
                </w:tcPr>
                <w:p w14:paraId="1071E862">
                  <w:pPr>
                    <w:pStyle w:val="1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3726D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3" w:hRule="atLeast"/>
                <w:jc w:val="center"/>
              </w:trPr>
              <w:tc>
                <w:tcPr>
                  <w:tcW w:w="605" w:type="dxa"/>
                  <w:vMerge w:val="continue"/>
                  <w:tcBorders>
                    <w:top w:val="single" w:color="auto" w:sz="4" w:space="0"/>
                    <w:left w:val="single" w:color="auto" w:sz="4" w:space="0"/>
                    <w:bottom w:val="single" w:color="auto" w:sz="4" w:space="0"/>
                    <w:right w:val="single" w:color="auto" w:sz="4" w:space="0"/>
                  </w:tcBorders>
                  <w:vAlign w:val="center"/>
                </w:tcPr>
                <w:p w14:paraId="5F44C7C4">
                  <w:pPr>
                    <w:pStyle w:val="19"/>
                    <w:jc w:val="center"/>
                    <w:rPr>
                      <w:rFonts w:hint="default" w:ascii="Times New Roman" w:hAnsi="Times New Roman" w:eastAsia="宋体" w:cs="Times New Roman"/>
                      <w:color w:val="auto"/>
                      <w:sz w:val="21"/>
                      <w:szCs w:val="21"/>
                      <w:highlight w:val="none"/>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14:paraId="0B353B0A">
                  <w:pPr>
                    <w:pStyle w:val="19"/>
                    <w:jc w:val="center"/>
                    <w:rPr>
                      <w:rFonts w:hint="default" w:ascii="Times New Roman" w:hAnsi="Times New Roman" w:eastAsia="宋体" w:cs="Times New Roman"/>
                      <w:color w:val="auto"/>
                      <w:sz w:val="21"/>
                      <w:szCs w:val="21"/>
                      <w:highlight w:val="none"/>
                    </w:rPr>
                  </w:pPr>
                </w:p>
              </w:tc>
              <w:tc>
                <w:tcPr>
                  <w:tcW w:w="1319" w:type="dxa"/>
                  <w:tcBorders>
                    <w:top w:val="single" w:color="auto" w:sz="4" w:space="0"/>
                    <w:left w:val="single" w:color="auto" w:sz="4" w:space="0"/>
                    <w:bottom w:val="single" w:color="auto" w:sz="4" w:space="0"/>
                    <w:right w:val="single" w:color="auto" w:sz="4" w:space="0"/>
                  </w:tcBorders>
                  <w:vAlign w:val="center"/>
                </w:tcPr>
                <w:p w14:paraId="57220AA7">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水龙头</w:t>
                  </w:r>
                </w:p>
              </w:tc>
              <w:tc>
                <w:tcPr>
                  <w:tcW w:w="1953" w:type="dxa"/>
                  <w:tcBorders>
                    <w:top w:val="single" w:color="auto" w:sz="4" w:space="0"/>
                    <w:left w:val="single" w:color="auto" w:sz="4" w:space="0"/>
                    <w:bottom w:val="single" w:color="auto" w:sz="4" w:space="0"/>
                    <w:right w:val="single" w:color="auto" w:sz="4" w:space="0"/>
                  </w:tcBorders>
                  <w:vAlign w:val="center"/>
                </w:tcPr>
                <w:p w14:paraId="556C19EF">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SL-</w:t>
                  </w: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0</w:t>
                  </w:r>
                </w:p>
              </w:tc>
              <w:tc>
                <w:tcPr>
                  <w:tcW w:w="975" w:type="dxa"/>
                  <w:tcBorders>
                    <w:top w:val="single" w:color="auto" w:sz="4" w:space="0"/>
                    <w:left w:val="single" w:color="auto" w:sz="4" w:space="0"/>
                    <w:bottom w:val="single" w:color="auto" w:sz="4" w:space="0"/>
                    <w:right w:val="single" w:color="auto" w:sz="4" w:space="0"/>
                  </w:tcBorders>
                  <w:vAlign w:val="center"/>
                </w:tcPr>
                <w:p w14:paraId="61333856">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2000kN</w:t>
                  </w:r>
                </w:p>
              </w:tc>
              <w:tc>
                <w:tcPr>
                  <w:tcW w:w="631" w:type="dxa"/>
                  <w:tcBorders>
                    <w:top w:val="single" w:color="auto" w:sz="4" w:space="0"/>
                    <w:left w:val="single" w:color="auto" w:sz="4" w:space="0"/>
                    <w:bottom w:val="single" w:color="auto" w:sz="4" w:space="0"/>
                    <w:right w:val="single" w:color="auto" w:sz="4" w:space="0"/>
                  </w:tcBorders>
                  <w:vAlign w:val="center"/>
                </w:tcPr>
                <w:p w14:paraId="39E97011">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w:t>
                  </w:r>
                </w:p>
              </w:tc>
              <w:tc>
                <w:tcPr>
                  <w:tcW w:w="1574" w:type="dxa"/>
                  <w:tcBorders>
                    <w:top w:val="single" w:color="auto" w:sz="4" w:space="0"/>
                    <w:left w:val="single" w:color="auto" w:sz="4" w:space="0"/>
                    <w:bottom w:val="single" w:color="auto" w:sz="4" w:space="0"/>
                    <w:right w:val="single" w:color="auto" w:sz="4" w:space="0"/>
                  </w:tcBorders>
                  <w:vAlign w:val="center"/>
                </w:tcPr>
                <w:p w14:paraId="701F8837">
                  <w:pPr>
                    <w:pStyle w:val="1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26D93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3" w:hRule="atLeast"/>
                <w:jc w:val="center"/>
              </w:trPr>
              <w:tc>
                <w:tcPr>
                  <w:tcW w:w="605" w:type="dxa"/>
                  <w:tcBorders>
                    <w:top w:val="single" w:color="auto" w:sz="4" w:space="0"/>
                    <w:left w:val="single" w:color="auto" w:sz="4" w:space="0"/>
                    <w:bottom w:val="single" w:color="auto" w:sz="4" w:space="0"/>
                    <w:right w:val="single" w:color="auto" w:sz="4" w:space="0"/>
                  </w:tcBorders>
                  <w:vAlign w:val="center"/>
                </w:tcPr>
                <w:p w14:paraId="2F7B0D29">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四</w:t>
                  </w:r>
                </w:p>
              </w:tc>
              <w:tc>
                <w:tcPr>
                  <w:tcW w:w="2319" w:type="dxa"/>
                  <w:gridSpan w:val="2"/>
                  <w:tcBorders>
                    <w:top w:val="single" w:color="auto" w:sz="4" w:space="0"/>
                    <w:left w:val="single" w:color="auto" w:sz="4" w:space="0"/>
                    <w:bottom w:val="single" w:color="auto" w:sz="4" w:space="0"/>
                    <w:right w:val="single" w:color="auto" w:sz="4" w:space="0"/>
                  </w:tcBorders>
                  <w:vAlign w:val="center"/>
                </w:tcPr>
                <w:p w14:paraId="71D7A4D5">
                  <w:pPr>
                    <w:pStyle w:val="1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val="0"/>
                      <w:bCs w:val="0"/>
                      <w:color w:val="auto"/>
                      <w:sz w:val="21"/>
                      <w:szCs w:val="21"/>
                      <w:highlight w:val="none"/>
                    </w:rPr>
                    <w:t>顶部驱动装置</w:t>
                  </w:r>
                </w:p>
              </w:tc>
              <w:tc>
                <w:tcPr>
                  <w:tcW w:w="1953" w:type="dxa"/>
                  <w:tcBorders>
                    <w:top w:val="single" w:color="auto" w:sz="4" w:space="0"/>
                    <w:left w:val="single" w:color="auto" w:sz="4" w:space="0"/>
                    <w:bottom w:val="single" w:color="auto" w:sz="4" w:space="0"/>
                    <w:right w:val="single" w:color="auto" w:sz="4" w:space="0"/>
                  </w:tcBorders>
                  <w:vAlign w:val="center"/>
                </w:tcPr>
                <w:p w14:paraId="1C477DDA">
                  <w:pPr>
                    <w:pStyle w:val="1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w:t>
                  </w:r>
                </w:p>
              </w:tc>
              <w:tc>
                <w:tcPr>
                  <w:tcW w:w="975" w:type="dxa"/>
                  <w:tcBorders>
                    <w:top w:val="single" w:color="auto" w:sz="4" w:space="0"/>
                    <w:left w:val="single" w:color="auto" w:sz="4" w:space="0"/>
                    <w:bottom w:val="single" w:color="auto" w:sz="4" w:space="0"/>
                    <w:right w:val="single" w:color="auto" w:sz="4" w:space="0"/>
                  </w:tcBorders>
                  <w:vAlign w:val="center"/>
                </w:tcPr>
                <w:p w14:paraId="5A2B2443">
                  <w:pPr>
                    <w:pStyle w:val="1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w:t>
                  </w:r>
                </w:p>
              </w:tc>
              <w:tc>
                <w:tcPr>
                  <w:tcW w:w="631" w:type="dxa"/>
                  <w:tcBorders>
                    <w:top w:val="single" w:color="auto" w:sz="4" w:space="0"/>
                    <w:left w:val="single" w:color="auto" w:sz="4" w:space="0"/>
                    <w:bottom w:val="single" w:color="auto" w:sz="4" w:space="0"/>
                    <w:right w:val="single" w:color="auto" w:sz="4" w:space="0"/>
                  </w:tcBorders>
                  <w:vAlign w:val="center"/>
                </w:tcPr>
                <w:p w14:paraId="280800D2">
                  <w:pPr>
                    <w:pStyle w:val="1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w:t>
                  </w:r>
                </w:p>
              </w:tc>
              <w:tc>
                <w:tcPr>
                  <w:tcW w:w="1574" w:type="dxa"/>
                  <w:tcBorders>
                    <w:top w:val="single" w:color="auto" w:sz="4" w:space="0"/>
                    <w:left w:val="single" w:color="auto" w:sz="4" w:space="0"/>
                    <w:bottom w:val="single" w:color="auto" w:sz="4" w:space="0"/>
                    <w:right w:val="single" w:color="auto" w:sz="4" w:space="0"/>
                  </w:tcBorders>
                  <w:vAlign w:val="center"/>
                </w:tcPr>
                <w:p w14:paraId="2C75BCB3">
                  <w:pPr>
                    <w:pStyle w:val="19"/>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w:t>
                  </w:r>
                </w:p>
              </w:tc>
            </w:tr>
            <w:tr w14:paraId="461D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3" w:hRule="atLeast"/>
                <w:jc w:val="center"/>
              </w:trPr>
              <w:tc>
                <w:tcPr>
                  <w:tcW w:w="605" w:type="dxa"/>
                  <w:tcBorders>
                    <w:top w:val="single" w:color="auto" w:sz="4" w:space="0"/>
                    <w:left w:val="single" w:color="auto" w:sz="4" w:space="0"/>
                    <w:bottom w:val="single" w:color="auto" w:sz="4" w:space="0"/>
                    <w:right w:val="single" w:color="auto" w:sz="4" w:space="0"/>
                  </w:tcBorders>
                  <w:vAlign w:val="center"/>
                </w:tcPr>
                <w:p w14:paraId="5506B154">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五</w:t>
                  </w:r>
                </w:p>
              </w:tc>
              <w:tc>
                <w:tcPr>
                  <w:tcW w:w="2319" w:type="dxa"/>
                  <w:gridSpan w:val="2"/>
                  <w:tcBorders>
                    <w:top w:val="single" w:color="auto" w:sz="4" w:space="0"/>
                    <w:left w:val="single" w:color="auto" w:sz="4" w:space="0"/>
                    <w:bottom w:val="single" w:color="auto" w:sz="4" w:space="0"/>
                    <w:right w:val="single" w:color="auto" w:sz="4" w:space="0"/>
                  </w:tcBorders>
                  <w:vAlign w:val="center"/>
                </w:tcPr>
                <w:p w14:paraId="479F6F02">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转盘</w:t>
                  </w:r>
                </w:p>
              </w:tc>
              <w:tc>
                <w:tcPr>
                  <w:tcW w:w="1953" w:type="dxa"/>
                  <w:tcBorders>
                    <w:top w:val="single" w:color="auto" w:sz="4" w:space="0"/>
                    <w:left w:val="single" w:color="auto" w:sz="4" w:space="0"/>
                    <w:bottom w:val="single" w:color="auto" w:sz="4" w:space="0"/>
                    <w:right w:val="single" w:color="auto" w:sz="4" w:space="0"/>
                  </w:tcBorders>
                  <w:vAlign w:val="center"/>
                </w:tcPr>
                <w:p w14:paraId="4A5869C5">
                  <w:pPr>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ZP-205</w:t>
                  </w:r>
                </w:p>
              </w:tc>
              <w:tc>
                <w:tcPr>
                  <w:tcW w:w="975" w:type="dxa"/>
                  <w:tcBorders>
                    <w:top w:val="single" w:color="auto" w:sz="4" w:space="0"/>
                    <w:left w:val="single" w:color="auto" w:sz="4" w:space="0"/>
                    <w:bottom w:val="single" w:color="auto" w:sz="4" w:space="0"/>
                    <w:right w:val="single" w:color="auto" w:sz="4" w:space="0"/>
                  </w:tcBorders>
                  <w:vAlign w:val="center"/>
                </w:tcPr>
                <w:p w14:paraId="7B3877BC">
                  <w:pPr>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200t</w:t>
                  </w:r>
                </w:p>
              </w:tc>
              <w:tc>
                <w:tcPr>
                  <w:tcW w:w="631" w:type="dxa"/>
                  <w:tcBorders>
                    <w:top w:val="single" w:color="auto" w:sz="4" w:space="0"/>
                    <w:left w:val="single" w:color="auto" w:sz="4" w:space="0"/>
                    <w:bottom w:val="single" w:color="auto" w:sz="4" w:space="0"/>
                    <w:right w:val="single" w:color="auto" w:sz="4" w:space="0"/>
                  </w:tcBorders>
                  <w:vAlign w:val="center"/>
                </w:tcPr>
                <w:p w14:paraId="20BF884D">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w:t>
                  </w:r>
                </w:p>
              </w:tc>
              <w:tc>
                <w:tcPr>
                  <w:tcW w:w="1574" w:type="dxa"/>
                  <w:tcBorders>
                    <w:top w:val="single" w:color="auto" w:sz="4" w:space="0"/>
                    <w:left w:val="single" w:color="auto" w:sz="4" w:space="0"/>
                    <w:bottom w:val="single" w:color="auto" w:sz="4" w:space="0"/>
                    <w:right w:val="single" w:color="auto" w:sz="4" w:space="0"/>
                  </w:tcBorders>
                  <w:vAlign w:val="center"/>
                </w:tcPr>
                <w:p w14:paraId="3E915873">
                  <w:pPr>
                    <w:pStyle w:val="1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09949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3" w:hRule="atLeast"/>
                <w:jc w:val="center"/>
              </w:trPr>
              <w:tc>
                <w:tcPr>
                  <w:tcW w:w="605" w:type="dxa"/>
                  <w:vMerge w:val="restart"/>
                  <w:tcBorders>
                    <w:top w:val="single" w:color="auto" w:sz="4" w:space="0"/>
                    <w:left w:val="single" w:color="auto" w:sz="4" w:space="0"/>
                    <w:bottom w:val="single" w:color="auto" w:sz="4" w:space="0"/>
                    <w:right w:val="single" w:color="auto" w:sz="4" w:space="0"/>
                  </w:tcBorders>
                  <w:vAlign w:val="center"/>
                </w:tcPr>
                <w:p w14:paraId="25EF5B01">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六</w:t>
                  </w:r>
                </w:p>
              </w:tc>
              <w:tc>
                <w:tcPr>
                  <w:tcW w:w="1000" w:type="dxa"/>
                  <w:vMerge w:val="restart"/>
                  <w:tcBorders>
                    <w:top w:val="single" w:color="auto" w:sz="4" w:space="0"/>
                    <w:left w:val="single" w:color="auto" w:sz="4" w:space="0"/>
                    <w:bottom w:val="single" w:color="auto" w:sz="4" w:space="0"/>
                    <w:right w:val="single" w:color="auto" w:sz="4" w:space="0"/>
                  </w:tcBorders>
                  <w:vAlign w:val="center"/>
                </w:tcPr>
                <w:p w14:paraId="4291C6CB">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循环</w:t>
                  </w:r>
                </w:p>
                <w:p w14:paraId="46FE86FD">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系统</w:t>
                  </w:r>
                </w:p>
              </w:tc>
              <w:tc>
                <w:tcPr>
                  <w:tcW w:w="1319" w:type="dxa"/>
                  <w:tcBorders>
                    <w:top w:val="single" w:color="auto" w:sz="4" w:space="0"/>
                    <w:left w:val="single" w:color="auto" w:sz="4" w:space="0"/>
                    <w:bottom w:val="single" w:color="auto" w:sz="4" w:space="0"/>
                    <w:right w:val="single" w:color="auto" w:sz="4" w:space="0"/>
                  </w:tcBorders>
                  <w:vAlign w:val="center"/>
                </w:tcPr>
                <w:p w14:paraId="420FD6A4">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钻井泵1#</w:t>
                  </w:r>
                </w:p>
              </w:tc>
              <w:tc>
                <w:tcPr>
                  <w:tcW w:w="1953" w:type="dxa"/>
                  <w:tcBorders>
                    <w:top w:val="single" w:color="auto" w:sz="4" w:space="0"/>
                    <w:left w:val="single" w:color="auto" w:sz="4" w:space="0"/>
                    <w:bottom w:val="single" w:color="auto" w:sz="4" w:space="0"/>
                    <w:right w:val="single" w:color="auto" w:sz="4" w:space="0"/>
                  </w:tcBorders>
                  <w:vAlign w:val="center"/>
                </w:tcPr>
                <w:p w14:paraId="48945B6E">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3NB-1300</w:t>
                  </w:r>
                </w:p>
              </w:tc>
              <w:tc>
                <w:tcPr>
                  <w:tcW w:w="975" w:type="dxa"/>
                  <w:tcBorders>
                    <w:top w:val="single" w:color="auto" w:sz="4" w:space="0"/>
                    <w:left w:val="single" w:color="auto" w:sz="4" w:space="0"/>
                    <w:bottom w:val="single" w:color="auto" w:sz="4" w:space="0"/>
                    <w:right w:val="single" w:color="auto" w:sz="4" w:space="0"/>
                  </w:tcBorders>
                  <w:vAlign w:val="center"/>
                </w:tcPr>
                <w:p w14:paraId="1A114D49">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956</w:t>
                  </w:r>
                  <w:r>
                    <w:rPr>
                      <w:rFonts w:hint="default" w:ascii="Times New Roman" w:hAnsi="Times New Roman" w:eastAsia="宋体" w:cs="Times New Roman"/>
                      <w:color w:val="auto"/>
                      <w:sz w:val="21"/>
                      <w:szCs w:val="21"/>
                      <w:highlight w:val="none"/>
                    </w:rPr>
                    <w:t>kW</w:t>
                  </w:r>
                </w:p>
              </w:tc>
              <w:tc>
                <w:tcPr>
                  <w:tcW w:w="631" w:type="dxa"/>
                  <w:tcBorders>
                    <w:top w:val="single" w:color="auto" w:sz="4" w:space="0"/>
                    <w:left w:val="single" w:color="auto" w:sz="4" w:space="0"/>
                    <w:bottom w:val="single" w:color="auto" w:sz="4" w:space="0"/>
                    <w:right w:val="single" w:color="auto" w:sz="4" w:space="0"/>
                  </w:tcBorders>
                  <w:vAlign w:val="center"/>
                </w:tcPr>
                <w:p w14:paraId="58F30238">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74" w:type="dxa"/>
                  <w:tcBorders>
                    <w:top w:val="single" w:color="auto" w:sz="4" w:space="0"/>
                    <w:left w:val="single" w:color="auto" w:sz="4" w:space="0"/>
                    <w:bottom w:val="single" w:color="auto" w:sz="4" w:space="0"/>
                    <w:right w:val="single" w:color="auto" w:sz="4" w:space="0"/>
                  </w:tcBorders>
                  <w:vAlign w:val="center"/>
                </w:tcPr>
                <w:p w14:paraId="396E1BD2">
                  <w:pPr>
                    <w:pStyle w:val="1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52B4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3" w:hRule="atLeast"/>
                <w:jc w:val="center"/>
              </w:trPr>
              <w:tc>
                <w:tcPr>
                  <w:tcW w:w="605" w:type="dxa"/>
                  <w:vMerge w:val="continue"/>
                  <w:tcBorders>
                    <w:top w:val="single" w:color="auto" w:sz="4" w:space="0"/>
                    <w:left w:val="single" w:color="auto" w:sz="4" w:space="0"/>
                    <w:bottom w:val="single" w:color="auto" w:sz="4" w:space="0"/>
                    <w:right w:val="single" w:color="auto" w:sz="4" w:space="0"/>
                  </w:tcBorders>
                  <w:vAlign w:val="center"/>
                </w:tcPr>
                <w:p w14:paraId="423F2DF0">
                  <w:pPr>
                    <w:pStyle w:val="19"/>
                    <w:jc w:val="center"/>
                    <w:rPr>
                      <w:rFonts w:hint="default" w:ascii="Times New Roman" w:hAnsi="Times New Roman" w:eastAsia="宋体" w:cs="Times New Roman"/>
                      <w:color w:val="auto"/>
                      <w:sz w:val="21"/>
                      <w:szCs w:val="21"/>
                      <w:highlight w:val="none"/>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14:paraId="3BD77E7C">
                  <w:pPr>
                    <w:pStyle w:val="19"/>
                    <w:jc w:val="center"/>
                    <w:rPr>
                      <w:rFonts w:hint="default" w:ascii="Times New Roman" w:hAnsi="Times New Roman" w:eastAsia="宋体" w:cs="Times New Roman"/>
                      <w:color w:val="auto"/>
                      <w:sz w:val="21"/>
                      <w:szCs w:val="21"/>
                      <w:highlight w:val="none"/>
                    </w:rPr>
                  </w:pPr>
                </w:p>
              </w:tc>
              <w:tc>
                <w:tcPr>
                  <w:tcW w:w="1319" w:type="dxa"/>
                  <w:tcBorders>
                    <w:top w:val="single" w:color="auto" w:sz="4" w:space="0"/>
                    <w:left w:val="single" w:color="auto" w:sz="4" w:space="0"/>
                    <w:bottom w:val="single" w:color="auto" w:sz="4" w:space="0"/>
                    <w:right w:val="single" w:color="auto" w:sz="4" w:space="0"/>
                  </w:tcBorders>
                  <w:vAlign w:val="center"/>
                </w:tcPr>
                <w:p w14:paraId="71F8B5AD">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钻井泵2#</w:t>
                  </w:r>
                </w:p>
              </w:tc>
              <w:tc>
                <w:tcPr>
                  <w:tcW w:w="1953" w:type="dxa"/>
                  <w:tcBorders>
                    <w:top w:val="single" w:color="auto" w:sz="4" w:space="0"/>
                    <w:left w:val="single" w:color="auto" w:sz="4" w:space="0"/>
                    <w:bottom w:val="single" w:color="auto" w:sz="4" w:space="0"/>
                    <w:right w:val="single" w:color="auto" w:sz="4" w:space="0"/>
                  </w:tcBorders>
                  <w:vAlign w:val="center"/>
                </w:tcPr>
                <w:p w14:paraId="5D687309">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3NB-1300</w:t>
                  </w:r>
                </w:p>
              </w:tc>
              <w:tc>
                <w:tcPr>
                  <w:tcW w:w="975" w:type="dxa"/>
                  <w:tcBorders>
                    <w:top w:val="single" w:color="auto" w:sz="4" w:space="0"/>
                    <w:left w:val="single" w:color="auto" w:sz="4" w:space="0"/>
                    <w:bottom w:val="single" w:color="auto" w:sz="4" w:space="0"/>
                    <w:right w:val="single" w:color="auto" w:sz="4" w:space="0"/>
                  </w:tcBorders>
                  <w:vAlign w:val="center"/>
                </w:tcPr>
                <w:p w14:paraId="0B63E098">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956</w:t>
                  </w:r>
                  <w:r>
                    <w:rPr>
                      <w:rFonts w:hint="default" w:ascii="Times New Roman" w:hAnsi="Times New Roman" w:eastAsia="宋体" w:cs="Times New Roman"/>
                      <w:color w:val="auto"/>
                      <w:sz w:val="21"/>
                      <w:szCs w:val="21"/>
                      <w:highlight w:val="none"/>
                    </w:rPr>
                    <w:t>kW</w:t>
                  </w:r>
                </w:p>
              </w:tc>
              <w:tc>
                <w:tcPr>
                  <w:tcW w:w="631" w:type="dxa"/>
                  <w:tcBorders>
                    <w:top w:val="single" w:color="auto" w:sz="4" w:space="0"/>
                    <w:left w:val="single" w:color="auto" w:sz="4" w:space="0"/>
                    <w:bottom w:val="single" w:color="auto" w:sz="4" w:space="0"/>
                    <w:right w:val="single" w:color="auto" w:sz="4" w:space="0"/>
                  </w:tcBorders>
                  <w:vAlign w:val="center"/>
                </w:tcPr>
                <w:p w14:paraId="7BE82004">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74" w:type="dxa"/>
                  <w:tcBorders>
                    <w:top w:val="single" w:color="auto" w:sz="4" w:space="0"/>
                    <w:left w:val="single" w:color="auto" w:sz="4" w:space="0"/>
                    <w:bottom w:val="single" w:color="auto" w:sz="4" w:space="0"/>
                    <w:right w:val="single" w:color="auto" w:sz="4" w:space="0"/>
                  </w:tcBorders>
                  <w:vAlign w:val="center"/>
                </w:tcPr>
                <w:p w14:paraId="1234BB62">
                  <w:pPr>
                    <w:pStyle w:val="1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110F9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3" w:hRule="atLeast"/>
                <w:jc w:val="center"/>
              </w:trPr>
              <w:tc>
                <w:tcPr>
                  <w:tcW w:w="605" w:type="dxa"/>
                  <w:vMerge w:val="continue"/>
                  <w:tcBorders>
                    <w:top w:val="single" w:color="auto" w:sz="4" w:space="0"/>
                    <w:left w:val="single" w:color="auto" w:sz="4" w:space="0"/>
                    <w:bottom w:val="single" w:color="auto" w:sz="4" w:space="0"/>
                    <w:right w:val="single" w:color="auto" w:sz="4" w:space="0"/>
                  </w:tcBorders>
                  <w:vAlign w:val="center"/>
                </w:tcPr>
                <w:p w14:paraId="05B53F91">
                  <w:pPr>
                    <w:pStyle w:val="19"/>
                    <w:jc w:val="center"/>
                    <w:rPr>
                      <w:rFonts w:hint="default" w:ascii="Times New Roman" w:hAnsi="Times New Roman" w:eastAsia="宋体" w:cs="Times New Roman"/>
                      <w:color w:val="auto"/>
                      <w:sz w:val="21"/>
                      <w:szCs w:val="21"/>
                      <w:highlight w:val="none"/>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14:paraId="4EB86FC1">
                  <w:pPr>
                    <w:pStyle w:val="19"/>
                    <w:jc w:val="center"/>
                    <w:rPr>
                      <w:rFonts w:hint="default" w:ascii="Times New Roman" w:hAnsi="Times New Roman" w:eastAsia="宋体" w:cs="Times New Roman"/>
                      <w:color w:val="auto"/>
                      <w:sz w:val="21"/>
                      <w:szCs w:val="21"/>
                      <w:highlight w:val="none"/>
                    </w:rPr>
                  </w:pPr>
                </w:p>
              </w:tc>
              <w:tc>
                <w:tcPr>
                  <w:tcW w:w="1319" w:type="dxa"/>
                  <w:tcBorders>
                    <w:top w:val="single" w:color="auto" w:sz="4" w:space="0"/>
                    <w:left w:val="single" w:color="auto" w:sz="4" w:space="0"/>
                    <w:bottom w:val="single" w:color="auto" w:sz="4" w:space="0"/>
                    <w:right w:val="single" w:color="auto" w:sz="4" w:space="0"/>
                  </w:tcBorders>
                  <w:vAlign w:val="center"/>
                </w:tcPr>
                <w:p w14:paraId="37C8C6C9">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钻井液罐</w:t>
                  </w:r>
                </w:p>
              </w:tc>
              <w:tc>
                <w:tcPr>
                  <w:tcW w:w="1953" w:type="dxa"/>
                  <w:tcBorders>
                    <w:top w:val="single" w:color="auto" w:sz="4" w:space="0"/>
                    <w:left w:val="single" w:color="auto" w:sz="4" w:space="0"/>
                    <w:bottom w:val="single" w:color="auto" w:sz="4" w:space="0"/>
                    <w:right w:val="single" w:color="auto" w:sz="4" w:space="0"/>
                  </w:tcBorders>
                  <w:vAlign w:val="center"/>
                </w:tcPr>
                <w:p w14:paraId="6E6F2B6B">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总容积≥250m</w:t>
                  </w:r>
                  <w:r>
                    <w:rPr>
                      <w:rFonts w:hint="default" w:ascii="Times New Roman" w:hAnsi="Times New Roman" w:eastAsia="宋体" w:cs="Times New Roman"/>
                      <w:color w:val="auto"/>
                      <w:sz w:val="21"/>
                      <w:szCs w:val="21"/>
                      <w:highlight w:val="none"/>
                      <w:vertAlign w:val="superscript"/>
                    </w:rPr>
                    <w:t>3</w:t>
                  </w:r>
                </w:p>
              </w:tc>
              <w:tc>
                <w:tcPr>
                  <w:tcW w:w="975" w:type="dxa"/>
                  <w:tcBorders>
                    <w:top w:val="single" w:color="auto" w:sz="4" w:space="0"/>
                    <w:left w:val="single" w:color="auto" w:sz="4" w:space="0"/>
                    <w:bottom w:val="single" w:color="auto" w:sz="4" w:space="0"/>
                    <w:right w:val="single" w:color="auto" w:sz="4" w:space="0"/>
                  </w:tcBorders>
                  <w:vAlign w:val="center"/>
                </w:tcPr>
                <w:p w14:paraId="67855B69">
                  <w:pPr>
                    <w:pStyle w:val="19"/>
                    <w:jc w:val="center"/>
                    <w:rPr>
                      <w:rFonts w:hint="default" w:ascii="Times New Roman" w:hAnsi="Times New Roman" w:eastAsia="宋体" w:cs="Times New Roman"/>
                      <w:color w:val="auto"/>
                      <w:sz w:val="21"/>
                      <w:szCs w:val="21"/>
                      <w:highlight w:val="none"/>
                    </w:rPr>
                  </w:pPr>
                </w:p>
              </w:tc>
              <w:tc>
                <w:tcPr>
                  <w:tcW w:w="631" w:type="dxa"/>
                  <w:tcBorders>
                    <w:top w:val="single" w:color="auto" w:sz="4" w:space="0"/>
                    <w:left w:val="single" w:color="auto" w:sz="4" w:space="0"/>
                    <w:bottom w:val="single" w:color="auto" w:sz="4" w:space="0"/>
                    <w:right w:val="single" w:color="auto" w:sz="4" w:space="0"/>
                  </w:tcBorders>
                  <w:vAlign w:val="center"/>
                </w:tcPr>
                <w:p w14:paraId="6D3ECA9A">
                  <w:pPr>
                    <w:pStyle w:val="19"/>
                    <w:jc w:val="center"/>
                    <w:rPr>
                      <w:rFonts w:hint="default" w:ascii="Times New Roman" w:hAnsi="Times New Roman" w:eastAsia="宋体" w:cs="Times New Roman"/>
                      <w:color w:val="auto"/>
                      <w:sz w:val="21"/>
                      <w:szCs w:val="21"/>
                      <w:highlight w:val="none"/>
                    </w:rPr>
                  </w:pPr>
                </w:p>
              </w:tc>
              <w:tc>
                <w:tcPr>
                  <w:tcW w:w="1574" w:type="dxa"/>
                  <w:tcBorders>
                    <w:top w:val="single" w:color="auto" w:sz="4" w:space="0"/>
                    <w:left w:val="single" w:color="auto" w:sz="4" w:space="0"/>
                    <w:bottom w:val="single" w:color="auto" w:sz="4" w:space="0"/>
                    <w:right w:val="single" w:color="auto" w:sz="4" w:space="0"/>
                  </w:tcBorders>
                  <w:vAlign w:val="center"/>
                </w:tcPr>
                <w:p w14:paraId="57572F01">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含储备罐</w:t>
                  </w:r>
                </w:p>
              </w:tc>
            </w:tr>
            <w:tr w14:paraId="0C0D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3" w:hRule="atLeast"/>
                <w:jc w:val="center"/>
              </w:trPr>
              <w:tc>
                <w:tcPr>
                  <w:tcW w:w="605" w:type="dxa"/>
                  <w:tcBorders>
                    <w:top w:val="single" w:color="auto" w:sz="4" w:space="0"/>
                    <w:left w:val="single" w:color="auto" w:sz="4" w:space="0"/>
                    <w:bottom w:val="single" w:color="auto" w:sz="4" w:space="0"/>
                    <w:right w:val="single" w:color="auto" w:sz="4" w:space="0"/>
                  </w:tcBorders>
                  <w:vAlign w:val="center"/>
                </w:tcPr>
                <w:p w14:paraId="20D9D393">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七</w:t>
                  </w:r>
                </w:p>
              </w:tc>
              <w:tc>
                <w:tcPr>
                  <w:tcW w:w="1000" w:type="dxa"/>
                  <w:tcBorders>
                    <w:top w:val="single" w:color="auto" w:sz="4" w:space="0"/>
                    <w:left w:val="single" w:color="auto" w:sz="4" w:space="0"/>
                    <w:bottom w:val="single" w:color="auto" w:sz="4" w:space="0"/>
                    <w:right w:val="single" w:color="auto" w:sz="4" w:space="0"/>
                  </w:tcBorders>
                  <w:vAlign w:val="center"/>
                </w:tcPr>
                <w:p w14:paraId="5A9E5FC1">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动力系统</w:t>
                  </w:r>
                </w:p>
              </w:tc>
              <w:tc>
                <w:tcPr>
                  <w:tcW w:w="1319" w:type="dxa"/>
                  <w:tcBorders>
                    <w:top w:val="single" w:color="auto" w:sz="4" w:space="0"/>
                    <w:left w:val="single" w:color="auto" w:sz="4" w:space="0"/>
                    <w:bottom w:val="single" w:color="auto" w:sz="4" w:space="0"/>
                    <w:right w:val="single" w:color="auto" w:sz="4" w:space="0"/>
                  </w:tcBorders>
                  <w:vAlign w:val="center"/>
                </w:tcPr>
                <w:p w14:paraId="1D237537">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柴油机</w:t>
                  </w:r>
                </w:p>
              </w:tc>
              <w:tc>
                <w:tcPr>
                  <w:tcW w:w="1953" w:type="dxa"/>
                  <w:tcBorders>
                    <w:top w:val="single" w:color="auto" w:sz="4" w:space="0"/>
                    <w:left w:val="single" w:color="auto" w:sz="4" w:space="0"/>
                    <w:bottom w:val="single" w:color="auto" w:sz="4" w:space="0"/>
                    <w:right w:val="single" w:color="auto" w:sz="4" w:space="0"/>
                  </w:tcBorders>
                  <w:vAlign w:val="center"/>
                </w:tcPr>
                <w:p w14:paraId="25A97D29">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PZ12V190B</w:t>
                  </w:r>
                </w:p>
              </w:tc>
              <w:tc>
                <w:tcPr>
                  <w:tcW w:w="975" w:type="dxa"/>
                  <w:tcBorders>
                    <w:top w:val="single" w:color="auto" w:sz="4" w:space="0"/>
                    <w:left w:val="single" w:color="auto" w:sz="4" w:space="0"/>
                    <w:bottom w:val="single" w:color="auto" w:sz="4" w:space="0"/>
                    <w:right w:val="single" w:color="auto" w:sz="4" w:space="0"/>
                  </w:tcBorders>
                  <w:vAlign w:val="center"/>
                </w:tcPr>
                <w:p w14:paraId="75CBA281">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796</w:t>
                  </w:r>
                  <w:r>
                    <w:rPr>
                      <w:rFonts w:hint="default" w:ascii="Times New Roman" w:hAnsi="Times New Roman" w:eastAsia="宋体" w:cs="Times New Roman"/>
                      <w:color w:val="auto"/>
                      <w:sz w:val="21"/>
                      <w:szCs w:val="21"/>
                      <w:highlight w:val="none"/>
                    </w:rPr>
                    <w:t>kW</w:t>
                  </w:r>
                </w:p>
              </w:tc>
              <w:tc>
                <w:tcPr>
                  <w:tcW w:w="631" w:type="dxa"/>
                  <w:tcBorders>
                    <w:top w:val="single" w:color="auto" w:sz="4" w:space="0"/>
                    <w:left w:val="single" w:color="auto" w:sz="4" w:space="0"/>
                    <w:bottom w:val="single" w:color="auto" w:sz="4" w:space="0"/>
                    <w:right w:val="single" w:color="auto" w:sz="4" w:space="0"/>
                  </w:tcBorders>
                  <w:vAlign w:val="center"/>
                </w:tcPr>
                <w:p w14:paraId="5455CF3C">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台</w:t>
                  </w:r>
                </w:p>
              </w:tc>
              <w:tc>
                <w:tcPr>
                  <w:tcW w:w="1574" w:type="dxa"/>
                  <w:tcBorders>
                    <w:top w:val="single" w:color="auto" w:sz="4" w:space="0"/>
                    <w:left w:val="single" w:color="auto" w:sz="4" w:space="0"/>
                    <w:bottom w:val="single" w:color="auto" w:sz="4" w:space="0"/>
                    <w:right w:val="single" w:color="auto" w:sz="4" w:space="0"/>
                  </w:tcBorders>
                  <w:vAlign w:val="center"/>
                </w:tcPr>
                <w:p w14:paraId="28BF5036">
                  <w:pPr>
                    <w:pStyle w:val="1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003BE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3" w:hRule="atLeast"/>
                <w:jc w:val="center"/>
              </w:trPr>
              <w:tc>
                <w:tcPr>
                  <w:tcW w:w="605" w:type="dxa"/>
                  <w:tcBorders>
                    <w:top w:val="single" w:color="auto" w:sz="4" w:space="0"/>
                    <w:left w:val="single" w:color="auto" w:sz="4" w:space="0"/>
                    <w:bottom w:val="single" w:color="auto" w:sz="4" w:space="0"/>
                    <w:right w:val="single" w:color="auto" w:sz="4" w:space="0"/>
                  </w:tcBorders>
                  <w:vAlign w:val="center"/>
                </w:tcPr>
                <w:p w14:paraId="5691DBDE">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八</w:t>
                  </w:r>
                </w:p>
              </w:tc>
              <w:tc>
                <w:tcPr>
                  <w:tcW w:w="1000" w:type="dxa"/>
                  <w:tcBorders>
                    <w:top w:val="single" w:color="auto" w:sz="4" w:space="0"/>
                    <w:left w:val="single" w:color="auto" w:sz="4" w:space="0"/>
                    <w:bottom w:val="single" w:color="auto" w:sz="4" w:space="0"/>
                    <w:right w:val="single" w:color="auto" w:sz="4" w:space="0"/>
                  </w:tcBorders>
                  <w:vAlign w:val="center"/>
                </w:tcPr>
                <w:p w14:paraId="00715265">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发电机组</w:t>
                  </w:r>
                </w:p>
              </w:tc>
              <w:tc>
                <w:tcPr>
                  <w:tcW w:w="1319" w:type="dxa"/>
                  <w:tcBorders>
                    <w:top w:val="single" w:color="auto" w:sz="4" w:space="0"/>
                    <w:left w:val="single" w:color="auto" w:sz="4" w:space="0"/>
                    <w:bottom w:val="single" w:color="auto" w:sz="4" w:space="0"/>
                    <w:right w:val="single" w:color="auto" w:sz="4" w:space="0"/>
                  </w:tcBorders>
                  <w:vAlign w:val="center"/>
                </w:tcPr>
                <w:p w14:paraId="0B974B3A">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发电机</w:t>
                  </w:r>
                </w:p>
              </w:tc>
              <w:tc>
                <w:tcPr>
                  <w:tcW w:w="1953" w:type="dxa"/>
                  <w:tcBorders>
                    <w:top w:val="single" w:color="auto" w:sz="4" w:space="0"/>
                    <w:left w:val="single" w:color="auto" w:sz="4" w:space="0"/>
                    <w:bottom w:val="single" w:color="auto" w:sz="4" w:space="0"/>
                    <w:right w:val="single" w:color="auto" w:sz="4" w:space="0"/>
                  </w:tcBorders>
                  <w:vAlign w:val="center"/>
                </w:tcPr>
                <w:p w14:paraId="4856892C">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柴油发电机</w:t>
                  </w:r>
                </w:p>
              </w:tc>
              <w:tc>
                <w:tcPr>
                  <w:tcW w:w="975" w:type="dxa"/>
                  <w:tcBorders>
                    <w:top w:val="single" w:color="auto" w:sz="4" w:space="0"/>
                    <w:left w:val="single" w:color="auto" w:sz="4" w:space="0"/>
                    <w:bottom w:val="single" w:color="auto" w:sz="4" w:space="0"/>
                    <w:right w:val="single" w:color="auto" w:sz="4" w:space="0"/>
                  </w:tcBorders>
                  <w:vAlign w:val="center"/>
                </w:tcPr>
                <w:p w14:paraId="4EC7E546">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400kW</w:t>
                  </w:r>
                </w:p>
              </w:tc>
              <w:tc>
                <w:tcPr>
                  <w:tcW w:w="631" w:type="dxa"/>
                  <w:tcBorders>
                    <w:top w:val="single" w:color="auto" w:sz="4" w:space="0"/>
                    <w:left w:val="single" w:color="auto" w:sz="4" w:space="0"/>
                    <w:bottom w:val="single" w:color="auto" w:sz="4" w:space="0"/>
                    <w:right w:val="single" w:color="auto" w:sz="4" w:space="0"/>
                  </w:tcBorders>
                  <w:vAlign w:val="center"/>
                </w:tcPr>
                <w:p w14:paraId="2938E4E7">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台</w:t>
                  </w:r>
                </w:p>
              </w:tc>
              <w:tc>
                <w:tcPr>
                  <w:tcW w:w="1574" w:type="dxa"/>
                  <w:tcBorders>
                    <w:top w:val="single" w:color="auto" w:sz="4" w:space="0"/>
                    <w:left w:val="single" w:color="auto" w:sz="4" w:space="0"/>
                    <w:bottom w:val="single" w:color="auto" w:sz="4" w:space="0"/>
                    <w:right w:val="single" w:color="auto" w:sz="4" w:space="0"/>
                  </w:tcBorders>
                  <w:vAlign w:val="center"/>
                </w:tcPr>
                <w:p w14:paraId="036C997A">
                  <w:pPr>
                    <w:pStyle w:val="1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753E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3" w:hRule="atLeast"/>
                <w:jc w:val="center"/>
              </w:trPr>
              <w:tc>
                <w:tcPr>
                  <w:tcW w:w="605" w:type="dxa"/>
                  <w:vMerge w:val="restart"/>
                  <w:tcBorders>
                    <w:top w:val="single" w:color="auto" w:sz="4" w:space="0"/>
                    <w:left w:val="single" w:color="auto" w:sz="4" w:space="0"/>
                    <w:bottom w:val="single" w:color="auto" w:sz="4" w:space="0"/>
                    <w:right w:val="single" w:color="auto" w:sz="4" w:space="0"/>
                  </w:tcBorders>
                  <w:vAlign w:val="center"/>
                </w:tcPr>
                <w:p w14:paraId="06BAC208">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九</w:t>
                  </w:r>
                </w:p>
              </w:tc>
              <w:tc>
                <w:tcPr>
                  <w:tcW w:w="1000" w:type="dxa"/>
                  <w:vMerge w:val="restart"/>
                  <w:tcBorders>
                    <w:top w:val="single" w:color="auto" w:sz="4" w:space="0"/>
                    <w:left w:val="single" w:color="auto" w:sz="4" w:space="0"/>
                    <w:bottom w:val="single" w:color="auto" w:sz="4" w:space="0"/>
                    <w:right w:val="single" w:color="auto" w:sz="4" w:space="0"/>
                  </w:tcBorders>
                  <w:vAlign w:val="center"/>
                </w:tcPr>
                <w:p w14:paraId="7173F732">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钻机</w:t>
                  </w:r>
                </w:p>
                <w:p w14:paraId="7F567650">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控制</w:t>
                  </w:r>
                </w:p>
                <w:p w14:paraId="28F434FC">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系统</w:t>
                  </w:r>
                </w:p>
              </w:tc>
              <w:tc>
                <w:tcPr>
                  <w:tcW w:w="1319" w:type="dxa"/>
                  <w:tcBorders>
                    <w:top w:val="single" w:color="auto" w:sz="4" w:space="0"/>
                    <w:left w:val="single" w:color="auto" w:sz="4" w:space="0"/>
                    <w:bottom w:val="single" w:color="auto" w:sz="4" w:space="0"/>
                    <w:right w:val="single" w:color="auto" w:sz="4" w:space="0"/>
                  </w:tcBorders>
                  <w:vAlign w:val="center"/>
                </w:tcPr>
                <w:p w14:paraId="652988A8">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自动压风机</w:t>
                  </w:r>
                </w:p>
              </w:tc>
              <w:tc>
                <w:tcPr>
                  <w:tcW w:w="1953" w:type="dxa"/>
                  <w:tcBorders>
                    <w:top w:val="single" w:color="auto" w:sz="4" w:space="0"/>
                    <w:left w:val="single" w:color="auto" w:sz="4" w:space="0"/>
                    <w:bottom w:val="single" w:color="auto" w:sz="4" w:space="0"/>
                    <w:right w:val="single" w:color="auto" w:sz="4" w:space="0"/>
                  </w:tcBorders>
                  <w:vAlign w:val="center"/>
                </w:tcPr>
                <w:p w14:paraId="2ADE5F24">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2V6.5/12</w:t>
                  </w:r>
                </w:p>
              </w:tc>
              <w:tc>
                <w:tcPr>
                  <w:tcW w:w="975" w:type="dxa"/>
                  <w:tcBorders>
                    <w:top w:val="single" w:color="auto" w:sz="4" w:space="0"/>
                    <w:left w:val="single" w:color="auto" w:sz="4" w:space="0"/>
                    <w:bottom w:val="single" w:color="auto" w:sz="4" w:space="0"/>
                    <w:right w:val="single" w:color="auto" w:sz="4" w:space="0"/>
                  </w:tcBorders>
                  <w:vAlign w:val="center"/>
                </w:tcPr>
                <w:p w14:paraId="45FCFA02">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55kW</w:t>
                  </w:r>
                </w:p>
              </w:tc>
              <w:tc>
                <w:tcPr>
                  <w:tcW w:w="631" w:type="dxa"/>
                  <w:tcBorders>
                    <w:top w:val="single" w:color="auto" w:sz="4" w:space="0"/>
                    <w:left w:val="single" w:color="auto" w:sz="4" w:space="0"/>
                    <w:bottom w:val="single" w:color="auto" w:sz="4" w:space="0"/>
                    <w:right w:val="single" w:color="auto" w:sz="4" w:space="0"/>
                  </w:tcBorders>
                  <w:vAlign w:val="center"/>
                </w:tcPr>
                <w:p w14:paraId="613786B2">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w:t>
                  </w:r>
                </w:p>
              </w:tc>
              <w:tc>
                <w:tcPr>
                  <w:tcW w:w="1574" w:type="dxa"/>
                  <w:tcBorders>
                    <w:top w:val="single" w:color="auto" w:sz="4" w:space="0"/>
                    <w:left w:val="single" w:color="auto" w:sz="4" w:space="0"/>
                    <w:bottom w:val="single" w:color="auto" w:sz="4" w:space="0"/>
                    <w:right w:val="single" w:color="auto" w:sz="4" w:space="0"/>
                  </w:tcBorders>
                  <w:vAlign w:val="center"/>
                </w:tcPr>
                <w:p w14:paraId="732346F3">
                  <w:pPr>
                    <w:pStyle w:val="1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14472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3" w:hRule="atLeast"/>
                <w:jc w:val="center"/>
              </w:trPr>
              <w:tc>
                <w:tcPr>
                  <w:tcW w:w="605" w:type="dxa"/>
                  <w:vMerge w:val="continue"/>
                  <w:tcBorders>
                    <w:top w:val="single" w:color="auto" w:sz="4" w:space="0"/>
                    <w:left w:val="single" w:color="auto" w:sz="4" w:space="0"/>
                    <w:bottom w:val="single" w:color="auto" w:sz="4" w:space="0"/>
                    <w:right w:val="single" w:color="auto" w:sz="4" w:space="0"/>
                  </w:tcBorders>
                  <w:vAlign w:val="center"/>
                </w:tcPr>
                <w:p w14:paraId="407B8500">
                  <w:pPr>
                    <w:pStyle w:val="19"/>
                    <w:jc w:val="center"/>
                    <w:rPr>
                      <w:rFonts w:hint="default" w:ascii="Times New Roman" w:hAnsi="Times New Roman" w:eastAsia="宋体" w:cs="Times New Roman"/>
                      <w:color w:val="auto"/>
                      <w:sz w:val="21"/>
                      <w:szCs w:val="21"/>
                      <w:highlight w:val="none"/>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14:paraId="4CBEC85C">
                  <w:pPr>
                    <w:pStyle w:val="19"/>
                    <w:jc w:val="center"/>
                    <w:rPr>
                      <w:rFonts w:hint="default" w:ascii="Times New Roman" w:hAnsi="Times New Roman" w:eastAsia="宋体" w:cs="Times New Roman"/>
                      <w:color w:val="auto"/>
                      <w:sz w:val="21"/>
                      <w:szCs w:val="21"/>
                      <w:highlight w:val="none"/>
                    </w:rPr>
                  </w:pPr>
                </w:p>
              </w:tc>
              <w:tc>
                <w:tcPr>
                  <w:tcW w:w="1319" w:type="dxa"/>
                  <w:tcBorders>
                    <w:top w:val="single" w:color="auto" w:sz="4" w:space="0"/>
                    <w:left w:val="single" w:color="auto" w:sz="4" w:space="0"/>
                    <w:bottom w:val="single" w:color="auto" w:sz="4" w:space="0"/>
                    <w:right w:val="single" w:color="auto" w:sz="4" w:space="0"/>
                  </w:tcBorders>
                  <w:vAlign w:val="center"/>
                </w:tcPr>
                <w:p w14:paraId="3349C1B0">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电动压风机</w:t>
                  </w:r>
                </w:p>
              </w:tc>
              <w:tc>
                <w:tcPr>
                  <w:tcW w:w="1953" w:type="dxa"/>
                  <w:tcBorders>
                    <w:top w:val="single" w:color="auto" w:sz="4" w:space="0"/>
                    <w:left w:val="single" w:color="auto" w:sz="4" w:space="0"/>
                    <w:bottom w:val="single" w:color="auto" w:sz="4" w:space="0"/>
                    <w:right w:val="single" w:color="auto" w:sz="4" w:space="0"/>
                  </w:tcBorders>
                  <w:vAlign w:val="center"/>
                </w:tcPr>
                <w:p w14:paraId="5CAB0528">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LS12-50HH</w:t>
                  </w:r>
                </w:p>
              </w:tc>
              <w:tc>
                <w:tcPr>
                  <w:tcW w:w="975" w:type="dxa"/>
                  <w:tcBorders>
                    <w:top w:val="single" w:color="auto" w:sz="4" w:space="0"/>
                    <w:left w:val="single" w:color="auto" w:sz="4" w:space="0"/>
                    <w:bottom w:val="single" w:color="auto" w:sz="4" w:space="0"/>
                    <w:right w:val="single" w:color="auto" w:sz="4" w:space="0"/>
                  </w:tcBorders>
                  <w:vAlign w:val="center"/>
                </w:tcPr>
                <w:p w14:paraId="789268A3">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55kW</w:t>
                  </w:r>
                </w:p>
              </w:tc>
              <w:tc>
                <w:tcPr>
                  <w:tcW w:w="631" w:type="dxa"/>
                  <w:tcBorders>
                    <w:top w:val="single" w:color="auto" w:sz="4" w:space="0"/>
                    <w:left w:val="single" w:color="auto" w:sz="4" w:space="0"/>
                    <w:bottom w:val="single" w:color="auto" w:sz="4" w:space="0"/>
                    <w:right w:val="single" w:color="auto" w:sz="4" w:space="0"/>
                  </w:tcBorders>
                  <w:vAlign w:val="center"/>
                </w:tcPr>
                <w:p w14:paraId="46B03357">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w:t>
                  </w:r>
                </w:p>
              </w:tc>
              <w:tc>
                <w:tcPr>
                  <w:tcW w:w="1574" w:type="dxa"/>
                  <w:tcBorders>
                    <w:top w:val="single" w:color="auto" w:sz="4" w:space="0"/>
                    <w:left w:val="single" w:color="auto" w:sz="4" w:space="0"/>
                    <w:bottom w:val="single" w:color="auto" w:sz="4" w:space="0"/>
                    <w:right w:val="single" w:color="auto" w:sz="4" w:space="0"/>
                  </w:tcBorders>
                  <w:vAlign w:val="center"/>
                </w:tcPr>
                <w:p w14:paraId="3DE8F27B">
                  <w:pPr>
                    <w:pStyle w:val="19"/>
                    <w:jc w:val="center"/>
                    <w:rPr>
                      <w:rFonts w:hint="default" w:ascii="Times New Roman" w:hAnsi="Times New Roman" w:eastAsia="宋体" w:cs="Times New Roman"/>
                      <w:color w:val="auto"/>
                      <w:sz w:val="21"/>
                      <w:szCs w:val="21"/>
                      <w:highlight w:val="none"/>
                    </w:rPr>
                  </w:pPr>
                </w:p>
              </w:tc>
            </w:tr>
            <w:tr w14:paraId="272DA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3" w:hRule="atLeast"/>
                <w:jc w:val="center"/>
              </w:trPr>
              <w:tc>
                <w:tcPr>
                  <w:tcW w:w="605" w:type="dxa"/>
                  <w:vMerge w:val="continue"/>
                  <w:tcBorders>
                    <w:top w:val="single" w:color="auto" w:sz="4" w:space="0"/>
                    <w:left w:val="single" w:color="auto" w:sz="4" w:space="0"/>
                    <w:bottom w:val="single" w:color="auto" w:sz="4" w:space="0"/>
                    <w:right w:val="single" w:color="auto" w:sz="4" w:space="0"/>
                  </w:tcBorders>
                  <w:vAlign w:val="center"/>
                </w:tcPr>
                <w:p w14:paraId="7E12F026">
                  <w:pPr>
                    <w:pStyle w:val="19"/>
                    <w:jc w:val="center"/>
                    <w:rPr>
                      <w:rFonts w:hint="default" w:ascii="Times New Roman" w:hAnsi="Times New Roman" w:eastAsia="宋体" w:cs="Times New Roman"/>
                      <w:color w:val="auto"/>
                      <w:sz w:val="21"/>
                      <w:szCs w:val="21"/>
                      <w:highlight w:val="none"/>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14:paraId="6F2D0AF3">
                  <w:pPr>
                    <w:pStyle w:val="19"/>
                    <w:jc w:val="center"/>
                    <w:rPr>
                      <w:rFonts w:hint="default" w:ascii="Times New Roman" w:hAnsi="Times New Roman" w:eastAsia="宋体" w:cs="Times New Roman"/>
                      <w:color w:val="auto"/>
                      <w:sz w:val="21"/>
                      <w:szCs w:val="21"/>
                      <w:highlight w:val="none"/>
                    </w:rPr>
                  </w:pPr>
                </w:p>
              </w:tc>
              <w:tc>
                <w:tcPr>
                  <w:tcW w:w="1319" w:type="dxa"/>
                  <w:tcBorders>
                    <w:top w:val="single" w:color="auto" w:sz="4" w:space="0"/>
                    <w:left w:val="single" w:color="auto" w:sz="4" w:space="0"/>
                    <w:bottom w:val="single" w:color="auto" w:sz="4" w:space="0"/>
                    <w:right w:val="single" w:color="auto" w:sz="4" w:space="0"/>
                  </w:tcBorders>
                  <w:vAlign w:val="center"/>
                </w:tcPr>
                <w:p w14:paraId="34C57B10">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刹车系统</w:t>
                  </w:r>
                </w:p>
              </w:tc>
              <w:tc>
                <w:tcPr>
                  <w:tcW w:w="1953" w:type="dxa"/>
                  <w:tcBorders>
                    <w:top w:val="single" w:color="auto" w:sz="4" w:space="0"/>
                    <w:left w:val="single" w:color="auto" w:sz="4" w:space="0"/>
                    <w:bottom w:val="single" w:color="auto" w:sz="4" w:space="0"/>
                    <w:right w:val="single" w:color="auto" w:sz="4" w:space="0"/>
                  </w:tcBorders>
                  <w:vAlign w:val="center"/>
                </w:tcPr>
                <w:p w14:paraId="53C7E412">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液压盘刹+电磁刹车</w:t>
                  </w:r>
                </w:p>
              </w:tc>
              <w:tc>
                <w:tcPr>
                  <w:tcW w:w="975" w:type="dxa"/>
                  <w:tcBorders>
                    <w:top w:val="single" w:color="auto" w:sz="4" w:space="0"/>
                    <w:left w:val="single" w:color="auto" w:sz="4" w:space="0"/>
                    <w:bottom w:val="single" w:color="auto" w:sz="4" w:space="0"/>
                    <w:right w:val="single" w:color="auto" w:sz="4" w:space="0"/>
                  </w:tcBorders>
                  <w:vAlign w:val="center"/>
                </w:tcPr>
                <w:p w14:paraId="2054A9CF">
                  <w:pPr>
                    <w:pStyle w:val="19"/>
                    <w:jc w:val="center"/>
                    <w:rPr>
                      <w:rFonts w:hint="default" w:ascii="Times New Roman" w:hAnsi="Times New Roman" w:eastAsia="宋体" w:cs="Times New Roman"/>
                      <w:color w:val="auto"/>
                      <w:sz w:val="21"/>
                      <w:szCs w:val="21"/>
                      <w:highlight w:val="none"/>
                    </w:rPr>
                  </w:pPr>
                </w:p>
              </w:tc>
              <w:tc>
                <w:tcPr>
                  <w:tcW w:w="631" w:type="dxa"/>
                  <w:tcBorders>
                    <w:top w:val="single" w:color="auto" w:sz="4" w:space="0"/>
                    <w:left w:val="single" w:color="auto" w:sz="4" w:space="0"/>
                    <w:bottom w:val="single" w:color="auto" w:sz="4" w:space="0"/>
                    <w:right w:val="single" w:color="auto" w:sz="4" w:space="0"/>
                  </w:tcBorders>
                  <w:vAlign w:val="center"/>
                </w:tcPr>
                <w:p w14:paraId="6E1AED0C">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w:t>
                  </w:r>
                </w:p>
              </w:tc>
              <w:tc>
                <w:tcPr>
                  <w:tcW w:w="1574" w:type="dxa"/>
                  <w:tcBorders>
                    <w:top w:val="single" w:color="auto" w:sz="4" w:space="0"/>
                    <w:left w:val="single" w:color="auto" w:sz="4" w:space="0"/>
                    <w:bottom w:val="single" w:color="auto" w:sz="4" w:space="0"/>
                    <w:right w:val="single" w:color="auto" w:sz="4" w:space="0"/>
                  </w:tcBorders>
                  <w:vAlign w:val="center"/>
                </w:tcPr>
                <w:p w14:paraId="758B3730">
                  <w:pPr>
                    <w:pStyle w:val="1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0E832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3" w:hRule="atLeast"/>
                <w:jc w:val="center"/>
              </w:trPr>
              <w:tc>
                <w:tcPr>
                  <w:tcW w:w="605" w:type="dxa"/>
                  <w:vMerge w:val="restart"/>
                  <w:tcBorders>
                    <w:top w:val="single" w:color="auto" w:sz="4" w:space="0"/>
                    <w:left w:val="single" w:color="auto" w:sz="4" w:space="0"/>
                    <w:bottom w:val="single" w:color="auto" w:sz="4" w:space="0"/>
                    <w:right w:val="single" w:color="auto" w:sz="4" w:space="0"/>
                  </w:tcBorders>
                  <w:vAlign w:val="center"/>
                </w:tcPr>
                <w:p w14:paraId="3889B106">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十</w:t>
                  </w:r>
                </w:p>
              </w:tc>
              <w:tc>
                <w:tcPr>
                  <w:tcW w:w="1000" w:type="dxa"/>
                  <w:vMerge w:val="restart"/>
                  <w:tcBorders>
                    <w:top w:val="single" w:color="auto" w:sz="4" w:space="0"/>
                    <w:left w:val="single" w:color="auto" w:sz="4" w:space="0"/>
                    <w:bottom w:val="single" w:color="auto" w:sz="4" w:space="0"/>
                    <w:right w:val="single" w:color="auto" w:sz="4" w:space="0"/>
                  </w:tcBorders>
                  <w:vAlign w:val="center"/>
                </w:tcPr>
                <w:p w14:paraId="6B673E02">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固控</w:t>
                  </w:r>
                </w:p>
                <w:p w14:paraId="2FA6ACA8">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系统</w:t>
                  </w:r>
                </w:p>
              </w:tc>
              <w:tc>
                <w:tcPr>
                  <w:tcW w:w="1319" w:type="dxa"/>
                  <w:tcBorders>
                    <w:top w:val="single" w:color="auto" w:sz="4" w:space="0"/>
                    <w:left w:val="single" w:color="auto" w:sz="4" w:space="0"/>
                    <w:bottom w:val="single" w:color="auto" w:sz="4" w:space="0"/>
                    <w:right w:val="single" w:color="auto" w:sz="4" w:space="0"/>
                  </w:tcBorders>
                  <w:vAlign w:val="center"/>
                </w:tcPr>
                <w:p w14:paraId="507FEFD0">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振动筛</w:t>
                  </w:r>
                </w:p>
              </w:tc>
              <w:tc>
                <w:tcPr>
                  <w:tcW w:w="1953" w:type="dxa"/>
                  <w:tcBorders>
                    <w:top w:val="single" w:color="auto" w:sz="4" w:space="0"/>
                    <w:left w:val="single" w:color="auto" w:sz="4" w:space="0"/>
                    <w:bottom w:val="single" w:color="auto" w:sz="4" w:space="0"/>
                    <w:right w:val="single" w:color="auto" w:sz="4" w:space="0"/>
                  </w:tcBorders>
                  <w:vAlign w:val="center"/>
                </w:tcPr>
                <w:p w14:paraId="41E4DF4B">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ZS594</w:t>
                  </w:r>
                </w:p>
              </w:tc>
              <w:tc>
                <w:tcPr>
                  <w:tcW w:w="975" w:type="dxa"/>
                  <w:tcBorders>
                    <w:top w:val="single" w:color="auto" w:sz="4" w:space="0"/>
                    <w:left w:val="single" w:color="auto" w:sz="4" w:space="0"/>
                    <w:bottom w:val="single" w:color="auto" w:sz="4" w:space="0"/>
                    <w:right w:val="single" w:color="auto" w:sz="4" w:space="0"/>
                  </w:tcBorders>
                  <w:vAlign w:val="center"/>
                </w:tcPr>
                <w:p w14:paraId="302C9F33">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tc>
              <w:tc>
                <w:tcPr>
                  <w:tcW w:w="631" w:type="dxa"/>
                  <w:tcBorders>
                    <w:top w:val="single" w:color="auto" w:sz="4" w:space="0"/>
                    <w:left w:val="single" w:color="auto" w:sz="4" w:space="0"/>
                    <w:bottom w:val="single" w:color="auto" w:sz="4" w:space="0"/>
                    <w:right w:val="single" w:color="auto" w:sz="4" w:space="0"/>
                  </w:tcBorders>
                  <w:vAlign w:val="center"/>
                </w:tcPr>
                <w:p w14:paraId="5A1FD520">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3台</w:t>
                  </w:r>
                </w:p>
              </w:tc>
              <w:tc>
                <w:tcPr>
                  <w:tcW w:w="1574" w:type="dxa"/>
                  <w:tcBorders>
                    <w:top w:val="single" w:color="auto" w:sz="4" w:space="0"/>
                    <w:left w:val="single" w:color="auto" w:sz="4" w:space="0"/>
                    <w:bottom w:val="single" w:color="auto" w:sz="4" w:space="0"/>
                    <w:right w:val="single" w:color="auto" w:sz="4" w:space="0"/>
                  </w:tcBorders>
                  <w:vAlign w:val="center"/>
                </w:tcPr>
                <w:p w14:paraId="7BC9372D">
                  <w:pPr>
                    <w:pStyle w:val="1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4AC57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3" w:hRule="atLeast"/>
                <w:jc w:val="center"/>
              </w:trPr>
              <w:tc>
                <w:tcPr>
                  <w:tcW w:w="605" w:type="dxa"/>
                  <w:vMerge w:val="continue"/>
                  <w:tcBorders>
                    <w:top w:val="single" w:color="auto" w:sz="4" w:space="0"/>
                    <w:left w:val="single" w:color="auto" w:sz="4" w:space="0"/>
                    <w:bottom w:val="single" w:color="auto" w:sz="4" w:space="0"/>
                    <w:right w:val="single" w:color="auto" w:sz="4" w:space="0"/>
                  </w:tcBorders>
                  <w:vAlign w:val="center"/>
                </w:tcPr>
                <w:p w14:paraId="6A7A85DD">
                  <w:pPr>
                    <w:pStyle w:val="19"/>
                    <w:jc w:val="center"/>
                    <w:rPr>
                      <w:rFonts w:hint="default" w:ascii="Times New Roman" w:hAnsi="Times New Roman" w:eastAsia="宋体" w:cs="Times New Roman"/>
                      <w:color w:val="auto"/>
                      <w:sz w:val="21"/>
                      <w:szCs w:val="21"/>
                      <w:highlight w:val="none"/>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14:paraId="1876513B">
                  <w:pPr>
                    <w:pStyle w:val="19"/>
                    <w:jc w:val="center"/>
                    <w:rPr>
                      <w:rFonts w:hint="default" w:ascii="Times New Roman" w:hAnsi="Times New Roman" w:eastAsia="宋体" w:cs="Times New Roman"/>
                      <w:color w:val="auto"/>
                      <w:sz w:val="21"/>
                      <w:szCs w:val="21"/>
                      <w:highlight w:val="none"/>
                    </w:rPr>
                  </w:pPr>
                </w:p>
              </w:tc>
              <w:tc>
                <w:tcPr>
                  <w:tcW w:w="1319" w:type="dxa"/>
                  <w:tcBorders>
                    <w:top w:val="single" w:color="auto" w:sz="4" w:space="0"/>
                    <w:left w:val="single" w:color="auto" w:sz="4" w:space="0"/>
                    <w:bottom w:val="single" w:color="auto" w:sz="4" w:space="0"/>
                    <w:right w:val="single" w:color="auto" w:sz="4" w:space="0"/>
                  </w:tcBorders>
                  <w:vAlign w:val="center"/>
                </w:tcPr>
                <w:p w14:paraId="696DBECF">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除砂器</w:t>
                  </w:r>
                </w:p>
              </w:tc>
              <w:tc>
                <w:tcPr>
                  <w:tcW w:w="1953" w:type="dxa"/>
                  <w:tcBorders>
                    <w:top w:val="single" w:color="auto" w:sz="4" w:space="0"/>
                    <w:left w:val="single" w:color="auto" w:sz="4" w:space="0"/>
                    <w:bottom w:val="single" w:color="auto" w:sz="4" w:space="0"/>
                    <w:right w:val="single" w:color="auto" w:sz="4" w:space="0"/>
                  </w:tcBorders>
                  <w:vAlign w:val="center"/>
                </w:tcPr>
                <w:p w14:paraId="488511D7">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WS703</w:t>
                  </w:r>
                </w:p>
              </w:tc>
              <w:tc>
                <w:tcPr>
                  <w:tcW w:w="975" w:type="dxa"/>
                  <w:tcBorders>
                    <w:top w:val="single" w:color="auto" w:sz="4" w:space="0"/>
                    <w:left w:val="single" w:color="auto" w:sz="4" w:space="0"/>
                    <w:bottom w:val="single" w:color="auto" w:sz="4" w:space="0"/>
                    <w:right w:val="single" w:color="auto" w:sz="4" w:space="0"/>
                  </w:tcBorders>
                  <w:vAlign w:val="center"/>
                </w:tcPr>
                <w:p w14:paraId="7E87F0AD">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55kW</w:t>
                  </w:r>
                </w:p>
              </w:tc>
              <w:tc>
                <w:tcPr>
                  <w:tcW w:w="631" w:type="dxa"/>
                  <w:tcBorders>
                    <w:top w:val="single" w:color="auto" w:sz="4" w:space="0"/>
                    <w:left w:val="single" w:color="auto" w:sz="4" w:space="0"/>
                    <w:bottom w:val="single" w:color="auto" w:sz="4" w:space="0"/>
                    <w:right w:val="single" w:color="auto" w:sz="4" w:space="0"/>
                  </w:tcBorders>
                  <w:vAlign w:val="center"/>
                </w:tcPr>
                <w:p w14:paraId="7E79B7A5">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74" w:type="dxa"/>
                  <w:tcBorders>
                    <w:top w:val="single" w:color="auto" w:sz="4" w:space="0"/>
                    <w:left w:val="single" w:color="auto" w:sz="4" w:space="0"/>
                    <w:bottom w:val="single" w:color="auto" w:sz="4" w:space="0"/>
                    <w:right w:val="single" w:color="auto" w:sz="4" w:space="0"/>
                  </w:tcBorders>
                  <w:vAlign w:val="center"/>
                </w:tcPr>
                <w:p w14:paraId="448FF013">
                  <w:pPr>
                    <w:pStyle w:val="1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4E8D5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3" w:hRule="atLeast"/>
                <w:jc w:val="center"/>
              </w:trPr>
              <w:tc>
                <w:tcPr>
                  <w:tcW w:w="605" w:type="dxa"/>
                  <w:vMerge w:val="continue"/>
                  <w:tcBorders>
                    <w:top w:val="single" w:color="auto" w:sz="4" w:space="0"/>
                    <w:left w:val="single" w:color="auto" w:sz="4" w:space="0"/>
                    <w:bottom w:val="single" w:color="auto" w:sz="4" w:space="0"/>
                    <w:right w:val="single" w:color="auto" w:sz="4" w:space="0"/>
                  </w:tcBorders>
                  <w:vAlign w:val="center"/>
                </w:tcPr>
                <w:p w14:paraId="5AF3A1F6">
                  <w:pPr>
                    <w:pStyle w:val="19"/>
                    <w:jc w:val="center"/>
                    <w:rPr>
                      <w:rFonts w:hint="default" w:ascii="Times New Roman" w:hAnsi="Times New Roman" w:eastAsia="宋体" w:cs="Times New Roman"/>
                      <w:color w:val="auto"/>
                      <w:sz w:val="21"/>
                      <w:szCs w:val="21"/>
                      <w:highlight w:val="none"/>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14:paraId="55805992">
                  <w:pPr>
                    <w:pStyle w:val="19"/>
                    <w:jc w:val="center"/>
                    <w:rPr>
                      <w:rFonts w:hint="default" w:ascii="Times New Roman" w:hAnsi="Times New Roman" w:eastAsia="宋体" w:cs="Times New Roman"/>
                      <w:color w:val="auto"/>
                      <w:sz w:val="21"/>
                      <w:szCs w:val="21"/>
                      <w:highlight w:val="none"/>
                    </w:rPr>
                  </w:pPr>
                </w:p>
              </w:tc>
              <w:tc>
                <w:tcPr>
                  <w:tcW w:w="1319" w:type="dxa"/>
                  <w:tcBorders>
                    <w:top w:val="single" w:color="auto" w:sz="4" w:space="0"/>
                    <w:left w:val="single" w:color="auto" w:sz="4" w:space="0"/>
                    <w:bottom w:val="single" w:color="auto" w:sz="4" w:space="0"/>
                    <w:right w:val="single" w:color="auto" w:sz="4" w:space="0"/>
                  </w:tcBorders>
                  <w:vAlign w:val="center"/>
                </w:tcPr>
                <w:p w14:paraId="513FC2CD">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除泥器</w:t>
                  </w:r>
                </w:p>
              </w:tc>
              <w:tc>
                <w:tcPr>
                  <w:tcW w:w="1953" w:type="dxa"/>
                  <w:tcBorders>
                    <w:top w:val="single" w:color="auto" w:sz="4" w:space="0"/>
                    <w:left w:val="single" w:color="auto" w:sz="4" w:space="0"/>
                    <w:bottom w:val="single" w:color="auto" w:sz="4" w:space="0"/>
                    <w:right w:val="single" w:color="auto" w:sz="4" w:space="0"/>
                  </w:tcBorders>
                  <w:vAlign w:val="center"/>
                </w:tcPr>
                <w:p w14:paraId="6458B6F1">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ZJ703</w:t>
                  </w:r>
                </w:p>
              </w:tc>
              <w:tc>
                <w:tcPr>
                  <w:tcW w:w="975" w:type="dxa"/>
                  <w:tcBorders>
                    <w:top w:val="single" w:color="auto" w:sz="4" w:space="0"/>
                    <w:left w:val="single" w:color="auto" w:sz="4" w:space="0"/>
                    <w:bottom w:val="single" w:color="auto" w:sz="4" w:space="0"/>
                    <w:right w:val="single" w:color="auto" w:sz="4" w:space="0"/>
                  </w:tcBorders>
                  <w:vAlign w:val="center"/>
                </w:tcPr>
                <w:p w14:paraId="75C8B64E">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55kW</w:t>
                  </w:r>
                </w:p>
              </w:tc>
              <w:tc>
                <w:tcPr>
                  <w:tcW w:w="631" w:type="dxa"/>
                  <w:tcBorders>
                    <w:top w:val="single" w:color="auto" w:sz="4" w:space="0"/>
                    <w:left w:val="single" w:color="auto" w:sz="4" w:space="0"/>
                    <w:bottom w:val="single" w:color="auto" w:sz="4" w:space="0"/>
                    <w:right w:val="single" w:color="auto" w:sz="4" w:space="0"/>
                  </w:tcBorders>
                  <w:vAlign w:val="center"/>
                </w:tcPr>
                <w:p w14:paraId="1B94A0E1">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74" w:type="dxa"/>
                  <w:tcBorders>
                    <w:top w:val="single" w:color="auto" w:sz="4" w:space="0"/>
                    <w:left w:val="single" w:color="auto" w:sz="4" w:space="0"/>
                    <w:bottom w:val="single" w:color="auto" w:sz="4" w:space="0"/>
                    <w:right w:val="single" w:color="auto" w:sz="4" w:space="0"/>
                  </w:tcBorders>
                  <w:vAlign w:val="center"/>
                </w:tcPr>
                <w:p w14:paraId="15D6D304">
                  <w:pPr>
                    <w:pStyle w:val="1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0055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3" w:hRule="atLeast"/>
                <w:jc w:val="center"/>
              </w:trPr>
              <w:tc>
                <w:tcPr>
                  <w:tcW w:w="605" w:type="dxa"/>
                  <w:vMerge w:val="continue"/>
                  <w:tcBorders>
                    <w:top w:val="single" w:color="auto" w:sz="4" w:space="0"/>
                    <w:left w:val="single" w:color="auto" w:sz="4" w:space="0"/>
                    <w:bottom w:val="single" w:color="auto" w:sz="4" w:space="0"/>
                    <w:right w:val="single" w:color="auto" w:sz="4" w:space="0"/>
                  </w:tcBorders>
                  <w:vAlign w:val="center"/>
                </w:tcPr>
                <w:p w14:paraId="09F7585B">
                  <w:pPr>
                    <w:pStyle w:val="19"/>
                    <w:jc w:val="center"/>
                    <w:rPr>
                      <w:rFonts w:hint="default" w:ascii="Times New Roman" w:hAnsi="Times New Roman" w:eastAsia="宋体" w:cs="Times New Roman"/>
                      <w:color w:val="auto"/>
                      <w:sz w:val="21"/>
                      <w:szCs w:val="21"/>
                      <w:highlight w:val="none"/>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14:paraId="20D10D9C">
                  <w:pPr>
                    <w:pStyle w:val="19"/>
                    <w:jc w:val="center"/>
                    <w:rPr>
                      <w:rFonts w:hint="default" w:ascii="Times New Roman" w:hAnsi="Times New Roman" w:eastAsia="宋体" w:cs="Times New Roman"/>
                      <w:color w:val="auto"/>
                      <w:sz w:val="21"/>
                      <w:szCs w:val="21"/>
                      <w:highlight w:val="none"/>
                    </w:rPr>
                  </w:pPr>
                </w:p>
              </w:tc>
              <w:tc>
                <w:tcPr>
                  <w:tcW w:w="1319" w:type="dxa"/>
                  <w:tcBorders>
                    <w:top w:val="single" w:color="auto" w:sz="4" w:space="0"/>
                    <w:left w:val="single" w:color="auto" w:sz="4" w:space="0"/>
                    <w:bottom w:val="single" w:color="auto" w:sz="4" w:space="0"/>
                    <w:right w:val="single" w:color="auto" w:sz="4" w:space="0"/>
                  </w:tcBorders>
                  <w:vAlign w:val="center"/>
                </w:tcPr>
                <w:p w14:paraId="2E66CFD3">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中速离心机</w:t>
                  </w:r>
                </w:p>
              </w:tc>
              <w:tc>
                <w:tcPr>
                  <w:tcW w:w="1953" w:type="dxa"/>
                  <w:tcBorders>
                    <w:top w:val="single" w:color="auto" w:sz="4" w:space="0"/>
                    <w:left w:val="single" w:color="auto" w:sz="4" w:space="0"/>
                    <w:bottom w:val="single" w:color="auto" w:sz="4" w:space="0"/>
                    <w:right w:val="single" w:color="auto" w:sz="4" w:space="0"/>
                  </w:tcBorders>
                  <w:vAlign w:val="center"/>
                </w:tcPr>
                <w:p w14:paraId="434A5CCB">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LW553</w:t>
                  </w:r>
                </w:p>
              </w:tc>
              <w:tc>
                <w:tcPr>
                  <w:tcW w:w="975" w:type="dxa"/>
                  <w:tcBorders>
                    <w:top w:val="single" w:color="auto" w:sz="4" w:space="0"/>
                    <w:left w:val="single" w:color="auto" w:sz="4" w:space="0"/>
                    <w:bottom w:val="single" w:color="auto" w:sz="4" w:space="0"/>
                    <w:right w:val="single" w:color="auto" w:sz="4" w:space="0"/>
                  </w:tcBorders>
                  <w:vAlign w:val="center"/>
                </w:tcPr>
                <w:p w14:paraId="7D3C1CF9">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75kW</w:t>
                  </w:r>
                </w:p>
              </w:tc>
              <w:tc>
                <w:tcPr>
                  <w:tcW w:w="631" w:type="dxa"/>
                  <w:tcBorders>
                    <w:top w:val="single" w:color="auto" w:sz="4" w:space="0"/>
                    <w:left w:val="single" w:color="auto" w:sz="4" w:space="0"/>
                    <w:bottom w:val="single" w:color="auto" w:sz="4" w:space="0"/>
                    <w:right w:val="single" w:color="auto" w:sz="4" w:space="0"/>
                  </w:tcBorders>
                  <w:vAlign w:val="center"/>
                </w:tcPr>
                <w:p w14:paraId="25D7BC0D">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74" w:type="dxa"/>
                  <w:tcBorders>
                    <w:top w:val="single" w:color="auto" w:sz="4" w:space="0"/>
                    <w:left w:val="single" w:color="auto" w:sz="4" w:space="0"/>
                    <w:bottom w:val="single" w:color="auto" w:sz="4" w:space="0"/>
                    <w:right w:val="single" w:color="auto" w:sz="4" w:space="0"/>
                  </w:tcBorders>
                  <w:vAlign w:val="center"/>
                </w:tcPr>
                <w:p w14:paraId="78144F5D">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1600r/min</w:t>
                  </w:r>
                </w:p>
              </w:tc>
            </w:tr>
            <w:tr w14:paraId="661B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3" w:hRule="atLeast"/>
                <w:jc w:val="center"/>
              </w:trPr>
              <w:tc>
                <w:tcPr>
                  <w:tcW w:w="605" w:type="dxa"/>
                  <w:vMerge w:val="continue"/>
                  <w:tcBorders>
                    <w:top w:val="single" w:color="auto" w:sz="4" w:space="0"/>
                    <w:left w:val="single" w:color="auto" w:sz="4" w:space="0"/>
                    <w:bottom w:val="single" w:color="auto" w:sz="4" w:space="0"/>
                    <w:right w:val="single" w:color="auto" w:sz="4" w:space="0"/>
                  </w:tcBorders>
                  <w:vAlign w:val="center"/>
                </w:tcPr>
                <w:p w14:paraId="1B05FFC7">
                  <w:pPr>
                    <w:pStyle w:val="19"/>
                    <w:jc w:val="center"/>
                    <w:rPr>
                      <w:rFonts w:hint="default" w:ascii="Times New Roman" w:hAnsi="Times New Roman" w:eastAsia="宋体" w:cs="Times New Roman"/>
                      <w:color w:val="auto"/>
                      <w:sz w:val="21"/>
                      <w:szCs w:val="21"/>
                      <w:highlight w:val="none"/>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14:paraId="07A263D6">
                  <w:pPr>
                    <w:pStyle w:val="19"/>
                    <w:jc w:val="center"/>
                    <w:rPr>
                      <w:rFonts w:hint="default" w:ascii="Times New Roman" w:hAnsi="Times New Roman" w:eastAsia="宋体" w:cs="Times New Roman"/>
                      <w:color w:val="auto"/>
                      <w:sz w:val="21"/>
                      <w:szCs w:val="21"/>
                      <w:highlight w:val="none"/>
                    </w:rPr>
                  </w:pPr>
                </w:p>
              </w:tc>
              <w:tc>
                <w:tcPr>
                  <w:tcW w:w="1319" w:type="dxa"/>
                  <w:tcBorders>
                    <w:top w:val="single" w:color="auto" w:sz="4" w:space="0"/>
                    <w:left w:val="single" w:color="auto" w:sz="4" w:space="0"/>
                    <w:bottom w:val="single" w:color="auto" w:sz="4" w:space="0"/>
                    <w:right w:val="single" w:color="auto" w:sz="4" w:space="0"/>
                  </w:tcBorders>
                  <w:vAlign w:val="center"/>
                </w:tcPr>
                <w:p w14:paraId="42758964">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高速离心机</w:t>
                  </w:r>
                </w:p>
              </w:tc>
              <w:tc>
                <w:tcPr>
                  <w:tcW w:w="1953" w:type="dxa"/>
                  <w:tcBorders>
                    <w:top w:val="single" w:color="auto" w:sz="4" w:space="0"/>
                    <w:left w:val="single" w:color="auto" w:sz="4" w:space="0"/>
                    <w:bottom w:val="single" w:color="auto" w:sz="4" w:space="0"/>
                    <w:right w:val="single" w:color="auto" w:sz="4" w:space="0"/>
                  </w:tcBorders>
                  <w:vAlign w:val="center"/>
                </w:tcPr>
                <w:p w14:paraId="6294943B">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LW453</w:t>
                  </w:r>
                </w:p>
              </w:tc>
              <w:tc>
                <w:tcPr>
                  <w:tcW w:w="975" w:type="dxa"/>
                  <w:tcBorders>
                    <w:top w:val="single" w:color="auto" w:sz="4" w:space="0"/>
                    <w:left w:val="single" w:color="auto" w:sz="4" w:space="0"/>
                    <w:bottom w:val="single" w:color="auto" w:sz="4" w:space="0"/>
                    <w:right w:val="single" w:color="auto" w:sz="4" w:space="0"/>
                  </w:tcBorders>
                  <w:vAlign w:val="center"/>
                </w:tcPr>
                <w:p w14:paraId="7CFB4EBF">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55kW</w:t>
                  </w:r>
                </w:p>
              </w:tc>
              <w:tc>
                <w:tcPr>
                  <w:tcW w:w="631" w:type="dxa"/>
                  <w:tcBorders>
                    <w:top w:val="single" w:color="auto" w:sz="4" w:space="0"/>
                    <w:left w:val="single" w:color="auto" w:sz="4" w:space="0"/>
                    <w:bottom w:val="single" w:color="auto" w:sz="4" w:space="0"/>
                    <w:right w:val="single" w:color="auto" w:sz="4" w:space="0"/>
                  </w:tcBorders>
                  <w:vAlign w:val="center"/>
                </w:tcPr>
                <w:p w14:paraId="79CD684A">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74" w:type="dxa"/>
                  <w:tcBorders>
                    <w:top w:val="single" w:color="auto" w:sz="4" w:space="0"/>
                    <w:left w:val="single" w:color="auto" w:sz="4" w:space="0"/>
                    <w:bottom w:val="single" w:color="auto" w:sz="4" w:space="0"/>
                    <w:right w:val="single" w:color="auto" w:sz="4" w:space="0"/>
                  </w:tcBorders>
                  <w:vAlign w:val="center"/>
                </w:tcPr>
                <w:p w14:paraId="346FD783">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3000r/min</w:t>
                  </w:r>
                </w:p>
              </w:tc>
            </w:tr>
            <w:tr w14:paraId="05398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3" w:hRule="atLeast"/>
                <w:jc w:val="center"/>
              </w:trPr>
              <w:tc>
                <w:tcPr>
                  <w:tcW w:w="605" w:type="dxa"/>
                  <w:vMerge w:val="restart"/>
                  <w:tcBorders>
                    <w:top w:val="single" w:color="auto" w:sz="4" w:space="0"/>
                    <w:left w:val="single" w:color="auto" w:sz="4" w:space="0"/>
                    <w:bottom w:val="single" w:color="auto" w:sz="4" w:space="0"/>
                    <w:right w:val="single" w:color="auto" w:sz="4" w:space="0"/>
                  </w:tcBorders>
                  <w:vAlign w:val="center"/>
                </w:tcPr>
                <w:p w14:paraId="563FE998">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十一</w:t>
                  </w:r>
                </w:p>
              </w:tc>
              <w:tc>
                <w:tcPr>
                  <w:tcW w:w="1000" w:type="dxa"/>
                  <w:vMerge w:val="restart"/>
                  <w:tcBorders>
                    <w:top w:val="single" w:color="auto" w:sz="4" w:space="0"/>
                    <w:left w:val="single" w:color="auto" w:sz="4" w:space="0"/>
                    <w:bottom w:val="single" w:color="auto" w:sz="4" w:space="0"/>
                    <w:right w:val="single" w:color="auto" w:sz="4" w:space="0"/>
                  </w:tcBorders>
                  <w:vAlign w:val="center"/>
                </w:tcPr>
                <w:p w14:paraId="62569AF2">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加重</w:t>
                  </w:r>
                </w:p>
                <w:p w14:paraId="6CF3133E">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装置</w:t>
                  </w:r>
                </w:p>
              </w:tc>
              <w:tc>
                <w:tcPr>
                  <w:tcW w:w="1319" w:type="dxa"/>
                  <w:tcBorders>
                    <w:top w:val="single" w:color="auto" w:sz="4" w:space="0"/>
                    <w:left w:val="single" w:color="auto" w:sz="4" w:space="0"/>
                    <w:bottom w:val="single" w:color="auto" w:sz="4" w:space="0"/>
                    <w:right w:val="single" w:color="auto" w:sz="4" w:space="0"/>
                  </w:tcBorders>
                  <w:vAlign w:val="center"/>
                </w:tcPr>
                <w:p w14:paraId="557625BE">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加重漏斗</w:t>
                  </w:r>
                </w:p>
              </w:tc>
              <w:tc>
                <w:tcPr>
                  <w:tcW w:w="1953" w:type="dxa"/>
                  <w:tcBorders>
                    <w:top w:val="single" w:color="auto" w:sz="4" w:space="0"/>
                    <w:left w:val="single" w:color="auto" w:sz="4" w:space="0"/>
                    <w:bottom w:val="single" w:color="auto" w:sz="4" w:space="0"/>
                    <w:right w:val="single" w:color="auto" w:sz="4" w:space="0"/>
                  </w:tcBorders>
                  <w:vAlign w:val="center"/>
                </w:tcPr>
                <w:p w14:paraId="32EC0632">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SB8</w:t>
                  </w:r>
                </w:p>
              </w:tc>
              <w:tc>
                <w:tcPr>
                  <w:tcW w:w="975" w:type="dxa"/>
                  <w:tcBorders>
                    <w:top w:val="single" w:color="auto" w:sz="4" w:space="0"/>
                    <w:left w:val="single" w:color="auto" w:sz="4" w:space="0"/>
                    <w:bottom w:val="single" w:color="auto" w:sz="4" w:space="0"/>
                    <w:right w:val="single" w:color="auto" w:sz="4" w:space="0"/>
                  </w:tcBorders>
                  <w:vAlign w:val="center"/>
                </w:tcPr>
                <w:p w14:paraId="33354861">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75kW</w:t>
                  </w:r>
                </w:p>
              </w:tc>
              <w:tc>
                <w:tcPr>
                  <w:tcW w:w="631" w:type="dxa"/>
                  <w:tcBorders>
                    <w:top w:val="single" w:color="auto" w:sz="4" w:space="0"/>
                    <w:left w:val="single" w:color="auto" w:sz="4" w:space="0"/>
                    <w:bottom w:val="single" w:color="auto" w:sz="4" w:space="0"/>
                    <w:right w:val="single" w:color="auto" w:sz="4" w:space="0"/>
                  </w:tcBorders>
                  <w:vAlign w:val="center"/>
                </w:tcPr>
                <w:p w14:paraId="26E3A402">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74" w:type="dxa"/>
                  <w:tcBorders>
                    <w:top w:val="single" w:color="auto" w:sz="4" w:space="0"/>
                    <w:left w:val="single" w:color="auto" w:sz="4" w:space="0"/>
                    <w:bottom w:val="single" w:color="auto" w:sz="4" w:space="0"/>
                    <w:right w:val="single" w:color="auto" w:sz="4" w:space="0"/>
                  </w:tcBorders>
                  <w:vAlign w:val="center"/>
                </w:tcPr>
                <w:p w14:paraId="0B6BA8D6">
                  <w:pPr>
                    <w:pStyle w:val="1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23C5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3" w:hRule="atLeast"/>
                <w:jc w:val="center"/>
              </w:trPr>
              <w:tc>
                <w:tcPr>
                  <w:tcW w:w="605" w:type="dxa"/>
                  <w:vMerge w:val="continue"/>
                  <w:tcBorders>
                    <w:top w:val="single" w:color="auto" w:sz="4" w:space="0"/>
                    <w:left w:val="single" w:color="auto" w:sz="4" w:space="0"/>
                    <w:bottom w:val="single" w:color="auto" w:sz="4" w:space="0"/>
                    <w:right w:val="single" w:color="auto" w:sz="4" w:space="0"/>
                  </w:tcBorders>
                  <w:vAlign w:val="center"/>
                </w:tcPr>
                <w:p w14:paraId="77FF04BD">
                  <w:pPr>
                    <w:pStyle w:val="19"/>
                    <w:jc w:val="center"/>
                    <w:rPr>
                      <w:rFonts w:hint="default" w:ascii="Times New Roman" w:hAnsi="Times New Roman" w:eastAsia="宋体" w:cs="Times New Roman"/>
                      <w:color w:val="auto"/>
                      <w:sz w:val="21"/>
                      <w:szCs w:val="21"/>
                      <w:highlight w:val="none"/>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14:paraId="45EF37A2">
                  <w:pPr>
                    <w:pStyle w:val="19"/>
                    <w:jc w:val="center"/>
                    <w:rPr>
                      <w:rFonts w:hint="default" w:ascii="Times New Roman" w:hAnsi="Times New Roman" w:eastAsia="宋体" w:cs="Times New Roman"/>
                      <w:color w:val="auto"/>
                      <w:sz w:val="21"/>
                      <w:szCs w:val="21"/>
                      <w:highlight w:val="none"/>
                    </w:rPr>
                  </w:pPr>
                </w:p>
              </w:tc>
              <w:tc>
                <w:tcPr>
                  <w:tcW w:w="1319" w:type="dxa"/>
                  <w:tcBorders>
                    <w:top w:val="single" w:color="auto" w:sz="4" w:space="0"/>
                    <w:left w:val="single" w:color="auto" w:sz="4" w:space="0"/>
                    <w:bottom w:val="single" w:color="auto" w:sz="4" w:space="0"/>
                    <w:right w:val="single" w:color="auto" w:sz="4" w:space="0"/>
                  </w:tcBorders>
                  <w:vAlign w:val="center"/>
                </w:tcPr>
                <w:p w14:paraId="2496B102">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电动加重泵</w:t>
                  </w:r>
                </w:p>
              </w:tc>
              <w:tc>
                <w:tcPr>
                  <w:tcW w:w="1953" w:type="dxa"/>
                  <w:tcBorders>
                    <w:top w:val="single" w:color="auto" w:sz="4" w:space="0"/>
                    <w:left w:val="single" w:color="auto" w:sz="4" w:space="0"/>
                    <w:bottom w:val="single" w:color="auto" w:sz="4" w:space="0"/>
                    <w:right w:val="single" w:color="auto" w:sz="4" w:space="0"/>
                  </w:tcBorders>
                  <w:vAlign w:val="center"/>
                </w:tcPr>
                <w:p w14:paraId="3CFD9A50">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JQB6</w:t>
                  </w:r>
                </w:p>
              </w:tc>
              <w:tc>
                <w:tcPr>
                  <w:tcW w:w="975" w:type="dxa"/>
                  <w:tcBorders>
                    <w:top w:val="single" w:color="auto" w:sz="4" w:space="0"/>
                    <w:left w:val="single" w:color="auto" w:sz="4" w:space="0"/>
                    <w:bottom w:val="single" w:color="auto" w:sz="4" w:space="0"/>
                    <w:right w:val="single" w:color="auto" w:sz="4" w:space="0"/>
                  </w:tcBorders>
                  <w:vAlign w:val="center"/>
                </w:tcPr>
                <w:p w14:paraId="0C7D9628">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75kW</w:t>
                  </w:r>
                </w:p>
              </w:tc>
              <w:tc>
                <w:tcPr>
                  <w:tcW w:w="631" w:type="dxa"/>
                  <w:tcBorders>
                    <w:top w:val="single" w:color="auto" w:sz="4" w:space="0"/>
                    <w:left w:val="single" w:color="auto" w:sz="4" w:space="0"/>
                    <w:bottom w:val="single" w:color="auto" w:sz="4" w:space="0"/>
                    <w:right w:val="single" w:color="auto" w:sz="4" w:space="0"/>
                  </w:tcBorders>
                  <w:vAlign w:val="center"/>
                </w:tcPr>
                <w:p w14:paraId="61D440AE">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1574" w:type="dxa"/>
                  <w:tcBorders>
                    <w:top w:val="single" w:color="auto" w:sz="4" w:space="0"/>
                    <w:left w:val="single" w:color="auto" w:sz="4" w:space="0"/>
                    <w:bottom w:val="single" w:color="auto" w:sz="4" w:space="0"/>
                    <w:right w:val="single" w:color="auto" w:sz="4" w:space="0"/>
                  </w:tcBorders>
                  <w:vAlign w:val="center"/>
                </w:tcPr>
                <w:p w14:paraId="695DF529">
                  <w:pPr>
                    <w:pStyle w:val="1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14:paraId="26B9DB16">
            <w:pPr>
              <w:widowControl w:val="0"/>
              <w:snapToGrid w:val="0"/>
              <w:spacing w:line="500" w:lineRule="exact"/>
              <w:jc w:val="center"/>
              <w:rPr>
                <w:rFonts w:hint="default" w:ascii="Times New Roman" w:hAnsi="Times New Roman" w:eastAsia="宋体" w:cs="Times New Roman"/>
                <w:b/>
                <w:bCs/>
                <w:color w:val="auto"/>
                <w:spacing w:val="5"/>
                <w:kern w:val="2"/>
                <w:sz w:val="21"/>
                <w:szCs w:val="21"/>
                <w:highlight w:val="none"/>
                <w:lang w:val="en-US" w:eastAsia="zh-CN" w:bidi="ar-SA"/>
              </w:rPr>
            </w:pPr>
            <w:r>
              <w:rPr>
                <w:rFonts w:hint="default" w:ascii="Times New Roman" w:hAnsi="Times New Roman" w:eastAsia="宋体" w:cs="Times New Roman"/>
                <w:b/>
                <w:bCs/>
                <w:color w:val="auto"/>
                <w:spacing w:val="5"/>
                <w:kern w:val="2"/>
                <w:sz w:val="21"/>
                <w:szCs w:val="21"/>
                <w:highlight w:val="none"/>
                <w:lang w:val="en-US" w:eastAsia="zh-CN" w:bidi="ar-SA"/>
              </w:rPr>
              <w:t>表2-8 单个试油工程主要设备</w:t>
            </w:r>
          </w:p>
          <w:tbl>
            <w:tblPr>
              <w:tblStyle w:val="15"/>
              <w:tblW w:w="8177"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8"/>
              <w:gridCol w:w="1385"/>
              <w:gridCol w:w="2026"/>
              <w:gridCol w:w="1013"/>
              <w:gridCol w:w="1318"/>
              <w:gridCol w:w="1767"/>
            </w:tblGrid>
            <w:tr w14:paraId="34EB9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1638EC7E">
                  <w:pPr>
                    <w:keepNext w:val="0"/>
                    <w:keepLines w:val="0"/>
                    <w:widowControl/>
                    <w:suppressLineNumbers w:val="0"/>
                    <w:jc w:val="center"/>
                    <w:rPr>
                      <w:rFonts w:hint="default" w:ascii="Times New Roman" w:hAnsi="Times New Roman" w:eastAsia="宋体" w:cs="Times New Roman"/>
                      <w:b/>
                      <w:bCs/>
                      <w:snapToGrid w:val="0"/>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序号</w:t>
                  </w:r>
                </w:p>
              </w:tc>
              <w:tc>
                <w:tcPr>
                  <w:tcW w:w="1385" w:type="dxa"/>
                  <w:vAlign w:val="center"/>
                </w:tcPr>
                <w:p w14:paraId="3CE952EF">
                  <w:pPr>
                    <w:keepNext w:val="0"/>
                    <w:keepLines w:val="0"/>
                    <w:widowControl/>
                    <w:suppressLineNumbers w:val="0"/>
                    <w:jc w:val="center"/>
                    <w:rPr>
                      <w:rFonts w:hint="default" w:ascii="Times New Roman" w:hAnsi="Times New Roman" w:eastAsia="宋体" w:cs="Times New Roman"/>
                      <w:b/>
                      <w:bCs/>
                      <w:snapToGrid w:val="0"/>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设备名称</w:t>
                  </w:r>
                </w:p>
              </w:tc>
              <w:tc>
                <w:tcPr>
                  <w:tcW w:w="2026" w:type="dxa"/>
                  <w:vAlign w:val="center"/>
                </w:tcPr>
                <w:p w14:paraId="56FBA96C">
                  <w:pPr>
                    <w:keepNext w:val="0"/>
                    <w:keepLines w:val="0"/>
                    <w:widowControl/>
                    <w:suppressLineNumbers w:val="0"/>
                    <w:jc w:val="center"/>
                    <w:rPr>
                      <w:rFonts w:hint="default" w:ascii="Times New Roman" w:hAnsi="Times New Roman" w:eastAsia="宋体" w:cs="Times New Roman"/>
                      <w:b/>
                      <w:bCs/>
                      <w:snapToGrid w:val="0"/>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型号及规格</w:t>
                  </w:r>
                </w:p>
              </w:tc>
              <w:tc>
                <w:tcPr>
                  <w:tcW w:w="1013" w:type="dxa"/>
                  <w:vAlign w:val="center"/>
                </w:tcPr>
                <w:p w14:paraId="3FA7DE59">
                  <w:pPr>
                    <w:keepNext w:val="0"/>
                    <w:keepLines w:val="0"/>
                    <w:widowControl/>
                    <w:suppressLineNumbers w:val="0"/>
                    <w:jc w:val="center"/>
                    <w:rPr>
                      <w:rFonts w:hint="default" w:ascii="Times New Roman" w:hAnsi="Times New Roman" w:eastAsia="宋体" w:cs="Times New Roman"/>
                      <w:b/>
                      <w:bCs/>
                      <w:snapToGrid w:val="0"/>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单位</w:t>
                  </w:r>
                </w:p>
              </w:tc>
              <w:tc>
                <w:tcPr>
                  <w:tcW w:w="1318" w:type="dxa"/>
                  <w:vAlign w:val="center"/>
                </w:tcPr>
                <w:p w14:paraId="259F5688">
                  <w:pPr>
                    <w:keepNext w:val="0"/>
                    <w:keepLines w:val="0"/>
                    <w:widowControl/>
                    <w:suppressLineNumbers w:val="0"/>
                    <w:jc w:val="center"/>
                    <w:rPr>
                      <w:rFonts w:hint="default" w:ascii="Times New Roman" w:hAnsi="Times New Roman" w:eastAsia="宋体" w:cs="Times New Roman"/>
                      <w:b/>
                      <w:bCs/>
                      <w:snapToGrid w:val="0"/>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数量</w:t>
                  </w:r>
                </w:p>
              </w:tc>
              <w:tc>
                <w:tcPr>
                  <w:tcW w:w="1767" w:type="dxa"/>
                  <w:tcBorders>
                    <w:right w:val="single" w:color="000000" w:sz="4" w:space="0"/>
                  </w:tcBorders>
                  <w:vAlign w:val="center"/>
                </w:tcPr>
                <w:p w14:paraId="6AE6EB6C">
                  <w:pPr>
                    <w:keepNext w:val="0"/>
                    <w:keepLines w:val="0"/>
                    <w:widowControl/>
                    <w:suppressLineNumbers w:val="0"/>
                    <w:jc w:val="center"/>
                    <w:rPr>
                      <w:rFonts w:hint="default" w:ascii="Times New Roman" w:hAnsi="Times New Roman" w:eastAsia="宋体" w:cs="Times New Roman"/>
                      <w:b/>
                      <w:bCs/>
                      <w:snapToGrid w:val="0"/>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备注</w:t>
                  </w:r>
                </w:p>
              </w:tc>
            </w:tr>
            <w:tr w14:paraId="5A5C2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16AC7E8B">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1</w:t>
                  </w:r>
                </w:p>
              </w:tc>
              <w:tc>
                <w:tcPr>
                  <w:tcW w:w="1385" w:type="dxa"/>
                  <w:vAlign w:val="center"/>
                </w:tcPr>
                <w:p w14:paraId="718E647C">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试油作业机</w:t>
                  </w:r>
                </w:p>
              </w:tc>
              <w:tc>
                <w:tcPr>
                  <w:tcW w:w="2026" w:type="dxa"/>
                  <w:vAlign w:val="center"/>
                </w:tcPr>
                <w:p w14:paraId="6803B38E">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110t</w:t>
                  </w:r>
                </w:p>
              </w:tc>
              <w:tc>
                <w:tcPr>
                  <w:tcW w:w="1013" w:type="dxa"/>
                  <w:vAlign w:val="center"/>
                </w:tcPr>
                <w:p w14:paraId="0347B043">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部</w:t>
                  </w:r>
                </w:p>
              </w:tc>
              <w:tc>
                <w:tcPr>
                  <w:tcW w:w="1318" w:type="dxa"/>
                  <w:vAlign w:val="center"/>
                </w:tcPr>
                <w:p w14:paraId="2BFF2101">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1</w:t>
                  </w:r>
                </w:p>
              </w:tc>
              <w:tc>
                <w:tcPr>
                  <w:tcW w:w="1767" w:type="dxa"/>
                  <w:tcBorders>
                    <w:right w:val="single" w:color="000000" w:sz="4" w:space="0"/>
                  </w:tcBorders>
                  <w:vAlign w:val="center"/>
                </w:tcPr>
                <w:p w14:paraId="0A5BAE36">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w:t>
                  </w:r>
                </w:p>
              </w:tc>
            </w:tr>
            <w:tr w14:paraId="69209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3FFDB13E">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2</w:t>
                  </w:r>
                </w:p>
              </w:tc>
              <w:tc>
                <w:tcPr>
                  <w:tcW w:w="1385" w:type="dxa"/>
                  <w:vAlign w:val="center"/>
                </w:tcPr>
                <w:p w14:paraId="1A08B311">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试油井架</w:t>
                  </w:r>
                </w:p>
              </w:tc>
              <w:tc>
                <w:tcPr>
                  <w:tcW w:w="2026" w:type="dxa"/>
                  <w:vAlign w:val="center"/>
                </w:tcPr>
                <w:p w14:paraId="6443CC20">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w:t>
                  </w:r>
                </w:p>
              </w:tc>
              <w:tc>
                <w:tcPr>
                  <w:tcW w:w="1013" w:type="dxa"/>
                  <w:vAlign w:val="center"/>
                </w:tcPr>
                <w:p w14:paraId="74DC925A">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部</w:t>
                  </w:r>
                </w:p>
              </w:tc>
              <w:tc>
                <w:tcPr>
                  <w:tcW w:w="1318" w:type="dxa"/>
                  <w:vAlign w:val="center"/>
                </w:tcPr>
                <w:p w14:paraId="379CA4FA">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1</w:t>
                  </w:r>
                </w:p>
              </w:tc>
              <w:tc>
                <w:tcPr>
                  <w:tcW w:w="1767" w:type="dxa"/>
                  <w:tcBorders>
                    <w:right w:val="single" w:color="000000" w:sz="4" w:space="0"/>
                  </w:tcBorders>
                  <w:vAlign w:val="center"/>
                </w:tcPr>
                <w:p w14:paraId="05D9F758">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w:t>
                  </w:r>
                </w:p>
              </w:tc>
            </w:tr>
            <w:tr w14:paraId="4C003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69973816">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3</w:t>
                  </w:r>
                </w:p>
              </w:tc>
              <w:tc>
                <w:tcPr>
                  <w:tcW w:w="1385" w:type="dxa"/>
                  <w:vAlign w:val="center"/>
                </w:tcPr>
                <w:p w14:paraId="7C1CD6CD">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液压钳</w:t>
                  </w:r>
                </w:p>
              </w:tc>
              <w:tc>
                <w:tcPr>
                  <w:tcW w:w="2026" w:type="dxa"/>
                  <w:vAlign w:val="center"/>
                </w:tcPr>
                <w:p w14:paraId="555ED001">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600型或300型</w:t>
                  </w:r>
                </w:p>
              </w:tc>
              <w:tc>
                <w:tcPr>
                  <w:tcW w:w="1013" w:type="dxa"/>
                  <w:vAlign w:val="center"/>
                </w:tcPr>
                <w:p w14:paraId="0229668F">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台</w:t>
                  </w:r>
                </w:p>
              </w:tc>
              <w:tc>
                <w:tcPr>
                  <w:tcW w:w="1318" w:type="dxa"/>
                  <w:vAlign w:val="center"/>
                </w:tcPr>
                <w:p w14:paraId="5956BF73">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1</w:t>
                  </w:r>
                </w:p>
              </w:tc>
              <w:tc>
                <w:tcPr>
                  <w:tcW w:w="1767" w:type="dxa"/>
                  <w:tcBorders>
                    <w:right w:val="single" w:color="000000" w:sz="4" w:space="0"/>
                  </w:tcBorders>
                  <w:vAlign w:val="center"/>
                </w:tcPr>
                <w:p w14:paraId="6A9D96D6">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足够长的配套</w:t>
                  </w:r>
                </w:p>
                <w:p w14:paraId="75425647">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管线</w:t>
                  </w:r>
                </w:p>
              </w:tc>
            </w:tr>
            <w:tr w14:paraId="15716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5F00D272">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4</w:t>
                  </w:r>
                </w:p>
              </w:tc>
              <w:tc>
                <w:tcPr>
                  <w:tcW w:w="1385" w:type="dxa"/>
                  <w:vAlign w:val="center"/>
                </w:tcPr>
                <w:p w14:paraId="4C6A408A">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柴油罐</w:t>
                  </w:r>
                </w:p>
              </w:tc>
              <w:tc>
                <w:tcPr>
                  <w:tcW w:w="2026" w:type="dxa"/>
                  <w:vAlign w:val="center"/>
                </w:tcPr>
                <w:p w14:paraId="70C63DE2">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20m</w:t>
                  </w:r>
                  <w:r>
                    <w:rPr>
                      <w:rFonts w:hint="default" w:ascii="Times New Roman" w:hAnsi="Times New Roman" w:eastAsia="宋体" w:cs="Times New Roman"/>
                      <w:b w:val="0"/>
                      <w:bCs w:val="0"/>
                      <w:snapToGrid w:val="0"/>
                      <w:color w:val="auto"/>
                      <w:kern w:val="0"/>
                      <w:sz w:val="21"/>
                      <w:szCs w:val="21"/>
                      <w:vertAlign w:val="superscript"/>
                      <w:lang w:val="en-US" w:eastAsia="zh-CN" w:bidi="ar"/>
                    </w:rPr>
                    <w:t>3</w:t>
                  </w:r>
                </w:p>
              </w:tc>
              <w:tc>
                <w:tcPr>
                  <w:tcW w:w="1013" w:type="dxa"/>
                  <w:vAlign w:val="center"/>
                </w:tcPr>
                <w:p w14:paraId="00CB403B">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个</w:t>
                  </w:r>
                </w:p>
              </w:tc>
              <w:tc>
                <w:tcPr>
                  <w:tcW w:w="1318" w:type="dxa"/>
                  <w:vAlign w:val="center"/>
                </w:tcPr>
                <w:p w14:paraId="0E85EED8">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1</w:t>
                  </w:r>
                </w:p>
              </w:tc>
              <w:tc>
                <w:tcPr>
                  <w:tcW w:w="1767" w:type="dxa"/>
                  <w:tcBorders>
                    <w:right w:val="single" w:color="000000" w:sz="4" w:space="0"/>
                  </w:tcBorders>
                  <w:vAlign w:val="center"/>
                </w:tcPr>
                <w:p w14:paraId="1B3FD701">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w:t>
                  </w:r>
                </w:p>
              </w:tc>
            </w:tr>
            <w:tr w14:paraId="7A168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72E069BE">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5</w:t>
                  </w:r>
                </w:p>
              </w:tc>
              <w:tc>
                <w:tcPr>
                  <w:tcW w:w="1385" w:type="dxa"/>
                  <w:vAlign w:val="center"/>
                </w:tcPr>
                <w:p w14:paraId="1C52C612">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吊卡</w:t>
                  </w:r>
                </w:p>
              </w:tc>
              <w:tc>
                <w:tcPr>
                  <w:tcW w:w="2026" w:type="dxa"/>
                  <w:vAlign w:val="center"/>
                </w:tcPr>
                <w:p w14:paraId="5F176179">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Φ73.0mm/Φ88.9mm</w:t>
                  </w:r>
                </w:p>
              </w:tc>
              <w:tc>
                <w:tcPr>
                  <w:tcW w:w="1013" w:type="dxa"/>
                  <w:vAlign w:val="center"/>
                </w:tcPr>
                <w:p w14:paraId="74D4A4C8">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只</w:t>
                  </w:r>
                </w:p>
              </w:tc>
              <w:tc>
                <w:tcPr>
                  <w:tcW w:w="1318" w:type="dxa"/>
                  <w:vAlign w:val="center"/>
                </w:tcPr>
                <w:p w14:paraId="7906509A">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2/2</w:t>
                  </w:r>
                </w:p>
              </w:tc>
              <w:tc>
                <w:tcPr>
                  <w:tcW w:w="1767" w:type="dxa"/>
                  <w:tcBorders>
                    <w:right w:val="single" w:color="000000" w:sz="4" w:space="0"/>
                  </w:tcBorders>
                  <w:vAlign w:val="center"/>
                </w:tcPr>
                <w:p w14:paraId="577CB5A5">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50t</w:t>
                  </w:r>
                </w:p>
              </w:tc>
            </w:tr>
            <w:tr w14:paraId="7FBA4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335FAA6A">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6</w:t>
                  </w:r>
                </w:p>
              </w:tc>
              <w:tc>
                <w:tcPr>
                  <w:tcW w:w="1385" w:type="dxa"/>
                  <w:vAlign w:val="center"/>
                </w:tcPr>
                <w:p w14:paraId="0F5027A9">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吊环</w:t>
                  </w:r>
                </w:p>
              </w:tc>
              <w:tc>
                <w:tcPr>
                  <w:tcW w:w="2026" w:type="dxa"/>
                  <w:vAlign w:val="center"/>
                </w:tcPr>
                <w:p w14:paraId="30F516FD">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SH-80</w:t>
                  </w:r>
                </w:p>
              </w:tc>
              <w:tc>
                <w:tcPr>
                  <w:tcW w:w="1013" w:type="dxa"/>
                  <w:vAlign w:val="center"/>
                </w:tcPr>
                <w:p w14:paraId="194B47B9">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副</w:t>
                  </w:r>
                </w:p>
              </w:tc>
              <w:tc>
                <w:tcPr>
                  <w:tcW w:w="1318" w:type="dxa"/>
                  <w:vAlign w:val="center"/>
                </w:tcPr>
                <w:p w14:paraId="1EC137D8">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1</w:t>
                  </w:r>
                </w:p>
              </w:tc>
              <w:tc>
                <w:tcPr>
                  <w:tcW w:w="1767" w:type="dxa"/>
                  <w:tcBorders>
                    <w:right w:val="single" w:color="000000" w:sz="4" w:space="0"/>
                  </w:tcBorders>
                  <w:vAlign w:val="center"/>
                </w:tcPr>
                <w:p w14:paraId="10FC1FB2">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w:t>
                  </w:r>
                </w:p>
              </w:tc>
            </w:tr>
            <w:tr w14:paraId="382EE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6034BDF9">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7</w:t>
                  </w:r>
                </w:p>
              </w:tc>
              <w:tc>
                <w:tcPr>
                  <w:tcW w:w="1385" w:type="dxa"/>
                  <w:vAlign w:val="center"/>
                </w:tcPr>
                <w:p w14:paraId="1FB3A203">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通管规</w:t>
                  </w:r>
                </w:p>
              </w:tc>
              <w:tc>
                <w:tcPr>
                  <w:tcW w:w="2026" w:type="dxa"/>
                  <w:vAlign w:val="center"/>
                </w:tcPr>
                <w:p w14:paraId="14C73A12">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Φ730mm/580mm</w:t>
                  </w:r>
                </w:p>
              </w:tc>
              <w:tc>
                <w:tcPr>
                  <w:tcW w:w="1013" w:type="dxa"/>
                  <w:vAlign w:val="center"/>
                </w:tcPr>
                <w:p w14:paraId="3C05E197">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个</w:t>
                  </w:r>
                </w:p>
              </w:tc>
              <w:tc>
                <w:tcPr>
                  <w:tcW w:w="1318" w:type="dxa"/>
                  <w:vAlign w:val="center"/>
                </w:tcPr>
                <w:p w14:paraId="23A1CD0D">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各2</w:t>
                  </w:r>
                </w:p>
              </w:tc>
              <w:tc>
                <w:tcPr>
                  <w:tcW w:w="1767" w:type="dxa"/>
                  <w:tcBorders>
                    <w:right w:val="single" w:color="000000" w:sz="4" w:space="0"/>
                  </w:tcBorders>
                  <w:vAlign w:val="center"/>
                </w:tcPr>
                <w:p w14:paraId="01F616D2">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w:t>
                  </w:r>
                </w:p>
              </w:tc>
            </w:tr>
            <w:tr w14:paraId="77AF8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1374A025">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8</w:t>
                  </w:r>
                </w:p>
              </w:tc>
              <w:tc>
                <w:tcPr>
                  <w:tcW w:w="1385" w:type="dxa"/>
                  <w:vAlign w:val="center"/>
                </w:tcPr>
                <w:p w14:paraId="7518748F">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提升短节</w:t>
                  </w:r>
                </w:p>
              </w:tc>
              <w:tc>
                <w:tcPr>
                  <w:tcW w:w="2026" w:type="dxa"/>
                  <w:vAlign w:val="center"/>
                </w:tcPr>
                <w:p w14:paraId="66E90710">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Φ88.9mm</w:t>
                  </w:r>
                </w:p>
              </w:tc>
              <w:tc>
                <w:tcPr>
                  <w:tcW w:w="1013" w:type="dxa"/>
                  <w:vAlign w:val="center"/>
                </w:tcPr>
                <w:p w14:paraId="57C7F3BE">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套</w:t>
                  </w:r>
                </w:p>
              </w:tc>
              <w:tc>
                <w:tcPr>
                  <w:tcW w:w="1318" w:type="dxa"/>
                  <w:vAlign w:val="center"/>
                </w:tcPr>
                <w:p w14:paraId="41576412">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1</w:t>
                  </w:r>
                </w:p>
              </w:tc>
              <w:tc>
                <w:tcPr>
                  <w:tcW w:w="1767" w:type="dxa"/>
                  <w:tcBorders>
                    <w:right w:val="single" w:color="000000" w:sz="4" w:space="0"/>
                  </w:tcBorders>
                  <w:vAlign w:val="center"/>
                </w:tcPr>
                <w:p w14:paraId="1DE26FDC">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w:t>
                  </w:r>
                </w:p>
              </w:tc>
            </w:tr>
            <w:tr w14:paraId="0C6A2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743972AE">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9</w:t>
                  </w:r>
                </w:p>
              </w:tc>
              <w:tc>
                <w:tcPr>
                  <w:tcW w:w="1385" w:type="dxa"/>
                  <w:vAlign w:val="center"/>
                </w:tcPr>
                <w:p w14:paraId="33608E5A">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调整短节</w:t>
                  </w:r>
                </w:p>
              </w:tc>
              <w:tc>
                <w:tcPr>
                  <w:tcW w:w="2026" w:type="dxa"/>
                  <w:vAlign w:val="center"/>
                </w:tcPr>
                <w:p w14:paraId="2E0A4A30">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Φ73.0mm</w:t>
                  </w:r>
                </w:p>
              </w:tc>
              <w:tc>
                <w:tcPr>
                  <w:tcW w:w="1013" w:type="dxa"/>
                  <w:vAlign w:val="center"/>
                </w:tcPr>
                <w:p w14:paraId="3DB1E525">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m</w:t>
                  </w:r>
                </w:p>
              </w:tc>
              <w:tc>
                <w:tcPr>
                  <w:tcW w:w="1318" w:type="dxa"/>
                  <w:vAlign w:val="center"/>
                </w:tcPr>
                <w:p w14:paraId="45C268A8">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1</w:t>
                  </w:r>
                </w:p>
              </w:tc>
              <w:tc>
                <w:tcPr>
                  <w:tcW w:w="1767" w:type="dxa"/>
                  <w:tcBorders>
                    <w:right w:val="single" w:color="000000" w:sz="4" w:space="0"/>
                  </w:tcBorders>
                  <w:vAlign w:val="center"/>
                </w:tcPr>
                <w:p w14:paraId="2529BBC6">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(0.3m、0.5m、</w:t>
                  </w:r>
                </w:p>
                <w:p w14:paraId="2950DBF0">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1.0m、1.5m、</w:t>
                  </w:r>
                </w:p>
                <w:p w14:paraId="5A3682D7">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2.0m)</w:t>
                  </w:r>
                </w:p>
              </w:tc>
            </w:tr>
            <w:tr w14:paraId="29C52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7D860B81">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10</w:t>
                  </w:r>
                </w:p>
              </w:tc>
              <w:tc>
                <w:tcPr>
                  <w:tcW w:w="1385" w:type="dxa"/>
                  <w:vAlign w:val="center"/>
                </w:tcPr>
                <w:p w14:paraId="22810F42">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值班房</w:t>
                  </w:r>
                </w:p>
              </w:tc>
              <w:tc>
                <w:tcPr>
                  <w:tcW w:w="2026" w:type="dxa"/>
                  <w:vAlign w:val="center"/>
                </w:tcPr>
                <w:p w14:paraId="7419DD79">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w:t>
                  </w:r>
                </w:p>
              </w:tc>
              <w:tc>
                <w:tcPr>
                  <w:tcW w:w="1013" w:type="dxa"/>
                  <w:vAlign w:val="center"/>
                </w:tcPr>
                <w:p w14:paraId="4B87AAE0">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套</w:t>
                  </w:r>
                </w:p>
              </w:tc>
              <w:tc>
                <w:tcPr>
                  <w:tcW w:w="1318" w:type="dxa"/>
                  <w:vAlign w:val="center"/>
                </w:tcPr>
                <w:p w14:paraId="73C2DC3A">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1</w:t>
                  </w:r>
                </w:p>
              </w:tc>
              <w:tc>
                <w:tcPr>
                  <w:tcW w:w="1767" w:type="dxa"/>
                  <w:tcBorders>
                    <w:right w:val="single" w:color="000000" w:sz="4" w:space="0"/>
                  </w:tcBorders>
                  <w:vAlign w:val="center"/>
                </w:tcPr>
                <w:p w14:paraId="0993636A">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w:t>
                  </w:r>
                </w:p>
              </w:tc>
            </w:tr>
            <w:tr w14:paraId="12AD2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0EEF3E37">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11</w:t>
                  </w:r>
                </w:p>
              </w:tc>
              <w:tc>
                <w:tcPr>
                  <w:tcW w:w="1385" w:type="dxa"/>
                  <w:vAlign w:val="center"/>
                </w:tcPr>
                <w:p w14:paraId="3C6B7249">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发电房</w:t>
                  </w:r>
                </w:p>
              </w:tc>
              <w:tc>
                <w:tcPr>
                  <w:tcW w:w="2026" w:type="dxa"/>
                  <w:vAlign w:val="center"/>
                </w:tcPr>
                <w:p w14:paraId="009ED9C2">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w:t>
                  </w:r>
                </w:p>
              </w:tc>
              <w:tc>
                <w:tcPr>
                  <w:tcW w:w="1013" w:type="dxa"/>
                  <w:vAlign w:val="center"/>
                </w:tcPr>
                <w:p w14:paraId="644D720D">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套</w:t>
                  </w:r>
                </w:p>
              </w:tc>
              <w:tc>
                <w:tcPr>
                  <w:tcW w:w="1318" w:type="dxa"/>
                  <w:vAlign w:val="center"/>
                </w:tcPr>
                <w:p w14:paraId="5B299AFF">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1</w:t>
                  </w:r>
                </w:p>
              </w:tc>
              <w:tc>
                <w:tcPr>
                  <w:tcW w:w="1767" w:type="dxa"/>
                  <w:tcBorders>
                    <w:right w:val="single" w:color="000000" w:sz="4" w:space="0"/>
                  </w:tcBorders>
                  <w:vAlign w:val="center"/>
                </w:tcPr>
                <w:p w14:paraId="69D1C151">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w:t>
                  </w:r>
                </w:p>
              </w:tc>
            </w:tr>
            <w:tr w14:paraId="65DEF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159C82D9">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12</w:t>
                  </w:r>
                </w:p>
              </w:tc>
              <w:tc>
                <w:tcPr>
                  <w:tcW w:w="1385" w:type="dxa"/>
                  <w:vAlign w:val="center"/>
                </w:tcPr>
                <w:p w14:paraId="010C317E">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柴油发电机</w:t>
                  </w:r>
                </w:p>
              </w:tc>
              <w:tc>
                <w:tcPr>
                  <w:tcW w:w="2026" w:type="dxa"/>
                  <w:vAlign w:val="center"/>
                </w:tcPr>
                <w:p w14:paraId="792BD6D3">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w:t>
                  </w:r>
                </w:p>
              </w:tc>
              <w:tc>
                <w:tcPr>
                  <w:tcW w:w="1013" w:type="dxa"/>
                  <w:vAlign w:val="center"/>
                </w:tcPr>
                <w:p w14:paraId="0307AF2A">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台</w:t>
                  </w:r>
                </w:p>
              </w:tc>
              <w:tc>
                <w:tcPr>
                  <w:tcW w:w="1318" w:type="dxa"/>
                  <w:vAlign w:val="center"/>
                </w:tcPr>
                <w:p w14:paraId="2D6D6A80">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2</w:t>
                  </w:r>
                </w:p>
              </w:tc>
              <w:tc>
                <w:tcPr>
                  <w:tcW w:w="1767" w:type="dxa"/>
                  <w:tcBorders>
                    <w:right w:val="single" w:color="000000" w:sz="4" w:space="0"/>
                  </w:tcBorders>
                  <w:vAlign w:val="center"/>
                </w:tcPr>
                <w:p w14:paraId="3A0F72E5">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一用一备</w:t>
                  </w:r>
                </w:p>
              </w:tc>
            </w:tr>
            <w:tr w14:paraId="7C42C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2FF495B7">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13</w:t>
                  </w:r>
                </w:p>
              </w:tc>
              <w:tc>
                <w:tcPr>
                  <w:tcW w:w="1385" w:type="dxa"/>
                  <w:vAlign w:val="center"/>
                </w:tcPr>
                <w:p w14:paraId="7AC0CBA8">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泵车</w:t>
                  </w:r>
                </w:p>
              </w:tc>
              <w:tc>
                <w:tcPr>
                  <w:tcW w:w="2026" w:type="dxa"/>
                  <w:vAlign w:val="center"/>
                </w:tcPr>
                <w:p w14:paraId="68A295C0">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700型</w:t>
                  </w:r>
                </w:p>
              </w:tc>
              <w:tc>
                <w:tcPr>
                  <w:tcW w:w="1013" w:type="dxa"/>
                  <w:vAlign w:val="center"/>
                </w:tcPr>
                <w:p w14:paraId="22503E9C">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台</w:t>
                  </w:r>
                </w:p>
              </w:tc>
              <w:tc>
                <w:tcPr>
                  <w:tcW w:w="1318" w:type="dxa"/>
                  <w:vAlign w:val="center"/>
                </w:tcPr>
                <w:p w14:paraId="73F2735A">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1</w:t>
                  </w:r>
                </w:p>
              </w:tc>
              <w:tc>
                <w:tcPr>
                  <w:tcW w:w="1767" w:type="dxa"/>
                  <w:tcBorders>
                    <w:right w:val="single" w:color="000000" w:sz="4" w:space="0"/>
                  </w:tcBorders>
                  <w:vAlign w:val="center"/>
                </w:tcPr>
                <w:p w14:paraId="1BD55F62">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w:t>
                  </w:r>
                </w:p>
              </w:tc>
            </w:tr>
            <w:tr w14:paraId="2AD95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0EA92813">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14</w:t>
                  </w:r>
                </w:p>
              </w:tc>
              <w:tc>
                <w:tcPr>
                  <w:tcW w:w="1385" w:type="dxa"/>
                  <w:vAlign w:val="center"/>
                </w:tcPr>
                <w:p w14:paraId="73EB00F8">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原油储罐</w:t>
                  </w:r>
                </w:p>
              </w:tc>
              <w:tc>
                <w:tcPr>
                  <w:tcW w:w="2026" w:type="dxa"/>
                  <w:vAlign w:val="center"/>
                </w:tcPr>
                <w:p w14:paraId="6601B890">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highlight w:val="none"/>
                      <w:lang w:val="en-US" w:eastAsia="zh-CN" w:bidi="ar"/>
                    </w:rPr>
                    <w:t>40m</w:t>
                  </w:r>
                  <w:r>
                    <w:rPr>
                      <w:rFonts w:hint="default" w:ascii="Times New Roman" w:hAnsi="Times New Roman" w:eastAsia="宋体" w:cs="Times New Roman"/>
                      <w:b w:val="0"/>
                      <w:bCs w:val="0"/>
                      <w:snapToGrid w:val="0"/>
                      <w:color w:val="auto"/>
                      <w:kern w:val="0"/>
                      <w:sz w:val="21"/>
                      <w:szCs w:val="21"/>
                      <w:highlight w:val="none"/>
                      <w:vertAlign w:val="superscript"/>
                      <w:lang w:val="en-US" w:eastAsia="zh-CN" w:bidi="ar"/>
                    </w:rPr>
                    <w:t>3</w:t>
                  </w:r>
                </w:p>
              </w:tc>
              <w:tc>
                <w:tcPr>
                  <w:tcW w:w="1013" w:type="dxa"/>
                  <w:vAlign w:val="center"/>
                </w:tcPr>
                <w:p w14:paraId="1DB85A9E">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罐</w:t>
                  </w:r>
                </w:p>
              </w:tc>
              <w:tc>
                <w:tcPr>
                  <w:tcW w:w="1318" w:type="dxa"/>
                  <w:vAlign w:val="center"/>
                </w:tcPr>
                <w:p w14:paraId="2870EB71">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2</w:t>
                  </w:r>
                </w:p>
              </w:tc>
              <w:tc>
                <w:tcPr>
                  <w:tcW w:w="1767" w:type="dxa"/>
                  <w:tcBorders>
                    <w:right w:val="single" w:color="000000" w:sz="4" w:space="0"/>
                  </w:tcBorders>
                  <w:vAlign w:val="center"/>
                </w:tcPr>
                <w:p w14:paraId="737556CD">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w:t>
                  </w:r>
                </w:p>
              </w:tc>
            </w:tr>
          </w:tbl>
          <w:p w14:paraId="11138AE9">
            <w:pPr>
              <w:widowControl w:val="0"/>
              <w:snapToGrid w:val="0"/>
              <w:spacing w:line="500" w:lineRule="exact"/>
              <w:jc w:val="center"/>
              <w:rPr>
                <w:rFonts w:hint="default" w:ascii="Times New Roman" w:hAnsi="Times New Roman" w:eastAsia="宋体" w:cs="Times New Roman"/>
                <w:b/>
                <w:bCs/>
                <w:color w:val="auto"/>
                <w:spacing w:val="5"/>
                <w:kern w:val="2"/>
                <w:sz w:val="21"/>
                <w:szCs w:val="21"/>
                <w:highlight w:val="none"/>
                <w:lang w:val="en-US" w:eastAsia="zh-CN" w:bidi="ar-SA"/>
              </w:rPr>
            </w:pPr>
            <w:r>
              <w:rPr>
                <w:rFonts w:hint="default" w:ascii="Times New Roman" w:hAnsi="Times New Roman" w:eastAsia="宋体" w:cs="Times New Roman"/>
                <w:b/>
                <w:bCs/>
                <w:color w:val="auto"/>
                <w:spacing w:val="5"/>
                <w:kern w:val="2"/>
                <w:sz w:val="21"/>
                <w:szCs w:val="21"/>
                <w:highlight w:val="none"/>
                <w:lang w:val="en-US" w:eastAsia="zh-CN" w:bidi="ar-SA"/>
              </w:rPr>
              <w:t>表2-9 单个钻井储层改造主要设备</w:t>
            </w:r>
          </w:p>
          <w:tbl>
            <w:tblPr>
              <w:tblStyle w:val="12"/>
              <w:tblW w:w="81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4"/>
              <w:gridCol w:w="2044"/>
              <w:gridCol w:w="2045"/>
              <w:gridCol w:w="2045"/>
            </w:tblGrid>
            <w:tr w14:paraId="4C20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044" w:type="dxa"/>
                  <w:vAlign w:val="center"/>
                </w:tcPr>
                <w:p w14:paraId="09E044F6">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lang w:val="en-US" w:eastAsia="zh-CN" w:bidi="ar"/>
                    </w:rPr>
                    <w:t>阶段</w:t>
                  </w:r>
                </w:p>
              </w:tc>
              <w:tc>
                <w:tcPr>
                  <w:tcW w:w="2044" w:type="dxa"/>
                  <w:vAlign w:val="center"/>
                </w:tcPr>
                <w:p w14:paraId="2B22DF4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snapToGrid w:val="0"/>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设备名称</w:t>
                  </w:r>
                </w:p>
              </w:tc>
              <w:tc>
                <w:tcPr>
                  <w:tcW w:w="2045" w:type="dxa"/>
                  <w:vAlign w:val="center"/>
                </w:tcPr>
                <w:p w14:paraId="68B4221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snapToGrid w:val="0"/>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主要型号</w:t>
                  </w:r>
                </w:p>
              </w:tc>
              <w:tc>
                <w:tcPr>
                  <w:tcW w:w="2045" w:type="dxa"/>
                  <w:vAlign w:val="center"/>
                </w:tcPr>
                <w:p w14:paraId="66A1C88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lang w:val="en-US" w:eastAsia="zh-CN" w:bidi="ar"/>
                    </w:rPr>
                    <w:t>数量（台/座）</w:t>
                  </w:r>
                </w:p>
              </w:tc>
            </w:tr>
            <w:tr w14:paraId="2E08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044" w:type="dxa"/>
                  <w:vMerge w:val="restart"/>
                  <w:vAlign w:val="center"/>
                </w:tcPr>
                <w:p w14:paraId="42456C92">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lang w:val="en-US" w:eastAsia="zh-CN" w:bidi="ar"/>
                    </w:rPr>
                    <w:t>压裂</w:t>
                  </w:r>
                </w:p>
              </w:tc>
              <w:tc>
                <w:tcPr>
                  <w:tcW w:w="2044" w:type="dxa"/>
                  <w:vAlign w:val="center"/>
                </w:tcPr>
                <w:p w14:paraId="2F6F777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压裂车</w:t>
                  </w:r>
                </w:p>
              </w:tc>
              <w:tc>
                <w:tcPr>
                  <w:tcW w:w="2045" w:type="dxa"/>
                  <w:vAlign w:val="center"/>
                </w:tcPr>
                <w:p w14:paraId="476C575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lang w:val="en-US" w:eastAsia="zh-CN" w:bidi="ar"/>
                    </w:rPr>
                    <w:t>2500型</w:t>
                  </w:r>
                </w:p>
              </w:tc>
              <w:tc>
                <w:tcPr>
                  <w:tcW w:w="2045" w:type="dxa"/>
                  <w:vAlign w:val="center"/>
                </w:tcPr>
                <w:p w14:paraId="4BEEAA4A">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8</w:t>
                  </w:r>
                </w:p>
              </w:tc>
            </w:tr>
            <w:tr w14:paraId="31456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044" w:type="dxa"/>
                  <w:vMerge w:val="continue"/>
                  <w:vAlign w:val="center"/>
                </w:tcPr>
                <w:p w14:paraId="5E501329">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vertAlign w:val="baseline"/>
                      <w:lang w:val="en-US" w:eastAsia="zh-CN"/>
                    </w:rPr>
                  </w:pPr>
                </w:p>
              </w:tc>
              <w:tc>
                <w:tcPr>
                  <w:tcW w:w="2044" w:type="dxa"/>
                  <w:vAlign w:val="center"/>
                </w:tcPr>
                <w:p w14:paraId="7376AC6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混砂车</w:t>
                  </w:r>
                </w:p>
              </w:tc>
              <w:tc>
                <w:tcPr>
                  <w:tcW w:w="2045" w:type="dxa"/>
                  <w:vAlign w:val="center"/>
                </w:tcPr>
                <w:p w14:paraId="230BA998">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045" w:type="dxa"/>
                  <w:vAlign w:val="center"/>
                </w:tcPr>
                <w:p w14:paraId="7BB3BA99">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w:t>
                  </w:r>
                </w:p>
              </w:tc>
            </w:tr>
            <w:tr w14:paraId="193B7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044" w:type="dxa"/>
                  <w:vMerge w:val="continue"/>
                  <w:vAlign w:val="center"/>
                </w:tcPr>
                <w:p w14:paraId="33C13005">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vertAlign w:val="baseline"/>
                      <w:lang w:val="en-US" w:eastAsia="zh-CN"/>
                    </w:rPr>
                  </w:pPr>
                </w:p>
              </w:tc>
              <w:tc>
                <w:tcPr>
                  <w:tcW w:w="2044" w:type="dxa"/>
                  <w:vAlign w:val="center"/>
                </w:tcPr>
                <w:p w14:paraId="73DE7E1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仪表车</w:t>
                  </w:r>
                </w:p>
              </w:tc>
              <w:tc>
                <w:tcPr>
                  <w:tcW w:w="2045" w:type="dxa"/>
                  <w:vAlign w:val="center"/>
                </w:tcPr>
                <w:p w14:paraId="0757289B">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045" w:type="dxa"/>
                  <w:vAlign w:val="center"/>
                </w:tcPr>
                <w:p w14:paraId="6B255325">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w:t>
                  </w:r>
                </w:p>
              </w:tc>
            </w:tr>
            <w:tr w14:paraId="4B4AC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044" w:type="dxa"/>
                  <w:vMerge w:val="continue"/>
                  <w:vAlign w:val="center"/>
                </w:tcPr>
                <w:p w14:paraId="1447F7B4">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vertAlign w:val="baseline"/>
                      <w:lang w:val="en-US" w:eastAsia="zh-CN"/>
                    </w:rPr>
                  </w:pPr>
                </w:p>
              </w:tc>
              <w:tc>
                <w:tcPr>
                  <w:tcW w:w="2044" w:type="dxa"/>
                  <w:vAlign w:val="center"/>
                </w:tcPr>
                <w:p w14:paraId="1E5A6E94">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砂罐车</w:t>
                  </w:r>
                </w:p>
              </w:tc>
              <w:tc>
                <w:tcPr>
                  <w:tcW w:w="2045" w:type="dxa"/>
                  <w:vAlign w:val="center"/>
                </w:tcPr>
                <w:p w14:paraId="65192843">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045" w:type="dxa"/>
                  <w:vAlign w:val="center"/>
                </w:tcPr>
                <w:p w14:paraId="28A1A9FA">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w:t>
                  </w:r>
                </w:p>
              </w:tc>
            </w:tr>
            <w:tr w14:paraId="1E555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044" w:type="dxa"/>
                  <w:vMerge w:val="restart"/>
                  <w:vAlign w:val="center"/>
                </w:tcPr>
                <w:p w14:paraId="182FB150">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射孔</w:t>
                  </w:r>
                </w:p>
              </w:tc>
              <w:tc>
                <w:tcPr>
                  <w:tcW w:w="2044" w:type="dxa"/>
                  <w:vAlign w:val="center"/>
                </w:tcPr>
                <w:p w14:paraId="41CE0CF0">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射孔车</w:t>
                  </w:r>
                </w:p>
              </w:tc>
              <w:tc>
                <w:tcPr>
                  <w:tcW w:w="2045" w:type="dxa"/>
                  <w:vAlign w:val="center"/>
                </w:tcPr>
                <w:p w14:paraId="0BE669D2">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045" w:type="dxa"/>
                  <w:vAlign w:val="center"/>
                </w:tcPr>
                <w:p w14:paraId="0C3E7F07">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w:t>
                  </w:r>
                </w:p>
              </w:tc>
            </w:tr>
            <w:tr w14:paraId="5D0E3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044" w:type="dxa"/>
                  <w:vMerge w:val="continue"/>
                  <w:vAlign w:val="center"/>
                </w:tcPr>
                <w:p w14:paraId="221B2CF5">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vertAlign w:val="baseline"/>
                      <w:lang w:val="en-US" w:eastAsia="zh-CN"/>
                    </w:rPr>
                  </w:pPr>
                </w:p>
              </w:tc>
              <w:tc>
                <w:tcPr>
                  <w:tcW w:w="2044" w:type="dxa"/>
                  <w:vAlign w:val="center"/>
                </w:tcPr>
                <w:p w14:paraId="5787492D">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snapToGrid w:val="0"/>
                      <w:color w:val="auto"/>
                      <w:kern w:val="0"/>
                      <w:sz w:val="21"/>
                      <w:szCs w:val="21"/>
                      <w:lang w:val="en-US" w:eastAsia="zh-CN" w:bidi="ar"/>
                    </w:rPr>
                  </w:pPr>
                  <w:r>
                    <w:rPr>
                      <w:rFonts w:hint="default" w:ascii="Times New Roman" w:hAnsi="Times New Roman" w:eastAsia="宋体" w:cs="Times New Roman"/>
                      <w:b w:val="0"/>
                      <w:bCs w:val="0"/>
                      <w:snapToGrid w:val="0"/>
                      <w:color w:val="auto"/>
                      <w:kern w:val="0"/>
                      <w:sz w:val="21"/>
                      <w:szCs w:val="21"/>
                      <w:lang w:val="en-US" w:eastAsia="zh-CN" w:bidi="ar"/>
                    </w:rPr>
                    <w:t>射孔工具车</w:t>
                  </w:r>
                </w:p>
              </w:tc>
              <w:tc>
                <w:tcPr>
                  <w:tcW w:w="2045" w:type="dxa"/>
                  <w:vAlign w:val="center"/>
                </w:tcPr>
                <w:p w14:paraId="5938B1F7">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045" w:type="dxa"/>
                  <w:vAlign w:val="center"/>
                </w:tcPr>
                <w:p w14:paraId="62239D06">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w:t>
                  </w:r>
                </w:p>
              </w:tc>
            </w:tr>
          </w:tbl>
          <w:p w14:paraId="5D515963">
            <w:pPr>
              <w:widowControl w:val="0"/>
              <w:numPr>
                <w:ilvl w:val="0"/>
                <w:numId w:val="0"/>
              </w:numPr>
              <w:snapToGrid w:val="0"/>
              <w:spacing w:line="500" w:lineRule="exact"/>
              <w:jc w:val="both"/>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钻井液体系</w:t>
            </w:r>
          </w:p>
          <w:p w14:paraId="3AEC0B70">
            <w:pPr>
              <w:widowControl w:val="0"/>
              <w:numPr>
                <w:ilvl w:val="0"/>
                <w:numId w:val="0"/>
              </w:numPr>
              <w:snapToGrid w:val="0"/>
              <w:spacing w:line="500" w:lineRule="exact"/>
              <w:jc w:val="both"/>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6.1钻井液体系及用量</w:t>
            </w:r>
          </w:p>
          <w:p w14:paraId="27B6E989">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ar"/>
              </w:rPr>
              <w:t>根据建设单位提供的设计资料可知，钻井过程中需要使用钻井液</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结合井身结构</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不同井段采用的钻井液体系有所不同</w:t>
            </w:r>
            <w:bookmarkStart w:id="9" w:name="_Hlk183359743"/>
            <w:bookmarkStart w:id="10" w:name="_Hlk176173839"/>
            <w:bookmarkStart w:id="11" w:name="_Hlk167901113"/>
            <w:bookmarkStart w:id="12" w:name="_Hlk186373794"/>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val="en-US" w:eastAsia="zh-CN"/>
              </w:rPr>
              <w:t>各</w:t>
            </w:r>
            <w:r>
              <w:rPr>
                <w:rFonts w:hint="eastAsia" w:ascii="Times New Roman" w:hAnsi="Times New Roman" w:eastAsia="宋体" w:cs="Times New Roman"/>
                <w:color w:val="auto"/>
                <w:sz w:val="24"/>
                <w:szCs w:val="24"/>
                <w:highlight w:val="none"/>
                <w:lang w:val="en-US" w:eastAsia="zh-CN"/>
              </w:rPr>
              <w:t>钻井</w:t>
            </w:r>
            <w:r>
              <w:rPr>
                <w:rFonts w:hint="default" w:ascii="Times New Roman" w:hAnsi="Times New Roman" w:eastAsia="宋体" w:cs="Times New Roman"/>
                <w:color w:val="auto"/>
                <w:sz w:val="24"/>
                <w:szCs w:val="24"/>
                <w:highlight w:val="none"/>
                <w:lang w:eastAsia="zh-CN"/>
              </w:rPr>
              <w:t>使用钻井液不落地设备，钻井过程中分离出的液相</w:t>
            </w:r>
            <w:r>
              <w:rPr>
                <w:rFonts w:hint="default" w:ascii="Times New Roman" w:hAnsi="Times New Roman" w:eastAsia="宋体" w:cs="Times New Roman"/>
                <w:color w:val="auto"/>
                <w:sz w:val="24"/>
                <w:szCs w:val="24"/>
                <w:highlight w:val="none"/>
                <w:lang w:val="en-US" w:eastAsia="zh-CN"/>
              </w:rPr>
              <w:t>循环</w:t>
            </w:r>
            <w:r>
              <w:rPr>
                <w:rFonts w:hint="default" w:ascii="Times New Roman" w:hAnsi="Times New Roman" w:eastAsia="宋体" w:cs="Times New Roman"/>
                <w:color w:val="auto"/>
                <w:sz w:val="24"/>
                <w:szCs w:val="24"/>
                <w:highlight w:val="none"/>
                <w:lang w:eastAsia="zh-CN"/>
              </w:rPr>
              <w:t>回用于钻井；</w:t>
            </w:r>
            <w:r>
              <w:rPr>
                <w:rFonts w:hint="default" w:ascii="Times New Roman" w:hAnsi="Times New Roman" w:eastAsia="宋体" w:cs="Times New Roman"/>
                <w:color w:val="auto"/>
                <w:sz w:val="24"/>
                <w:szCs w:val="24"/>
                <w:highlight w:val="none"/>
              </w:rPr>
              <w:t>其中，在导眼、一开段使用膨润土-聚合物钻井液，</w:t>
            </w:r>
            <w:r>
              <w:rPr>
                <w:rFonts w:hint="default" w:ascii="Times New Roman" w:hAnsi="Times New Roman" w:eastAsia="宋体" w:cs="Times New Roman"/>
                <w:color w:val="auto"/>
                <w:sz w:val="24"/>
                <w:szCs w:val="24"/>
                <w:highlight w:val="none"/>
                <w:lang w:val="en-US" w:eastAsia="zh-CN"/>
              </w:rPr>
              <w:t>二</w:t>
            </w:r>
            <w:r>
              <w:rPr>
                <w:rFonts w:hint="default" w:ascii="Times New Roman" w:hAnsi="Times New Roman" w:eastAsia="宋体" w:cs="Times New Roman"/>
                <w:color w:val="auto"/>
                <w:sz w:val="24"/>
                <w:szCs w:val="24"/>
                <w:highlight w:val="none"/>
              </w:rPr>
              <w:t>开段</w:t>
            </w:r>
            <w:r>
              <w:rPr>
                <w:rFonts w:hint="default" w:ascii="Times New Roman" w:hAnsi="Times New Roman" w:eastAsia="宋体" w:cs="Times New Roman"/>
                <w:color w:val="auto"/>
                <w:sz w:val="24"/>
                <w:szCs w:val="24"/>
                <w:highlight w:val="none"/>
                <w:lang w:val="en-US" w:eastAsia="zh-CN"/>
              </w:rPr>
              <w:t>使用</w:t>
            </w:r>
            <w:r>
              <w:rPr>
                <w:rFonts w:hint="default" w:ascii="Times New Roman" w:hAnsi="Times New Roman" w:eastAsia="宋体" w:cs="Times New Roman"/>
                <w:color w:val="auto"/>
                <w:sz w:val="24"/>
                <w:szCs w:val="24"/>
                <w:highlight w:val="none"/>
              </w:rPr>
              <w:t>油基钻井液</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rPr>
              <w:t>开段</w:t>
            </w:r>
            <w:r>
              <w:rPr>
                <w:rFonts w:hint="default" w:ascii="Times New Roman" w:hAnsi="Times New Roman" w:eastAsia="宋体" w:cs="Times New Roman"/>
                <w:color w:val="auto"/>
                <w:sz w:val="24"/>
                <w:szCs w:val="24"/>
                <w:highlight w:val="none"/>
                <w:lang w:val="en-US" w:eastAsia="zh-CN"/>
              </w:rPr>
              <w:t>使用复合盐</w:t>
            </w:r>
            <w:r>
              <w:rPr>
                <w:rFonts w:hint="default" w:ascii="Times New Roman" w:hAnsi="Times New Roman" w:eastAsia="宋体" w:cs="Times New Roman"/>
                <w:color w:val="auto"/>
                <w:sz w:val="24"/>
                <w:szCs w:val="24"/>
                <w:highlight w:val="none"/>
              </w:rPr>
              <w:t>钻井液；膨润土-聚合物钻井液主要成分包括</w:t>
            </w:r>
            <w:r>
              <w:rPr>
                <w:rFonts w:hint="eastAsia" w:ascii="Times New Roman" w:hAnsi="Times New Roman" w:eastAsia="宋体" w:cs="Times New Roman"/>
                <w:color w:val="auto"/>
                <w:sz w:val="24"/>
                <w:szCs w:val="24"/>
                <w:highlight w:val="none"/>
                <w:lang w:val="en-US" w:eastAsia="zh-CN"/>
              </w:rPr>
              <w:t>氢氧化钠、氯化钾和氧化钙</w:t>
            </w:r>
            <w:r>
              <w:rPr>
                <w:rFonts w:hint="default" w:ascii="Times New Roman" w:hAnsi="Times New Roman" w:eastAsia="宋体" w:cs="Times New Roman"/>
                <w:color w:val="auto"/>
                <w:sz w:val="24"/>
                <w:szCs w:val="24"/>
                <w:highlight w:val="none"/>
              </w:rPr>
              <w:t>等；油基钻井液主要成分为白油</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重晶石粉</w:t>
            </w:r>
            <w:r>
              <w:rPr>
                <w:rFonts w:hint="eastAsia" w:ascii="Times New Roman" w:hAnsi="Times New Roman" w:eastAsia="宋体" w:cs="Times New Roman"/>
                <w:color w:val="auto"/>
                <w:sz w:val="24"/>
                <w:szCs w:val="24"/>
                <w:highlight w:val="none"/>
                <w:lang w:val="en-US" w:eastAsia="zh-CN"/>
              </w:rPr>
              <w:t>等</w:t>
            </w:r>
            <w:r>
              <w:rPr>
                <w:rFonts w:hint="default" w:ascii="Times New Roman" w:hAnsi="Times New Roman" w:eastAsia="宋体" w:cs="Times New Roman"/>
                <w:color w:val="auto"/>
                <w:sz w:val="24"/>
                <w:szCs w:val="24"/>
                <w:highlight w:val="none"/>
              </w:rPr>
              <w:t>。</w:t>
            </w:r>
            <w:bookmarkEnd w:id="9"/>
            <w:r>
              <w:rPr>
                <w:rFonts w:hint="default" w:ascii="Times New Roman" w:hAnsi="Times New Roman" w:eastAsia="宋体" w:cs="Times New Roman"/>
                <w:color w:val="auto"/>
                <w:sz w:val="24"/>
                <w:szCs w:val="24"/>
                <w:highlight w:val="none"/>
                <w:lang w:val="en-US" w:eastAsia="zh-CN"/>
              </w:rPr>
              <w:t>单井设计</w:t>
            </w:r>
            <w:r>
              <w:rPr>
                <w:rFonts w:hint="default" w:ascii="Times New Roman" w:hAnsi="Times New Roman" w:eastAsia="宋体" w:cs="Times New Roman"/>
                <w:color w:val="auto"/>
                <w:sz w:val="24"/>
                <w:szCs w:val="24"/>
                <w:highlight w:val="none"/>
              </w:rPr>
              <w:t>钻井液体系及用量见表</w:t>
            </w:r>
            <w:r>
              <w:rPr>
                <w:rFonts w:hint="default" w:ascii="Times New Roman" w:hAnsi="Times New Roman" w:eastAsia="宋体" w:cs="Times New Roman"/>
                <w:color w:val="auto"/>
                <w:sz w:val="24"/>
                <w:szCs w:val="24"/>
                <w:highlight w:val="none"/>
                <w:lang w:val="en-US" w:eastAsia="zh-CN"/>
              </w:rPr>
              <w:t>2-10</w:t>
            </w:r>
            <w:r>
              <w:rPr>
                <w:rFonts w:hint="default" w:ascii="Times New Roman" w:hAnsi="Times New Roman" w:eastAsia="宋体" w:cs="Times New Roman"/>
                <w:color w:val="auto"/>
                <w:sz w:val="24"/>
                <w:szCs w:val="24"/>
                <w:highlight w:val="none"/>
              </w:rPr>
              <w:t>。</w:t>
            </w:r>
            <w:bookmarkEnd w:id="10"/>
            <w:bookmarkEnd w:id="11"/>
            <w:bookmarkStart w:id="13" w:name="_Ref66721972"/>
            <w:bookmarkStart w:id="14" w:name="_Hlk176173812"/>
          </w:p>
          <w:bookmarkEnd w:id="13"/>
          <w:p w14:paraId="289CFE69">
            <w:pPr>
              <w:widowControl w:val="0"/>
              <w:snapToGrid w:val="0"/>
              <w:spacing w:line="5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 xml:space="preserve">2-10 </w:t>
            </w:r>
            <w:r>
              <w:rPr>
                <w:rFonts w:hint="default" w:ascii="Times New Roman" w:hAnsi="Times New Roman" w:eastAsia="宋体" w:cs="Times New Roman"/>
                <w:b/>
                <w:bCs/>
                <w:color w:val="auto"/>
                <w:sz w:val="21"/>
                <w:szCs w:val="21"/>
                <w:highlight w:val="none"/>
              </w:rPr>
              <w:t>钻井液</w:t>
            </w:r>
            <w:r>
              <w:rPr>
                <w:rFonts w:hint="default" w:ascii="Times New Roman" w:hAnsi="Times New Roman" w:eastAsia="宋体" w:cs="Times New Roman"/>
                <w:b/>
                <w:bCs/>
                <w:color w:val="auto"/>
                <w:sz w:val="21"/>
                <w:szCs w:val="21"/>
                <w:highlight w:val="none"/>
                <w:lang w:val="en-US" w:eastAsia="zh-CN"/>
              </w:rPr>
              <w:t>体系及</w:t>
            </w:r>
            <w:r>
              <w:rPr>
                <w:rFonts w:hint="default" w:ascii="Times New Roman" w:hAnsi="Times New Roman" w:eastAsia="宋体" w:cs="Times New Roman"/>
                <w:b/>
                <w:bCs/>
                <w:color w:val="auto"/>
                <w:sz w:val="21"/>
                <w:szCs w:val="21"/>
                <w:highlight w:val="none"/>
              </w:rPr>
              <w:t>用量表</w:t>
            </w:r>
          </w:p>
          <w:bookmarkEnd w:id="12"/>
          <w:bookmarkEnd w:id="14"/>
          <w:tbl>
            <w:tblPr>
              <w:tblStyle w:val="11"/>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16"/>
              <w:gridCol w:w="832"/>
              <w:gridCol w:w="873"/>
              <w:gridCol w:w="791"/>
              <w:gridCol w:w="3405"/>
              <w:gridCol w:w="890"/>
              <w:gridCol w:w="870"/>
            </w:tblGrid>
            <w:tr w14:paraId="2AD6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93" w:hRule="atLeast"/>
                <w:jc w:val="center"/>
              </w:trPr>
              <w:tc>
                <w:tcPr>
                  <w:tcW w:w="372" w:type="pct"/>
                  <w:vAlign w:val="center"/>
                </w:tcPr>
                <w:p w14:paraId="6D280963">
                  <w:pPr>
                    <w:adjustRightInd w:val="0"/>
                    <w:snapToGrid w:val="0"/>
                    <w:spacing w:line="300" w:lineRule="exact"/>
                    <w:jc w:val="center"/>
                    <w:rPr>
                      <w:rFonts w:hint="default" w:ascii="Times New Roman" w:hAnsi="Times New Roman" w:eastAsia="宋体" w:cs="Times New Roman"/>
                      <w:b/>
                      <w:bCs/>
                      <w:color w:val="auto"/>
                      <w:sz w:val="21"/>
                      <w:szCs w:val="21"/>
                      <w:highlight w:val="none"/>
                    </w:rPr>
                  </w:pPr>
                  <w:bookmarkStart w:id="15" w:name="OLE_LINK71"/>
                  <w:r>
                    <w:rPr>
                      <w:rFonts w:hint="default" w:ascii="Times New Roman" w:hAnsi="Times New Roman" w:eastAsia="宋体" w:cs="Times New Roman"/>
                      <w:b/>
                      <w:bCs/>
                      <w:color w:val="auto"/>
                      <w:sz w:val="21"/>
                      <w:szCs w:val="21"/>
                      <w:highlight w:val="none"/>
                    </w:rPr>
                    <w:t>开钻次序</w:t>
                  </w:r>
                </w:p>
              </w:tc>
              <w:tc>
                <w:tcPr>
                  <w:tcW w:w="502" w:type="pct"/>
                  <w:vAlign w:val="center"/>
                </w:tcPr>
                <w:p w14:paraId="3007A5F7">
                  <w:pPr>
                    <w:adjustRightInd w:val="0"/>
                    <w:snapToGrid w:val="0"/>
                    <w:spacing w:line="300" w:lineRule="exact"/>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井段</w:t>
                  </w:r>
                </w:p>
                <w:p w14:paraId="2BB6933E">
                  <w:pPr>
                    <w:adjustRightInd w:val="0"/>
                    <w:snapToGrid w:val="0"/>
                    <w:spacing w:line="30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eastAsia="zh-CN"/>
                    </w:rPr>
                    <w:t>（</w:t>
                  </w:r>
                  <w:r>
                    <w:rPr>
                      <w:rFonts w:hint="default" w:ascii="Times New Roman" w:hAnsi="Times New Roman" w:eastAsia="宋体" w:cs="Times New Roman"/>
                      <w:b/>
                      <w:bCs/>
                      <w:color w:val="auto"/>
                      <w:kern w:val="0"/>
                      <w:sz w:val="21"/>
                      <w:szCs w:val="21"/>
                      <w:highlight w:val="none"/>
                    </w:rPr>
                    <w:t>m</w:t>
                  </w:r>
                  <w:r>
                    <w:rPr>
                      <w:rFonts w:hint="default" w:ascii="Times New Roman" w:hAnsi="Times New Roman" w:eastAsia="宋体" w:cs="Times New Roman"/>
                      <w:b/>
                      <w:bCs/>
                      <w:color w:val="auto"/>
                      <w:kern w:val="0"/>
                      <w:sz w:val="21"/>
                      <w:szCs w:val="21"/>
                      <w:highlight w:val="none"/>
                      <w:lang w:eastAsia="zh-CN"/>
                    </w:rPr>
                    <w:t>）</w:t>
                  </w:r>
                </w:p>
              </w:tc>
              <w:tc>
                <w:tcPr>
                  <w:tcW w:w="527" w:type="pct"/>
                  <w:vAlign w:val="center"/>
                </w:tcPr>
                <w:p w14:paraId="66750CBF">
                  <w:pPr>
                    <w:adjustRightInd w:val="0"/>
                    <w:snapToGrid w:val="0"/>
                    <w:spacing w:line="300" w:lineRule="exact"/>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密度</w:t>
                  </w:r>
                </w:p>
                <w:p w14:paraId="6A0537BF">
                  <w:pPr>
                    <w:adjustRightInd w:val="0"/>
                    <w:snapToGrid w:val="0"/>
                    <w:spacing w:line="300" w:lineRule="exact"/>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rPr>
                    <w:t>g/cm</w:t>
                  </w:r>
                  <w:r>
                    <w:rPr>
                      <w:rFonts w:hint="default" w:ascii="Times New Roman" w:hAnsi="Times New Roman" w:eastAsia="宋体" w:cs="Times New Roman"/>
                      <w:b/>
                      <w:bCs/>
                      <w:color w:val="auto"/>
                      <w:kern w:val="0"/>
                      <w:sz w:val="21"/>
                      <w:szCs w:val="21"/>
                      <w:highlight w:val="none"/>
                      <w:vertAlign w:val="superscript"/>
                      <w:lang w:val="en-US" w:eastAsia="zh-CN"/>
                    </w:rPr>
                    <w:t>3</w:t>
                  </w:r>
                </w:p>
              </w:tc>
              <w:tc>
                <w:tcPr>
                  <w:tcW w:w="477" w:type="pct"/>
                  <w:vAlign w:val="center"/>
                </w:tcPr>
                <w:p w14:paraId="6359B6A4">
                  <w:pPr>
                    <w:adjustRightInd w:val="0"/>
                    <w:snapToGrid w:val="0"/>
                    <w:spacing w:line="300" w:lineRule="exac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钻井液类型</w:t>
                  </w:r>
                </w:p>
              </w:tc>
              <w:tc>
                <w:tcPr>
                  <w:tcW w:w="2056" w:type="pct"/>
                  <w:vAlign w:val="center"/>
                </w:tcPr>
                <w:p w14:paraId="0632541A">
                  <w:pPr>
                    <w:adjustRightInd w:val="0"/>
                    <w:snapToGrid w:val="0"/>
                    <w:spacing w:line="300" w:lineRule="exac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钻井液配方</w:t>
                  </w:r>
                </w:p>
              </w:tc>
              <w:tc>
                <w:tcPr>
                  <w:tcW w:w="537" w:type="pct"/>
                  <w:vAlign w:val="center"/>
                </w:tcPr>
                <w:p w14:paraId="5948FC49">
                  <w:pPr>
                    <w:adjustRightInd w:val="0"/>
                    <w:snapToGrid w:val="0"/>
                    <w:spacing w:line="30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rPr>
                    <w:t>钻井液</w:t>
                  </w:r>
                  <w:r>
                    <w:rPr>
                      <w:rFonts w:hint="default" w:ascii="Times New Roman" w:hAnsi="Times New Roman" w:eastAsia="宋体" w:cs="Times New Roman"/>
                      <w:b/>
                      <w:bCs/>
                      <w:color w:val="auto"/>
                      <w:kern w:val="0"/>
                      <w:sz w:val="21"/>
                      <w:szCs w:val="21"/>
                      <w:highlight w:val="none"/>
                      <w:lang w:val="en-US" w:eastAsia="zh-CN"/>
                    </w:rPr>
                    <w:t>用</w:t>
                  </w:r>
                  <w:r>
                    <w:rPr>
                      <w:rFonts w:hint="default" w:ascii="Times New Roman" w:hAnsi="Times New Roman" w:eastAsia="宋体" w:cs="Times New Roman"/>
                      <w:b/>
                      <w:bCs/>
                      <w:color w:val="auto"/>
                      <w:kern w:val="0"/>
                      <w:sz w:val="21"/>
                      <w:szCs w:val="21"/>
                      <w:highlight w:val="none"/>
                    </w:rPr>
                    <w:t>量</w:t>
                  </w:r>
                  <w:r>
                    <w:rPr>
                      <w:rFonts w:hint="default" w:ascii="Times New Roman" w:hAnsi="Times New Roman" w:eastAsia="宋体" w:cs="Times New Roman"/>
                      <w:b/>
                      <w:bCs/>
                      <w:color w:val="auto"/>
                      <w:kern w:val="0"/>
                      <w:sz w:val="21"/>
                      <w:szCs w:val="21"/>
                      <w:highlight w:val="none"/>
                      <w:lang w:eastAsia="zh-CN"/>
                    </w:rPr>
                    <w:t>（</w:t>
                  </w:r>
                  <w:r>
                    <w:rPr>
                      <w:rFonts w:hint="default" w:ascii="Times New Roman" w:hAnsi="Times New Roman" w:eastAsia="宋体" w:cs="Times New Roman"/>
                      <w:b/>
                      <w:bCs/>
                      <w:color w:val="auto"/>
                      <w:kern w:val="0"/>
                      <w:sz w:val="21"/>
                      <w:szCs w:val="21"/>
                      <w:highlight w:val="none"/>
                    </w:rPr>
                    <w:t>m</w:t>
                  </w:r>
                  <w:r>
                    <w:rPr>
                      <w:rFonts w:hint="default" w:ascii="Times New Roman" w:hAnsi="Times New Roman" w:eastAsia="宋体" w:cs="Times New Roman"/>
                      <w:b/>
                      <w:bCs/>
                      <w:color w:val="auto"/>
                      <w:kern w:val="0"/>
                      <w:sz w:val="21"/>
                      <w:szCs w:val="21"/>
                      <w:highlight w:val="none"/>
                      <w:vertAlign w:val="superscript"/>
                    </w:rPr>
                    <w:t>3</w:t>
                  </w:r>
                  <w:r>
                    <w:rPr>
                      <w:rFonts w:hint="default" w:ascii="Times New Roman" w:hAnsi="Times New Roman" w:eastAsia="宋体" w:cs="Times New Roman"/>
                      <w:b/>
                      <w:bCs/>
                      <w:color w:val="auto"/>
                      <w:kern w:val="0"/>
                      <w:sz w:val="21"/>
                      <w:szCs w:val="21"/>
                      <w:highlight w:val="none"/>
                      <w:lang w:eastAsia="zh-CN"/>
                    </w:rPr>
                    <w:t>）</w:t>
                  </w:r>
                </w:p>
              </w:tc>
              <w:tc>
                <w:tcPr>
                  <w:tcW w:w="525" w:type="pct"/>
                  <w:vAlign w:val="center"/>
                </w:tcPr>
                <w:p w14:paraId="78244B71">
                  <w:pPr>
                    <w:adjustRightInd w:val="0"/>
                    <w:snapToGrid w:val="0"/>
                    <w:spacing w:line="30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合计</w:t>
                  </w:r>
                </w:p>
                <w:p w14:paraId="79117583">
                  <w:pPr>
                    <w:adjustRightInd w:val="0"/>
                    <w:snapToGrid w:val="0"/>
                    <w:spacing w:line="30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r>
            <w:tr w14:paraId="2AABC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93" w:hRule="atLeast"/>
                <w:jc w:val="center"/>
              </w:trPr>
              <w:tc>
                <w:tcPr>
                  <w:tcW w:w="372" w:type="pct"/>
                  <w:shd w:val="clear" w:color="auto" w:fill="auto"/>
                  <w:vAlign w:val="center"/>
                </w:tcPr>
                <w:p w14:paraId="78EB2BCF">
                  <w:pPr>
                    <w:autoSpaceDE w:val="0"/>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导眼/</w:t>
                  </w:r>
                </w:p>
                <w:p w14:paraId="57C30F85">
                  <w:pPr>
                    <w:autoSpaceDE w:val="0"/>
                    <w:autoSpaceDN w:val="0"/>
                    <w:jc w:val="center"/>
                    <w:rPr>
                      <w:rFonts w:hint="default" w:ascii="Times New Roman" w:hAnsi="Times New Roman" w:eastAsia="Arial" w:cs="Times New Roman"/>
                      <w:snapToGrid w:val="0"/>
                      <w:color w:val="auto"/>
                      <w:kern w:val="0"/>
                      <w:sz w:val="21"/>
                      <w:szCs w:val="21"/>
                      <w:lang w:val="en-US" w:eastAsia="en-US" w:bidi="ar-SA"/>
                    </w:rPr>
                  </w:pPr>
                  <w:r>
                    <w:rPr>
                      <w:rFonts w:hint="default" w:ascii="Times New Roman" w:hAnsi="Times New Roman" w:cs="Times New Roman"/>
                      <w:color w:val="auto"/>
                      <w:kern w:val="0"/>
                      <w:szCs w:val="21"/>
                    </w:rPr>
                    <w:t>一开</w:t>
                  </w:r>
                </w:p>
              </w:tc>
              <w:tc>
                <w:tcPr>
                  <w:tcW w:w="502" w:type="pct"/>
                  <w:shd w:val="clear" w:color="auto" w:fill="auto"/>
                  <w:vAlign w:val="center"/>
                </w:tcPr>
                <w:p w14:paraId="79BD9D5D">
                  <w:pPr>
                    <w:autoSpaceDE w:val="0"/>
                    <w:autoSpaceDN w:val="0"/>
                    <w:jc w:val="center"/>
                    <w:rPr>
                      <w:rFonts w:hint="default" w:ascii="Times New Roman" w:hAnsi="Times New Roman" w:eastAsia="Arial" w:cs="Times New Roman"/>
                      <w:snapToGrid w:val="0"/>
                      <w:color w:val="auto"/>
                      <w:kern w:val="0"/>
                      <w:sz w:val="21"/>
                      <w:szCs w:val="21"/>
                      <w:lang w:val="en-US" w:eastAsia="en-US" w:bidi="ar-SA"/>
                    </w:rPr>
                  </w:pPr>
                  <w:r>
                    <w:rPr>
                      <w:rFonts w:hint="default" w:ascii="Times New Roman" w:hAnsi="Times New Roman" w:cs="Times New Roman"/>
                      <w:color w:val="auto"/>
                      <w:kern w:val="0"/>
                      <w:szCs w:val="21"/>
                    </w:rPr>
                    <w:t>0-700</w:t>
                  </w:r>
                </w:p>
              </w:tc>
              <w:tc>
                <w:tcPr>
                  <w:tcW w:w="527" w:type="pct"/>
                  <w:shd w:val="clear" w:color="auto" w:fill="auto"/>
                  <w:vAlign w:val="center"/>
                </w:tcPr>
                <w:p w14:paraId="5B128907">
                  <w:pPr>
                    <w:autoSpaceDE w:val="0"/>
                    <w:autoSpaceDN w:val="0"/>
                    <w:jc w:val="center"/>
                    <w:rPr>
                      <w:rFonts w:hint="default" w:ascii="Times New Roman" w:hAnsi="Times New Roman" w:eastAsia="Arial" w:cs="Times New Roman"/>
                      <w:snapToGrid w:val="0"/>
                      <w:color w:val="auto"/>
                      <w:kern w:val="0"/>
                      <w:sz w:val="21"/>
                      <w:szCs w:val="21"/>
                      <w:lang w:val="en-US" w:eastAsia="en-US" w:bidi="ar-SA"/>
                    </w:rPr>
                  </w:pPr>
                  <w:r>
                    <w:rPr>
                      <w:rFonts w:hint="default" w:ascii="Times New Roman" w:hAnsi="Times New Roman" w:cs="Times New Roman"/>
                      <w:color w:val="auto"/>
                      <w:kern w:val="0"/>
                      <w:szCs w:val="21"/>
                    </w:rPr>
                    <w:t>1.10-1.35</w:t>
                  </w:r>
                </w:p>
              </w:tc>
              <w:tc>
                <w:tcPr>
                  <w:tcW w:w="477" w:type="pct"/>
                  <w:vAlign w:val="center"/>
                </w:tcPr>
                <w:p w14:paraId="09A637BF">
                  <w:pPr>
                    <w:autoSpaceDE w:val="0"/>
                    <w:autoSpaceDN w:val="0"/>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color w:val="auto"/>
                      <w:kern w:val="0"/>
                      <w:szCs w:val="21"/>
                    </w:rPr>
                    <w:t>膨润土-聚合物钻井液</w:t>
                  </w:r>
                </w:p>
              </w:tc>
              <w:tc>
                <w:tcPr>
                  <w:tcW w:w="2056" w:type="pct"/>
                  <w:vAlign w:val="center"/>
                </w:tcPr>
                <w:p w14:paraId="02A0F67F">
                  <w:pPr>
                    <w:autoSpaceDE w:val="0"/>
                    <w:autoSpaceDN w:val="0"/>
                    <w:spacing w:line="240" w:lineRule="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color w:val="auto"/>
                      <w:kern w:val="0"/>
                      <w:szCs w:val="21"/>
                    </w:rPr>
                    <w:t>清水+(8-12)%膨润土+(0.2-0.3)%Na</w:t>
                  </w:r>
                  <w:r>
                    <w:rPr>
                      <w:rFonts w:hint="default" w:ascii="Times New Roman" w:hAnsi="Times New Roman" w:cs="Times New Roman"/>
                      <w:color w:val="auto"/>
                      <w:kern w:val="0"/>
                      <w:szCs w:val="21"/>
                      <w:vertAlign w:val="subscript"/>
                    </w:rPr>
                    <w:t>2</w:t>
                  </w:r>
                  <w:r>
                    <w:rPr>
                      <w:rFonts w:hint="default" w:ascii="Times New Roman" w:hAnsi="Times New Roman" w:cs="Times New Roman"/>
                      <w:color w:val="auto"/>
                      <w:kern w:val="0"/>
                      <w:szCs w:val="21"/>
                    </w:rPr>
                    <w:t>CO</w:t>
                  </w:r>
                  <w:r>
                    <w:rPr>
                      <w:rFonts w:hint="default" w:ascii="Times New Roman" w:hAnsi="Times New Roman" w:cs="Times New Roman"/>
                      <w:color w:val="auto"/>
                      <w:kern w:val="0"/>
                      <w:szCs w:val="21"/>
                      <w:vertAlign w:val="subscript"/>
                    </w:rPr>
                    <w:t>3</w:t>
                  </w:r>
                  <w:r>
                    <w:rPr>
                      <w:rFonts w:hint="default" w:ascii="Times New Roman" w:hAnsi="Times New Roman" w:cs="Times New Roman"/>
                      <w:color w:val="auto"/>
                      <w:kern w:val="0"/>
                      <w:szCs w:val="21"/>
                    </w:rPr>
                    <w:t>+(0.2-0.3)%CMC-LV/</w:t>
                  </w:r>
                  <w:r>
                    <w:rPr>
                      <w:rFonts w:hint="default" w:ascii="Times New Roman" w:hAnsi="Times New Roman" w:cs="Times New Roman"/>
                      <w:color w:val="auto"/>
                      <w:szCs w:val="21"/>
                    </w:rPr>
                    <w:t>CMC-HV/PAC-LV</w:t>
                  </w:r>
                  <w:r>
                    <w:rPr>
                      <w:rFonts w:hint="default" w:ascii="Times New Roman" w:hAnsi="Times New Roman" w:cs="Times New Roman"/>
                      <w:color w:val="auto"/>
                      <w:kern w:val="0"/>
                      <w:szCs w:val="21"/>
                    </w:rPr>
                    <w:t>+(0.3-0.5)%ZNP-1+(0.3-0.5)%NaHPAN</w:t>
                  </w:r>
                  <w:r>
                    <w:rPr>
                      <w:rFonts w:hint="default" w:ascii="Times New Roman" w:hAnsi="Times New Roman" w:cs="Times New Roman"/>
                      <w:color w:val="auto"/>
                      <w:szCs w:val="21"/>
                    </w:rPr>
                    <w:t>+重晶石粉</w:t>
                  </w:r>
                </w:p>
              </w:tc>
              <w:tc>
                <w:tcPr>
                  <w:tcW w:w="537" w:type="pct"/>
                  <w:vAlign w:val="center"/>
                </w:tcPr>
                <w:p w14:paraId="16CE9076">
                  <w:pPr>
                    <w:adjustRightInd w:val="0"/>
                    <w:snapToGrid w:val="0"/>
                    <w:spacing w:line="300" w:lineRule="exact"/>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350</w:t>
                  </w:r>
                </w:p>
              </w:tc>
              <w:tc>
                <w:tcPr>
                  <w:tcW w:w="525" w:type="pct"/>
                  <w:vMerge w:val="restart"/>
                  <w:vAlign w:val="center"/>
                </w:tcPr>
                <w:p w14:paraId="2ED9DE7A">
                  <w:pPr>
                    <w:adjustRightInd w:val="0"/>
                    <w:snapToGrid w:val="0"/>
                    <w:spacing w:line="300" w:lineRule="exac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1200</w:t>
                  </w:r>
                </w:p>
              </w:tc>
            </w:tr>
            <w:tr w14:paraId="5A60D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93" w:hRule="atLeast"/>
                <w:jc w:val="center"/>
              </w:trPr>
              <w:tc>
                <w:tcPr>
                  <w:tcW w:w="372" w:type="pct"/>
                  <w:vAlign w:val="center"/>
                </w:tcPr>
                <w:p w14:paraId="32ABD5BE">
                  <w:pPr>
                    <w:autoSpaceDE w:val="0"/>
                    <w:autoSpaceDN w:val="0"/>
                    <w:jc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color w:val="auto"/>
                      <w:kern w:val="0"/>
                      <w:szCs w:val="21"/>
                    </w:rPr>
                    <w:t>二开</w:t>
                  </w:r>
                </w:p>
              </w:tc>
              <w:tc>
                <w:tcPr>
                  <w:tcW w:w="502" w:type="pct"/>
                  <w:vAlign w:val="center"/>
                </w:tcPr>
                <w:p w14:paraId="196EDB8E">
                  <w:pPr>
                    <w:autoSpaceDE w:val="0"/>
                    <w:autoSpaceDN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cs="Times New Roman"/>
                      <w:color w:val="auto"/>
                      <w:kern w:val="0"/>
                      <w:szCs w:val="21"/>
                    </w:rPr>
                    <w:t>700-3070</w:t>
                  </w:r>
                </w:p>
              </w:tc>
              <w:tc>
                <w:tcPr>
                  <w:tcW w:w="527" w:type="pct"/>
                  <w:vAlign w:val="center"/>
                </w:tcPr>
                <w:p w14:paraId="2092D8CA">
                  <w:pPr>
                    <w:autoSpaceDE w:val="0"/>
                    <w:autoSpaceDN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cs="Times New Roman"/>
                      <w:color w:val="auto"/>
                      <w:kern w:val="0"/>
                      <w:szCs w:val="21"/>
                    </w:rPr>
                    <w:t>1.35-1.73</w:t>
                  </w:r>
                </w:p>
              </w:tc>
              <w:tc>
                <w:tcPr>
                  <w:tcW w:w="477" w:type="pct"/>
                  <w:vAlign w:val="center"/>
                </w:tcPr>
                <w:p w14:paraId="676FF7BC">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color w:val="auto"/>
                      <w:szCs w:val="21"/>
                    </w:rPr>
                    <w:t>油基</w:t>
                  </w:r>
                  <w:r>
                    <w:rPr>
                      <w:rFonts w:hint="default" w:ascii="Times New Roman" w:hAnsi="Times New Roman" w:cs="Times New Roman"/>
                      <w:color w:val="auto"/>
                      <w:kern w:val="0"/>
                      <w:szCs w:val="21"/>
                    </w:rPr>
                    <w:t>钻井液</w:t>
                  </w:r>
                </w:p>
              </w:tc>
              <w:tc>
                <w:tcPr>
                  <w:tcW w:w="2056" w:type="pct"/>
                  <w:vAlign w:val="center"/>
                </w:tcPr>
                <w:p w14:paraId="0BDACE0F">
                  <w:pPr>
                    <w:spacing w:line="240" w:lineRule="auto"/>
                    <w:jc w:val="left"/>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color w:val="auto"/>
                      <w:szCs w:val="21"/>
                    </w:rPr>
                    <w:t>白油/柴油:30%CaCl</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水溶液（80:20）+(2-3)%TYODF-301/XZ-OZR+(2-3)%TYODF-401/XZ-OFR+(1-2)%TYODF-501/XZ-ORS+(2-3)%TYODF-601/LH-OC+(2-3)%XZ-OJL+(0.5-2)%CaO+(3-5)%超细碳酸钙/ZS-3/ZS-5+(2-4)%FT-401/LH-LQ/ZK601+(1-3)%YL-XD/XZ-DL8+重晶石粉</w:t>
                  </w:r>
                </w:p>
              </w:tc>
              <w:tc>
                <w:tcPr>
                  <w:tcW w:w="537" w:type="pct"/>
                  <w:vAlign w:val="center"/>
                </w:tcPr>
                <w:p w14:paraId="2F1693EF">
                  <w:pPr>
                    <w:adjustRightInd w:val="0"/>
                    <w:snapToGrid w:val="0"/>
                    <w:spacing w:line="300" w:lineRule="exact"/>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450</w:t>
                  </w:r>
                </w:p>
              </w:tc>
              <w:tc>
                <w:tcPr>
                  <w:tcW w:w="525" w:type="pct"/>
                  <w:vMerge w:val="continue"/>
                  <w:vAlign w:val="center"/>
                </w:tcPr>
                <w:p w14:paraId="0AF01821">
                  <w:pPr>
                    <w:adjustRightInd w:val="0"/>
                    <w:snapToGrid w:val="0"/>
                    <w:spacing w:line="300" w:lineRule="exact"/>
                    <w:jc w:val="center"/>
                    <w:rPr>
                      <w:rFonts w:hint="default" w:ascii="Times New Roman" w:hAnsi="Times New Roman" w:eastAsia="宋体" w:cs="Times New Roman"/>
                      <w:b w:val="0"/>
                      <w:bCs w:val="0"/>
                      <w:color w:val="auto"/>
                      <w:sz w:val="21"/>
                      <w:szCs w:val="21"/>
                      <w:highlight w:val="none"/>
                    </w:rPr>
                  </w:pPr>
                </w:p>
              </w:tc>
            </w:tr>
            <w:tr w14:paraId="20FBB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93" w:hRule="atLeast"/>
                <w:jc w:val="center"/>
              </w:trPr>
              <w:tc>
                <w:tcPr>
                  <w:tcW w:w="372" w:type="pct"/>
                  <w:shd w:val="clear" w:color="auto" w:fill="auto"/>
                  <w:vAlign w:val="center"/>
                </w:tcPr>
                <w:p w14:paraId="34263E88">
                  <w:pPr>
                    <w:autoSpaceDE w:val="0"/>
                    <w:autoSpaceDN w:val="0"/>
                    <w:spacing w:line="276" w:lineRule="auto"/>
                    <w:jc w:val="center"/>
                    <w:rPr>
                      <w:rFonts w:hint="default" w:ascii="Times New Roman" w:hAnsi="Times New Roman" w:eastAsia="Arial" w:cs="Times New Roman"/>
                      <w:snapToGrid w:val="0"/>
                      <w:color w:val="auto"/>
                      <w:kern w:val="0"/>
                      <w:sz w:val="21"/>
                      <w:szCs w:val="21"/>
                      <w:lang w:val="en-US" w:eastAsia="en-US" w:bidi="ar-SA"/>
                    </w:rPr>
                  </w:pPr>
                  <w:r>
                    <w:rPr>
                      <w:rFonts w:hint="default" w:ascii="Times New Roman" w:hAnsi="Times New Roman" w:cs="Times New Roman"/>
                      <w:color w:val="auto"/>
                      <w:kern w:val="0"/>
                      <w:szCs w:val="21"/>
                    </w:rPr>
                    <w:t>三开</w:t>
                  </w:r>
                </w:p>
              </w:tc>
              <w:tc>
                <w:tcPr>
                  <w:tcW w:w="502" w:type="pct"/>
                  <w:shd w:val="clear" w:color="auto" w:fill="auto"/>
                  <w:vAlign w:val="center"/>
                </w:tcPr>
                <w:p w14:paraId="5FF4CADD">
                  <w:pPr>
                    <w:autoSpaceDE w:val="0"/>
                    <w:autoSpaceDN w:val="0"/>
                    <w:spacing w:line="276" w:lineRule="auto"/>
                    <w:jc w:val="center"/>
                    <w:rPr>
                      <w:rFonts w:hint="default" w:ascii="Times New Roman" w:hAnsi="Times New Roman" w:eastAsia="Arial" w:cs="Times New Roman"/>
                      <w:snapToGrid w:val="0"/>
                      <w:color w:val="auto"/>
                      <w:kern w:val="0"/>
                      <w:sz w:val="21"/>
                      <w:szCs w:val="21"/>
                      <w:lang w:val="en-US" w:eastAsia="en-US" w:bidi="ar-SA"/>
                    </w:rPr>
                  </w:pPr>
                  <w:r>
                    <w:rPr>
                      <w:rFonts w:hint="default" w:ascii="Times New Roman" w:hAnsi="Times New Roman" w:cs="Times New Roman"/>
                      <w:color w:val="auto"/>
                      <w:kern w:val="0"/>
                      <w:szCs w:val="21"/>
                    </w:rPr>
                    <w:t>3070-3490</w:t>
                  </w:r>
                </w:p>
              </w:tc>
              <w:tc>
                <w:tcPr>
                  <w:tcW w:w="527" w:type="pct"/>
                  <w:shd w:val="clear" w:color="auto" w:fill="auto"/>
                  <w:vAlign w:val="center"/>
                </w:tcPr>
                <w:p w14:paraId="43B2BE26">
                  <w:pPr>
                    <w:autoSpaceDE w:val="0"/>
                    <w:autoSpaceDN w:val="0"/>
                    <w:spacing w:line="276" w:lineRule="auto"/>
                    <w:jc w:val="center"/>
                    <w:rPr>
                      <w:rFonts w:hint="default" w:ascii="Times New Roman" w:hAnsi="Times New Roman" w:eastAsia="Arial" w:cs="Times New Roman"/>
                      <w:snapToGrid w:val="0"/>
                      <w:color w:val="auto"/>
                      <w:kern w:val="0"/>
                      <w:sz w:val="21"/>
                      <w:szCs w:val="21"/>
                      <w:lang w:val="en-US" w:eastAsia="en-US" w:bidi="ar-SA"/>
                    </w:rPr>
                  </w:pPr>
                  <w:r>
                    <w:rPr>
                      <w:rFonts w:hint="default" w:ascii="Times New Roman" w:hAnsi="Times New Roman" w:cs="Times New Roman"/>
                      <w:color w:val="auto"/>
                      <w:kern w:val="0"/>
                      <w:szCs w:val="21"/>
                    </w:rPr>
                    <w:t>1.20-1.24</w:t>
                  </w:r>
                </w:p>
              </w:tc>
              <w:tc>
                <w:tcPr>
                  <w:tcW w:w="477" w:type="pct"/>
                  <w:shd w:val="clear" w:color="auto" w:fill="auto"/>
                  <w:vAlign w:val="center"/>
                </w:tcPr>
                <w:p w14:paraId="7E6E9869">
                  <w:pPr>
                    <w:autoSpaceDE w:val="0"/>
                    <w:autoSpaceDN w:val="0"/>
                    <w:spacing w:line="240" w:lineRule="auto"/>
                    <w:jc w:val="center"/>
                    <w:rPr>
                      <w:rFonts w:hint="default" w:ascii="Times New Roman" w:hAnsi="Times New Roman" w:eastAsia="Arial" w:cs="Times New Roman"/>
                      <w:snapToGrid w:val="0"/>
                      <w:color w:val="auto"/>
                      <w:kern w:val="11"/>
                      <w:sz w:val="21"/>
                      <w:szCs w:val="21"/>
                      <w:lang w:val="en-US" w:eastAsia="zh-CN" w:bidi="ar-SA"/>
                    </w:rPr>
                  </w:pPr>
                  <w:r>
                    <w:rPr>
                      <w:rFonts w:hint="default" w:ascii="Times New Roman" w:hAnsi="Times New Roman" w:cs="Times New Roman"/>
                      <w:color w:val="auto"/>
                      <w:kern w:val="11"/>
                      <w:szCs w:val="21"/>
                    </w:rPr>
                    <w:t>复合盐钻井液</w:t>
                  </w:r>
                </w:p>
              </w:tc>
              <w:tc>
                <w:tcPr>
                  <w:tcW w:w="2056" w:type="pct"/>
                  <w:shd w:val="clear" w:color="auto" w:fill="auto"/>
                  <w:vAlign w:val="center"/>
                </w:tcPr>
                <w:p w14:paraId="52FCBB7C">
                  <w:pPr>
                    <w:autoSpaceDE w:val="0"/>
                    <w:autoSpaceDN w:val="0"/>
                    <w:spacing w:line="240" w:lineRule="auto"/>
                    <w:rPr>
                      <w:rFonts w:hint="default" w:ascii="Times New Roman" w:hAnsi="Times New Roman" w:eastAsia="Arial" w:cs="Times New Roman"/>
                      <w:snapToGrid w:val="0"/>
                      <w:color w:val="auto"/>
                      <w:kern w:val="0"/>
                      <w:sz w:val="21"/>
                      <w:szCs w:val="21"/>
                      <w:lang w:val="en-US" w:eastAsia="zh-CN" w:bidi="ar-SA"/>
                    </w:rPr>
                  </w:pPr>
                  <w:r>
                    <w:rPr>
                      <w:rFonts w:hint="default" w:ascii="Times New Roman" w:hAnsi="Times New Roman" w:cs="Times New Roman"/>
                      <w:color w:val="auto"/>
                      <w:kern w:val="0"/>
                      <w:szCs w:val="21"/>
                    </w:rPr>
                    <w:t>井浆+(0.3-0.5)%NaOH+(0.5-1)%NH</w:t>
                  </w:r>
                  <w:r>
                    <w:rPr>
                      <w:rFonts w:hint="default" w:ascii="Times New Roman" w:hAnsi="Times New Roman" w:cs="Times New Roman"/>
                      <w:color w:val="auto"/>
                      <w:kern w:val="0"/>
                      <w:szCs w:val="21"/>
                      <w:vertAlign w:val="subscript"/>
                    </w:rPr>
                    <w:t>4</w:t>
                  </w:r>
                  <w:r>
                    <w:rPr>
                      <w:rFonts w:hint="default" w:ascii="Times New Roman" w:hAnsi="Times New Roman" w:cs="Times New Roman"/>
                      <w:color w:val="auto"/>
                      <w:kern w:val="0"/>
                      <w:szCs w:val="21"/>
                    </w:rPr>
                    <w:t>HPAN/KFT+(0.8-1)%SP-8/REDU1+(0.5-1.2)%FA-367/IND-10/ZNP-1+(5-7)%KCl+(10-20)%NaCl+(2-5)%YN-YL/KR-n/FT-401+(3-5)%超细碳酸钙+(0.2-0.5)%CaO+(1-3)%801+重晶石粉</w:t>
                  </w:r>
                </w:p>
              </w:tc>
              <w:tc>
                <w:tcPr>
                  <w:tcW w:w="537" w:type="pct"/>
                  <w:vAlign w:val="center"/>
                </w:tcPr>
                <w:p w14:paraId="55F3A008">
                  <w:pPr>
                    <w:adjustRightInd w:val="0"/>
                    <w:snapToGrid w:val="0"/>
                    <w:spacing w:line="300" w:lineRule="exact"/>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400</w:t>
                  </w:r>
                </w:p>
              </w:tc>
              <w:tc>
                <w:tcPr>
                  <w:tcW w:w="525" w:type="pct"/>
                  <w:vMerge w:val="continue"/>
                  <w:vAlign w:val="center"/>
                </w:tcPr>
                <w:p w14:paraId="1AB7CEF9">
                  <w:pPr>
                    <w:adjustRightInd w:val="0"/>
                    <w:snapToGrid w:val="0"/>
                    <w:spacing w:line="300" w:lineRule="exact"/>
                    <w:jc w:val="center"/>
                    <w:rPr>
                      <w:rFonts w:hint="default" w:ascii="Times New Roman" w:hAnsi="Times New Roman" w:eastAsia="宋体" w:cs="Times New Roman"/>
                      <w:b w:val="0"/>
                      <w:bCs w:val="0"/>
                      <w:color w:val="auto"/>
                      <w:sz w:val="21"/>
                      <w:szCs w:val="21"/>
                      <w:highlight w:val="none"/>
                    </w:rPr>
                  </w:pPr>
                </w:p>
              </w:tc>
            </w:tr>
          </w:tbl>
          <w:p w14:paraId="2D2E4CD5">
            <w:pPr>
              <w:widowControl w:val="0"/>
              <w:snapToGrid w:val="0"/>
              <w:spacing w:line="500" w:lineRule="exact"/>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6.2钻井液理化性质</w:t>
            </w:r>
          </w:p>
          <w:p w14:paraId="24635E1C">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项目使用各类钻井液的理化性质具体见表2-11。</w:t>
            </w:r>
          </w:p>
          <w:p w14:paraId="00055F66">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color w:val="auto"/>
                <w:sz w:val="21"/>
                <w:szCs w:val="21"/>
                <w:highlight w:val="none"/>
                <w:lang w:val="en-US" w:eastAsia="zh-CN"/>
              </w:rPr>
            </w:pPr>
          </w:p>
          <w:p w14:paraId="1363FD89">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表2-11项目钻井液理化性质表</w:t>
            </w:r>
          </w:p>
          <w:p w14:paraId="61D7E05D">
            <w:pPr>
              <w:pStyle w:val="6"/>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rPr>
            </w:pPr>
          </w:p>
          <w:p w14:paraId="599C18D7">
            <w:pPr>
              <w:pStyle w:val="6"/>
              <w:widowControl w:val="0"/>
              <w:spacing w:line="281" w:lineRule="auto"/>
              <w:rPr>
                <w:color w:val="auto"/>
              </w:rPr>
            </w:pPr>
          </w:p>
          <w:tbl>
            <w:tblPr>
              <w:tblStyle w:val="15"/>
              <w:tblW w:w="82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3"/>
              <w:gridCol w:w="1032"/>
              <w:gridCol w:w="6374"/>
            </w:tblGrid>
            <w:tr w14:paraId="18850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813" w:type="dxa"/>
                  <w:vAlign w:val="center"/>
                </w:tcPr>
                <w:p w14:paraId="2FE87E6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4"/>
                      <w:sz w:val="21"/>
                      <w:szCs w:val="21"/>
                    </w:rPr>
                    <w:t>类型</w:t>
                  </w:r>
                </w:p>
              </w:tc>
              <w:tc>
                <w:tcPr>
                  <w:tcW w:w="1032" w:type="dxa"/>
                  <w:vAlign w:val="center"/>
                </w:tcPr>
                <w:p w14:paraId="416D275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成分</w:t>
                  </w:r>
                </w:p>
              </w:tc>
              <w:tc>
                <w:tcPr>
                  <w:tcW w:w="6374" w:type="dxa"/>
                  <w:vAlign w:val="center"/>
                </w:tcPr>
                <w:p w14:paraId="0EC6343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rPr>
                    <w:t>理化性质</w:t>
                  </w:r>
                </w:p>
              </w:tc>
            </w:tr>
            <w:tr w14:paraId="10614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813" w:type="dxa"/>
                  <w:vMerge w:val="restart"/>
                  <w:vAlign w:val="center"/>
                </w:tcPr>
                <w:p w14:paraId="3BE47D4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水基钻井液</w:t>
                  </w:r>
                </w:p>
              </w:tc>
              <w:tc>
                <w:tcPr>
                  <w:tcW w:w="1032" w:type="dxa"/>
                  <w:vAlign w:val="center"/>
                </w:tcPr>
                <w:p w14:paraId="342D900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5"/>
                      <w:sz w:val="21"/>
                      <w:szCs w:val="21"/>
                    </w:rPr>
                    <w:t>坂土</w:t>
                  </w:r>
                </w:p>
              </w:tc>
              <w:tc>
                <w:tcPr>
                  <w:tcW w:w="6374" w:type="dxa"/>
                  <w:vAlign w:val="center"/>
                </w:tcPr>
                <w:p w14:paraId="2415DEE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rPr>
                    <w:t>又称膨润土，主要成分为蒙脱石，外观是适当粒度的粉末，因含杂质的不同，有白色、灰色、灰黄色和紫红色等颜色，易吸潮，</w:t>
                  </w:r>
                  <w:r>
                    <w:rPr>
                      <w:rFonts w:hint="default" w:ascii="Times New Roman" w:hAnsi="Times New Roman" w:eastAsia="宋体" w:cs="Times New Roman"/>
                      <w:b w:val="0"/>
                      <w:bCs w:val="0"/>
                      <w:color w:val="auto"/>
                      <w:spacing w:val="-31"/>
                      <w:sz w:val="21"/>
                      <w:szCs w:val="21"/>
                    </w:rPr>
                    <w:t xml:space="preserve"> </w:t>
                  </w:r>
                  <w:r>
                    <w:rPr>
                      <w:rFonts w:hint="default" w:ascii="Times New Roman" w:hAnsi="Times New Roman" w:eastAsia="宋体" w:cs="Times New Roman"/>
                      <w:b w:val="0"/>
                      <w:bCs w:val="0"/>
                      <w:color w:val="auto"/>
                      <w:spacing w:val="6"/>
                      <w:sz w:val="21"/>
                      <w:szCs w:val="21"/>
                    </w:rPr>
                    <w:t>吸潮后结块。</w:t>
                  </w:r>
                </w:p>
              </w:tc>
            </w:tr>
            <w:tr w14:paraId="7E05A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813" w:type="dxa"/>
                  <w:vMerge w:val="continue"/>
                  <w:vAlign w:val="center"/>
                </w:tcPr>
                <w:p w14:paraId="01FA4B9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val="0"/>
                      <w:bCs w:val="0"/>
                      <w:color w:val="auto"/>
                      <w:sz w:val="21"/>
                      <w:szCs w:val="21"/>
                    </w:rPr>
                  </w:pPr>
                </w:p>
              </w:tc>
              <w:tc>
                <w:tcPr>
                  <w:tcW w:w="1032" w:type="dxa"/>
                  <w:vAlign w:val="center"/>
                </w:tcPr>
                <w:p w14:paraId="267C62DF">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pacing w:val="6"/>
                      <w:sz w:val="21"/>
                      <w:szCs w:val="21"/>
                    </w:rPr>
                    <w:t>NaOH</w:t>
                  </w:r>
                </w:p>
              </w:tc>
              <w:tc>
                <w:tcPr>
                  <w:tcW w:w="6374" w:type="dxa"/>
                  <w:vAlign w:val="center"/>
                </w:tcPr>
                <w:p w14:paraId="328C5751">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5"/>
                      <w:sz w:val="21"/>
                      <w:szCs w:val="21"/>
                    </w:rPr>
                    <w:t>氢氧化钠又称烧碱、火碱或苛性钠。白色结晶，有液体、固体片状三种产品，</w:t>
                  </w:r>
                  <w:r>
                    <w:rPr>
                      <w:rFonts w:hint="default" w:ascii="Times New Roman" w:hAnsi="Times New Roman" w:eastAsia="宋体" w:cs="Times New Roman"/>
                      <w:b w:val="0"/>
                      <w:bCs w:val="0"/>
                      <w:color w:val="auto"/>
                      <w:spacing w:val="7"/>
                      <w:sz w:val="21"/>
                      <w:szCs w:val="21"/>
                    </w:rPr>
                    <w:t>纯度从</w:t>
                  </w:r>
                  <w:r>
                    <w:rPr>
                      <w:rFonts w:hint="default" w:ascii="Times New Roman" w:hAnsi="Times New Roman" w:eastAsia="宋体" w:cs="Times New Roman"/>
                      <w:b w:val="0"/>
                      <w:bCs w:val="0"/>
                      <w:color w:val="auto"/>
                      <w:spacing w:val="-34"/>
                      <w:sz w:val="21"/>
                      <w:szCs w:val="21"/>
                    </w:rPr>
                    <w:t xml:space="preserve"> </w:t>
                  </w:r>
                  <w:r>
                    <w:rPr>
                      <w:rFonts w:hint="default" w:ascii="Times New Roman" w:hAnsi="Times New Roman" w:cs="Times New Roman"/>
                      <w:b w:val="0"/>
                      <w:bCs w:val="0"/>
                      <w:color w:val="auto"/>
                      <w:spacing w:val="7"/>
                      <w:sz w:val="21"/>
                      <w:szCs w:val="21"/>
                    </w:rPr>
                    <w:t>50%</w:t>
                  </w:r>
                  <w:r>
                    <w:rPr>
                      <w:rFonts w:hint="default" w:ascii="Times New Roman" w:hAnsi="Times New Roman" w:eastAsia="宋体" w:cs="Times New Roman"/>
                      <w:b w:val="0"/>
                      <w:bCs w:val="0"/>
                      <w:color w:val="auto"/>
                      <w:spacing w:val="7"/>
                      <w:sz w:val="21"/>
                      <w:szCs w:val="21"/>
                    </w:rPr>
                    <w:t>至</w:t>
                  </w:r>
                  <w:r>
                    <w:rPr>
                      <w:rFonts w:hint="default" w:ascii="Times New Roman" w:hAnsi="Times New Roman" w:eastAsia="宋体" w:cs="Times New Roman"/>
                      <w:b w:val="0"/>
                      <w:bCs w:val="0"/>
                      <w:color w:val="auto"/>
                      <w:spacing w:val="-37"/>
                      <w:sz w:val="21"/>
                      <w:szCs w:val="21"/>
                    </w:rPr>
                    <w:t xml:space="preserve"> </w:t>
                  </w:r>
                  <w:r>
                    <w:rPr>
                      <w:rFonts w:hint="default" w:ascii="Times New Roman" w:hAnsi="Times New Roman" w:cs="Times New Roman"/>
                      <w:b w:val="0"/>
                      <w:bCs w:val="0"/>
                      <w:color w:val="auto"/>
                      <w:spacing w:val="7"/>
                      <w:sz w:val="21"/>
                      <w:szCs w:val="21"/>
                    </w:rPr>
                    <w:t>99%</w:t>
                  </w:r>
                  <w:r>
                    <w:rPr>
                      <w:rFonts w:hint="default" w:ascii="Times New Roman" w:hAnsi="Times New Roman" w:eastAsia="宋体" w:cs="Times New Roman"/>
                      <w:b w:val="0"/>
                      <w:bCs w:val="0"/>
                      <w:color w:val="auto"/>
                      <w:spacing w:val="7"/>
                      <w:sz w:val="21"/>
                      <w:szCs w:val="21"/>
                    </w:rPr>
                    <w:t>不等，密度</w:t>
                  </w:r>
                  <w:r>
                    <w:rPr>
                      <w:rFonts w:hint="default" w:ascii="Times New Roman" w:hAnsi="Times New Roman" w:eastAsia="宋体" w:cs="Times New Roman"/>
                      <w:b w:val="0"/>
                      <w:bCs w:val="0"/>
                      <w:color w:val="auto"/>
                      <w:spacing w:val="-40"/>
                      <w:sz w:val="21"/>
                      <w:szCs w:val="21"/>
                    </w:rPr>
                    <w:t xml:space="preserve"> </w:t>
                  </w:r>
                  <w:r>
                    <w:rPr>
                      <w:rFonts w:hint="default" w:ascii="Times New Roman" w:hAnsi="Times New Roman" w:cs="Times New Roman"/>
                      <w:b w:val="0"/>
                      <w:bCs w:val="0"/>
                      <w:color w:val="auto"/>
                      <w:spacing w:val="7"/>
                      <w:sz w:val="21"/>
                      <w:szCs w:val="21"/>
                    </w:rPr>
                    <w:t>2</w:t>
                  </w:r>
                  <w:r>
                    <w:rPr>
                      <w:rFonts w:hint="default" w:ascii="Times New Roman" w:hAnsi="Times New Roman" w:eastAsia="宋体" w:cs="Times New Roman"/>
                      <w:b w:val="0"/>
                      <w:bCs w:val="0"/>
                      <w:color w:val="auto"/>
                      <w:spacing w:val="7"/>
                      <w:sz w:val="21"/>
                      <w:szCs w:val="21"/>
                    </w:rPr>
                    <w:t>～</w:t>
                  </w:r>
                  <w:r>
                    <w:rPr>
                      <w:rFonts w:hint="default" w:ascii="Times New Roman" w:hAnsi="Times New Roman" w:cs="Times New Roman"/>
                      <w:b w:val="0"/>
                      <w:bCs w:val="0"/>
                      <w:color w:val="auto"/>
                      <w:spacing w:val="7"/>
                      <w:sz w:val="21"/>
                      <w:szCs w:val="21"/>
                    </w:rPr>
                    <w:t>2.2g</w:t>
                  </w:r>
                  <w:r>
                    <w:rPr>
                      <w:rFonts w:hint="default" w:ascii="Times New Roman" w:hAnsi="Times New Roman" w:cs="Times New Roman"/>
                      <w:b w:val="0"/>
                      <w:bCs w:val="0"/>
                      <w:color w:val="auto"/>
                      <w:spacing w:val="6"/>
                      <w:sz w:val="21"/>
                      <w:szCs w:val="21"/>
                    </w:rPr>
                    <w:t>/</w:t>
                  </w:r>
                  <w:r>
                    <w:rPr>
                      <w:rFonts w:hint="default" w:ascii="Times New Roman" w:hAnsi="Times New Roman" w:cs="Times New Roman"/>
                      <w:b w:val="0"/>
                      <w:bCs w:val="0"/>
                      <w:color w:val="auto"/>
                      <w:sz w:val="21"/>
                      <w:szCs w:val="21"/>
                    </w:rPr>
                    <w:t>cm</w:t>
                  </w:r>
                  <w:r>
                    <w:rPr>
                      <w:rFonts w:hint="default" w:ascii="Times New Roman" w:hAnsi="Times New Roman" w:cs="Times New Roman"/>
                      <w:b w:val="0"/>
                      <w:bCs w:val="0"/>
                      <w:color w:val="auto"/>
                      <w:spacing w:val="6"/>
                      <w:position w:val="9"/>
                      <w:sz w:val="21"/>
                      <w:szCs w:val="21"/>
                    </w:rPr>
                    <w:t>3</w:t>
                  </w:r>
                  <w:r>
                    <w:rPr>
                      <w:rFonts w:hint="default" w:ascii="Times New Roman" w:hAnsi="Times New Roman" w:cs="Times New Roman"/>
                      <w:b w:val="0"/>
                      <w:bCs w:val="0"/>
                      <w:color w:val="auto"/>
                      <w:spacing w:val="-5"/>
                      <w:position w:val="9"/>
                      <w:sz w:val="21"/>
                      <w:szCs w:val="21"/>
                    </w:rPr>
                    <w:t xml:space="preserve"> </w:t>
                  </w:r>
                  <w:r>
                    <w:rPr>
                      <w:rFonts w:hint="default" w:ascii="Times New Roman" w:hAnsi="Times New Roman" w:eastAsia="宋体" w:cs="Times New Roman"/>
                      <w:b w:val="0"/>
                      <w:bCs w:val="0"/>
                      <w:color w:val="auto"/>
                      <w:spacing w:val="6"/>
                      <w:sz w:val="21"/>
                      <w:szCs w:val="21"/>
                    </w:rPr>
                    <w:t>，易吸潮，有强烈的腐蚀性。</w:t>
                  </w:r>
                </w:p>
              </w:tc>
            </w:tr>
            <w:tr w14:paraId="74A95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813" w:type="dxa"/>
                  <w:vMerge w:val="continue"/>
                  <w:vAlign w:val="center"/>
                </w:tcPr>
                <w:p w14:paraId="5418093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val="0"/>
                      <w:bCs w:val="0"/>
                      <w:color w:val="auto"/>
                      <w:sz w:val="21"/>
                      <w:szCs w:val="21"/>
                    </w:rPr>
                  </w:pPr>
                </w:p>
              </w:tc>
              <w:tc>
                <w:tcPr>
                  <w:tcW w:w="1032" w:type="dxa"/>
                  <w:vAlign w:val="center"/>
                </w:tcPr>
                <w:p w14:paraId="4F54A581">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SP</w:t>
                  </w:r>
                  <w:r>
                    <w:rPr>
                      <w:rFonts w:hint="default" w:ascii="Times New Roman" w:hAnsi="Times New Roman" w:cs="Times New Roman"/>
                      <w:b w:val="0"/>
                      <w:bCs w:val="0"/>
                      <w:color w:val="auto"/>
                      <w:spacing w:val="2"/>
                      <w:sz w:val="21"/>
                      <w:szCs w:val="21"/>
                    </w:rPr>
                    <w:t>-8</w:t>
                  </w:r>
                </w:p>
              </w:tc>
              <w:tc>
                <w:tcPr>
                  <w:tcW w:w="6374" w:type="dxa"/>
                  <w:vAlign w:val="center"/>
                </w:tcPr>
                <w:p w14:paraId="68EC769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rPr>
                    <w:t>聚丙烯酰胺钾盐，</w:t>
                  </w:r>
                  <w:r>
                    <w:rPr>
                      <w:rFonts w:hint="default" w:ascii="Times New Roman" w:hAnsi="Times New Roman" w:eastAsia="宋体" w:cs="Times New Roman"/>
                      <w:b w:val="0"/>
                      <w:bCs w:val="0"/>
                      <w:color w:val="auto"/>
                      <w:spacing w:val="-31"/>
                      <w:sz w:val="21"/>
                      <w:szCs w:val="21"/>
                    </w:rPr>
                    <w:t xml:space="preserve"> </w:t>
                  </w:r>
                  <w:r>
                    <w:rPr>
                      <w:rFonts w:hint="default" w:ascii="Times New Roman" w:hAnsi="Times New Roman" w:eastAsia="宋体" w:cs="Times New Roman"/>
                      <w:b w:val="0"/>
                      <w:bCs w:val="0"/>
                      <w:color w:val="auto"/>
                      <w:spacing w:val="6"/>
                      <w:sz w:val="21"/>
                      <w:szCs w:val="21"/>
                    </w:rPr>
                    <w:t>一种无色无味的结晶体，</w:t>
                  </w:r>
                  <w:r>
                    <w:rPr>
                      <w:rFonts w:hint="default" w:ascii="Times New Roman" w:hAnsi="Times New Roman" w:eastAsia="宋体" w:cs="Times New Roman"/>
                      <w:b w:val="0"/>
                      <w:bCs w:val="0"/>
                      <w:color w:val="auto"/>
                      <w:spacing w:val="-55"/>
                      <w:sz w:val="21"/>
                      <w:szCs w:val="21"/>
                    </w:rPr>
                    <w:t xml:space="preserve"> </w:t>
                  </w:r>
                  <w:r>
                    <w:rPr>
                      <w:rFonts w:hint="default" w:ascii="Times New Roman" w:hAnsi="Times New Roman" w:eastAsia="宋体" w:cs="Times New Roman"/>
                      <w:b w:val="0"/>
                      <w:bCs w:val="0"/>
                      <w:color w:val="auto"/>
                      <w:spacing w:val="6"/>
                      <w:sz w:val="21"/>
                      <w:szCs w:val="21"/>
                    </w:rPr>
                    <w:t>常见于粉末状或颗粒状。其分子</w:t>
                  </w:r>
                  <w:r>
                    <w:rPr>
                      <w:rFonts w:hint="default" w:ascii="Times New Roman" w:hAnsi="Times New Roman" w:eastAsia="宋体" w:cs="Times New Roman"/>
                      <w:b w:val="0"/>
                      <w:bCs w:val="0"/>
                      <w:color w:val="auto"/>
                      <w:spacing w:val="8"/>
                      <w:sz w:val="21"/>
                      <w:szCs w:val="21"/>
                    </w:rPr>
                    <w:t>结构含有聚丙烯酰胺基团和钾离子，</w:t>
                  </w:r>
                  <w:r>
                    <w:rPr>
                      <w:rFonts w:hint="default" w:ascii="Times New Roman" w:hAnsi="Times New Roman" w:eastAsia="宋体" w:cs="Times New Roman"/>
                      <w:b w:val="0"/>
                      <w:bCs w:val="0"/>
                      <w:color w:val="auto"/>
                      <w:spacing w:val="-47"/>
                      <w:sz w:val="21"/>
                      <w:szCs w:val="21"/>
                    </w:rPr>
                    <w:t xml:space="preserve"> </w:t>
                  </w:r>
                  <w:r>
                    <w:rPr>
                      <w:rFonts w:hint="default" w:ascii="Times New Roman" w:hAnsi="Times New Roman" w:eastAsia="宋体" w:cs="Times New Roman"/>
                      <w:b w:val="0"/>
                      <w:bCs w:val="0"/>
                      <w:color w:val="auto"/>
                      <w:spacing w:val="8"/>
                      <w:sz w:val="21"/>
                      <w:szCs w:val="21"/>
                    </w:rPr>
                    <w:t>具有良好的溶解</w:t>
                  </w:r>
                  <w:r>
                    <w:rPr>
                      <w:rFonts w:hint="default" w:ascii="Times New Roman" w:hAnsi="Times New Roman" w:eastAsia="宋体" w:cs="Times New Roman"/>
                      <w:b w:val="0"/>
                      <w:bCs w:val="0"/>
                      <w:color w:val="auto"/>
                      <w:spacing w:val="7"/>
                      <w:sz w:val="21"/>
                      <w:szCs w:val="21"/>
                    </w:rPr>
                    <w:t>性和稳定性。聚丙烯酰</w:t>
                  </w:r>
                  <w:r>
                    <w:rPr>
                      <w:rFonts w:hint="default" w:ascii="Times New Roman" w:hAnsi="Times New Roman" w:eastAsia="宋体" w:cs="Times New Roman"/>
                      <w:b w:val="0"/>
                      <w:bCs w:val="0"/>
                      <w:color w:val="auto"/>
                      <w:spacing w:val="3"/>
                      <w:sz w:val="21"/>
                      <w:szCs w:val="21"/>
                    </w:rPr>
                    <w:t>胺钾盐在水中具有高度的吸水性，</w:t>
                  </w:r>
                  <w:r>
                    <w:rPr>
                      <w:rFonts w:hint="default" w:ascii="Times New Roman" w:hAnsi="Times New Roman" w:eastAsia="宋体" w:cs="Times New Roman"/>
                      <w:b w:val="0"/>
                      <w:bCs w:val="0"/>
                      <w:color w:val="auto"/>
                      <w:spacing w:val="-38"/>
                      <w:sz w:val="21"/>
                      <w:szCs w:val="21"/>
                    </w:rPr>
                    <w:t xml:space="preserve"> </w:t>
                  </w:r>
                  <w:r>
                    <w:rPr>
                      <w:rFonts w:hint="default" w:ascii="Times New Roman" w:hAnsi="Times New Roman" w:eastAsia="宋体" w:cs="Times New Roman"/>
                      <w:b w:val="0"/>
                      <w:bCs w:val="0"/>
                      <w:color w:val="auto"/>
                      <w:spacing w:val="3"/>
                      <w:sz w:val="21"/>
                      <w:szCs w:val="21"/>
                    </w:rPr>
                    <w:t>能迅速形成胶体溶液。此外，</w:t>
                  </w:r>
                  <w:r>
                    <w:rPr>
                      <w:rFonts w:hint="default" w:ascii="Times New Roman" w:hAnsi="Times New Roman" w:eastAsia="宋体" w:cs="Times New Roman"/>
                      <w:b w:val="0"/>
                      <w:bCs w:val="0"/>
                      <w:color w:val="auto"/>
                      <w:spacing w:val="59"/>
                      <w:sz w:val="21"/>
                      <w:szCs w:val="21"/>
                    </w:rPr>
                    <w:t xml:space="preserve"> </w:t>
                  </w:r>
                  <w:r>
                    <w:rPr>
                      <w:rFonts w:hint="default" w:ascii="Times New Roman" w:hAnsi="Times New Roman" w:eastAsia="宋体" w:cs="Times New Roman"/>
                      <w:b w:val="0"/>
                      <w:bCs w:val="0"/>
                      <w:color w:val="auto"/>
                      <w:spacing w:val="3"/>
                      <w:sz w:val="21"/>
                      <w:szCs w:val="21"/>
                    </w:rPr>
                    <w:t>它还具有较</w:t>
                  </w:r>
                  <w:r>
                    <w:rPr>
                      <w:rFonts w:hint="default" w:ascii="Times New Roman" w:hAnsi="Times New Roman" w:eastAsia="宋体" w:cs="Times New Roman"/>
                      <w:b w:val="0"/>
                      <w:bCs w:val="0"/>
                      <w:color w:val="auto"/>
                      <w:spacing w:val="7"/>
                      <w:sz w:val="21"/>
                      <w:szCs w:val="21"/>
                    </w:rPr>
                    <w:t>好的胶凝性和黏附性，</w:t>
                  </w:r>
                  <w:r>
                    <w:rPr>
                      <w:rFonts w:hint="default" w:ascii="Times New Roman" w:hAnsi="Times New Roman" w:eastAsia="宋体" w:cs="Times New Roman"/>
                      <w:b w:val="0"/>
                      <w:bCs w:val="0"/>
                      <w:color w:val="auto"/>
                      <w:spacing w:val="-54"/>
                      <w:sz w:val="21"/>
                      <w:szCs w:val="21"/>
                    </w:rPr>
                    <w:t xml:space="preserve"> </w:t>
                  </w:r>
                  <w:r>
                    <w:rPr>
                      <w:rFonts w:hint="default" w:ascii="Times New Roman" w:hAnsi="Times New Roman" w:eastAsia="宋体" w:cs="Times New Roman"/>
                      <w:b w:val="0"/>
                      <w:bCs w:val="0"/>
                      <w:color w:val="auto"/>
                      <w:spacing w:val="7"/>
                      <w:sz w:val="21"/>
                      <w:szCs w:val="21"/>
                    </w:rPr>
                    <w:t>可用于沉淀、固化和黏合</w:t>
                  </w:r>
                  <w:r>
                    <w:rPr>
                      <w:rFonts w:hint="default" w:ascii="Times New Roman" w:hAnsi="Times New Roman" w:eastAsia="宋体" w:cs="Times New Roman"/>
                      <w:b w:val="0"/>
                      <w:bCs w:val="0"/>
                      <w:color w:val="auto"/>
                      <w:spacing w:val="6"/>
                      <w:sz w:val="21"/>
                      <w:szCs w:val="21"/>
                    </w:rPr>
                    <w:t>等多种用途。</w:t>
                  </w:r>
                </w:p>
              </w:tc>
            </w:tr>
            <w:tr w14:paraId="6AC44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813" w:type="dxa"/>
                  <w:vMerge w:val="continue"/>
                  <w:vAlign w:val="center"/>
                </w:tcPr>
                <w:p w14:paraId="5790088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val="0"/>
                      <w:bCs w:val="0"/>
                      <w:color w:val="auto"/>
                      <w:sz w:val="21"/>
                      <w:szCs w:val="21"/>
                    </w:rPr>
                  </w:pPr>
                </w:p>
              </w:tc>
              <w:tc>
                <w:tcPr>
                  <w:tcW w:w="1032" w:type="dxa"/>
                  <w:vAlign w:val="center"/>
                </w:tcPr>
                <w:p w14:paraId="3D21A009">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pacing w:val="5"/>
                      <w:sz w:val="21"/>
                      <w:szCs w:val="21"/>
                    </w:rPr>
                    <w:t>PMHA-</w:t>
                  </w:r>
                </w:p>
                <w:p w14:paraId="59E4ACB0">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w:t>
                  </w:r>
                </w:p>
              </w:tc>
              <w:tc>
                <w:tcPr>
                  <w:tcW w:w="6374" w:type="dxa"/>
                  <w:vAlign w:val="center"/>
                </w:tcPr>
                <w:p w14:paraId="6B1D64C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rPr>
                    <w:t>复合金属两性离子聚合物，</w:t>
                  </w:r>
                  <w:r>
                    <w:rPr>
                      <w:rFonts w:hint="default" w:ascii="Times New Roman" w:hAnsi="Times New Roman" w:eastAsia="宋体" w:cs="Times New Roman"/>
                      <w:b w:val="0"/>
                      <w:bCs w:val="0"/>
                      <w:color w:val="auto"/>
                      <w:spacing w:val="-30"/>
                      <w:sz w:val="21"/>
                      <w:szCs w:val="21"/>
                    </w:rPr>
                    <w:t xml:space="preserve"> </w:t>
                  </w:r>
                  <w:r>
                    <w:rPr>
                      <w:rFonts w:hint="default" w:ascii="Times New Roman" w:hAnsi="Times New Roman" w:eastAsia="宋体" w:cs="Times New Roman"/>
                      <w:b w:val="0"/>
                      <w:bCs w:val="0"/>
                      <w:color w:val="auto"/>
                      <w:spacing w:val="6"/>
                      <w:sz w:val="21"/>
                      <w:szCs w:val="21"/>
                    </w:rPr>
                    <w:t>由复合金属离子与乙烯基单体，</w:t>
                  </w:r>
                  <w:r>
                    <w:rPr>
                      <w:rFonts w:hint="default" w:ascii="Times New Roman" w:hAnsi="Times New Roman" w:eastAsia="宋体" w:cs="Times New Roman"/>
                      <w:b w:val="0"/>
                      <w:bCs w:val="0"/>
                      <w:color w:val="auto"/>
                      <w:spacing w:val="-56"/>
                      <w:sz w:val="21"/>
                      <w:szCs w:val="21"/>
                    </w:rPr>
                    <w:t xml:space="preserve"> </w:t>
                  </w:r>
                  <w:r>
                    <w:rPr>
                      <w:rFonts w:hint="default" w:ascii="Times New Roman" w:hAnsi="Times New Roman" w:eastAsia="宋体" w:cs="Times New Roman"/>
                      <w:b w:val="0"/>
                      <w:bCs w:val="0"/>
                      <w:color w:val="auto"/>
                      <w:spacing w:val="6"/>
                      <w:sz w:val="21"/>
                      <w:szCs w:val="21"/>
                    </w:rPr>
                    <w:t>阳离子单体聚合</w:t>
                  </w:r>
                  <w:r>
                    <w:rPr>
                      <w:rFonts w:hint="default" w:ascii="Times New Roman" w:hAnsi="Times New Roman" w:eastAsia="宋体" w:cs="Times New Roman"/>
                      <w:b w:val="0"/>
                      <w:bCs w:val="0"/>
                      <w:color w:val="auto"/>
                      <w:spacing w:val="9"/>
                      <w:sz w:val="21"/>
                      <w:szCs w:val="21"/>
                    </w:rPr>
                    <w:t>而成。产品外观呈白色或灰色细颗粒或粉末</w:t>
                  </w:r>
                </w:p>
              </w:tc>
            </w:tr>
            <w:tr w14:paraId="4FBB1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813" w:type="dxa"/>
                  <w:vMerge w:val="continue"/>
                  <w:vAlign w:val="center"/>
                </w:tcPr>
                <w:p w14:paraId="1F0A1ED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val="0"/>
                      <w:bCs w:val="0"/>
                      <w:color w:val="auto"/>
                      <w:sz w:val="21"/>
                      <w:szCs w:val="21"/>
                    </w:rPr>
                  </w:pPr>
                </w:p>
              </w:tc>
              <w:tc>
                <w:tcPr>
                  <w:tcW w:w="1032" w:type="dxa"/>
                  <w:vAlign w:val="center"/>
                </w:tcPr>
                <w:p w14:paraId="1C72B165">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pacing w:val="3"/>
                      <w:sz w:val="21"/>
                      <w:szCs w:val="21"/>
                    </w:rPr>
                    <w:t>KCl</w:t>
                  </w:r>
                </w:p>
              </w:tc>
              <w:tc>
                <w:tcPr>
                  <w:tcW w:w="6374" w:type="dxa"/>
                  <w:vAlign w:val="center"/>
                </w:tcPr>
                <w:p w14:paraId="0E72696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pacing w:val="5"/>
                      <w:sz w:val="21"/>
                      <w:szCs w:val="21"/>
                    </w:rPr>
                    <w:t>外观与性状：</w:t>
                  </w:r>
                  <w:r>
                    <w:rPr>
                      <w:rFonts w:hint="default" w:ascii="Times New Roman" w:hAnsi="Times New Roman" w:eastAsia="宋体" w:cs="Times New Roman"/>
                      <w:b w:val="0"/>
                      <w:bCs w:val="0"/>
                      <w:color w:val="auto"/>
                      <w:spacing w:val="-54"/>
                      <w:sz w:val="21"/>
                      <w:szCs w:val="21"/>
                    </w:rPr>
                    <w:t xml:space="preserve"> </w:t>
                  </w:r>
                  <w:r>
                    <w:rPr>
                      <w:rFonts w:hint="default" w:ascii="Times New Roman" w:hAnsi="Times New Roman" w:eastAsia="宋体" w:cs="Times New Roman"/>
                      <w:b w:val="0"/>
                      <w:bCs w:val="0"/>
                      <w:color w:val="auto"/>
                      <w:spacing w:val="5"/>
                      <w:sz w:val="21"/>
                      <w:szCs w:val="21"/>
                    </w:rPr>
                    <w:t>白色晶体，味极咸，无臭无毒性。易溶于水、醚、</w:t>
                  </w:r>
                  <w:r>
                    <w:rPr>
                      <w:rFonts w:hint="default" w:ascii="Times New Roman" w:hAnsi="Times New Roman" w:eastAsia="宋体" w:cs="Times New Roman"/>
                      <w:b w:val="0"/>
                      <w:bCs w:val="0"/>
                      <w:color w:val="auto"/>
                      <w:spacing w:val="4"/>
                      <w:sz w:val="21"/>
                      <w:szCs w:val="21"/>
                    </w:rPr>
                    <w:t>甘油及碱类，</w:t>
                  </w:r>
                  <w:r>
                    <w:rPr>
                      <w:rFonts w:hint="default" w:ascii="Times New Roman" w:hAnsi="Times New Roman" w:eastAsia="宋体" w:cs="Times New Roman"/>
                      <w:b w:val="0"/>
                      <w:bCs w:val="0"/>
                      <w:color w:val="auto"/>
                      <w:spacing w:val="9"/>
                      <w:sz w:val="21"/>
                      <w:szCs w:val="21"/>
                    </w:rPr>
                    <w:t>微溶于乙醇，但不溶于无水乙醇，有吸湿性，易结块；在水中的溶解度随温度的升高而迅速地增加，与钠盐常起复分解作用而生成新的钾盐。</w:t>
                  </w:r>
                  <w:r>
                    <w:rPr>
                      <w:rFonts w:hint="default" w:ascii="Times New Roman" w:hAnsi="Times New Roman" w:eastAsia="宋体" w:cs="Times New Roman"/>
                      <w:b w:val="0"/>
                      <w:bCs w:val="0"/>
                      <w:color w:val="auto"/>
                      <w:position w:val="1"/>
                      <w:sz w:val="21"/>
                      <w:szCs w:val="21"/>
                    </w:rPr>
                    <w:t>折射率：</w:t>
                  </w:r>
                  <w:r>
                    <w:rPr>
                      <w:rFonts w:hint="default" w:ascii="Times New Roman" w:hAnsi="Times New Roman" w:eastAsia="宋体" w:cs="Times New Roman"/>
                      <w:b w:val="0"/>
                      <w:bCs w:val="0"/>
                      <w:color w:val="auto"/>
                      <w:spacing w:val="-44"/>
                      <w:position w:val="1"/>
                      <w:sz w:val="21"/>
                      <w:szCs w:val="21"/>
                    </w:rPr>
                    <w:t xml:space="preserve"> </w:t>
                  </w:r>
                  <w:r>
                    <w:rPr>
                      <w:rFonts w:hint="default" w:ascii="Times New Roman" w:hAnsi="Times New Roman" w:cs="Times New Roman"/>
                      <w:b w:val="0"/>
                      <w:bCs w:val="0"/>
                      <w:color w:val="auto"/>
                      <w:position w:val="1"/>
                      <w:sz w:val="21"/>
                      <w:szCs w:val="21"/>
                    </w:rPr>
                    <w:t>1.334</w:t>
                  </w:r>
                  <w:r>
                    <w:rPr>
                      <w:rFonts w:hint="default" w:ascii="Times New Roman" w:hAnsi="Times New Roman" w:eastAsia="宋体" w:cs="Times New Roman"/>
                      <w:b w:val="0"/>
                      <w:bCs w:val="0"/>
                      <w:color w:val="auto"/>
                      <w:position w:val="1"/>
                      <w:sz w:val="21"/>
                      <w:szCs w:val="21"/>
                      <w:lang w:eastAsia="zh-CN"/>
                    </w:rPr>
                    <w:t>，</w:t>
                  </w:r>
                  <w:r>
                    <w:rPr>
                      <w:rFonts w:hint="default" w:ascii="Times New Roman" w:hAnsi="Times New Roman" w:eastAsia="宋体" w:cs="Times New Roman"/>
                      <w:b w:val="0"/>
                      <w:bCs w:val="0"/>
                      <w:color w:val="auto"/>
                      <w:spacing w:val="6"/>
                      <w:sz w:val="21"/>
                      <w:szCs w:val="21"/>
                    </w:rPr>
                    <w:t>水溶解性：</w:t>
                  </w:r>
                  <w:r>
                    <w:rPr>
                      <w:rFonts w:hint="default" w:ascii="Times New Roman" w:hAnsi="Times New Roman" w:cs="Times New Roman"/>
                      <w:b w:val="0"/>
                      <w:bCs w:val="0"/>
                      <w:color w:val="auto"/>
                      <w:spacing w:val="6"/>
                      <w:sz w:val="21"/>
                      <w:szCs w:val="21"/>
                    </w:rPr>
                    <w:t>342g/L</w:t>
                  </w:r>
                  <w:r>
                    <w:rPr>
                      <w:rFonts w:hint="default" w:ascii="Times New Roman" w:hAnsi="Times New Roman" w:eastAsia="宋体" w:cs="Times New Roman"/>
                      <w:b w:val="0"/>
                      <w:bCs w:val="0"/>
                      <w:color w:val="auto"/>
                      <w:spacing w:val="6"/>
                      <w:sz w:val="21"/>
                      <w:szCs w:val="21"/>
                    </w:rPr>
                    <w:t>（</w:t>
                  </w:r>
                  <w:r>
                    <w:rPr>
                      <w:rFonts w:hint="default" w:ascii="Times New Roman" w:hAnsi="Times New Roman" w:cs="Times New Roman"/>
                      <w:b w:val="0"/>
                      <w:bCs w:val="0"/>
                      <w:color w:val="auto"/>
                      <w:spacing w:val="6"/>
                      <w:sz w:val="21"/>
                      <w:szCs w:val="21"/>
                    </w:rPr>
                    <w:t>20℃</w:t>
                  </w:r>
                  <w:r>
                    <w:rPr>
                      <w:rFonts w:hint="default" w:ascii="Times New Roman" w:hAnsi="Times New Roman" w:eastAsia="宋体" w:cs="Times New Roman"/>
                      <w:b w:val="0"/>
                      <w:bCs w:val="0"/>
                      <w:color w:val="auto"/>
                      <w:spacing w:val="6"/>
                      <w:sz w:val="21"/>
                      <w:szCs w:val="21"/>
                    </w:rPr>
                    <w:t>)</w:t>
                  </w:r>
                  <w:r>
                    <w:rPr>
                      <w:rFonts w:hint="default" w:ascii="Times New Roman" w:hAnsi="Times New Roman" w:eastAsia="宋体" w:cs="Times New Roman"/>
                      <w:b w:val="0"/>
                      <w:bCs w:val="0"/>
                      <w:color w:val="auto"/>
                      <w:spacing w:val="6"/>
                      <w:sz w:val="21"/>
                      <w:szCs w:val="21"/>
                      <w:lang w:eastAsia="zh-CN"/>
                    </w:rPr>
                    <w:t>，</w:t>
                  </w:r>
                  <w:r>
                    <w:rPr>
                      <w:rFonts w:hint="default" w:ascii="Times New Roman" w:hAnsi="Times New Roman" w:eastAsia="宋体" w:cs="Times New Roman"/>
                      <w:b w:val="0"/>
                      <w:bCs w:val="0"/>
                      <w:color w:val="auto"/>
                      <w:spacing w:val="5"/>
                      <w:sz w:val="21"/>
                      <w:szCs w:val="21"/>
                    </w:rPr>
                    <w:t>稳定性：</w:t>
                  </w:r>
                  <w:r>
                    <w:rPr>
                      <w:rFonts w:hint="default" w:ascii="Times New Roman" w:hAnsi="Times New Roman" w:eastAsia="宋体" w:cs="Times New Roman"/>
                      <w:b w:val="0"/>
                      <w:bCs w:val="0"/>
                      <w:color w:val="auto"/>
                      <w:spacing w:val="-56"/>
                      <w:sz w:val="21"/>
                      <w:szCs w:val="21"/>
                    </w:rPr>
                    <w:t xml:space="preserve"> </w:t>
                  </w:r>
                  <w:r>
                    <w:rPr>
                      <w:rFonts w:hint="default" w:ascii="Times New Roman" w:hAnsi="Times New Roman" w:eastAsia="宋体" w:cs="Times New Roman"/>
                      <w:b w:val="0"/>
                      <w:bCs w:val="0"/>
                      <w:color w:val="auto"/>
                      <w:spacing w:val="5"/>
                      <w:sz w:val="21"/>
                      <w:szCs w:val="21"/>
                    </w:rPr>
                    <w:t>稳定。与强氧化剂不相容，</w:t>
                  </w:r>
                  <w:r>
                    <w:rPr>
                      <w:rFonts w:hint="default" w:ascii="Times New Roman" w:hAnsi="Times New Roman" w:eastAsia="宋体" w:cs="Times New Roman"/>
                      <w:b w:val="0"/>
                      <w:bCs w:val="0"/>
                      <w:color w:val="auto"/>
                      <w:spacing w:val="-41"/>
                      <w:sz w:val="21"/>
                      <w:szCs w:val="21"/>
                    </w:rPr>
                    <w:t xml:space="preserve"> </w:t>
                  </w:r>
                  <w:r>
                    <w:rPr>
                      <w:rFonts w:hint="default" w:ascii="Times New Roman" w:hAnsi="Times New Roman" w:eastAsia="宋体" w:cs="Times New Roman"/>
                      <w:b w:val="0"/>
                      <w:bCs w:val="0"/>
                      <w:color w:val="auto"/>
                      <w:spacing w:val="5"/>
                      <w:sz w:val="21"/>
                      <w:szCs w:val="21"/>
                    </w:rPr>
                    <w:t>强酸。防潮。吸</w:t>
                  </w:r>
                  <w:r>
                    <w:rPr>
                      <w:rFonts w:hint="default" w:ascii="Times New Roman" w:hAnsi="Times New Roman" w:eastAsia="宋体" w:cs="Times New Roman"/>
                      <w:b w:val="0"/>
                      <w:bCs w:val="0"/>
                      <w:color w:val="auto"/>
                      <w:spacing w:val="4"/>
                      <w:sz w:val="21"/>
                      <w:szCs w:val="21"/>
                    </w:rPr>
                    <w:t>湿性。</w:t>
                  </w:r>
                  <w:r>
                    <w:rPr>
                      <w:rFonts w:hint="default" w:ascii="Times New Roman" w:hAnsi="Times New Roman" w:eastAsia="宋体" w:cs="Times New Roman"/>
                      <w:b w:val="0"/>
                      <w:bCs w:val="0"/>
                      <w:color w:val="auto"/>
                      <w:spacing w:val="7"/>
                      <w:position w:val="1"/>
                      <w:sz w:val="21"/>
                      <w:szCs w:val="21"/>
                    </w:rPr>
                    <w:t>储存条件：</w:t>
                  </w:r>
                  <w:r>
                    <w:rPr>
                      <w:rFonts w:hint="default" w:ascii="Times New Roman" w:hAnsi="Times New Roman" w:cs="Times New Roman"/>
                      <w:b w:val="0"/>
                      <w:bCs w:val="0"/>
                      <w:color w:val="auto"/>
                      <w:spacing w:val="7"/>
                      <w:position w:val="1"/>
                      <w:sz w:val="21"/>
                      <w:szCs w:val="21"/>
                    </w:rPr>
                    <w:t>2-8℃</w:t>
                  </w:r>
                </w:p>
              </w:tc>
            </w:tr>
            <w:tr w14:paraId="17A10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813" w:type="dxa"/>
                  <w:vMerge w:val="continue"/>
                  <w:vAlign w:val="center"/>
                </w:tcPr>
                <w:p w14:paraId="2354398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val="0"/>
                      <w:bCs w:val="0"/>
                      <w:color w:val="auto"/>
                      <w:sz w:val="21"/>
                      <w:szCs w:val="21"/>
                    </w:rPr>
                  </w:pPr>
                </w:p>
              </w:tc>
              <w:tc>
                <w:tcPr>
                  <w:tcW w:w="1032" w:type="dxa"/>
                  <w:vAlign w:val="center"/>
                </w:tcPr>
                <w:p w14:paraId="054F2DA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4"/>
                      <w:sz w:val="21"/>
                      <w:szCs w:val="21"/>
                    </w:rPr>
                    <w:t>复配铵</w:t>
                  </w:r>
                  <w:r>
                    <w:rPr>
                      <w:rFonts w:hint="default" w:ascii="Times New Roman" w:hAnsi="Times New Roman" w:eastAsia="宋体" w:cs="Times New Roman"/>
                      <w:b w:val="0"/>
                      <w:bCs w:val="0"/>
                      <w:color w:val="auto"/>
                      <w:sz w:val="21"/>
                      <w:szCs w:val="21"/>
                    </w:rPr>
                    <w:t>盐</w:t>
                  </w:r>
                </w:p>
              </w:tc>
              <w:tc>
                <w:tcPr>
                  <w:tcW w:w="6374" w:type="dxa"/>
                  <w:vAlign w:val="center"/>
                </w:tcPr>
                <w:p w14:paraId="37C83ECA">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9"/>
                      <w:position w:val="1"/>
                      <w:sz w:val="21"/>
                      <w:szCs w:val="21"/>
                    </w:rPr>
                    <w:t>淡黄色粉末，溶于水，含有</w:t>
                  </w:r>
                  <w:r>
                    <w:rPr>
                      <w:rFonts w:hint="default" w:ascii="Times New Roman" w:hAnsi="Times New Roman" w:cs="Times New Roman"/>
                      <w:b w:val="0"/>
                      <w:bCs w:val="0"/>
                      <w:color w:val="auto"/>
                      <w:spacing w:val="9"/>
                      <w:position w:val="1"/>
                      <w:sz w:val="21"/>
                      <w:szCs w:val="21"/>
                    </w:rPr>
                    <w:t>-</w:t>
                  </w:r>
                  <w:r>
                    <w:rPr>
                      <w:rFonts w:hint="default" w:ascii="Times New Roman" w:hAnsi="Times New Roman" w:cs="Times New Roman"/>
                      <w:b w:val="0"/>
                      <w:bCs w:val="0"/>
                      <w:color w:val="auto"/>
                      <w:position w:val="1"/>
                      <w:sz w:val="21"/>
                      <w:szCs w:val="21"/>
                    </w:rPr>
                    <w:t>COOH</w:t>
                  </w:r>
                  <w:r>
                    <w:rPr>
                      <w:rFonts w:hint="default" w:ascii="Times New Roman" w:hAnsi="Times New Roman" w:cs="Times New Roman"/>
                      <w:b w:val="0"/>
                      <w:bCs w:val="0"/>
                      <w:color w:val="auto"/>
                      <w:spacing w:val="-25"/>
                      <w:position w:val="1"/>
                      <w:sz w:val="21"/>
                      <w:szCs w:val="21"/>
                    </w:rPr>
                    <w:t xml:space="preserve"> </w:t>
                  </w:r>
                  <w:r>
                    <w:rPr>
                      <w:rFonts w:hint="default" w:ascii="Times New Roman" w:hAnsi="Times New Roman" w:eastAsia="宋体" w:cs="Times New Roman"/>
                      <w:b w:val="0"/>
                      <w:bCs w:val="0"/>
                      <w:color w:val="auto"/>
                      <w:spacing w:val="9"/>
                      <w:position w:val="1"/>
                      <w:sz w:val="21"/>
                      <w:szCs w:val="21"/>
                    </w:rPr>
                    <w:t>、</w:t>
                  </w:r>
                  <w:r>
                    <w:rPr>
                      <w:rFonts w:hint="default" w:ascii="Times New Roman" w:hAnsi="Times New Roman" w:cs="Times New Roman"/>
                      <w:b w:val="0"/>
                      <w:bCs w:val="0"/>
                      <w:color w:val="auto"/>
                      <w:spacing w:val="9"/>
                      <w:position w:val="1"/>
                      <w:sz w:val="21"/>
                      <w:szCs w:val="21"/>
                    </w:rPr>
                    <w:t>-</w:t>
                  </w:r>
                  <w:r>
                    <w:rPr>
                      <w:rFonts w:hint="default" w:ascii="Times New Roman" w:hAnsi="Times New Roman" w:cs="Times New Roman"/>
                      <w:b w:val="0"/>
                      <w:bCs w:val="0"/>
                      <w:color w:val="auto"/>
                      <w:position w:val="1"/>
                      <w:sz w:val="21"/>
                      <w:szCs w:val="21"/>
                    </w:rPr>
                    <w:t>COONH</w:t>
                  </w:r>
                  <w:r>
                    <w:rPr>
                      <w:rFonts w:hint="default" w:ascii="Times New Roman" w:hAnsi="Times New Roman" w:cs="Times New Roman"/>
                      <w:b w:val="0"/>
                      <w:bCs w:val="0"/>
                      <w:color w:val="auto"/>
                      <w:spacing w:val="9"/>
                      <w:position w:val="-2"/>
                      <w:sz w:val="21"/>
                      <w:szCs w:val="21"/>
                    </w:rPr>
                    <w:t>4</w:t>
                  </w:r>
                  <w:r>
                    <w:rPr>
                      <w:rFonts w:hint="default" w:ascii="Times New Roman" w:hAnsi="Times New Roman" w:cs="Times New Roman"/>
                      <w:b w:val="0"/>
                      <w:bCs w:val="0"/>
                      <w:color w:val="auto"/>
                      <w:spacing w:val="-6"/>
                      <w:position w:val="-2"/>
                      <w:sz w:val="21"/>
                      <w:szCs w:val="21"/>
                    </w:rPr>
                    <w:t xml:space="preserve"> </w:t>
                  </w:r>
                  <w:r>
                    <w:rPr>
                      <w:rFonts w:hint="default" w:ascii="Times New Roman" w:hAnsi="Times New Roman" w:eastAsia="宋体" w:cs="Times New Roman"/>
                      <w:b w:val="0"/>
                      <w:bCs w:val="0"/>
                      <w:color w:val="auto"/>
                      <w:spacing w:val="9"/>
                      <w:position w:val="1"/>
                      <w:sz w:val="21"/>
                      <w:szCs w:val="21"/>
                    </w:rPr>
                    <w:t>，</w:t>
                  </w:r>
                  <w:r>
                    <w:rPr>
                      <w:rFonts w:hint="default" w:ascii="Times New Roman" w:hAnsi="Times New Roman" w:cs="Times New Roman"/>
                      <w:b w:val="0"/>
                      <w:bCs w:val="0"/>
                      <w:color w:val="auto"/>
                      <w:spacing w:val="9"/>
                      <w:position w:val="1"/>
                      <w:sz w:val="21"/>
                      <w:szCs w:val="21"/>
                    </w:rPr>
                    <w:t>-</w:t>
                  </w:r>
                  <w:r>
                    <w:rPr>
                      <w:rFonts w:hint="default" w:ascii="Times New Roman" w:hAnsi="Times New Roman" w:cs="Times New Roman"/>
                      <w:b w:val="0"/>
                      <w:bCs w:val="0"/>
                      <w:color w:val="auto"/>
                      <w:position w:val="1"/>
                      <w:sz w:val="21"/>
                      <w:szCs w:val="21"/>
                    </w:rPr>
                    <w:t>CONH</w:t>
                  </w:r>
                  <w:r>
                    <w:rPr>
                      <w:rFonts w:hint="default" w:ascii="Times New Roman" w:hAnsi="Times New Roman" w:cs="Times New Roman"/>
                      <w:b w:val="0"/>
                      <w:bCs w:val="0"/>
                      <w:color w:val="auto"/>
                      <w:spacing w:val="-25"/>
                      <w:position w:val="1"/>
                      <w:sz w:val="21"/>
                      <w:szCs w:val="21"/>
                    </w:rPr>
                    <w:t xml:space="preserve"> </w:t>
                  </w:r>
                  <w:r>
                    <w:rPr>
                      <w:rFonts w:hint="default" w:ascii="Times New Roman" w:hAnsi="Times New Roman" w:eastAsia="宋体" w:cs="Times New Roman"/>
                      <w:b w:val="0"/>
                      <w:bCs w:val="0"/>
                      <w:color w:val="auto"/>
                      <w:spacing w:val="9"/>
                      <w:position w:val="1"/>
                      <w:sz w:val="21"/>
                      <w:szCs w:val="21"/>
                    </w:rPr>
                    <w:t>、</w:t>
                  </w:r>
                  <w:r>
                    <w:rPr>
                      <w:rFonts w:hint="default" w:ascii="Times New Roman" w:hAnsi="Times New Roman" w:cs="Times New Roman"/>
                      <w:b w:val="0"/>
                      <w:bCs w:val="0"/>
                      <w:color w:val="auto"/>
                      <w:spacing w:val="9"/>
                      <w:position w:val="1"/>
                      <w:sz w:val="21"/>
                      <w:szCs w:val="21"/>
                    </w:rPr>
                    <w:t>-</w:t>
                  </w:r>
                  <w:r>
                    <w:rPr>
                      <w:rFonts w:hint="default" w:ascii="Times New Roman" w:hAnsi="Times New Roman" w:cs="Times New Roman"/>
                      <w:b w:val="0"/>
                      <w:bCs w:val="0"/>
                      <w:color w:val="auto"/>
                      <w:position w:val="1"/>
                      <w:sz w:val="21"/>
                      <w:szCs w:val="21"/>
                    </w:rPr>
                    <w:t>CONH</w:t>
                  </w:r>
                  <w:r>
                    <w:rPr>
                      <w:rFonts w:hint="default" w:ascii="Times New Roman" w:hAnsi="Times New Roman" w:cs="Times New Roman"/>
                      <w:b w:val="0"/>
                      <w:bCs w:val="0"/>
                      <w:color w:val="auto"/>
                      <w:spacing w:val="8"/>
                      <w:position w:val="-2"/>
                      <w:sz w:val="21"/>
                      <w:szCs w:val="21"/>
                    </w:rPr>
                    <w:t>2</w:t>
                  </w:r>
                  <w:r>
                    <w:rPr>
                      <w:rFonts w:hint="default" w:ascii="Times New Roman" w:hAnsi="Times New Roman" w:cs="Times New Roman"/>
                      <w:b w:val="0"/>
                      <w:bCs w:val="0"/>
                      <w:color w:val="auto"/>
                      <w:spacing w:val="-9"/>
                      <w:position w:val="-2"/>
                      <w:sz w:val="21"/>
                      <w:szCs w:val="21"/>
                    </w:rPr>
                    <w:t xml:space="preserve"> </w:t>
                  </w:r>
                  <w:r>
                    <w:rPr>
                      <w:rFonts w:hint="default" w:ascii="Times New Roman" w:hAnsi="Times New Roman" w:eastAsia="宋体" w:cs="Times New Roman"/>
                      <w:b w:val="0"/>
                      <w:bCs w:val="0"/>
                      <w:color w:val="auto"/>
                      <w:spacing w:val="8"/>
                      <w:position w:val="1"/>
                      <w:sz w:val="21"/>
                      <w:szCs w:val="21"/>
                    </w:rPr>
                    <w:t>、</w:t>
                  </w:r>
                  <w:r>
                    <w:rPr>
                      <w:rFonts w:hint="default" w:ascii="Times New Roman" w:hAnsi="Times New Roman" w:cs="Times New Roman"/>
                      <w:b w:val="0"/>
                      <w:bCs w:val="0"/>
                      <w:color w:val="auto"/>
                      <w:spacing w:val="8"/>
                      <w:position w:val="1"/>
                      <w:sz w:val="21"/>
                      <w:szCs w:val="21"/>
                    </w:rPr>
                    <w:t>-</w:t>
                  </w:r>
                  <w:r>
                    <w:rPr>
                      <w:rFonts w:hint="default" w:ascii="Times New Roman" w:hAnsi="Times New Roman" w:cs="Times New Roman"/>
                      <w:b w:val="0"/>
                      <w:bCs w:val="0"/>
                      <w:color w:val="auto"/>
                      <w:position w:val="1"/>
                      <w:sz w:val="21"/>
                      <w:szCs w:val="21"/>
                    </w:rPr>
                    <w:t>CN</w:t>
                  </w:r>
                  <w:r>
                    <w:rPr>
                      <w:rFonts w:hint="default" w:ascii="Times New Roman" w:hAnsi="Times New Roman" w:cs="Times New Roman"/>
                      <w:b w:val="0"/>
                      <w:bCs w:val="0"/>
                      <w:color w:val="auto"/>
                      <w:spacing w:val="8"/>
                      <w:position w:val="1"/>
                      <w:sz w:val="21"/>
                      <w:szCs w:val="21"/>
                    </w:rPr>
                    <w:t xml:space="preserve"> </w:t>
                  </w:r>
                  <w:r>
                    <w:rPr>
                      <w:rFonts w:hint="default" w:ascii="Times New Roman" w:hAnsi="Times New Roman" w:eastAsia="宋体" w:cs="Times New Roman"/>
                      <w:b w:val="0"/>
                      <w:bCs w:val="0"/>
                      <w:color w:val="auto"/>
                      <w:spacing w:val="8"/>
                      <w:position w:val="1"/>
                      <w:sz w:val="21"/>
                      <w:szCs w:val="21"/>
                    </w:rPr>
                    <w:t>等</w:t>
                  </w:r>
                  <w:r>
                    <w:rPr>
                      <w:rFonts w:hint="default" w:ascii="Times New Roman" w:hAnsi="Times New Roman" w:eastAsia="宋体" w:cs="Times New Roman"/>
                      <w:b w:val="0"/>
                      <w:bCs w:val="0"/>
                      <w:color w:val="auto"/>
                      <w:spacing w:val="7"/>
                      <w:position w:val="1"/>
                      <w:sz w:val="21"/>
                      <w:szCs w:val="21"/>
                    </w:rPr>
                    <w:t>基团，分子量在</w:t>
                  </w:r>
                  <w:r>
                    <w:rPr>
                      <w:rFonts w:hint="default" w:ascii="Times New Roman" w:hAnsi="Times New Roman" w:eastAsia="宋体" w:cs="Times New Roman"/>
                      <w:b w:val="0"/>
                      <w:bCs w:val="0"/>
                      <w:color w:val="auto"/>
                      <w:spacing w:val="-21"/>
                      <w:position w:val="1"/>
                      <w:sz w:val="21"/>
                      <w:szCs w:val="21"/>
                    </w:rPr>
                    <w:t xml:space="preserve"> </w:t>
                  </w:r>
                  <w:r>
                    <w:rPr>
                      <w:rFonts w:hint="default" w:ascii="Times New Roman" w:hAnsi="Times New Roman" w:cs="Times New Roman"/>
                      <w:b w:val="0"/>
                      <w:bCs w:val="0"/>
                      <w:color w:val="auto"/>
                      <w:spacing w:val="7"/>
                      <w:position w:val="1"/>
                      <w:sz w:val="21"/>
                      <w:szCs w:val="21"/>
                    </w:rPr>
                    <w:t>10000~50000</w:t>
                  </w:r>
                  <w:r>
                    <w:rPr>
                      <w:rFonts w:hint="default" w:ascii="Times New Roman" w:hAnsi="Times New Roman" w:cs="Times New Roman"/>
                      <w:b w:val="0"/>
                      <w:bCs w:val="0"/>
                      <w:color w:val="auto"/>
                      <w:spacing w:val="15"/>
                      <w:w w:val="101"/>
                      <w:position w:val="1"/>
                      <w:sz w:val="21"/>
                      <w:szCs w:val="21"/>
                    </w:rPr>
                    <w:t xml:space="preserve"> </w:t>
                  </w:r>
                  <w:r>
                    <w:rPr>
                      <w:rFonts w:hint="default" w:ascii="Times New Roman" w:hAnsi="Times New Roman" w:eastAsia="宋体" w:cs="Times New Roman"/>
                      <w:b w:val="0"/>
                      <w:bCs w:val="0"/>
                      <w:color w:val="auto"/>
                      <w:spacing w:val="7"/>
                      <w:position w:val="1"/>
                      <w:sz w:val="21"/>
                      <w:szCs w:val="21"/>
                    </w:rPr>
                    <w:t>之间，有降低高压差失水的功能和</w:t>
                  </w:r>
                  <w:r>
                    <w:rPr>
                      <w:rFonts w:hint="default" w:ascii="Times New Roman" w:hAnsi="Times New Roman" w:eastAsia="宋体" w:cs="Times New Roman"/>
                      <w:b w:val="0"/>
                      <w:bCs w:val="0"/>
                      <w:color w:val="auto"/>
                      <w:spacing w:val="6"/>
                      <w:position w:val="1"/>
                      <w:sz w:val="21"/>
                      <w:szCs w:val="21"/>
                    </w:rPr>
                    <w:t>良好的热稳</w:t>
                  </w:r>
                  <w:r>
                    <w:rPr>
                      <w:rFonts w:hint="default" w:ascii="Times New Roman" w:hAnsi="Times New Roman" w:eastAsia="宋体" w:cs="Times New Roman"/>
                      <w:b w:val="0"/>
                      <w:bCs w:val="0"/>
                      <w:color w:val="auto"/>
                      <w:spacing w:val="-5"/>
                      <w:sz w:val="21"/>
                      <w:szCs w:val="21"/>
                    </w:rPr>
                    <w:t>定性。</w:t>
                  </w:r>
                </w:p>
              </w:tc>
            </w:tr>
            <w:tr w14:paraId="0702C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813" w:type="dxa"/>
                  <w:vMerge w:val="continue"/>
                  <w:vAlign w:val="center"/>
                </w:tcPr>
                <w:p w14:paraId="2989582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val="0"/>
                      <w:bCs w:val="0"/>
                      <w:color w:val="auto"/>
                      <w:sz w:val="21"/>
                      <w:szCs w:val="21"/>
                    </w:rPr>
                  </w:pPr>
                </w:p>
              </w:tc>
              <w:tc>
                <w:tcPr>
                  <w:tcW w:w="1032" w:type="dxa"/>
                  <w:vAlign w:val="center"/>
                </w:tcPr>
                <w:p w14:paraId="13693E8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
                      <w:sz w:val="21"/>
                      <w:szCs w:val="21"/>
                    </w:rPr>
                    <w:t>阳离子</w:t>
                  </w:r>
                </w:p>
                <w:p w14:paraId="2EB0B0D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rPr>
                    <w:t>乳化沥</w:t>
                  </w:r>
                </w:p>
                <w:p w14:paraId="1D44C51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
                      <w:sz w:val="21"/>
                      <w:szCs w:val="21"/>
                    </w:rPr>
                    <w:t>青</w:t>
                  </w:r>
                </w:p>
              </w:tc>
              <w:tc>
                <w:tcPr>
                  <w:tcW w:w="6374" w:type="dxa"/>
                  <w:vAlign w:val="center"/>
                </w:tcPr>
                <w:p w14:paraId="38B4F62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9"/>
                      <w:sz w:val="21"/>
                      <w:szCs w:val="21"/>
                    </w:rPr>
                    <w:t>沥青粉，又称沥青沉淀物，是一种从石油沥青中提取的黏稠物质，主要由芳</w:t>
                  </w:r>
                  <w:r>
                    <w:rPr>
                      <w:rFonts w:hint="default" w:ascii="Times New Roman" w:hAnsi="Times New Roman" w:eastAsia="宋体" w:cs="Times New Roman"/>
                      <w:b w:val="0"/>
                      <w:bCs w:val="0"/>
                      <w:color w:val="auto"/>
                      <w:spacing w:val="5"/>
                      <w:sz w:val="21"/>
                      <w:szCs w:val="21"/>
                    </w:rPr>
                    <w:t>香类和环烷烃类组成。</w:t>
                  </w:r>
                </w:p>
              </w:tc>
            </w:tr>
            <w:tr w14:paraId="1F65B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813" w:type="dxa"/>
                  <w:vMerge w:val="continue"/>
                  <w:vAlign w:val="center"/>
                </w:tcPr>
                <w:p w14:paraId="7907092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val="0"/>
                      <w:bCs w:val="0"/>
                      <w:color w:val="auto"/>
                      <w:sz w:val="21"/>
                      <w:szCs w:val="21"/>
                    </w:rPr>
                  </w:pPr>
                </w:p>
              </w:tc>
              <w:tc>
                <w:tcPr>
                  <w:tcW w:w="1032" w:type="dxa"/>
                  <w:vAlign w:val="center"/>
                </w:tcPr>
                <w:p w14:paraId="3D2FC857">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pacing w:val="2"/>
                      <w:sz w:val="21"/>
                      <w:szCs w:val="21"/>
                    </w:rPr>
                    <w:t>CaO</w:t>
                  </w:r>
                </w:p>
              </w:tc>
              <w:tc>
                <w:tcPr>
                  <w:tcW w:w="6374" w:type="dxa"/>
                  <w:vAlign w:val="center"/>
                </w:tcPr>
                <w:p w14:paraId="0F067C2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9"/>
                      <w:sz w:val="21"/>
                      <w:szCs w:val="21"/>
                    </w:rPr>
                    <w:t>氧化钙为碱性氧化物，对湿敏感。易从空气中吸收二氧化碳及水分。与水反</w:t>
                  </w:r>
                  <w:r>
                    <w:rPr>
                      <w:rFonts w:hint="default" w:ascii="Times New Roman" w:hAnsi="Times New Roman" w:eastAsia="宋体" w:cs="Times New Roman"/>
                      <w:b w:val="0"/>
                      <w:bCs w:val="0"/>
                      <w:color w:val="auto"/>
                      <w:spacing w:val="7"/>
                      <w:sz w:val="21"/>
                      <w:szCs w:val="21"/>
                    </w:rPr>
                    <w:t>应生成氢氧化钙（</w:t>
                  </w:r>
                  <w:r>
                    <w:rPr>
                      <w:rFonts w:hint="default" w:ascii="Times New Roman" w:hAnsi="Times New Roman" w:cs="Times New Roman"/>
                      <w:b w:val="0"/>
                      <w:bCs w:val="0"/>
                      <w:color w:val="auto"/>
                      <w:sz w:val="21"/>
                      <w:szCs w:val="21"/>
                    </w:rPr>
                    <w:t>Ca</w:t>
                  </w:r>
                  <w:r>
                    <w:rPr>
                      <w:rFonts w:hint="default" w:ascii="Times New Roman" w:hAnsi="Times New Roman" w:eastAsia="宋体" w:cs="Times New Roman"/>
                      <w:b w:val="0"/>
                      <w:bCs w:val="0"/>
                      <w:color w:val="auto"/>
                      <w:spacing w:val="7"/>
                      <w:sz w:val="21"/>
                      <w:szCs w:val="21"/>
                    </w:rPr>
                    <w:t>（</w:t>
                  </w:r>
                  <w:r>
                    <w:rPr>
                      <w:rFonts w:hint="default" w:ascii="Times New Roman" w:hAnsi="Times New Roman" w:cs="Times New Roman"/>
                      <w:b w:val="0"/>
                      <w:bCs w:val="0"/>
                      <w:color w:val="auto"/>
                      <w:sz w:val="21"/>
                      <w:szCs w:val="21"/>
                    </w:rPr>
                    <w:t>OH</w:t>
                  </w:r>
                  <w:r>
                    <w:rPr>
                      <w:rFonts w:hint="default" w:ascii="Times New Roman" w:hAnsi="Times New Roman" w:eastAsia="宋体" w:cs="Times New Roman"/>
                      <w:b w:val="0"/>
                      <w:bCs w:val="0"/>
                      <w:color w:val="auto"/>
                      <w:spacing w:val="7"/>
                      <w:sz w:val="21"/>
                      <w:szCs w:val="21"/>
                    </w:rPr>
                    <w:t>）</w:t>
                  </w:r>
                  <w:r>
                    <w:rPr>
                      <w:rFonts w:hint="default" w:ascii="Times New Roman" w:hAnsi="Times New Roman" w:cs="Times New Roman"/>
                      <w:b w:val="0"/>
                      <w:bCs w:val="0"/>
                      <w:color w:val="auto"/>
                      <w:spacing w:val="7"/>
                      <w:position w:val="-3"/>
                      <w:sz w:val="21"/>
                      <w:szCs w:val="21"/>
                    </w:rPr>
                    <w:t xml:space="preserve">2 </w:t>
                  </w:r>
                  <w:r>
                    <w:rPr>
                      <w:rFonts w:hint="default" w:ascii="Times New Roman" w:hAnsi="Times New Roman" w:eastAsia="宋体" w:cs="Times New Roman"/>
                      <w:b w:val="0"/>
                      <w:bCs w:val="0"/>
                      <w:color w:val="auto"/>
                      <w:spacing w:val="7"/>
                      <w:sz w:val="21"/>
                      <w:szCs w:val="21"/>
                    </w:rPr>
                    <w:t>）并产生大量热，有腐蚀性。</w:t>
                  </w:r>
                </w:p>
              </w:tc>
            </w:tr>
            <w:tr w14:paraId="7B76F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813" w:type="dxa"/>
                  <w:vMerge w:val="continue"/>
                  <w:vAlign w:val="center"/>
                </w:tcPr>
                <w:p w14:paraId="164C779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val="0"/>
                      <w:bCs w:val="0"/>
                      <w:color w:val="auto"/>
                      <w:sz w:val="21"/>
                      <w:szCs w:val="21"/>
                    </w:rPr>
                  </w:pPr>
                </w:p>
              </w:tc>
              <w:tc>
                <w:tcPr>
                  <w:tcW w:w="1032" w:type="dxa"/>
                  <w:vAlign w:val="center"/>
                </w:tcPr>
                <w:p w14:paraId="555774B7">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pacing w:val="5"/>
                      <w:sz w:val="21"/>
                      <w:szCs w:val="21"/>
                    </w:rPr>
                    <w:t>NaCl</w:t>
                  </w:r>
                </w:p>
              </w:tc>
              <w:tc>
                <w:tcPr>
                  <w:tcW w:w="6374" w:type="dxa"/>
                  <w:vAlign w:val="center"/>
                </w:tcPr>
                <w:p w14:paraId="7DDB917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rPr>
                    <w:t>外观是白色晶体状，其来源主要是在海水中，是食盐的主要成分。易溶于水、</w:t>
                  </w:r>
                  <w:r>
                    <w:rPr>
                      <w:rFonts w:hint="default" w:ascii="Times New Roman" w:hAnsi="Times New Roman" w:eastAsia="宋体" w:cs="Times New Roman"/>
                      <w:b w:val="0"/>
                      <w:bCs w:val="0"/>
                      <w:color w:val="auto"/>
                      <w:spacing w:val="9"/>
                      <w:sz w:val="21"/>
                      <w:szCs w:val="21"/>
                    </w:rPr>
                    <w:t>甘油，微溶于乙醇、液氨；不溶于浓盐酸。在空气中微有潮解性。</w:t>
                  </w:r>
                </w:p>
              </w:tc>
            </w:tr>
            <w:tr w14:paraId="3D1A1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813" w:type="dxa"/>
                  <w:vMerge w:val="restart"/>
                  <w:vAlign w:val="center"/>
                </w:tcPr>
                <w:p w14:paraId="73A6994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油基钻井液</w:t>
                  </w:r>
                </w:p>
              </w:tc>
              <w:tc>
                <w:tcPr>
                  <w:tcW w:w="1032" w:type="dxa"/>
                  <w:vAlign w:val="center"/>
                </w:tcPr>
                <w:p w14:paraId="2368DBA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5"/>
                      <w:sz w:val="21"/>
                      <w:szCs w:val="21"/>
                    </w:rPr>
                    <w:t>白油</w:t>
                  </w:r>
                </w:p>
              </w:tc>
              <w:tc>
                <w:tcPr>
                  <w:tcW w:w="6374" w:type="dxa"/>
                  <w:vAlign w:val="center"/>
                </w:tcPr>
                <w:p w14:paraId="72FCD72B">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9"/>
                      <w:sz w:val="21"/>
                      <w:szCs w:val="21"/>
                    </w:rPr>
                    <w:t>无色透明油状液体。在日光下观察不显荧光。室温下无味。无臭。相对密度</w:t>
                  </w:r>
                  <w:r>
                    <w:rPr>
                      <w:rFonts w:hint="default" w:ascii="Times New Roman" w:hAnsi="Times New Roman" w:eastAsia="宋体" w:cs="Times New Roman"/>
                      <w:b w:val="0"/>
                      <w:bCs w:val="0"/>
                      <w:color w:val="auto"/>
                      <w:spacing w:val="8"/>
                      <w:sz w:val="21"/>
                      <w:szCs w:val="21"/>
                    </w:rPr>
                    <w:t xml:space="preserve"> </w:t>
                  </w:r>
                  <w:r>
                    <w:rPr>
                      <w:rFonts w:hint="default" w:ascii="Times New Roman" w:hAnsi="Times New Roman" w:cs="Times New Roman"/>
                      <w:b w:val="0"/>
                      <w:bCs w:val="0"/>
                      <w:color w:val="auto"/>
                      <w:spacing w:val="6"/>
                      <w:sz w:val="21"/>
                      <w:szCs w:val="21"/>
                    </w:rPr>
                    <w:t>0.860</w:t>
                  </w:r>
                  <w:r>
                    <w:rPr>
                      <w:rFonts w:hint="default" w:ascii="Times New Roman" w:hAnsi="Times New Roman" w:eastAsia="宋体" w:cs="Times New Roman"/>
                      <w:b w:val="0"/>
                      <w:bCs w:val="0"/>
                      <w:color w:val="auto"/>
                      <w:spacing w:val="6"/>
                      <w:sz w:val="21"/>
                      <w:szCs w:val="21"/>
                    </w:rPr>
                    <w:t>～</w:t>
                  </w:r>
                  <w:r>
                    <w:rPr>
                      <w:rFonts w:hint="default" w:ascii="Times New Roman" w:hAnsi="Times New Roman" w:cs="Times New Roman"/>
                      <w:b w:val="0"/>
                      <w:bCs w:val="0"/>
                      <w:color w:val="auto"/>
                      <w:spacing w:val="6"/>
                      <w:sz w:val="21"/>
                      <w:szCs w:val="21"/>
                    </w:rPr>
                    <w:t>0.905</w:t>
                  </w:r>
                  <w:r>
                    <w:rPr>
                      <w:rFonts w:hint="default" w:ascii="Times New Roman" w:hAnsi="Times New Roman" w:eastAsia="宋体" w:cs="Times New Roman"/>
                      <w:b w:val="0"/>
                      <w:bCs w:val="0"/>
                      <w:color w:val="auto"/>
                      <w:spacing w:val="6"/>
                      <w:sz w:val="21"/>
                      <w:szCs w:val="21"/>
                    </w:rPr>
                    <w:t>（</w:t>
                  </w:r>
                  <w:r>
                    <w:rPr>
                      <w:rFonts w:hint="default" w:ascii="Times New Roman" w:hAnsi="Times New Roman" w:cs="Times New Roman"/>
                      <w:b w:val="0"/>
                      <w:bCs w:val="0"/>
                      <w:color w:val="auto"/>
                      <w:spacing w:val="6"/>
                      <w:sz w:val="21"/>
                      <w:szCs w:val="21"/>
                    </w:rPr>
                    <w:t>25/4℃</w:t>
                  </w:r>
                  <w:r>
                    <w:rPr>
                      <w:rFonts w:hint="default" w:ascii="Times New Roman" w:hAnsi="Times New Roman" w:eastAsia="宋体" w:cs="Times New Roman"/>
                      <w:b w:val="0"/>
                      <w:bCs w:val="0"/>
                      <w:color w:val="auto"/>
                      <w:spacing w:val="6"/>
                      <w:sz w:val="21"/>
                      <w:szCs w:val="21"/>
                    </w:rPr>
                    <w:t>)。粘度（</w:t>
                  </w:r>
                  <w:r>
                    <w:rPr>
                      <w:rFonts w:hint="default" w:ascii="Times New Roman" w:hAnsi="Times New Roman" w:cs="Times New Roman"/>
                      <w:b w:val="0"/>
                      <w:bCs w:val="0"/>
                      <w:color w:val="auto"/>
                      <w:spacing w:val="6"/>
                      <w:sz w:val="21"/>
                      <w:szCs w:val="21"/>
                    </w:rPr>
                    <w:t>50℃</w:t>
                  </w:r>
                  <w:r>
                    <w:rPr>
                      <w:rFonts w:hint="default" w:ascii="Times New Roman" w:hAnsi="Times New Roman" w:eastAsia="宋体" w:cs="Times New Roman"/>
                      <w:b w:val="0"/>
                      <w:bCs w:val="0"/>
                      <w:color w:val="auto"/>
                      <w:spacing w:val="6"/>
                      <w:sz w:val="21"/>
                      <w:szCs w:val="21"/>
                    </w:rPr>
                    <w:t xml:space="preserve">) </w:t>
                  </w:r>
                  <w:r>
                    <w:rPr>
                      <w:rFonts w:hint="default" w:ascii="Times New Roman" w:hAnsi="Times New Roman" w:cs="Times New Roman"/>
                      <w:b w:val="0"/>
                      <w:bCs w:val="0"/>
                      <w:color w:val="auto"/>
                      <w:spacing w:val="6"/>
                      <w:sz w:val="21"/>
                      <w:szCs w:val="21"/>
                    </w:rPr>
                    <w:t>7.5</w:t>
                  </w:r>
                  <w:r>
                    <w:rPr>
                      <w:rFonts w:hint="default" w:ascii="Times New Roman" w:hAnsi="Times New Roman" w:eastAsia="宋体" w:cs="Times New Roman"/>
                      <w:b w:val="0"/>
                      <w:bCs w:val="0"/>
                      <w:color w:val="auto"/>
                      <w:spacing w:val="6"/>
                      <w:sz w:val="21"/>
                      <w:szCs w:val="21"/>
                    </w:rPr>
                    <w:t>～</w:t>
                  </w:r>
                  <w:r>
                    <w:rPr>
                      <w:rFonts w:hint="default" w:ascii="Times New Roman" w:hAnsi="Times New Roman" w:cs="Times New Roman"/>
                      <w:b w:val="0"/>
                      <w:bCs w:val="0"/>
                      <w:color w:val="auto"/>
                      <w:spacing w:val="6"/>
                      <w:sz w:val="21"/>
                      <w:szCs w:val="21"/>
                    </w:rPr>
                    <w:t>18</w:t>
                  </w:r>
                  <w:r>
                    <w:rPr>
                      <w:rFonts w:hint="default" w:ascii="Times New Roman" w:hAnsi="Times New Roman" w:cs="Times New Roman"/>
                      <w:b w:val="0"/>
                      <w:bCs w:val="0"/>
                      <w:color w:val="auto"/>
                      <w:sz w:val="21"/>
                      <w:szCs w:val="21"/>
                    </w:rPr>
                    <w:t>MPa</w:t>
                  </w:r>
                  <w:r>
                    <w:rPr>
                      <w:rFonts w:hint="default" w:ascii="Times New Roman" w:hAnsi="Times New Roman" w:cs="Times New Roman"/>
                      <w:b w:val="0"/>
                      <w:bCs w:val="0"/>
                      <w:color w:val="auto"/>
                      <w:spacing w:val="6"/>
                      <w:sz w:val="21"/>
                      <w:szCs w:val="21"/>
                    </w:rPr>
                    <w:t>·s</w:t>
                  </w:r>
                  <w:r>
                    <w:rPr>
                      <w:rFonts w:hint="default" w:ascii="Times New Roman" w:hAnsi="Times New Roman" w:eastAsia="宋体" w:cs="Times New Roman"/>
                      <w:b w:val="0"/>
                      <w:bCs w:val="0"/>
                      <w:color w:val="auto"/>
                      <w:spacing w:val="6"/>
                      <w:sz w:val="21"/>
                      <w:szCs w:val="21"/>
                    </w:rPr>
                    <w:t xml:space="preserve">。着火点 </w:t>
                  </w:r>
                  <w:r>
                    <w:rPr>
                      <w:rFonts w:hint="default" w:ascii="Times New Roman" w:hAnsi="Times New Roman" w:cs="Times New Roman"/>
                      <w:b w:val="0"/>
                      <w:bCs w:val="0"/>
                      <w:color w:val="auto"/>
                      <w:spacing w:val="6"/>
                      <w:sz w:val="21"/>
                      <w:szCs w:val="21"/>
                    </w:rPr>
                    <w:t>130</w:t>
                  </w:r>
                  <w:r>
                    <w:rPr>
                      <w:rFonts w:hint="default" w:ascii="Times New Roman" w:hAnsi="Times New Roman" w:eastAsia="宋体" w:cs="Times New Roman"/>
                      <w:b w:val="0"/>
                      <w:bCs w:val="0"/>
                      <w:color w:val="auto"/>
                      <w:spacing w:val="6"/>
                      <w:sz w:val="21"/>
                      <w:szCs w:val="21"/>
                    </w:rPr>
                    <w:t>～</w:t>
                  </w:r>
                  <w:r>
                    <w:rPr>
                      <w:rFonts w:hint="default" w:ascii="Times New Roman" w:hAnsi="Times New Roman" w:cs="Times New Roman"/>
                      <w:b w:val="0"/>
                      <w:bCs w:val="0"/>
                      <w:color w:val="auto"/>
                      <w:spacing w:val="6"/>
                      <w:sz w:val="21"/>
                      <w:szCs w:val="21"/>
                    </w:rPr>
                    <w:t>185℃</w:t>
                  </w:r>
                  <w:r>
                    <w:rPr>
                      <w:rFonts w:hint="default" w:ascii="Times New Roman" w:hAnsi="Times New Roman" w:cs="Times New Roman"/>
                      <w:b w:val="0"/>
                      <w:bCs w:val="0"/>
                      <w:color w:val="auto"/>
                      <w:spacing w:val="-16"/>
                      <w:sz w:val="21"/>
                      <w:szCs w:val="21"/>
                    </w:rPr>
                    <w:t xml:space="preserve"> </w:t>
                  </w:r>
                  <w:r>
                    <w:rPr>
                      <w:rFonts w:hint="default" w:ascii="Times New Roman" w:hAnsi="Times New Roman" w:eastAsia="宋体" w:cs="Times New Roman"/>
                      <w:b w:val="0"/>
                      <w:bCs w:val="0"/>
                      <w:color w:val="auto"/>
                      <w:spacing w:val="6"/>
                      <w:sz w:val="21"/>
                      <w:szCs w:val="21"/>
                    </w:rPr>
                    <w:t>,</w:t>
                  </w:r>
                  <w:r>
                    <w:rPr>
                      <w:rFonts w:hint="default" w:ascii="Times New Roman" w:hAnsi="Times New Roman" w:eastAsia="宋体" w:cs="Times New Roman"/>
                      <w:b w:val="0"/>
                      <w:bCs w:val="0"/>
                      <w:color w:val="auto"/>
                      <w:sz w:val="21"/>
                      <w:szCs w:val="21"/>
                    </w:rPr>
                    <w:t xml:space="preserve">  </w:t>
                  </w:r>
                  <w:r>
                    <w:rPr>
                      <w:rFonts w:hint="default" w:ascii="Times New Roman" w:hAnsi="Times New Roman" w:eastAsia="宋体" w:cs="Times New Roman"/>
                      <w:b w:val="0"/>
                      <w:bCs w:val="0"/>
                      <w:color w:val="auto"/>
                      <w:spacing w:val="8"/>
                      <w:sz w:val="21"/>
                      <w:szCs w:val="21"/>
                    </w:rPr>
                    <w:t>粘度指数</w:t>
                  </w:r>
                  <w:r>
                    <w:rPr>
                      <w:rFonts w:hint="default" w:ascii="Times New Roman" w:hAnsi="Times New Roman" w:eastAsia="宋体" w:cs="Times New Roman"/>
                      <w:b w:val="0"/>
                      <w:bCs w:val="0"/>
                      <w:color w:val="auto"/>
                      <w:spacing w:val="-18"/>
                      <w:sz w:val="21"/>
                      <w:szCs w:val="21"/>
                    </w:rPr>
                    <w:t xml:space="preserve"> </w:t>
                  </w:r>
                  <w:r>
                    <w:rPr>
                      <w:rFonts w:hint="default" w:ascii="Times New Roman" w:hAnsi="Times New Roman" w:cs="Times New Roman"/>
                      <w:b w:val="0"/>
                      <w:bCs w:val="0"/>
                      <w:color w:val="auto"/>
                      <w:spacing w:val="8"/>
                      <w:sz w:val="21"/>
                      <w:szCs w:val="21"/>
                    </w:rPr>
                    <w:t>90</w:t>
                  </w:r>
                  <w:r>
                    <w:rPr>
                      <w:rFonts w:hint="default" w:ascii="Times New Roman" w:hAnsi="Times New Roman" w:eastAsia="宋体" w:cs="Times New Roman"/>
                      <w:b w:val="0"/>
                      <w:bCs w:val="0"/>
                      <w:color w:val="auto"/>
                      <w:spacing w:val="8"/>
                      <w:sz w:val="21"/>
                      <w:szCs w:val="21"/>
                    </w:rPr>
                    <w:t>～</w:t>
                  </w:r>
                  <w:r>
                    <w:rPr>
                      <w:rFonts w:hint="default" w:ascii="Times New Roman" w:hAnsi="Times New Roman" w:cs="Times New Roman"/>
                      <w:b w:val="0"/>
                      <w:bCs w:val="0"/>
                      <w:color w:val="auto"/>
                      <w:spacing w:val="8"/>
                      <w:sz w:val="21"/>
                      <w:szCs w:val="21"/>
                    </w:rPr>
                    <w:t>125</w:t>
                  </w:r>
                  <w:r>
                    <w:rPr>
                      <w:rFonts w:hint="default" w:ascii="Times New Roman" w:hAnsi="Times New Roman" w:eastAsia="宋体" w:cs="Times New Roman"/>
                      <w:b w:val="0"/>
                      <w:bCs w:val="0"/>
                      <w:color w:val="auto"/>
                      <w:spacing w:val="8"/>
                      <w:sz w:val="21"/>
                      <w:szCs w:val="21"/>
                    </w:rPr>
                    <w:t>。凝固点</w:t>
                  </w:r>
                  <w:r>
                    <w:rPr>
                      <w:rFonts w:hint="default" w:ascii="Times New Roman" w:hAnsi="Times New Roman" w:cs="Times New Roman"/>
                      <w:b w:val="0"/>
                      <w:bCs w:val="0"/>
                      <w:color w:val="auto"/>
                      <w:spacing w:val="8"/>
                      <w:sz w:val="21"/>
                      <w:szCs w:val="21"/>
                    </w:rPr>
                    <w:t>-3</w:t>
                  </w:r>
                  <w:r>
                    <w:rPr>
                      <w:rFonts w:hint="default" w:ascii="Times New Roman" w:hAnsi="Times New Roman" w:eastAsia="宋体" w:cs="Times New Roman"/>
                      <w:b w:val="0"/>
                      <w:bCs w:val="0"/>
                      <w:color w:val="auto"/>
                      <w:spacing w:val="8"/>
                      <w:sz w:val="21"/>
                      <w:szCs w:val="21"/>
                    </w:rPr>
                    <w:t>～</w:t>
                  </w:r>
                  <w:r>
                    <w:rPr>
                      <w:rFonts w:hint="default" w:ascii="Times New Roman" w:hAnsi="Times New Roman" w:cs="Times New Roman"/>
                      <w:b w:val="0"/>
                      <w:bCs w:val="0"/>
                      <w:color w:val="auto"/>
                      <w:spacing w:val="8"/>
                      <w:sz w:val="21"/>
                      <w:szCs w:val="21"/>
                    </w:rPr>
                    <w:t>-30℃</w:t>
                  </w:r>
                  <w:r>
                    <w:rPr>
                      <w:rFonts w:hint="default" w:ascii="Times New Roman" w:hAnsi="Times New Roman" w:eastAsia="宋体" w:cs="Times New Roman"/>
                      <w:b w:val="0"/>
                      <w:bCs w:val="0"/>
                      <w:color w:val="auto"/>
                      <w:spacing w:val="8"/>
                      <w:sz w:val="21"/>
                      <w:szCs w:val="21"/>
                    </w:rPr>
                    <w:t>。酸价</w:t>
                  </w:r>
                  <w:r>
                    <w:rPr>
                      <w:rFonts w:hint="default" w:ascii="Times New Roman" w:hAnsi="Times New Roman" w:eastAsia="宋体" w:cs="Times New Roman"/>
                      <w:b w:val="0"/>
                      <w:bCs w:val="0"/>
                      <w:color w:val="auto"/>
                      <w:spacing w:val="-37"/>
                      <w:sz w:val="21"/>
                      <w:szCs w:val="21"/>
                    </w:rPr>
                    <w:t xml:space="preserve"> </w:t>
                  </w:r>
                  <w:r>
                    <w:rPr>
                      <w:rFonts w:hint="default" w:ascii="Times New Roman" w:hAnsi="Times New Roman" w:cs="Times New Roman"/>
                      <w:b w:val="0"/>
                      <w:bCs w:val="0"/>
                      <w:color w:val="auto"/>
                      <w:spacing w:val="8"/>
                      <w:sz w:val="21"/>
                      <w:szCs w:val="21"/>
                    </w:rPr>
                    <w:t>0.01</w:t>
                  </w:r>
                  <w:r>
                    <w:rPr>
                      <w:rFonts w:hint="default" w:ascii="Times New Roman" w:hAnsi="Times New Roman" w:eastAsia="宋体" w:cs="Times New Roman"/>
                      <w:b w:val="0"/>
                      <w:bCs w:val="0"/>
                      <w:color w:val="auto"/>
                      <w:spacing w:val="8"/>
                      <w:sz w:val="21"/>
                      <w:szCs w:val="21"/>
                    </w:rPr>
                    <w:t>～</w:t>
                  </w:r>
                  <w:r>
                    <w:rPr>
                      <w:rFonts w:hint="default" w:ascii="Times New Roman" w:hAnsi="Times New Roman" w:cs="Times New Roman"/>
                      <w:b w:val="0"/>
                      <w:bCs w:val="0"/>
                      <w:color w:val="auto"/>
                      <w:spacing w:val="8"/>
                      <w:sz w:val="21"/>
                      <w:szCs w:val="21"/>
                    </w:rPr>
                    <w:t>0.02</w:t>
                  </w:r>
                  <w:r>
                    <w:rPr>
                      <w:rFonts w:hint="default" w:ascii="Times New Roman" w:hAnsi="Times New Roman" w:cs="Times New Roman"/>
                      <w:b w:val="0"/>
                      <w:bCs w:val="0"/>
                      <w:color w:val="auto"/>
                      <w:sz w:val="21"/>
                      <w:szCs w:val="21"/>
                    </w:rPr>
                    <w:t>mgKOH</w:t>
                  </w:r>
                  <w:r>
                    <w:rPr>
                      <w:rFonts w:hint="default" w:ascii="Times New Roman" w:hAnsi="Times New Roman" w:cs="Times New Roman"/>
                      <w:b w:val="0"/>
                      <w:bCs w:val="0"/>
                      <w:color w:val="auto"/>
                      <w:spacing w:val="8"/>
                      <w:sz w:val="21"/>
                      <w:szCs w:val="21"/>
                    </w:rPr>
                    <w:t>/g</w:t>
                  </w:r>
                  <w:r>
                    <w:rPr>
                      <w:rFonts w:hint="default" w:ascii="Times New Roman" w:hAnsi="Times New Roman" w:eastAsia="宋体" w:cs="Times New Roman"/>
                      <w:b w:val="0"/>
                      <w:bCs w:val="0"/>
                      <w:color w:val="auto"/>
                      <w:spacing w:val="8"/>
                      <w:sz w:val="21"/>
                      <w:szCs w:val="21"/>
                    </w:rPr>
                    <w:t>。色泽</w:t>
                  </w:r>
                  <w:r>
                    <w:rPr>
                      <w:rFonts w:hint="default" w:ascii="Times New Roman" w:hAnsi="Times New Roman" w:eastAsia="宋体" w:cs="Times New Roman"/>
                      <w:b w:val="0"/>
                      <w:bCs w:val="0"/>
                      <w:color w:val="auto"/>
                      <w:spacing w:val="-38"/>
                      <w:sz w:val="21"/>
                      <w:szCs w:val="21"/>
                    </w:rPr>
                    <w:t xml:space="preserve"> </w:t>
                  </w:r>
                  <w:r>
                    <w:rPr>
                      <w:rFonts w:hint="default" w:ascii="Times New Roman" w:hAnsi="Times New Roman" w:cs="Times New Roman"/>
                      <w:b w:val="0"/>
                      <w:bCs w:val="0"/>
                      <w:color w:val="auto"/>
                      <w:spacing w:val="8"/>
                      <w:sz w:val="21"/>
                      <w:szCs w:val="21"/>
                    </w:rPr>
                    <w:t>0°</w:t>
                  </w:r>
                  <w:r>
                    <w:rPr>
                      <w:rFonts w:hint="default" w:ascii="Times New Roman" w:hAnsi="Times New Roman" w:eastAsia="宋体" w:cs="Times New Roman"/>
                      <w:b w:val="0"/>
                      <w:bCs w:val="0"/>
                      <w:color w:val="auto"/>
                      <w:spacing w:val="8"/>
                      <w:sz w:val="21"/>
                      <w:szCs w:val="21"/>
                    </w:rPr>
                    <w:t>~</w:t>
                  </w:r>
                  <w:r>
                    <w:rPr>
                      <w:rFonts w:hint="default" w:ascii="Times New Roman" w:hAnsi="Times New Roman" w:eastAsia="宋体" w:cs="Times New Roman"/>
                      <w:b w:val="0"/>
                      <w:bCs w:val="0"/>
                      <w:color w:val="auto"/>
                      <w:sz w:val="21"/>
                      <w:szCs w:val="21"/>
                    </w:rPr>
                    <w:t xml:space="preserve">  </w:t>
                  </w:r>
                  <w:r>
                    <w:rPr>
                      <w:rFonts w:hint="default" w:ascii="Times New Roman" w:hAnsi="Times New Roman" w:cs="Times New Roman"/>
                      <w:b w:val="0"/>
                      <w:bCs w:val="0"/>
                      <w:color w:val="auto"/>
                      <w:spacing w:val="6"/>
                      <w:sz w:val="21"/>
                      <w:szCs w:val="21"/>
                    </w:rPr>
                    <w:t>3°</w:t>
                  </w:r>
                  <w:r>
                    <w:rPr>
                      <w:rFonts w:hint="default" w:ascii="Times New Roman" w:hAnsi="Times New Roman" w:eastAsia="宋体" w:cs="Times New Roman"/>
                      <w:b w:val="0"/>
                      <w:bCs w:val="0"/>
                      <w:color w:val="auto"/>
                      <w:spacing w:val="6"/>
                      <w:sz w:val="21"/>
                      <w:szCs w:val="21"/>
                    </w:rPr>
                    <w:t>。不溶于水、冷乙醇和甘油，能溶于二硫化碳、乙醚、氯仿、</w:t>
                  </w:r>
                  <w:r>
                    <w:rPr>
                      <w:rFonts w:hint="default" w:ascii="Times New Roman" w:hAnsi="Times New Roman" w:eastAsia="宋体" w:cs="Times New Roman"/>
                      <w:b w:val="0"/>
                      <w:bCs w:val="0"/>
                      <w:color w:val="auto"/>
                      <w:spacing w:val="5"/>
                      <w:sz w:val="21"/>
                      <w:szCs w:val="21"/>
                    </w:rPr>
                    <w:t>苯和热乙醇。</w:t>
                  </w:r>
                  <w:r>
                    <w:rPr>
                      <w:rFonts w:hint="default" w:ascii="Times New Roman" w:hAnsi="Times New Roman" w:eastAsia="宋体" w:cs="Times New Roman"/>
                      <w:b w:val="0"/>
                      <w:bCs w:val="0"/>
                      <w:color w:val="auto"/>
                      <w:spacing w:val="8"/>
                      <w:sz w:val="21"/>
                      <w:szCs w:val="21"/>
                    </w:rPr>
                    <w:t>樟脑、薄荷油、麝香可在白油中溶解。</w:t>
                  </w:r>
                </w:p>
              </w:tc>
            </w:tr>
            <w:tr w14:paraId="7EEF4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813" w:type="dxa"/>
                  <w:vMerge w:val="continue"/>
                  <w:vAlign w:val="center"/>
                </w:tcPr>
                <w:p w14:paraId="0EDFA9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val="0"/>
                      <w:bCs w:val="0"/>
                      <w:color w:val="auto"/>
                      <w:sz w:val="21"/>
                      <w:szCs w:val="21"/>
                    </w:rPr>
                  </w:pPr>
                </w:p>
              </w:tc>
              <w:tc>
                <w:tcPr>
                  <w:tcW w:w="1032" w:type="dxa"/>
                  <w:vAlign w:val="center"/>
                </w:tcPr>
                <w:p w14:paraId="6E4C5CE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rPr>
                    <w:t>润湿剂</w:t>
                  </w:r>
                </w:p>
              </w:tc>
              <w:tc>
                <w:tcPr>
                  <w:tcW w:w="6374" w:type="dxa"/>
                  <w:vAlign w:val="center"/>
                </w:tcPr>
                <w:p w14:paraId="3FC56CE8">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pacing w:val="8"/>
                      <w:sz w:val="21"/>
                      <w:szCs w:val="21"/>
                    </w:rPr>
                    <w:t>主要成分为醇醚类、酯类等，或选择同类型润滑剂，密度</w:t>
                  </w:r>
                  <w:r>
                    <w:rPr>
                      <w:rFonts w:hint="default" w:ascii="Times New Roman" w:hAnsi="Times New Roman" w:eastAsia="宋体" w:cs="Times New Roman"/>
                      <w:b w:val="0"/>
                      <w:bCs w:val="0"/>
                      <w:color w:val="auto"/>
                      <w:spacing w:val="-34"/>
                      <w:sz w:val="21"/>
                      <w:szCs w:val="21"/>
                    </w:rPr>
                    <w:t xml:space="preserve"> </w:t>
                  </w:r>
                  <w:r>
                    <w:rPr>
                      <w:rFonts w:hint="default" w:ascii="Times New Roman" w:hAnsi="Times New Roman" w:cs="Times New Roman"/>
                      <w:b w:val="0"/>
                      <w:bCs w:val="0"/>
                      <w:color w:val="auto"/>
                      <w:spacing w:val="8"/>
                      <w:sz w:val="21"/>
                      <w:szCs w:val="21"/>
                    </w:rPr>
                    <w:t>0.94</w:t>
                  </w:r>
                  <w:r>
                    <w:rPr>
                      <w:rFonts w:hint="default" w:ascii="Times New Roman" w:hAnsi="Times New Roman" w:eastAsia="宋体" w:cs="Times New Roman"/>
                      <w:b w:val="0"/>
                      <w:bCs w:val="0"/>
                      <w:color w:val="auto"/>
                      <w:spacing w:val="8"/>
                      <w:sz w:val="21"/>
                      <w:szCs w:val="21"/>
                    </w:rPr>
                    <w:t>～</w:t>
                  </w:r>
                  <w:r>
                    <w:rPr>
                      <w:rFonts w:hint="default" w:ascii="Times New Roman" w:hAnsi="Times New Roman" w:cs="Times New Roman"/>
                      <w:b w:val="0"/>
                      <w:bCs w:val="0"/>
                      <w:color w:val="auto"/>
                      <w:spacing w:val="8"/>
                      <w:sz w:val="21"/>
                      <w:szCs w:val="21"/>
                    </w:rPr>
                    <w:t>1.</w:t>
                  </w:r>
                  <w:r>
                    <w:rPr>
                      <w:rFonts w:hint="default" w:ascii="Times New Roman" w:hAnsi="Times New Roman" w:cs="Times New Roman"/>
                      <w:b w:val="0"/>
                      <w:bCs w:val="0"/>
                      <w:color w:val="auto"/>
                      <w:spacing w:val="7"/>
                      <w:sz w:val="21"/>
                      <w:szCs w:val="21"/>
                    </w:rPr>
                    <w:t>04g/</w:t>
                  </w:r>
                  <w:r>
                    <w:rPr>
                      <w:rFonts w:hint="default" w:ascii="Times New Roman" w:hAnsi="Times New Roman" w:cs="Times New Roman"/>
                      <w:b w:val="0"/>
                      <w:bCs w:val="0"/>
                      <w:color w:val="auto"/>
                      <w:sz w:val="21"/>
                      <w:szCs w:val="21"/>
                    </w:rPr>
                    <w:t>cm</w:t>
                  </w:r>
                  <w:r>
                    <w:rPr>
                      <w:rFonts w:hint="default" w:ascii="Times New Roman" w:hAnsi="Times New Roman" w:cs="Times New Roman"/>
                      <w:b w:val="0"/>
                      <w:bCs w:val="0"/>
                      <w:color w:val="auto"/>
                      <w:spacing w:val="7"/>
                      <w:position w:val="9"/>
                      <w:sz w:val="21"/>
                      <w:szCs w:val="21"/>
                    </w:rPr>
                    <w:t>3</w:t>
                  </w:r>
                  <w:r>
                    <w:rPr>
                      <w:rFonts w:hint="default" w:ascii="Times New Roman" w:hAnsi="Times New Roman" w:eastAsia="宋体" w:cs="Times New Roman"/>
                      <w:b w:val="0"/>
                      <w:bCs w:val="0"/>
                      <w:color w:val="auto"/>
                      <w:spacing w:val="7"/>
                      <w:sz w:val="21"/>
                      <w:szCs w:val="21"/>
                    </w:rPr>
                    <w:t>，</w:t>
                  </w:r>
                  <w:r>
                    <w:rPr>
                      <w:rFonts w:hint="default" w:ascii="Times New Roman" w:hAnsi="Times New Roman" w:cs="Times New Roman"/>
                      <w:b w:val="0"/>
                      <w:bCs w:val="0"/>
                      <w:color w:val="auto"/>
                      <w:sz w:val="21"/>
                      <w:szCs w:val="21"/>
                    </w:rPr>
                    <w:t>pH</w:t>
                  </w:r>
                  <w:r>
                    <w:rPr>
                      <w:rFonts w:hint="default" w:ascii="Times New Roman" w:hAnsi="Times New Roman" w:cs="Times New Roman"/>
                      <w:b w:val="0"/>
                      <w:bCs w:val="0"/>
                      <w:color w:val="auto"/>
                      <w:spacing w:val="12"/>
                      <w:sz w:val="21"/>
                      <w:szCs w:val="21"/>
                    </w:rPr>
                    <w:t xml:space="preserve"> </w:t>
                  </w:r>
                  <w:r>
                    <w:rPr>
                      <w:rFonts w:hint="default" w:ascii="Times New Roman" w:hAnsi="Times New Roman" w:eastAsia="宋体" w:cs="Times New Roman"/>
                      <w:b w:val="0"/>
                      <w:bCs w:val="0"/>
                      <w:color w:val="auto"/>
                      <w:spacing w:val="6"/>
                      <w:sz w:val="21"/>
                      <w:szCs w:val="21"/>
                    </w:rPr>
                    <w:t>值</w:t>
                  </w:r>
                  <w:r>
                    <w:rPr>
                      <w:rFonts w:hint="default" w:ascii="Times New Roman" w:hAnsi="Times New Roman" w:eastAsia="宋体" w:cs="Times New Roman"/>
                      <w:b w:val="0"/>
                      <w:bCs w:val="0"/>
                      <w:color w:val="auto"/>
                      <w:spacing w:val="-37"/>
                      <w:sz w:val="21"/>
                      <w:szCs w:val="21"/>
                    </w:rPr>
                    <w:t xml:space="preserve"> </w:t>
                  </w:r>
                  <w:r>
                    <w:rPr>
                      <w:rFonts w:hint="default" w:ascii="Times New Roman" w:hAnsi="Times New Roman" w:cs="Times New Roman"/>
                      <w:b w:val="0"/>
                      <w:bCs w:val="0"/>
                      <w:color w:val="auto"/>
                      <w:spacing w:val="6"/>
                      <w:sz w:val="21"/>
                      <w:szCs w:val="21"/>
                    </w:rPr>
                    <w:t>7</w:t>
                  </w:r>
                  <w:r>
                    <w:rPr>
                      <w:rFonts w:hint="default" w:ascii="Times New Roman" w:hAnsi="Times New Roman" w:eastAsia="宋体" w:cs="Times New Roman"/>
                      <w:b w:val="0"/>
                      <w:bCs w:val="0"/>
                      <w:color w:val="auto"/>
                      <w:spacing w:val="6"/>
                      <w:sz w:val="21"/>
                      <w:szCs w:val="21"/>
                    </w:rPr>
                    <w:t>～</w:t>
                  </w:r>
                  <w:r>
                    <w:rPr>
                      <w:rFonts w:hint="default" w:ascii="Times New Roman" w:hAnsi="Times New Roman" w:cs="Times New Roman"/>
                      <w:b w:val="0"/>
                      <w:bCs w:val="0"/>
                      <w:color w:val="auto"/>
                      <w:spacing w:val="6"/>
                      <w:sz w:val="21"/>
                      <w:szCs w:val="21"/>
                    </w:rPr>
                    <w:t>9</w:t>
                  </w:r>
                </w:p>
              </w:tc>
            </w:tr>
            <w:tr w14:paraId="15754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813" w:type="dxa"/>
                  <w:vMerge w:val="continue"/>
                  <w:vAlign w:val="center"/>
                </w:tcPr>
                <w:p w14:paraId="4D972E1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val="0"/>
                      <w:bCs w:val="0"/>
                      <w:color w:val="auto"/>
                      <w:sz w:val="21"/>
                      <w:szCs w:val="21"/>
                    </w:rPr>
                  </w:pPr>
                </w:p>
              </w:tc>
              <w:tc>
                <w:tcPr>
                  <w:tcW w:w="1032" w:type="dxa"/>
                  <w:vAlign w:val="center"/>
                </w:tcPr>
                <w:p w14:paraId="086547A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
                      <w:sz w:val="21"/>
                      <w:szCs w:val="21"/>
                    </w:rPr>
                    <w:t>降滤失</w:t>
                  </w:r>
                  <w:r>
                    <w:rPr>
                      <w:rFonts w:hint="default" w:ascii="Times New Roman" w:hAnsi="Times New Roman" w:eastAsia="宋体" w:cs="Times New Roman"/>
                      <w:b w:val="0"/>
                      <w:bCs w:val="0"/>
                      <w:color w:val="auto"/>
                      <w:sz w:val="21"/>
                      <w:szCs w:val="21"/>
                    </w:rPr>
                    <w:t>剂</w:t>
                  </w:r>
                </w:p>
              </w:tc>
              <w:tc>
                <w:tcPr>
                  <w:tcW w:w="6374" w:type="dxa"/>
                  <w:vAlign w:val="center"/>
                </w:tcPr>
                <w:p w14:paraId="192458A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9"/>
                      <w:sz w:val="21"/>
                      <w:szCs w:val="21"/>
                    </w:rPr>
                    <w:t>属阴离子型纤维素醚类，外观为白色或微黄色絮状纤维粉末或白色粉末，无臭无味，无毒；易溶于冷水或热水，形成具有一定粘度的透明溶液。溶液为中性或微碱性，不溶于乙醇、乙醚、异丙醇、丙酮等有</w:t>
                  </w:r>
                  <w:r>
                    <w:rPr>
                      <w:rFonts w:hint="default" w:ascii="Times New Roman" w:hAnsi="Times New Roman" w:eastAsia="宋体" w:cs="Times New Roman"/>
                      <w:b w:val="0"/>
                      <w:bCs w:val="0"/>
                      <w:color w:val="auto"/>
                      <w:spacing w:val="8"/>
                      <w:sz w:val="21"/>
                      <w:szCs w:val="21"/>
                    </w:rPr>
                    <w:t>机溶剂，可溶于含水</w:t>
                  </w:r>
                  <w:r>
                    <w:rPr>
                      <w:rFonts w:hint="default" w:ascii="Times New Roman" w:hAnsi="Times New Roman" w:cs="Times New Roman"/>
                      <w:b w:val="0"/>
                      <w:bCs w:val="0"/>
                      <w:color w:val="auto"/>
                      <w:spacing w:val="7"/>
                      <w:sz w:val="21"/>
                      <w:szCs w:val="21"/>
                    </w:rPr>
                    <w:t>60%</w:t>
                  </w:r>
                  <w:r>
                    <w:rPr>
                      <w:rFonts w:hint="default" w:ascii="Times New Roman" w:hAnsi="Times New Roman" w:eastAsia="宋体" w:cs="Times New Roman"/>
                      <w:b w:val="0"/>
                      <w:bCs w:val="0"/>
                      <w:color w:val="auto"/>
                      <w:spacing w:val="7"/>
                      <w:sz w:val="21"/>
                      <w:szCs w:val="21"/>
                    </w:rPr>
                    <w:t>的乙醇或丙酮溶液。</w:t>
                  </w:r>
                </w:p>
              </w:tc>
            </w:tr>
            <w:tr w14:paraId="08C79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813" w:type="dxa"/>
                  <w:vMerge w:val="continue"/>
                  <w:vAlign w:val="center"/>
                </w:tcPr>
                <w:p w14:paraId="19A28D4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val="0"/>
                      <w:bCs w:val="0"/>
                      <w:color w:val="auto"/>
                      <w:sz w:val="21"/>
                      <w:szCs w:val="21"/>
                    </w:rPr>
                  </w:pPr>
                </w:p>
              </w:tc>
              <w:tc>
                <w:tcPr>
                  <w:tcW w:w="1032" w:type="dxa"/>
                  <w:vAlign w:val="center"/>
                </w:tcPr>
                <w:p w14:paraId="3600A10F">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CaCl</w:t>
                  </w:r>
                  <w:r>
                    <w:rPr>
                      <w:rFonts w:hint="default" w:ascii="Times New Roman" w:hAnsi="Times New Roman" w:cs="Times New Roman"/>
                      <w:b w:val="0"/>
                      <w:bCs w:val="0"/>
                      <w:color w:val="auto"/>
                      <w:spacing w:val="15"/>
                      <w:position w:val="-2"/>
                      <w:sz w:val="21"/>
                      <w:szCs w:val="21"/>
                      <w:vertAlign w:val="subscript"/>
                    </w:rPr>
                    <w:t>2</w:t>
                  </w:r>
                </w:p>
              </w:tc>
              <w:tc>
                <w:tcPr>
                  <w:tcW w:w="6374" w:type="dxa"/>
                  <w:vAlign w:val="center"/>
                </w:tcPr>
                <w:p w14:paraId="514A954E">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spacing w:val="9"/>
                      <w:sz w:val="21"/>
                      <w:szCs w:val="21"/>
                    </w:rPr>
                    <w:t>5%</w:t>
                  </w:r>
                  <w:r>
                    <w:rPr>
                      <w:rFonts w:hint="default" w:ascii="Times New Roman" w:hAnsi="Times New Roman" w:eastAsia="宋体" w:cs="Times New Roman"/>
                      <w:b w:val="0"/>
                      <w:bCs w:val="0"/>
                      <w:color w:val="auto"/>
                      <w:spacing w:val="9"/>
                      <w:sz w:val="21"/>
                      <w:szCs w:val="21"/>
                    </w:rPr>
                    <w:t>水溶液</w:t>
                  </w:r>
                  <w:r>
                    <w:rPr>
                      <w:rFonts w:hint="default" w:ascii="Times New Roman" w:hAnsi="Times New Roman" w:eastAsia="宋体" w:cs="Times New Roman"/>
                      <w:b w:val="0"/>
                      <w:bCs w:val="0"/>
                      <w:color w:val="auto"/>
                      <w:spacing w:val="-45"/>
                      <w:sz w:val="21"/>
                      <w:szCs w:val="21"/>
                    </w:rPr>
                    <w:t xml:space="preserve"> </w:t>
                  </w:r>
                  <w:r>
                    <w:rPr>
                      <w:rFonts w:hint="default" w:ascii="Times New Roman" w:hAnsi="Times New Roman" w:cs="Times New Roman"/>
                      <w:b w:val="0"/>
                      <w:bCs w:val="0"/>
                      <w:color w:val="auto"/>
                      <w:sz w:val="21"/>
                      <w:szCs w:val="21"/>
                    </w:rPr>
                    <w:t>pH</w:t>
                  </w:r>
                  <w:r>
                    <w:rPr>
                      <w:rFonts w:hint="default" w:ascii="Times New Roman" w:hAnsi="Times New Roman" w:cs="Times New Roman"/>
                      <w:b w:val="0"/>
                      <w:bCs w:val="0"/>
                      <w:color w:val="auto"/>
                      <w:spacing w:val="9"/>
                      <w:sz w:val="21"/>
                      <w:szCs w:val="21"/>
                    </w:rPr>
                    <w:t xml:space="preserve"> </w:t>
                  </w:r>
                  <w:r>
                    <w:rPr>
                      <w:rFonts w:hint="default" w:ascii="Times New Roman" w:hAnsi="Times New Roman" w:eastAsia="宋体" w:cs="Times New Roman"/>
                      <w:b w:val="0"/>
                      <w:bCs w:val="0"/>
                      <w:color w:val="auto"/>
                      <w:spacing w:val="9"/>
                      <w:sz w:val="21"/>
                      <w:szCs w:val="21"/>
                    </w:rPr>
                    <w:t>值为</w:t>
                  </w:r>
                  <w:r>
                    <w:rPr>
                      <w:rFonts w:hint="default" w:ascii="Times New Roman" w:hAnsi="Times New Roman" w:cs="Times New Roman"/>
                      <w:b w:val="0"/>
                      <w:bCs w:val="0"/>
                      <w:color w:val="auto"/>
                      <w:spacing w:val="9"/>
                      <w:sz w:val="21"/>
                      <w:szCs w:val="21"/>
                    </w:rPr>
                    <w:t>4.5</w:t>
                  </w:r>
                  <w:r>
                    <w:rPr>
                      <w:rFonts w:hint="default" w:ascii="Times New Roman" w:hAnsi="Times New Roman" w:eastAsia="宋体" w:cs="Times New Roman"/>
                      <w:b w:val="0"/>
                      <w:bCs w:val="0"/>
                      <w:color w:val="auto"/>
                      <w:spacing w:val="9"/>
                      <w:sz w:val="21"/>
                      <w:szCs w:val="21"/>
                    </w:rPr>
                    <w:t>～</w:t>
                  </w:r>
                  <w:r>
                    <w:rPr>
                      <w:rFonts w:hint="default" w:ascii="Times New Roman" w:hAnsi="Times New Roman" w:cs="Times New Roman"/>
                      <w:b w:val="0"/>
                      <w:bCs w:val="0"/>
                      <w:color w:val="auto"/>
                      <w:spacing w:val="9"/>
                      <w:sz w:val="21"/>
                      <w:szCs w:val="21"/>
                    </w:rPr>
                    <w:t>9.2</w:t>
                  </w:r>
                  <w:r>
                    <w:rPr>
                      <w:rFonts w:hint="default" w:ascii="Times New Roman" w:hAnsi="Times New Roman" w:cs="Times New Roman"/>
                      <w:b w:val="0"/>
                      <w:bCs w:val="0"/>
                      <w:color w:val="auto"/>
                      <w:spacing w:val="-18"/>
                      <w:sz w:val="21"/>
                      <w:szCs w:val="21"/>
                    </w:rPr>
                    <w:t xml:space="preserve"> </w:t>
                  </w:r>
                  <w:r>
                    <w:rPr>
                      <w:rFonts w:hint="default" w:ascii="Times New Roman" w:hAnsi="Times New Roman" w:eastAsia="宋体" w:cs="Times New Roman"/>
                      <w:b w:val="0"/>
                      <w:bCs w:val="0"/>
                      <w:color w:val="auto"/>
                      <w:spacing w:val="9"/>
                      <w:sz w:val="21"/>
                      <w:szCs w:val="21"/>
                    </w:rPr>
                    <w:t>。</w:t>
                  </w:r>
                  <w:r>
                    <w:rPr>
                      <w:rFonts w:hint="default" w:ascii="Times New Roman" w:hAnsi="Times New Roman" w:cs="Times New Roman"/>
                      <w:b w:val="0"/>
                      <w:bCs w:val="0"/>
                      <w:color w:val="auto"/>
                      <w:spacing w:val="9"/>
                      <w:sz w:val="21"/>
                      <w:szCs w:val="21"/>
                    </w:rPr>
                    <w:t>1.7%</w:t>
                  </w:r>
                  <w:r>
                    <w:rPr>
                      <w:rFonts w:hint="default" w:ascii="Times New Roman" w:hAnsi="Times New Roman" w:eastAsia="宋体" w:cs="Times New Roman"/>
                      <w:b w:val="0"/>
                      <w:bCs w:val="0"/>
                      <w:color w:val="auto"/>
                      <w:spacing w:val="9"/>
                      <w:sz w:val="21"/>
                      <w:szCs w:val="21"/>
                    </w:rPr>
                    <w:t>水溶液同血清等渗</w:t>
                  </w:r>
                  <w:r>
                    <w:rPr>
                      <w:rFonts w:hint="default" w:ascii="Times New Roman" w:hAnsi="Times New Roman" w:eastAsia="宋体" w:cs="Times New Roman"/>
                      <w:b w:val="0"/>
                      <w:bCs w:val="0"/>
                      <w:color w:val="auto"/>
                      <w:spacing w:val="8"/>
                      <w:sz w:val="21"/>
                      <w:szCs w:val="21"/>
                    </w:rPr>
                    <w:t>。以碳酸钙和盐酸为原</w:t>
                  </w:r>
                  <w:r>
                    <w:rPr>
                      <w:rFonts w:hint="default" w:ascii="Times New Roman" w:hAnsi="Times New Roman" w:eastAsia="宋体" w:cs="Times New Roman"/>
                      <w:b w:val="0"/>
                      <w:bCs w:val="0"/>
                      <w:color w:val="auto"/>
                      <w:spacing w:val="9"/>
                      <w:sz w:val="21"/>
                      <w:szCs w:val="21"/>
                    </w:rPr>
                    <w:t>料制得，为镁中毒时的解毒剂。钙离子可与氟化物形成不溶性氟化钙，用于</w:t>
                  </w:r>
                  <w:r>
                    <w:rPr>
                      <w:rFonts w:hint="default" w:ascii="Times New Roman" w:hAnsi="Times New Roman" w:eastAsia="宋体" w:cs="Times New Roman"/>
                      <w:b w:val="0"/>
                      <w:bCs w:val="0"/>
                      <w:color w:val="auto"/>
                      <w:spacing w:val="3"/>
                      <w:sz w:val="21"/>
                      <w:szCs w:val="21"/>
                    </w:rPr>
                    <w:t>氟中毒解救。</w:t>
                  </w:r>
                </w:p>
              </w:tc>
            </w:tr>
            <w:tr w14:paraId="5376B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813" w:type="dxa"/>
                  <w:vMerge w:val="continue"/>
                  <w:vAlign w:val="center"/>
                </w:tcPr>
                <w:p w14:paraId="11BC73A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val="0"/>
                      <w:bCs w:val="0"/>
                      <w:color w:val="auto"/>
                      <w:sz w:val="21"/>
                      <w:szCs w:val="21"/>
                    </w:rPr>
                  </w:pPr>
                </w:p>
              </w:tc>
              <w:tc>
                <w:tcPr>
                  <w:tcW w:w="1032" w:type="dxa"/>
                  <w:vAlign w:val="center"/>
                </w:tcPr>
                <w:p w14:paraId="3548A08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rPr>
                    <w:t>封堵剂</w:t>
                  </w:r>
                </w:p>
              </w:tc>
              <w:tc>
                <w:tcPr>
                  <w:tcW w:w="6374" w:type="dxa"/>
                  <w:vAlign w:val="center"/>
                </w:tcPr>
                <w:p w14:paraId="2E386CEA">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4"/>
                      <w:sz w:val="21"/>
                      <w:szCs w:val="21"/>
                    </w:rPr>
                    <w:t>随钻堵漏剂外观为灰白色粉末，细度为</w:t>
                  </w:r>
                  <w:r>
                    <w:rPr>
                      <w:rFonts w:hint="default" w:ascii="Times New Roman" w:hAnsi="Times New Roman" w:eastAsia="宋体" w:cs="Times New Roman"/>
                      <w:b w:val="0"/>
                      <w:bCs w:val="0"/>
                      <w:color w:val="auto"/>
                      <w:spacing w:val="-26"/>
                      <w:sz w:val="21"/>
                      <w:szCs w:val="21"/>
                    </w:rPr>
                    <w:t xml:space="preserve"> </w:t>
                  </w:r>
                  <w:r>
                    <w:rPr>
                      <w:rFonts w:hint="default" w:ascii="Times New Roman" w:hAnsi="Times New Roman" w:cs="Times New Roman"/>
                      <w:b w:val="0"/>
                      <w:bCs w:val="0"/>
                      <w:color w:val="auto"/>
                      <w:spacing w:val="4"/>
                      <w:sz w:val="21"/>
                      <w:szCs w:val="21"/>
                    </w:rPr>
                    <w:t xml:space="preserve">60  </w:t>
                  </w:r>
                  <w:r>
                    <w:rPr>
                      <w:rFonts w:hint="default" w:ascii="Times New Roman" w:hAnsi="Times New Roman" w:eastAsia="宋体" w:cs="Times New Roman"/>
                      <w:b w:val="0"/>
                      <w:bCs w:val="0"/>
                      <w:color w:val="auto"/>
                      <w:spacing w:val="4"/>
                      <w:sz w:val="21"/>
                      <w:szCs w:val="21"/>
                    </w:rPr>
                    <w:t>目，水分</w:t>
                  </w:r>
                  <w:r>
                    <w:rPr>
                      <w:rFonts w:hint="default" w:ascii="Times New Roman" w:hAnsi="Times New Roman" w:cs="Times New Roman"/>
                      <w:b w:val="0"/>
                      <w:bCs w:val="0"/>
                      <w:color w:val="auto"/>
                      <w:spacing w:val="4"/>
                      <w:sz w:val="21"/>
                      <w:szCs w:val="21"/>
                    </w:rPr>
                    <w:t>≤8%</w:t>
                  </w:r>
                  <w:r>
                    <w:rPr>
                      <w:rFonts w:hint="default" w:ascii="Times New Roman" w:hAnsi="Times New Roman" w:eastAsia="宋体" w:cs="Times New Roman"/>
                      <w:b w:val="0"/>
                      <w:bCs w:val="0"/>
                      <w:color w:val="auto"/>
                      <w:spacing w:val="4"/>
                      <w:sz w:val="21"/>
                      <w:szCs w:val="21"/>
                    </w:rPr>
                    <w:t>，随钻堵漏剂改性植</w:t>
                  </w:r>
                  <w:r>
                    <w:rPr>
                      <w:rFonts w:hint="default" w:ascii="Times New Roman" w:hAnsi="Times New Roman" w:eastAsia="宋体" w:cs="Times New Roman"/>
                      <w:b w:val="0"/>
                      <w:bCs w:val="0"/>
                      <w:color w:val="auto"/>
                      <w:spacing w:val="9"/>
                      <w:sz w:val="21"/>
                      <w:szCs w:val="21"/>
                    </w:rPr>
                    <w:t>物纤维系改性天然植物高分子复合材料，具</w:t>
                  </w:r>
                  <w:r>
                    <w:rPr>
                      <w:rFonts w:hint="default" w:ascii="Times New Roman" w:hAnsi="Times New Roman" w:eastAsia="宋体" w:cs="Times New Roman"/>
                      <w:b w:val="0"/>
                      <w:bCs w:val="0"/>
                      <w:color w:val="auto"/>
                      <w:spacing w:val="8"/>
                      <w:sz w:val="21"/>
                      <w:szCs w:val="21"/>
                    </w:rPr>
                    <w:t>有良好的水溶胀桥接封堵动能，</w:t>
                  </w:r>
                  <w:r>
                    <w:rPr>
                      <w:rFonts w:hint="default" w:ascii="Times New Roman" w:hAnsi="Times New Roman" w:eastAsia="宋体" w:cs="Times New Roman"/>
                      <w:b w:val="0"/>
                      <w:bCs w:val="0"/>
                      <w:color w:val="auto"/>
                      <w:spacing w:val="9"/>
                      <w:sz w:val="21"/>
                      <w:szCs w:val="21"/>
                    </w:rPr>
                    <w:t>黏附性强，与传统的随钻堵漏剂相比，不受粒径</w:t>
                  </w:r>
                  <w:r>
                    <w:rPr>
                      <w:rFonts w:hint="default" w:ascii="Times New Roman" w:hAnsi="Times New Roman" w:cs="Times New Roman"/>
                      <w:b w:val="0"/>
                      <w:bCs w:val="0"/>
                      <w:color w:val="auto"/>
                      <w:spacing w:val="9"/>
                      <w:sz w:val="21"/>
                      <w:szCs w:val="21"/>
                    </w:rPr>
                    <w:t>“</w:t>
                  </w:r>
                  <w:r>
                    <w:rPr>
                      <w:rFonts w:hint="default" w:ascii="Times New Roman" w:hAnsi="Times New Roman" w:eastAsia="宋体" w:cs="Times New Roman"/>
                      <w:b w:val="0"/>
                      <w:bCs w:val="0"/>
                      <w:color w:val="auto"/>
                      <w:spacing w:val="9"/>
                      <w:sz w:val="21"/>
                      <w:szCs w:val="21"/>
                    </w:rPr>
                    <w:t>匹配</w:t>
                  </w:r>
                  <w:r>
                    <w:rPr>
                      <w:rFonts w:hint="default" w:ascii="Times New Roman" w:hAnsi="Times New Roman" w:cs="Times New Roman"/>
                      <w:b w:val="0"/>
                      <w:bCs w:val="0"/>
                      <w:color w:val="auto"/>
                      <w:spacing w:val="9"/>
                      <w:sz w:val="21"/>
                      <w:szCs w:val="21"/>
                    </w:rPr>
                    <w:t>”</w:t>
                  </w:r>
                  <w:r>
                    <w:rPr>
                      <w:rFonts w:hint="default" w:ascii="Times New Roman" w:hAnsi="Times New Roman" w:eastAsia="宋体" w:cs="Times New Roman"/>
                      <w:b w:val="0"/>
                      <w:bCs w:val="0"/>
                      <w:color w:val="auto"/>
                      <w:spacing w:val="9"/>
                      <w:sz w:val="21"/>
                      <w:szCs w:val="21"/>
                    </w:rPr>
                    <w:t>限制，适用于各种泥</w:t>
                  </w:r>
                  <w:r>
                    <w:rPr>
                      <w:rFonts w:hint="default" w:ascii="Times New Roman" w:hAnsi="Times New Roman" w:eastAsia="宋体" w:cs="Times New Roman"/>
                      <w:b w:val="0"/>
                      <w:bCs w:val="0"/>
                      <w:color w:val="auto"/>
                      <w:spacing w:val="7"/>
                      <w:sz w:val="21"/>
                      <w:szCs w:val="21"/>
                    </w:rPr>
                    <w:t>浆体系，</w:t>
                  </w:r>
                  <w:r>
                    <w:rPr>
                      <w:rFonts w:hint="default" w:ascii="Times New Roman" w:hAnsi="Times New Roman" w:eastAsia="宋体" w:cs="Times New Roman"/>
                      <w:b w:val="0"/>
                      <w:bCs w:val="0"/>
                      <w:color w:val="auto"/>
                      <w:spacing w:val="-46"/>
                      <w:sz w:val="21"/>
                      <w:szCs w:val="21"/>
                    </w:rPr>
                    <w:t xml:space="preserve"> </w:t>
                  </w:r>
                  <w:r>
                    <w:rPr>
                      <w:rFonts w:hint="default" w:ascii="Times New Roman" w:hAnsi="Times New Roman" w:eastAsia="宋体" w:cs="Times New Roman"/>
                      <w:b w:val="0"/>
                      <w:bCs w:val="0"/>
                      <w:color w:val="auto"/>
                      <w:spacing w:val="7"/>
                      <w:sz w:val="21"/>
                      <w:szCs w:val="21"/>
                    </w:rPr>
                    <w:t>可用于封堵漏失层，也可保护低压产层（油、气、水等）。</w:t>
                  </w:r>
                </w:p>
              </w:tc>
            </w:tr>
            <w:tr w14:paraId="7E33E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813" w:type="dxa"/>
                  <w:vMerge w:val="continue"/>
                  <w:vAlign w:val="center"/>
                </w:tcPr>
                <w:p w14:paraId="69D351A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val="0"/>
                      <w:bCs w:val="0"/>
                      <w:color w:val="auto"/>
                      <w:sz w:val="21"/>
                      <w:szCs w:val="21"/>
                    </w:rPr>
                  </w:pPr>
                </w:p>
              </w:tc>
              <w:tc>
                <w:tcPr>
                  <w:tcW w:w="1032" w:type="dxa"/>
                  <w:vAlign w:val="center"/>
                </w:tcPr>
                <w:p w14:paraId="4B78583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4"/>
                      <w:sz w:val="21"/>
                      <w:szCs w:val="21"/>
                    </w:rPr>
                    <w:t>絮凝剂</w:t>
                  </w:r>
                </w:p>
              </w:tc>
              <w:tc>
                <w:tcPr>
                  <w:tcW w:w="6374" w:type="dxa"/>
                  <w:vAlign w:val="center"/>
                </w:tcPr>
                <w:p w14:paraId="04AD0DA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9"/>
                      <w:sz w:val="21"/>
                      <w:szCs w:val="21"/>
                    </w:rPr>
                    <w:t>延缓混凝土凝结时间而对后期强度无明显影响的外加剂。主要成分为多羟基</w:t>
                  </w:r>
                  <w:r>
                    <w:rPr>
                      <w:rFonts w:hint="default" w:ascii="Times New Roman" w:hAnsi="Times New Roman" w:eastAsia="宋体" w:cs="Times New Roman"/>
                      <w:b w:val="0"/>
                      <w:bCs w:val="0"/>
                      <w:color w:val="auto"/>
                      <w:spacing w:val="7"/>
                      <w:sz w:val="21"/>
                      <w:szCs w:val="21"/>
                    </w:rPr>
                    <w:t>化合物、羟基羧酸盐及其衍生物、高糖木质素磺酸盐，</w:t>
                  </w:r>
                  <w:r>
                    <w:rPr>
                      <w:rFonts w:hint="default" w:ascii="Times New Roman" w:hAnsi="Times New Roman" w:eastAsia="宋体" w:cs="Times New Roman"/>
                      <w:b w:val="0"/>
                      <w:bCs w:val="0"/>
                      <w:color w:val="auto"/>
                      <w:spacing w:val="-45"/>
                      <w:sz w:val="21"/>
                      <w:szCs w:val="21"/>
                    </w:rPr>
                    <w:t xml:space="preserve"> </w:t>
                  </w:r>
                  <w:r>
                    <w:rPr>
                      <w:rFonts w:hint="default" w:ascii="Times New Roman" w:hAnsi="Times New Roman" w:eastAsia="宋体" w:cs="Times New Roman"/>
                      <w:b w:val="0"/>
                      <w:bCs w:val="0"/>
                      <w:color w:val="auto"/>
                      <w:spacing w:val="7"/>
                      <w:sz w:val="21"/>
                      <w:szCs w:val="21"/>
                    </w:rPr>
                    <w:t>因其兼有减水作用，</w:t>
                  </w:r>
                  <w:r>
                    <w:rPr>
                      <w:rFonts w:hint="default" w:ascii="Times New Roman" w:hAnsi="Times New Roman" w:eastAsia="宋体" w:cs="Times New Roman"/>
                      <w:b w:val="0"/>
                      <w:bCs w:val="0"/>
                      <w:color w:val="auto"/>
                      <w:spacing w:val="9"/>
                      <w:sz w:val="21"/>
                      <w:szCs w:val="21"/>
                    </w:rPr>
                    <w:t>也称缓凝减水剂。此外，一些无机盐如氯化锌、硼酸盐、各种磷酸盐也有缓</w:t>
                  </w:r>
                  <w:r>
                    <w:rPr>
                      <w:rFonts w:hint="default" w:ascii="Times New Roman" w:hAnsi="Times New Roman" w:eastAsia="宋体" w:cs="Times New Roman"/>
                      <w:b w:val="0"/>
                      <w:bCs w:val="0"/>
                      <w:color w:val="auto"/>
                      <w:spacing w:val="6"/>
                      <w:sz w:val="21"/>
                      <w:szCs w:val="21"/>
                    </w:rPr>
                    <w:t>凝作用。掺量为水泥用量的</w:t>
                  </w:r>
                  <w:r>
                    <w:rPr>
                      <w:rFonts w:hint="default" w:ascii="Times New Roman" w:hAnsi="Times New Roman" w:eastAsia="宋体" w:cs="Times New Roman"/>
                      <w:b w:val="0"/>
                      <w:bCs w:val="0"/>
                      <w:color w:val="auto"/>
                      <w:spacing w:val="-34"/>
                      <w:sz w:val="21"/>
                      <w:szCs w:val="21"/>
                    </w:rPr>
                    <w:t xml:space="preserve"> </w:t>
                  </w:r>
                  <w:r>
                    <w:rPr>
                      <w:rFonts w:hint="default" w:ascii="Times New Roman" w:hAnsi="Times New Roman" w:cs="Times New Roman"/>
                      <w:b w:val="0"/>
                      <w:bCs w:val="0"/>
                      <w:color w:val="auto"/>
                      <w:spacing w:val="6"/>
                      <w:sz w:val="21"/>
                      <w:szCs w:val="21"/>
                    </w:rPr>
                    <w:t>0.1%</w:t>
                  </w:r>
                  <w:r>
                    <w:rPr>
                      <w:rFonts w:hint="default" w:ascii="Times New Roman" w:hAnsi="Times New Roman" w:eastAsia="宋体" w:cs="Times New Roman"/>
                      <w:b w:val="0"/>
                      <w:bCs w:val="0"/>
                      <w:color w:val="auto"/>
                      <w:spacing w:val="6"/>
                      <w:sz w:val="21"/>
                      <w:szCs w:val="21"/>
                    </w:rPr>
                    <w:t>～</w:t>
                  </w:r>
                  <w:r>
                    <w:rPr>
                      <w:rFonts w:hint="default" w:ascii="Times New Roman" w:hAnsi="Times New Roman" w:cs="Times New Roman"/>
                      <w:b w:val="0"/>
                      <w:bCs w:val="0"/>
                      <w:color w:val="auto"/>
                      <w:spacing w:val="6"/>
                      <w:sz w:val="21"/>
                      <w:szCs w:val="21"/>
                    </w:rPr>
                    <w:t>0.6%</w:t>
                  </w:r>
                  <w:r>
                    <w:rPr>
                      <w:rFonts w:hint="default" w:ascii="Times New Roman" w:hAnsi="Times New Roman" w:eastAsia="宋体" w:cs="Times New Roman"/>
                      <w:b w:val="0"/>
                      <w:bCs w:val="0"/>
                      <w:color w:val="auto"/>
                      <w:spacing w:val="6"/>
                      <w:sz w:val="21"/>
                      <w:szCs w:val="21"/>
                    </w:rPr>
                    <w:t>。缓凝剂适用</w:t>
                  </w:r>
                  <w:r>
                    <w:rPr>
                      <w:rFonts w:hint="default" w:ascii="Times New Roman" w:hAnsi="Times New Roman" w:eastAsia="宋体" w:cs="Times New Roman"/>
                      <w:b w:val="0"/>
                      <w:bCs w:val="0"/>
                      <w:color w:val="auto"/>
                      <w:spacing w:val="5"/>
                      <w:sz w:val="21"/>
                      <w:szCs w:val="21"/>
                    </w:rPr>
                    <w:t>于高温条件下连续灌筑</w:t>
                  </w:r>
                  <w:r>
                    <w:rPr>
                      <w:rFonts w:hint="default" w:ascii="Times New Roman" w:hAnsi="Times New Roman" w:eastAsia="宋体" w:cs="Times New Roman"/>
                      <w:b w:val="0"/>
                      <w:bCs w:val="0"/>
                      <w:color w:val="auto"/>
                      <w:spacing w:val="9"/>
                      <w:sz w:val="21"/>
                      <w:szCs w:val="21"/>
                    </w:rPr>
                    <w:t>混凝土、大体积混凝土、预拌混凝土和泵送混</w:t>
                  </w:r>
                  <w:r>
                    <w:rPr>
                      <w:rFonts w:hint="default" w:ascii="Times New Roman" w:hAnsi="Times New Roman" w:eastAsia="宋体" w:cs="Times New Roman"/>
                      <w:b w:val="0"/>
                      <w:bCs w:val="0"/>
                      <w:color w:val="auto"/>
                      <w:spacing w:val="8"/>
                      <w:sz w:val="21"/>
                      <w:szCs w:val="21"/>
                    </w:rPr>
                    <w:t>凝土。</w:t>
                  </w:r>
                </w:p>
              </w:tc>
            </w:tr>
            <w:tr w14:paraId="40D5B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813" w:type="dxa"/>
                  <w:vMerge w:val="continue"/>
                  <w:vAlign w:val="center"/>
                </w:tcPr>
                <w:p w14:paraId="7C77483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val="0"/>
                      <w:bCs w:val="0"/>
                      <w:color w:val="auto"/>
                      <w:sz w:val="21"/>
                      <w:szCs w:val="21"/>
                    </w:rPr>
                  </w:pPr>
                </w:p>
              </w:tc>
              <w:tc>
                <w:tcPr>
                  <w:tcW w:w="1032" w:type="dxa"/>
                  <w:vAlign w:val="center"/>
                </w:tcPr>
                <w:p w14:paraId="2C49DBB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rPr>
                    <w:t>重晶石</w:t>
                  </w:r>
                </w:p>
              </w:tc>
              <w:tc>
                <w:tcPr>
                  <w:tcW w:w="6374" w:type="dxa"/>
                  <w:vAlign w:val="center"/>
                </w:tcPr>
                <w:p w14:paraId="2C562BBD">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7"/>
                      <w:sz w:val="21"/>
                      <w:szCs w:val="21"/>
                    </w:rPr>
                    <w:t>化学组成为</w:t>
                  </w:r>
                  <w:r>
                    <w:rPr>
                      <w:rFonts w:hint="default" w:ascii="Times New Roman" w:hAnsi="Times New Roman" w:eastAsia="宋体" w:cs="Times New Roman"/>
                      <w:b w:val="0"/>
                      <w:bCs w:val="0"/>
                      <w:color w:val="auto"/>
                      <w:spacing w:val="-37"/>
                      <w:sz w:val="21"/>
                      <w:szCs w:val="21"/>
                    </w:rPr>
                    <w:t xml:space="preserve"> </w:t>
                  </w:r>
                  <w:r>
                    <w:rPr>
                      <w:rFonts w:hint="default" w:ascii="Times New Roman" w:hAnsi="Times New Roman" w:cs="Times New Roman"/>
                      <w:b w:val="0"/>
                      <w:bCs w:val="0"/>
                      <w:color w:val="auto"/>
                      <w:sz w:val="21"/>
                      <w:szCs w:val="21"/>
                    </w:rPr>
                    <w:t>BaSO</w:t>
                  </w:r>
                  <w:r>
                    <w:rPr>
                      <w:rFonts w:hint="default" w:ascii="Times New Roman" w:hAnsi="Times New Roman" w:cs="Times New Roman"/>
                      <w:b w:val="0"/>
                      <w:bCs w:val="0"/>
                      <w:color w:val="auto"/>
                      <w:spacing w:val="7"/>
                      <w:position w:val="-3"/>
                      <w:sz w:val="21"/>
                      <w:szCs w:val="21"/>
                    </w:rPr>
                    <w:t>4</w:t>
                  </w:r>
                  <w:r>
                    <w:rPr>
                      <w:rFonts w:hint="default" w:ascii="Times New Roman" w:hAnsi="Times New Roman" w:cs="Times New Roman"/>
                      <w:b w:val="0"/>
                      <w:bCs w:val="0"/>
                      <w:color w:val="auto"/>
                      <w:spacing w:val="-6"/>
                      <w:position w:val="-3"/>
                      <w:sz w:val="21"/>
                      <w:szCs w:val="21"/>
                    </w:rPr>
                    <w:t xml:space="preserve"> </w:t>
                  </w:r>
                  <w:r>
                    <w:rPr>
                      <w:rFonts w:hint="default" w:ascii="Times New Roman" w:hAnsi="Times New Roman" w:eastAsia="宋体" w:cs="Times New Roman"/>
                      <w:b w:val="0"/>
                      <w:bCs w:val="0"/>
                      <w:color w:val="auto"/>
                      <w:spacing w:val="7"/>
                      <w:sz w:val="21"/>
                      <w:szCs w:val="21"/>
                    </w:rPr>
                    <w:t>，常呈厚板状或柱状晶体，</w:t>
                  </w:r>
                  <w:r>
                    <w:rPr>
                      <w:rFonts w:hint="default" w:ascii="Times New Roman" w:hAnsi="Times New Roman" w:eastAsia="宋体" w:cs="Times New Roman"/>
                      <w:b w:val="0"/>
                      <w:bCs w:val="0"/>
                      <w:color w:val="auto"/>
                      <w:spacing w:val="-36"/>
                      <w:sz w:val="21"/>
                      <w:szCs w:val="21"/>
                    </w:rPr>
                    <w:t xml:space="preserve"> </w:t>
                  </w:r>
                  <w:r>
                    <w:rPr>
                      <w:rFonts w:hint="default" w:ascii="Times New Roman" w:hAnsi="Times New Roman" w:eastAsia="宋体" w:cs="Times New Roman"/>
                      <w:b w:val="0"/>
                      <w:bCs w:val="0"/>
                      <w:color w:val="auto"/>
                      <w:spacing w:val="7"/>
                      <w:sz w:val="21"/>
                      <w:szCs w:val="21"/>
                    </w:rPr>
                    <w:t>多为致密块状、板状或粒状集</w:t>
                  </w:r>
                  <w:r>
                    <w:rPr>
                      <w:rFonts w:hint="default" w:ascii="Times New Roman" w:hAnsi="Times New Roman" w:eastAsia="宋体" w:cs="Times New Roman"/>
                      <w:b w:val="0"/>
                      <w:bCs w:val="0"/>
                      <w:color w:val="auto"/>
                      <w:sz w:val="21"/>
                      <w:szCs w:val="21"/>
                    </w:rPr>
                    <w:t xml:space="preserve"> </w:t>
                  </w:r>
                  <w:r>
                    <w:rPr>
                      <w:rFonts w:hint="default" w:ascii="Times New Roman" w:hAnsi="Times New Roman" w:eastAsia="宋体" w:cs="Times New Roman"/>
                      <w:b w:val="0"/>
                      <w:bCs w:val="0"/>
                      <w:color w:val="auto"/>
                      <w:spacing w:val="7"/>
                      <w:sz w:val="21"/>
                      <w:szCs w:val="21"/>
                    </w:rPr>
                    <w:t>合体。质纯时无色透明，含杂质时被染成各种颜色</w:t>
                  </w:r>
                  <w:r>
                    <w:rPr>
                      <w:rFonts w:hint="default" w:ascii="Times New Roman" w:hAnsi="Times New Roman" w:eastAsia="宋体" w:cs="Times New Roman"/>
                      <w:b w:val="0"/>
                      <w:bCs w:val="0"/>
                      <w:color w:val="auto"/>
                      <w:spacing w:val="6"/>
                      <w:sz w:val="21"/>
                      <w:szCs w:val="21"/>
                    </w:rPr>
                    <w:t>，条痕白色，</w:t>
                  </w:r>
                  <w:r>
                    <w:rPr>
                      <w:rFonts w:hint="default" w:ascii="Times New Roman" w:hAnsi="Times New Roman" w:eastAsia="宋体" w:cs="Times New Roman"/>
                      <w:b w:val="0"/>
                      <w:bCs w:val="0"/>
                      <w:color w:val="auto"/>
                      <w:spacing w:val="-34"/>
                      <w:sz w:val="21"/>
                      <w:szCs w:val="21"/>
                    </w:rPr>
                    <w:t xml:space="preserve"> </w:t>
                  </w:r>
                  <w:r>
                    <w:rPr>
                      <w:rFonts w:hint="default" w:ascii="Times New Roman" w:hAnsi="Times New Roman" w:eastAsia="宋体" w:cs="Times New Roman"/>
                      <w:b w:val="0"/>
                      <w:bCs w:val="0"/>
                      <w:color w:val="auto"/>
                      <w:spacing w:val="6"/>
                      <w:sz w:val="21"/>
                      <w:szCs w:val="21"/>
                    </w:rPr>
                    <w:t>玻璃光泽，</w:t>
                  </w:r>
                  <w:r>
                    <w:rPr>
                      <w:rFonts w:hint="default" w:ascii="Times New Roman" w:hAnsi="Times New Roman" w:eastAsia="宋体" w:cs="Times New Roman"/>
                      <w:b w:val="0"/>
                      <w:bCs w:val="0"/>
                      <w:color w:val="auto"/>
                      <w:spacing w:val="3"/>
                      <w:sz w:val="21"/>
                      <w:szCs w:val="21"/>
                    </w:rPr>
                    <w:t>透明至半透明。</w:t>
                  </w:r>
                </w:p>
              </w:tc>
            </w:tr>
          </w:tbl>
          <w:p w14:paraId="74D05993">
            <w:pPr>
              <w:widowControl w:val="0"/>
              <w:snapToGrid w:val="0"/>
              <w:spacing w:line="500" w:lineRule="exact"/>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压裂液</w:t>
            </w:r>
            <w:r>
              <w:rPr>
                <w:rFonts w:hint="default" w:ascii="Times New Roman" w:hAnsi="Times New Roman" w:eastAsia="宋体" w:cs="Times New Roman"/>
                <w:b/>
                <w:bCs/>
                <w:color w:val="auto"/>
                <w:sz w:val="24"/>
                <w:szCs w:val="24"/>
                <w:highlight w:val="none"/>
                <w:lang w:val="en-US" w:eastAsia="zh-CN"/>
              </w:rPr>
              <w:t>成分</w:t>
            </w:r>
          </w:p>
          <w:p w14:paraId="4388D4EF">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根据建设单位提供的资料，</w:t>
            </w:r>
            <w:r>
              <w:rPr>
                <w:rFonts w:hint="default" w:ascii="Times New Roman" w:hAnsi="Times New Roman" w:eastAsia="宋体" w:cs="Times New Roman"/>
                <w:color w:val="auto"/>
                <w:sz w:val="24"/>
                <w:szCs w:val="24"/>
                <w:highlight w:val="none"/>
              </w:rPr>
              <w:t>试油期压裂液使用量为</w:t>
            </w:r>
            <w:r>
              <w:rPr>
                <w:rFonts w:hint="default" w:ascii="Times New Roman" w:hAnsi="Times New Roman" w:eastAsia="宋体" w:cs="Times New Roman"/>
                <w:color w:val="auto"/>
                <w:sz w:val="24"/>
                <w:szCs w:val="24"/>
                <w:highlight w:val="none"/>
                <w:lang w:val="en-US" w:eastAsia="zh-CN"/>
              </w:rPr>
              <w:t>6128.4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，压裂液主要成分为胍胶、</w:t>
            </w:r>
            <w:r>
              <w:rPr>
                <w:rFonts w:hint="default" w:ascii="Times New Roman" w:hAnsi="Times New Roman" w:eastAsia="宋体" w:cs="Times New Roman"/>
                <w:color w:val="auto"/>
                <w:sz w:val="24"/>
                <w:szCs w:val="24"/>
                <w:highlight w:val="none"/>
                <w:lang w:val="en-US" w:eastAsia="zh-CN"/>
              </w:rPr>
              <w:t>复合添加剂</w:t>
            </w:r>
            <w:r>
              <w:rPr>
                <w:rFonts w:hint="default" w:ascii="Times New Roman" w:hAnsi="Times New Roman" w:eastAsia="宋体" w:cs="Times New Roman"/>
                <w:color w:val="auto"/>
                <w:sz w:val="24"/>
                <w:szCs w:val="24"/>
                <w:highlight w:val="none"/>
              </w:rPr>
              <w:t>及</w:t>
            </w:r>
            <w:r>
              <w:rPr>
                <w:rFonts w:hint="default" w:ascii="Times New Roman" w:hAnsi="Times New Roman" w:eastAsia="宋体" w:cs="Times New Roman"/>
                <w:color w:val="auto"/>
                <w:sz w:val="24"/>
                <w:szCs w:val="24"/>
                <w:highlight w:val="none"/>
                <w:lang w:val="en-US" w:eastAsia="zh-CN"/>
              </w:rPr>
              <w:t>交联剂</w:t>
            </w:r>
            <w:r>
              <w:rPr>
                <w:rFonts w:hint="default" w:ascii="Times New Roman" w:hAnsi="Times New Roman" w:eastAsia="宋体" w:cs="Times New Roman"/>
                <w:color w:val="auto"/>
                <w:sz w:val="24"/>
                <w:szCs w:val="24"/>
                <w:highlight w:val="none"/>
              </w:rPr>
              <w:t>等，</w:t>
            </w:r>
            <w:r>
              <w:rPr>
                <w:rFonts w:hint="default" w:ascii="Times New Roman" w:hAnsi="Times New Roman" w:eastAsia="宋体" w:cs="Times New Roman"/>
                <w:color w:val="auto"/>
                <w:sz w:val="24"/>
                <w:szCs w:val="24"/>
                <w:highlight w:val="none"/>
                <w:lang w:val="en-US" w:eastAsia="zh-CN"/>
              </w:rPr>
              <w:t>压裂液成分见表2-11</w:t>
            </w:r>
            <w:r>
              <w:rPr>
                <w:rFonts w:hint="default" w:ascii="Times New Roman" w:hAnsi="Times New Roman" w:eastAsia="宋体" w:cs="Times New Roman"/>
                <w:color w:val="auto"/>
                <w:sz w:val="24"/>
                <w:szCs w:val="24"/>
                <w:highlight w:val="none"/>
              </w:rPr>
              <w:t>。</w:t>
            </w:r>
          </w:p>
          <w:p w14:paraId="5A5E42B9">
            <w:pPr>
              <w:widowControl w:val="0"/>
              <w:snapToGrid w:val="0"/>
              <w:spacing w:line="500" w:lineRule="exac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表2-11 压裂液成分表</w:t>
            </w:r>
          </w:p>
          <w:tbl>
            <w:tblPr>
              <w:tblStyle w:val="12"/>
              <w:tblW w:w="821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
              <w:gridCol w:w="3035"/>
              <w:gridCol w:w="4211"/>
            </w:tblGrid>
            <w:tr w14:paraId="316AE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973" w:type="dxa"/>
                  <w:tcBorders>
                    <w:top w:val="single" w:color="auto" w:sz="4" w:space="0"/>
                    <w:left w:val="single" w:color="auto" w:sz="0" w:space="0"/>
                    <w:tl2br w:val="nil"/>
                  </w:tcBorders>
                  <w:shd w:val="clear" w:color="auto" w:fill="FFFFFF"/>
                  <w:vAlign w:val="center"/>
                </w:tcPr>
                <w:p w14:paraId="45FA4B5F">
                  <w:pPr>
                    <w:widowControl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3035" w:type="dxa"/>
                  <w:tcBorders>
                    <w:top w:val="single" w:color="auto" w:sz="4" w:space="0"/>
                  </w:tcBorders>
                  <w:shd w:val="clear" w:color="auto" w:fill="FFFFFF"/>
                  <w:vAlign w:val="center"/>
                </w:tcPr>
                <w:p w14:paraId="74834556">
                  <w:pPr>
                    <w:widowControl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压裂基液配方</w:t>
                  </w:r>
                </w:p>
              </w:tc>
              <w:tc>
                <w:tcPr>
                  <w:tcW w:w="4211" w:type="dxa"/>
                  <w:tcBorders>
                    <w:top w:val="single" w:color="auto" w:sz="4" w:space="0"/>
                    <w:right w:val="single" w:color="auto" w:sz="4" w:space="0"/>
                  </w:tcBorders>
                  <w:shd w:val="clear" w:color="auto" w:fill="FFFFFF"/>
                  <w:vAlign w:val="center"/>
                </w:tcPr>
                <w:p w14:paraId="699C1AA0">
                  <w:pPr>
                    <w:widowControl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0.4%胍胶+0.2%复合添加剂+0.3%交联剂</w:t>
                  </w:r>
                </w:p>
              </w:tc>
            </w:tr>
            <w:tr w14:paraId="2EBF1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973" w:type="dxa"/>
                  <w:tcBorders>
                    <w:left w:val="single" w:color="auto" w:sz="4" w:space="0"/>
                  </w:tcBorders>
                  <w:shd w:val="clear" w:color="auto" w:fill="FFFFFF"/>
                  <w:vAlign w:val="center"/>
                </w:tcPr>
                <w:p w14:paraId="5AF981D4">
                  <w:pPr>
                    <w:widowControl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3035" w:type="dxa"/>
                  <w:shd w:val="clear" w:color="auto" w:fill="FFFFFF"/>
                  <w:vAlign w:val="center"/>
                </w:tcPr>
                <w:p w14:paraId="5D078D15">
                  <w:pPr>
                    <w:widowControl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交联比</w:t>
                  </w:r>
                </w:p>
              </w:tc>
              <w:tc>
                <w:tcPr>
                  <w:tcW w:w="4211" w:type="dxa"/>
                  <w:tcBorders>
                    <w:right w:val="single" w:color="auto" w:sz="4" w:space="0"/>
                  </w:tcBorders>
                  <w:shd w:val="clear" w:color="auto" w:fill="FFFFFF"/>
                  <w:vAlign w:val="center"/>
                </w:tcPr>
                <w:p w14:paraId="0509F75A">
                  <w:pPr>
                    <w:widowControl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0.3%交联剂</w:t>
                  </w:r>
                </w:p>
              </w:tc>
            </w:tr>
            <w:tr w14:paraId="55947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973" w:type="dxa"/>
                  <w:tcBorders>
                    <w:left w:val="single" w:color="auto" w:sz="4" w:space="0"/>
                  </w:tcBorders>
                  <w:shd w:val="clear" w:color="auto" w:fill="FFFFFF"/>
                  <w:vAlign w:val="center"/>
                </w:tcPr>
                <w:p w14:paraId="770EAA45">
                  <w:pPr>
                    <w:widowControl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3035" w:type="dxa"/>
                  <w:shd w:val="clear" w:color="auto" w:fill="FFFFFF"/>
                  <w:vAlign w:val="center"/>
                </w:tcPr>
                <w:p w14:paraId="79BFEF0E">
                  <w:pPr>
                    <w:widowControl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基液粘度</w:t>
                  </w:r>
                </w:p>
              </w:tc>
              <w:tc>
                <w:tcPr>
                  <w:tcW w:w="4211" w:type="dxa"/>
                  <w:tcBorders>
                    <w:right w:val="single" w:color="auto" w:sz="4" w:space="0"/>
                  </w:tcBorders>
                  <w:shd w:val="clear" w:color="auto" w:fill="FFFFFF"/>
                  <w:vAlign w:val="center"/>
                </w:tcPr>
                <w:p w14:paraId="637D6DE6">
                  <w:pPr>
                    <w:widowControl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30~40mPa·s</w:t>
                  </w:r>
                </w:p>
              </w:tc>
            </w:tr>
            <w:tr w14:paraId="7634F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973" w:type="dxa"/>
                  <w:tcBorders>
                    <w:left w:val="single" w:color="auto" w:sz="4" w:space="0"/>
                  </w:tcBorders>
                  <w:shd w:val="clear" w:color="auto" w:fill="FFFFFF"/>
                  <w:vAlign w:val="center"/>
                </w:tcPr>
                <w:p w14:paraId="19CEE682">
                  <w:pPr>
                    <w:widowControl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3035" w:type="dxa"/>
                  <w:shd w:val="clear" w:color="auto" w:fill="FFFFFF"/>
                  <w:vAlign w:val="center"/>
                </w:tcPr>
                <w:p w14:paraId="0DBD0791">
                  <w:pPr>
                    <w:widowControl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冻胶粘度</w:t>
                  </w:r>
                </w:p>
              </w:tc>
              <w:tc>
                <w:tcPr>
                  <w:tcW w:w="4211" w:type="dxa"/>
                  <w:tcBorders>
                    <w:right w:val="single" w:color="auto" w:sz="4" w:space="0"/>
                  </w:tcBorders>
                  <w:shd w:val="clear" w:color="auto" w:fill="FFFFFF"/>
                  <w:vAlign w:val="center"/>
                </w:tcPr>
                <w:p w14:paraId="710133F9">
                  <w:pPr>
                    <w:widowControl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220mPa·s</w:t>
                  </w:r>
                </w:p>
              </w:tc>
            </w:tr>
            <w:tr w14:paraId="79B7C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973" w:type="dxa"/>
                  <w:tcBorders>
                    <w:left w:val="single" w:color="auto" w:sz="4" w:space="0"/>
                  </w:tcBorders>
                  <w:shd w:val="clear" w:color="auto" w:fill="FFFFFF"/>
                  <w:vAlign w:val="center"/>
                </w:tcPr>
                <w:p w14:paraId="1252EDDD">
                  <w:pPr>
                    <w:widowControl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3035" w:type="dxa"/>
                  <w:shd w:val="clear" w:color="auto" w:fill="FFFFFF"/>
                  <w:vAlign w:val="center"/>
                </w:tcPr>
                <w:p w14:paraId="7A6EF477">
                  <w:pPr>
                    <w:widowControl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pH值</w:t>
                  </w:r>
                </w:p>
              </w:tc>
              <w:tc>
                <w:tcPr>
                  <w:tcW w:w="4211" w:type="dxa"/>
                  <w:tcBorders>
                    <w:right w:val="single" w:color="auto" w:sz="4" w:space="0"/>
                  </w:tcBorders>
                  <w:shd w:val="clear" w:color="auto" w:fill="FFFFFF"/>
                  <w:vAlign w:val="center"/>
                </w:tcPr>
                <w:p w14:paraId="4B47F1AF">
                  <w:pPr>
                    <w:widowControl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9~10</w:t>
                  </w:r>
                </w:p>
              </w:tc>
            </w:tr>
            <w:tr w14:paraId="163CE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973" w:type="dxa"/>
                  <w:tcBorders>
                    <w:left w:val="single" w:color="auto" w:sz="4" w:space="0"/>
                    <w:bottom w:val="single" w:color="auto" w:sz="4" w:space="0"/>
                  </w:tcBorders>
                  <w:shd w:val="clear" w:color="auto" w:fill="FFFFFF"/>
                  <w:vAlign w:val="center"/>
                </w:tcPr>
                <w:p w14:paraId="1B3449D1">
                  <w:pPr>
                    <w:widowControl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3035" w:type="dxa"/>
                  <w:tcBorders>
                    <w:bottom w:val="single" w:color="auto" w:sz="4" w:space="0"/>
                  </w:tcBorders>
                  <w:shd w:val="clear" w:color="auto" w:fill="FFFFFF"/>
                  <w:vAlign w:val="center"/>
                </w:tcPr>
                <w:p w14:paraId="38449C30">
                  <w:pPr>
                    <w:widowControl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滑溜水配方</w:t>
                  </w:r>
                </w:p>
              </w:tc>
              <w:tc>
                <w:tcPr>
                  <w:tcW w:w="4211" w:type="dxa"/>
                  <w:tcBorders>
                    <w:bottom w:val="single" w:color="auto" w:sz="4" w:space="0"/>
                    <w:right w:val="single" w:color="auto" w:sz="4" w:space="0"/>
                  </w:tcBorders>
                  <w:shd w:val="clear" w:color="auto" w:fill="FFFFFF"/>
                  <w:vAlign w:val="center"/>
                </w:tcPr>
                <w:p w14:paraId="2EEA8430">
                  <w:pPr>
                    <w:widowControl w:val="0"/>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0.05%～0.2%环保型减阻剂</w:t>
                  </w:r>
                </w:p>
              </w:tc>
            </w:tr>
            <w:bookmarkEnd w:id="15"/>
          </w:tbl>
          <w:p w14:paraId="0867EF24">
            <w:pPr>
              <w:pStyle w:val="16"/>
              <w:widowControl w:val="0"/>
              <w:spacing w:before="283" w:line="228" w:lineRule="auto"/>
              <w:rPr>
                <w:rFonts w:hint="default" w:ascii="Times New Roman" w:hAnsi="Times New Roman" w:eastAsia="宋体" w:cs="Times New Roman"/>
                <w:color w:val="auto"/>
                <w:sz w:val="24"/>
                <w:szCs w:val="24"/>
                <w:highlight w:val="none"/>
              </w:rPr>
            </w:pPr>
            <w:r>
              <w:rPr>
                <w:rFonts w:hint="eastAsia" w:ascii="Times New Roman" w:hAnsi="Times New Roman" w:cs="Times New Roman"/>
                <w:b/>
                <w:bCs/>
                <w:color w:val="auto"/>
                <w:spacing w:val="3"/>
                <w:sz w:val="24"/>
                <w:szCs w:val="24"/>
                <w:highlight w:val="none"/>
                <w:lang w:val="en-US" w:eastAsia="zh-CN"/>
              </w:rPr>
              <w:t>8</w:t>
            </w:r>
            <w:r>
              <w:rPr>
                <w:rFonts w:hint="default" w:ascii="Times New Roman" w:hAnsi="Times New Roman" w:eastAsia="宋体" w:cs="Times New Roman"/>
                <w:b/>
                <w:bCs/>
                <w:color w:val="auto"/>
                <w:spacing w:val="3"/>
                <w:sz w:val="24"/>
                <w:szCs w:val="24"/>
                <w:highlight w:val="none"/>
              </w:rPr>
              <w:t>.能源物料消耗</w:t>
            </w:r>
          </w:p>
          <w:p w14:paraId="29F449C0">
            <w:pPr>
              <w:widowControl w:val="0"/>
              <w:snapToGrid w:val="0"/>
              <w:spacing w:line="500" w:lineRule="exact"/>
              <w:ind w:firstLine="480" w:firstLineChars="200"/>
              <w:jc w:val="both"/>
              <w:rPr>
                <w:rFonts w:hint="default" w:ascii="Times New Roman" w:hAnsi="Times New Roman" w:eastAsia="宋体" w:cs="Times New Roman"/>
                <w:color w:val="auto"/>
                <w:spacing w:val="7"/>
                <w:sz w:val="24"/>
                <w:szCs w:val="24"/>
                <w:highlight w:val="none"/>
              </w:rPr>
            </w:pPr>
            <w:r>
              <w:rPr>
                <w:rFonts w:hint="default" w:ascii="Times New Roman" w:hAnsi="Times New Roman" w:eastAsia="宋体" w:cs="Times New Roman"/>
                <w:color w:val="auto"/>
                <w:sz w:val="24"/>
                <w:szCs w:val="24"/>
                <w:highlight w:val="none"/>
                <w:lang w:val="en-US" w:eastAsia="en-US" w:bidi="ar"/>
              </w:rPr>
              <w:t>施工期间消耗的主要物料及能耗包括：钻井液、压裂液、柴油、新鲜水等</w:t>
            </w:r>
            <w:r>
              <w:rPr>
                <w:rFonts w:hint="eastAsia" w:ascii="Times New Roman" w:hAnsi="Times New Roman" w:eastAsia="宋体" w:cs="Times New Roman"/>
                <w:color w:val="auto"/>
                <w:sz w:val="24"/>
                <w:szCs w:val="24"/>
                <w:highlight w:val="none"/>
                <w:lang w:val="en-US" w:eastAsia="zh-CN" w:bidi="ar"/>
              </w:rPr>
              <w:t>，根据建设单位历年勘探井运行提供经验数据，项目主要原料及其能耗</w:t>
            </w:r>
            <w:r>
              <w:rPr>
                <w:rFonts w:hint="default" w:ascii="Times New Roman" w:hAnsi="Times New Roman" w:eastAsia="宋体" w:cs="Times New Roman"/>
                <w:color w:val="auto"/>
                <w:sz w:val="24"/>
                <w:szCs w:val="24"/>
                <w:highlight w:val="none"/>
                <w:lang w:val="en-US" w:eastAsia="en-US" w:bidi="ar"/>
              </w:rPr>
              <w:t>消耗情况见表</w:t>
            </w:r>
            <w:r>
              <w:rPr>
                <w:rFonts w:hint="eastAsia" w:ascii="Times New Roman" w:hAnsi="Times New Roman" w:eastAsia="宋体" w:cs="Times New Roman"/>
                <w:color w:val="auto"/>
                <w:sz w:val="24"/>
                <w:szCs w:val="24"/>
                <w:highlight w:val="none"/>
                <w:lang w:val="en-US" w:eastAsia="zh-CN" w:bidi="ar"/>
              </w:rPr>
              <w:t>2-12</w:t>
            </w:r>
            <w:r>
              <w:rPr>
                <w:rFonts w:hint="default" w:ascii="Times New Roman" w:hAnsi="Times New Roman" w:eastAsia="宋体" w:cs="Times New Roman"/>
                <w:color w:val="auto"/>
                <w:sz w:val="24"/>
                <w:szCs w:val="24"/>
                <w:highlight w:val="none"/>
                <w:lang w:val="en-US" w:eastAsia="en-US" w:bidi="ar"/>
              </w:rPr>
              <w:t>。</w:t>
            </w:r>
          </w:p>
          <w:p w14:paraId="02FBD2DD">
            <w:pPr>
              <w:widowControl w:val="0"/>
              <w:snapToGrid w:val="0"/>
              <w:spacing w:line="50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w:t>
            </w:r>
            <w:r>
              <w:rPr>
                <w:rFonts w:hint="default" w:ascii="Times New Roman" w:hAnsi="Times New Roman" w:eastAsia="宋体" w:cs="Times New Roman"/>
                <w:b/>
                <w:bCs/>
                <w:color w:val="auto"/>
                <w:sz w:val="21"/>
                <w:szCs w:val="21"/>
                <w:highlight w:val="none"/>
                <w:lang w:val="en-US" w:eastAsia="zh-CN"/>
              </w:rPr>
              <w:t xml:space="preserve">12 </w:t>
            </w:r>
            <w:r>
              <w:rPr>
                <w:rFonts w:hint="default" w:ascii="Times New Roman" w:hAnsi="Times New Roman" w:eastAsia="宋体" w:cs="Times New Roman"/>
                <w:b/>
                <w:bCs/>
                <w:color w:val="auto"/>
                <w:sz w:val="21"/>
                <w:szCs w:val="21"/>
                <w:highlight w:val="none"/>
              </w:rPr>
              <w:t>施工期主要材料及能源用量一览表</w:t>
            </w:r>
          </w:p>
          <w:tbl>
            <w:tblPr>
              <w:tblStyle w:val="11"/>
              <w:tblW w:w="498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65"/>
              <w:gridCol w:w="2030"/>
              <w:gridCol w:w="3463"/>
              <w:gridCol w:w="1989"/>
            </w:tblGrid>
            <w:tr w14:paraId="3914B2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93" w:hRule="atLeast"/>
                <w:jc w:val="center"/>
              </w:trPr>
              <w:tc>
                <w:tcPr>
                  <w:tcW w:w="3779" w:type="pct"/>
                  <w:gridSpan w:val="3"/>
                  <w:tcBorders>
                    <w:top w:val="single" w:color="auto" w:sz="4" w:space="0"/>
                    <w:left w:val="single" w:color="auto" w:sz="0" w:space="0"/>
                  </w:tcBorders>
                  <w:vAlign w:val="center"/>
                </w:tcPr>
                <w:p w14:paraId="4382E966">
                  <w:pPr>
                    <w:snapToGrid w:val="0"/>
                    <w:jc w:val="center"/>
                    <w:rPr>
                      <w:rFonts w:hint="default" w:ascii="Times New Roman" w:hAnsi="Times New Roman" w:eastAsia="宋体" w:cs="Times New Roman"/>
                      <w:b/>
                      <w:bCs/>
                      <w:color w:val="auto"/>
                      <w:sz w:val="21"/>
                      <w:szCs w:val="21"/>
                      <w:highlight w:val="none"/>
                    </w:rPr>
                  </w:pPr>
                  <w:bookmarkStart w:id="16" w:name="_Hlk176174647"/>
                  <w:r>
                    <w:rPr>
                      <w:rFonts w:hint="default" w:ascii="Times New Roman" w:hAnsi="Times New Roman" w:eastAsia="宋体" w:cs="Times New Roman"/>
                      <w:b/>
                      <w:bCs/>
                      <w:color w:val="auto"/>
                      <w:sz w:val="21"/>
                      <w:szCs w:val="21"/>
                      <w:highlight w:val="none"/>
                    </w:rPr>
                    <w:t>物料/能源名称</w:t>
                  </w:r>
                </w:p>
              </w:tc>
              <w:tc>
                <w:tcPr>
                  <w:tcW w:w="1220" w:type="pct"/>
                  <w:tcBorders>
                    <w:top w:val="single" w:color="auto" w:sz="4" w:space="0"/>
                    <w:right w:val="single" w:color="auto" w:sz="4" w:space="0"/>
                  </w:tcBorders>
                  <w:vAlign w:val="center"/>
                </w:tcPr>
                <w:p w14:paraId="2DA5A444">
                  <w:pPr>
                    <w:snapToGrid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总用量</w:t>
                  </w:r>
                </w:p>
              </w:tc>
            </w:tr>
            <w:tr w14:paraId="339093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93" w:hRule="atLeast"/>
                <w:jc w:val="center"/>
              </w:trPr>
              <w:tc>
                <w:tcPr>
                  <w:tcW w:w="408" w:type="pct"/>
                  <w:vMerge w:val="restart"/>
                  <w:tcBorders>
                    <w:left w:val="single" w:color="auto" w:sz="4" w:space="0"/>
                  </w:tcBorders>
                  <w:vAlign w:val="center"/>
                </w:tcPr>
                <w:p w14:paraId="708D1147">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主要材料</w:t>
                  </w:r>
                </w:p>
              </w:tc>
              <w:tc>
                <w:tcPr>
                  <w:tcW w:w="1245" w:type="pct"/>
                  <w:vMerge w:val="restart"/>
                  <w:vAlign w:val="center"/>
                </w:tcPr>
                <w:p w14:paraId="042BFE7B">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钻井液</w:t>
                  </w:r>
                </w:p>
              </w:tc>
              <w:tc>
                <w:tcPr>
                  <w:tcW w:w="2125" w:type="pct"/>
                  <w:vAlign w:val="center"/>
                </w:tcPr>
                <w:p w14:paraId="0E18695C">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水基钻井液（m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220" w:type="pct"/>
                  <w:tcBorders>
                    <w:right w:val="single" w:color="auto" w:sz="4" w:space="0"/>
                  </w:tcBorders>
                  <w:vAlign w:val="center"/>
                </w:tcPr>
                <w:p w14:paraId="577580F9">
                  <w:pPr>
                    <w:pStyle w:val="1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15000</w:t>
                  </w:r>
                </w:p>
              </w:tc>
            </w:tr>
            <w:tr w14:paraId="42E502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93" w:hRule="atLeast"/>
                <w:jc w:val="center"/>
              </w:trPr>
              <w:tc>
                <w:tcPr>
                  <w:tcW w:w="408" w:type="pct"/>
                  <w:vMerge w:val="continue"/>
                  <w:tcBorders>
                    <w:left w:val="single" w:color="auto" w:sz="4" w:space="0"/>
                  </w:tcBorders>
                  <w:vAlign w:val="center"/>
                </w:tcPr>
                <w:p w14:paraId="6B71BAD0">
                  <w:pPr>
                    <w:snapToGrid w:val="0"/>
                    <w:jc w:val="center"/>
                    <w:rPr>
                      <w:rFonts w:hint="default" w:ascii="Times New Roman" w:hAnsi="Times New Roman" w:eastAsia="宋体" w:cs="Times New Roman"/>
                      <w:color w:val="auto"/>
                      <w:sz w:val="21"/>
                      <w:szCs w:val="21"/>
                      <w:highlight w:val="none"/>
                    </w:rPr>
                  </w:pPr>
                </w:p>
              </w:tc>
              <w:tc>
                <w:tcPr>
                  <w:tcW w:w="1245" w:type="pct"/>
                  <w:vMerge w:val="continue"/>
                  <w:vAlign w:val="center"/>
                </w:tcPr>
                <w:p w14:paraId="2A0ABA61">
                  <w:pPr>
                    <w:snapToGrid w:val="0"/>
                    <w:jc w:val="center"/>
                    <w:rPr>
                      <w:rFonts w:hint="default" w:ascii="Times New Roman" w:hAnsi="Times New Roman" w:eastAsia="宋体" w:cs="Times New Roman"/>
                      <w:color w:val="auto"/>
                      <w:sz w:val="21"/>
                      <w:szCs w:val="21"/>
                      <w:highlight w:val="none"/>
                    </w:rPr>
                  </w:pPr>
                </w:p>
              </w:tc>
              <w:tc>
                <w:tcPr>
                  <w:tcW w:w="2125" w:type="pct"/>
                  <w:vAlign w:val="center"/>
                </w:tcPr>
                <w:p w14:paraId="6C1FFE26">
                  <w:pPr>
                    <w:pStyle w:val="1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油基钻井液</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220" w:type="pct"/>
                  <w:tcBorders>
                    <w:right w:val="single" w:color="auto" w:sz="4" w:space="0"/>
                  </w:tcBorders>
                  <w:vAlign w:val="center"/>
                </w:tcPr>
                <w:p w14:paraId="51006F82">
                  <w:pPr>
                    <w:pStyle w:val="1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w:t>
                  </w:r>
                </w:p>
              </w:tc>
            </w:tr>
            <w:tr w14:paraId="07D1B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93" w:hRule="atLeast"/>
                <w:jc w:val="center"/>
              </w:trPr>
              <w:tc>
                <w:tcPr>
                  <w:tcW w:w="408" w:type="pct"/>
                  <w:vMerge w:val="continue"/>
                  <w:tcBorders>
                    <w:left w:val="single" w:color="auto" w:sz="4" w:space="0"/>
                  </w:tcBorders>
                  <w:vAlign w:val="center"/>
                </w:tcPr>
                <w:p w14:paraId="49C9E3C2">
                  <w:pPr>
                    <w:snapToGrid w:val="0"/>
                    <w:jc w:val="center"/>
                    <w:rPr>
                      <w:rFonts w:hint="default" w:ascii="Times New Roman" w:hAnsi="Times New Roman" w:eastAsia="宋体" w:cs="Times New Roman"/>
                      <w:color w:val="auto"/>
                      <w:sz w:val="21"/>
                      <w:szCs w:val="21"/>
                      <w:highlight w:val="none"/>
                    </w:rPr>
                  </w:pPr>
                </w:p>
              </w:tc>
              <w:tc>
                <w:tcPr>
                  <w:tcW w:w="3370" w:type="pct"/>
                  <w:gridSpan w:val="2"/>
                  <w:vAlign w:val="center"/>
                </w:tcPr>
                <w:p w14:paraId="5F8F1D1E">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压裂液（m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220" w:type="pct"/>
                  <w:tcBorders>
                    <w:right w:val="single" w:color="auto" w:sz="4" w:space="0"/>
                  </w:tcBorders>
                  <w:vAlign w:val="center"/>
                </w:tcPr>
                <w:p w14:paraId="078EC9D4">
                  <w:pPr>
                    <w:pStyle w:val="1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6128.4</w:t>
                  </w:r>
                </w:p>
              </w:tc>
            </w:tr>
            <w:tr w14:paraId="1A204D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93" w:hRule="atLeast"/>
                <w:jc w:val="center"/>
              </w:trPr>
              <w:tc>
                <w:tcPr>
                  <w:tcW w:w="408" w:type="pct"/>
                  <w:vMerge w:val="continue"/>
                  <w:tcBorders>
                    <w:left w:val="single" w:color="auto" w:sz="4" w:space="0"/>
                  </w:tcBorders>
                  <w:vAlign w:val="center"/>
                </w:tcPr>
                <w:p w14:paraId="3E2EB4D6">
                  <w:pPr>
                    <w:snapToGrid w:val="0"/>
                    <w:jc w:val="center"/>
                    <w:rPr>
                      <w:rFonts w:hint="default" w:ascii="Times New Roman" w:hAnsi="Times New Roman" w:eastAsia="宋体" w:cs="Times New Roman"/>
                      <w:color w:val="auto"/>
                      <w:sz w:val="21"/>
                      <w:szCs w:val="21"/>
                      <w:highlight w:val="none"/>
                    </w:rPr>
                  </w:pPr>
                </w:p>
              </w:tc>
              <w:tc>
                <w:tcPr>
                  <w:tcW w:w="3370" w:type="pct"/>
                  <w:gridSpan w:val="2"/>
                  <w:vAlign w:val="center"/>
                </w:tcPr>
                <w:p w14:paraId="13864632">
                  <w:pPr>
                    <w:pStyle w:val="1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固井水泥（</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eastAsia" w:ascii="Times New Roman" w:hAnsi="Times New Roman" w:eastAsia="宋体" w:cs="Times New Roman"/>
                      <w:color w:val="auto"/>
                      <w:sz w:val="21"/>
                      <w:szCs w:val="21"/>
                      <w:highlight w:val="none"/>
                      <w:lang w:val="en-US" w:eastAsia="zh-CN"/>
                    </w:rPr>
                    <w:t>）</w:t>
                  </w:r>
                </w:p>
              </w:tc>
              <w:tc>
                <w:tcPr>
                  <w:tcW w:w="1220" w:type="pct"/>
                  <w:tcBorders>
                    <w:right w:val="single" w:color="auto" w:sz="4" w:space="0"/>
                  </w:tcBorders>
                  <w:vAlign w:val="center"/>
                </w:tcPr>
                <w:p w14:paraId="60CD8782">
                  <w:pPr>
                    <w:pStyle w:val="1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254</w:t>
                  </w:r>
                </w:p>
              </w:tc>
            </w:tr>
            <w:tr w14:paraId="3D33B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93" w:hRule="atLeast"/>
                <w:jc w:val="center"/>
              </w:trPr>
              <w:tc>
                <w:tcPr>
                  <w:tcW w:w="408" w:type="pct"/>
                  <w:vMerge w:val="restart"/>
                  <w:tcBorders>
                    <w:left w:val="single" w:color="auto" w:sz="4" w:space="0"/>
                  </w:tcBorders>
                  <w:vAlign w:val="center"/>
                </w:tcPr>
                <w:p w14:paraId="266CCCBD">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能源</w:t>
                  </w:r>
                </w:p>
              </w:tc>
              <w:tc>
                <w:tcPr>
                  <w:tcW w:w="1245" w:type="pct"/>
                  <w:vMerge w:val="restart"/>
                  <w:vAlign w:val="center"/>
                </w:tcPr>
                <w:p w14:paraId="76A7AA6B">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新鲜水</w:t>
                  </w:r>
                </w:p>
              </w:tc>
              <w:tc>
                <w:tcPr>
                  <w:tcW w:w="2125" w:type="pct"/>
                  <w:vAlign w:val="center"/>
                </w:tcPr>
                <w:p w14:paraId="1A8A5C15">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洗井用水（m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220" w:type="pct"/>
                  <w:tcBorders>
                    <w:right w:val="single" w:color="auto" w:sz="4" w:space="0"/>
                  </w:tcBorders>
                  <w:vAlign w:val="center"/>
                </w:tcPr>
                <w:p w14:paraId="5908B276">
                  <w:pPr>
                    <w:spacing w:before="65" w:line="195"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
                    </w:rPr>
                    <w:t>603</w:t>
                  </w:r>
                </w:p>
              </w:tc>
            </w:tr>
            <w:tr w14:paraId="3A881B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93" w:hRule="atLeast"/>
                <w:jc w:val="center"/>
              </w:trPr>
              <w:tc>
                <w:tcPr>
                  <w:tcW w:w="408" w:type="pct"/>
                  <w:vMerge w:val="continue"/>
                  <w:tcBorders>
                    <w:left w:val="single" w:color="auto" w:sz="4" w:space="0"/>
                  </w:tcBorders>
                  <w:vAlign w:val="center"/>
                </w:tcPr>
                <w:p w14:paraId="23D9C116">
                  <w:pPr>
                    <w:snapToGrid w:val="0"/>
                    <w:jc w:val="center"/>
                    <w:rPr>
                      <w:rFonts w:hint="default" w:ascii="Times New Roman" w:hAnsi="Times New Roman" w:eastAsia="宋体" w:cs="Times New Roman"/>
                      <w:color w:val="auto"/>
                      <w:sz w:val="21"/>
                      <w:szCs w:val="21"/>
                      <w:highlight w:val="none"/>
                    </w:rPr>
                  </w:pPr>
                </w:p>
              </w:tc>
              <w:tc>
                <w:tcPr>
                  <w:tcW w:w="1245" w:type="pct"/>
                  <w:vMerge w:val="continue"/>
                  <w:vAlign w:val="center"/>
                </w:tcPr>
                <w:p w14:paraId="34C26648">
                  <w:pPr>
                    <w:snapToGrid w:val="0"/>
                    <w:jc w:val="center"/>
                    <w:rPr>
                      <w:rFonts w:hint="default" w:ascii="Times New Roman" w:hAnsi="Times New Roman" w:eastAsia="宋体" w:cs="Times New Roman"/>
                      <w:color w:val="auto"/>
                      <w:sz w:val="21"/>
                      <w:szCs w:val="21"/>
                      <w:highlight w:val="none"/>
                    </w:rPr>
                  </w:pPr>
                </w:p>
              </w:tc>
              <w:tc>
                <w:tcPr>
                  <w:tcW w:w="2125" w:type="pct"/>
                  <w:vAlign w:val="center"/>
                </w:tcPr>
                <w:p w14:paraId="0EE36A97">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生活用水（m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220" w:type="pct"/>
                  <w:tcBorders>
                    <w:right w:val="single" w:color="auto" w:sz="4" w:space="0"/>
                  </w:tcBorders>
                  <w:shd w:val="clear" w:color="auto" w:fill="auto"/>
                  <w:vAlign w:val="center"/>
                </w:tcPr>
                <w:p w14:paraId="449FFE4A">
                  <w:pPr>
                    <w:spacing w:before="64" w:line="195"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
                    </w:rPr>
                    <w:t>3150</w:t>
                  </w:r>
                </w:p>
              </w:tc>
            </w:tr>
            <w:tr w14:paraId="3681C4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93" w:hRule="atLeast"/>
                <w:jc w:val="center"/>
              </w:trPr>
              <w:tc>
                <w:tcPr>
                  <w:tcW w:w="408" w:type="pct"/>
                  <w:vMerge w:val="continue"/>
                  <w:tcBorders>
                    <w:left w:val="single" w:color="auto" w:sz="4" w:space="0"/>
                  </w:tcBorders>
                  <w:vAlign w:val="center"/>
                </w:tcPr>
                <w:p w14:paraId="3C530BC3">
                  <w:pPr>
                    <w:snapToGrid w:val="0"/>
                    <w:jc w:val="center"/>
                    <w:rPr>
                      <w:rFonts w:hint="default" w:ascii="Times New Roman" w:hAnsi="Times New Roman" w:eastAsia="宋体" w:cs="Times New Roman"/>
                      <w:color w:val="auto"/>
                      <w:sz w:val="21"/>
                      <w:szCs w:val="21"/>
                      <w:highlight w:val="none"/>
                    </w:rPr>
                  </w:pPr>
                </w:p>
              </w:tc>
              <w:tc>
                <w:tcPr>
                  <w:tcW w:w="1245" w:type="pct"/>
                  <w:vMerge w:val="continue"/>
                  <w:vAlign w:val="center"/>
                </w:tcPr>
                <w:p w14:paraId="2E6629C7">
                  <w:pPr>
                    <w:snapToGrid w:val="0"/>
                    <w:jc w:val="center"/>
                    <w:rPr>
                      <w:rFonts w:hint="default" w:ascii="Times New Roman" w:hAnsi="Times New Roman" w:eastAsia="宋体" w:cs="Times New Roman"/>
                      <w:color w:val="auto"/>
                      <w:sz w:val="21"/>
                      <w:szCs w:val="21"/>
                      <w:highlight w:val="none"/>
                    </w:rPr>
                  </w:pPr>
                </w:p>
              </w:tc>
              <w:tc>
                <w:tcPr>
                  <w:tcW w:w="2125" w:type="pct"/>
                  <w:shd w:val="clear" w:color="auto" w:fill="auto"/>
                  <w:vAlign w:val="center"/>
                </w:tcPr>
                <w:p w14:paraId="16441975">
                  <w:pPr>
                    <w:pStyle w:val="19"/>
                    <w:jc w:val="center"/>
                    <w:rPr>
                      <w:rFonts w:hint="default" w:ascii="Times New Roman" w:hAnsi="Times New Roman" w:eastAsia="宋体" w:cs="Times New Roman"/>
                      <w:color w:val="auto"/>
                      <w:sz w:val="21"/>
                      <w:szCs w:val="21"/>
                      <w:highlight w:val="none"/>
                      <w:lang w:val="en-US" w:eastAsia="en-US"/>
                    </w:rPr>
                  </w:pPr>
                  <w:r>
                    <w:rPr>
                      <w:rFonts w:hint="eastAsia" w:ascii="Times New Roman" w:hAnsi="Times New Roman" w:eastAsia="宋体" w:cs="Times New Roman"/>
                      <w:color w:val="auto"/>
                      <w:sz w:val="21"/>
                      <w:szCs w:val="21"/>
                      <w:highlight w:val="none"/>
                      <w:lang w:val="en-US" w:eastAsia="zh-CN"/>
                    </w:rPr>
                    <w:t>水基</w:t>
                  </w:r>
                  <w:r>
                    <w:rPr>
                      <w:rFonts w:hint="default" w:ascii="Times New Roman" w:hAnsi="Times New Roman" w:eastAsia="宋体" w:cs="Times New Roman"/>
                      <w:color w:val="auto"/>
                      <w:sz w:val="21"/>
                      <w:szCs w:val="21"/>
                      <w:highlight w:val="none"/>
                    </w:rPr>
                    <w:t>钻井</w:t>
                  </w:r>
                  <w:r>
                    <w:rPr>
                      <w:rFonts w:hint="default" w:ascii="Times New Roman" w:hAnsi="Times New Roman" w:eastAsia="宋体" w:cs="Times New Roman"/>
                      <w:color w:val="auto"/>
                      <w:sz w:val="21"/>
                      <w:szCs w:val="21"/>
                      <w:highlight w:val="none"/>
                      <w:lang w:val="en-US" w:eastAsia="zh-CN"/>
                    </w:rPr>
                    <w:t>液配比</w:t>
                  </w:r>
                  <w:r>
                    <w:rPr>
                      <w:rFonts w:hint="default" w:ascii="Times New Roman" w:hAnsi="Times New Roman" w:eastAsia="宋体" w:cs="Times New Roman"/>
                      <w:color w:val="auto"/>
                      <w:sz w:val="21"/>
                      <w:szCs w:val="21"/>
                      <w:highlight w:val="none"/>
                    </w:rPr>
                    <w:t>用水（m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220" w:type="pct"/>
                  <w:tcBorders>
                    <w:right w:val="single" w:color="auto" w:sz="4" w:space="0"/>
                  </w:tcBorders>
                  <w:shd w:val="clear" w:color="auto" w:fill="auto"/>
                  <w:vAlign w:val="center"/>
                </w:tcPr>
                <w:p w14:paraId="1E6C458C">
                  <w:pPr>
                    <w:spacing w:before="65" w:line="195"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
                    </w:rPr>
                    <w:t>12000</w:t>
                  </w:r>
                </w:p>
              </w:tc>
            </w:tr>
            <w:tr w14:paraId="4B2A0C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93" w:hRule="atLeast"/>
                <w:jc w:val="center"/>
              </w:trPr>
              <w:tc>
                <w:tcPr>
                  <w:tcW w:w="408" w:type="pct"/>
                  <w:vMerge w:val="continue"/>
                  <w:tcBorders>
                    <w:left w:val="single" w:color="auto" w:sz="4" w:space="0"/>
                  </w:tcBorders>
                  <w:vAlign w:val="center"/>
                </w:tcPr>
                <w:p w14:paraId="4D4687C9">
                  <w:pPr>
                    <w:snapToGrid w:val="0"/>
                    <w:jc w:val="center"/>
                    <w:rPr>
                      <w:rFonts w:hint="default" w:ascii="Times New Roman" w:hAnsi="Times New Roman" w:eastAsia="宋体" w:cs="Times New Roman"/>
                      <w:color w:val="auto"/>
                      <w:sz w:val="21"/>
                      <w:szCs w:val="21"/>
                      <w:highlight w:val="none"/>
                    </w:rPr>
                  </w:pPr>
                </w:p>
              </w:tc>
              <w:tc>
                <w:tcPr>
                  <w:tcW w:w="1245" w:type="pct"/>
                  <w:vMerge w:val="continue"/>
                  <w:vAlign w:val="center"/>
                </w:tcPr>
                <w:p w14:paraId="36DC0D09">
                  <w:pPr>
                    <w:snapToGrid w:val="0"/>
                    <w:jc w:val="center"/>
                    <w:rPr>
                      <w:rFonts w:hint="default" w:ascii="Times New Roman" w:hAnsi="Times New Roman" w:eastAsia="宋体" w:cs="Times New Roman"/>
                      <w:color w:val="auto"/>
                      <w:sz w:val="21"/>
                      <w:szCs w:val="21"/>
                      <w:highlight w:val="none"/>
                    </w:rPr>
                  </w:pPr>
                </w:p>
              </w:tc>
              <w:tc>
                <w:tcPr>
                  <w:tcW w:w="2125" w:type="pct"/>
                  <w:shd w:val="clear" w:color="auto" w:fill="auto"/>
                  <w:vAlign w:val="center"/>
                </w:tcPr>
                <w:p w14:paraId="3F097198">
                  <w:pPr>
                    <w:pStyle w:val="19"/>
                    <w:jc w:val="center"/>
                    <w:rPr>
                      <w:rFonts w:hint="default" w:ascii="Times New Roman" w:hAnsi="Times New Roman" w:eastAsia="宋体" w:cs="Times New Roman"/>
                      <w:snapToGrid w:val="0"/>
                      <w:color w:val="auto"/>
                      <w:kern w:val="0"/>
                      <w:sz w:val="21"/>
                      <w:szCs w:val="21"/>
                      <w:highlight w:val="none"/>
                      <w:lang w:val="en-US" w:eastAsia="en-US" w:bidi="zh-CN"/>
                    </w:rPr>
                  </w:pPr>
                  <w:r>
                    <w:rPr>
                      <w:rFonts w:hint="default" w:ascii="Times New Roman" w:hAnsi="Times New Roman" w:eastAsia="宋体" w:cs="Times New Roman"/>
                      <w:color w:val="auto"/>
                      <w:sz w:val="21"/>
                      <w:szCs w:val="21"/>
                      <w:highlight w:val="none"/>
                      <w:lang w:val="en-US" w:eastAsia="zh-CN"/>
                    </w:rPr>
                    <w:t>压裂液配比</w:t>
                  </w:r>
                  <w:r>
                    <w:rPr>
                      <w:rFonts w:hint="default" w:ascii="Times New Roman" w:hAnsi="Times New Roman" w:eastAsia="宋体" w:cs="Times New Roman"/>
                      <w:color w:val="auto"/>
                      <w:sz w:val="21"/>
                      <w:szCs w:val="21"/>
                      <w:highlight w:val="none"/>
                    </w:rPr>
                    <w:t>用水（m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220" w:type="pct"/>
                  <w:tcBorders>
                    <w:right w:val="single" w:color="auto" w:sz="4" w:space="0"/>
                  </w:tcBorders>
                  <w:shd w:val="clear" w:color="auto" w:fill="auto"/>
                  <w:vAlign w:val="center"/>
                </w:tcPr>
                <w:p w14:paraId="13D812CA">
                  <w:pPr>
                    <w:spacing w:before="65" w:line="195" w:lineRule="auto"/>
                    <w:jc w:val="center"/>
                    <w:rPr>
                      <w:rFonts w:hint="default" w:ascii="Times New Roman" w:hAnsi="Times New Roman" w:eastAsia="宋体" w:cs="Times New Roman"/>
                      <w:snapToGrid w:val="0"/>
                      <w:color w:val="auto"/>
                      <w:kern w:val="0"/>
                      <w:sz w:val="21"/>
                      <w:szCs w:val="21"/>
                      <w:highlight w:val="none"/>
                      <w:lang w:val="en-US" w:eastAsia="zh-CN" w:bidi="zh-CN"/>
                    </w:rPr>
                  </w:pPr>
                  <w:r>
                    <w:rPr>
                      <w:rFonts w:hint="default" w:ascii="Times New Roman" w:hAnsi="Times New Roman" w:eastAsia="宋体" w:cs="Times New Roman"/>
                      <w:color w:val="auto"/>
                      <w:spacing w:val="-1"/>
                      <w:sz w:val="21"/>
                      <w:szCs w:val="21"/>
                      <w:highlight w:val="none"/>
                      <w:lang w:val="en-US" w:eastAsia="zh-CN"/>
                    </w:rPr>
                    <w:t>6067.12</w:t>
                  </w:r>
                </w:p>
              </w:tc>
            </w:tr>
            <w:tr w14:paraId="43FB12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93" w:hRule="atLeast"/>
                <w:jc w:val="center"/>
              </w:trPr>
              <w:tc>
                <w:tcPr>
                  <w:tcW w:w="408" w:type="pct"/>
                  <w:vMerge w:val="continue"/>
                  <w:tcBorders>
                    <w:left w:val="single" w:color="auto" w:sz="4" w:space="0"/>
                    <w:bottom w:val="single" w:color="auto" w:sz="4" w:space="0"/>
                  </w:tcBorders>
                  <w:vAlign w:val="center"/>
                </w:tcPr>
                <w:p w14:paraId="4CBDB984">
                  <w:pPr>
                    <w:snapToGrid w:val="0"/>
                    <w:jc w:val="center"/>
                    <w:rPr>
                      <w:rFonts w:hint="default" w:ascii="Times New Roman" w:hAnsi="Times New Roman" w:eastAsia="宋体" w:cs="Times New Roman"/>
                      <w:color w:val="auto"/>
                      <w:sz w:val="21"/>
                      <w:szCs w:val="21"/>
                      <w:highlight w:val="none"/>
                    </w:rPr>
                  </w:pPr>
                </w:p>
              </w:tc>
              <w:tc>
                <w:tcPr>
                  <w:tcW w:w="3370" w:type="pct"/>
                  <w:gridSpan w:val="2"/>
                  <w:tcBorders>
                    <w:bottom w:val="single" w:color="auto" w:sz="4" w:space="0"/>
                  </w:tcBorders>
                  <w:vAlign w:val="center"/>
                </w:tcPr>
                <w:p w14:paraId="5CD3984B">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柴油（t）</w:t>
                  </w:r>
                </w:p>
              </w:tc>
              <w:tc>
                <w:tcPr>
                  <w:tcW w:w="1220" w:type="pct"/>
                  <w:tcBorders>
                    <w:bottom w:val="single" w:color="auto" w:sz="4" w:space="0"/>
                    <w:right w:val="single" w:color="auto" w:sz="4" w:space="0"/>
                  </w:tcBorders>
                  <w:vAlign w:val="center"/>
                </w:tcPr>
                <w:p w14:paraId="2A671D39">
                  <w:pPr>
                    <w:pStyle w:val="1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3600</w:t>
                  </w:r>
                </w:p>
              </w:tc>
            </w:tr>
            <w:bookmarkEnd w:id="16"/>
          </w:tbl>
          <w:p w14:paraId="3EF530EA">
            <w:pPr>
              <w:pStyle w:val="16"/>
              <w:widowControl w:val="0"/>
              <w:spacing w:before="65" w:line="228" w:lineRule="auto"/>
              <w:rPr>
                <w:rFonts w:hint="default" w:ascii="Times New Roman" w:hAnsi="Times New Roman" w:cs="Times New Roman"/>
                <w:b/>
                <w:bCs/>
                <w:color w:val="auto"/>
                <w:spacing w:val="2"/>
                <w:sz w:val="24"/>
                <w:szCs w:val="24"/>
                <w:highlight w:val="none"/>
                <w:lang w:val="en-US" w:eastAsia="zh-CN"/>
              </w:rPr>
            </w:pPr>
            <w:r>
              <w:rPr>
                <w:rFonts w:hint="eastAsia" w:ascii="Times New Roman" w:hAnsi="Times New Roman" w:cs="Times New Roman"/>
                <w:b/>
                <w:bCs/>
                <w:color w:val="auto"/>
                <w:spacing w:val="2"/>
                <w:sz w:val="24"/>
                <w:szCs w:val="24"/>
                <w:highlight w:val="none"/>
                <w:lang w:val="en-US" w:eastAsia="zh-CN"/>
              </w:rPr>
              <w:t>备注：项目水基钻井液和压裂液均采用现场配注</w:t>
            </w:r>
          </w:p>
          <w:p w14:paraId="423D5E2A">
            <w:pPr>
              <w:pStyle w:val="16"/>
              <w:widowControl w:val="0"/>
              <w:spacing w:before="65" w:line="228" w:lineRule="auto"/>
              <w:rPr>
                <w:rFonts w:hint="default" w:ascii="Times New Roman" w:hAnsi="Times New Roman" w:eastAsia="宋体" w:cs="Times New Roman"/>
                <w:color w:val="auto"/>
                <w:sz w:val="24"/>
                <w:szCs w:val="24"/>
                <w:highlight w:val="none"/>
              </w:rPr>
            </w:pPr>
            <w:r>
              <w:rPr>
                <w:rFonts w:hint="eastAsia" w:ascii="Times New Roman" w:hAnsi="Times New Roman" w:cs="Times New Roman"/>
                <w:b/>
                <w:bCs/>
                <w:color w:val="auto"/>
                <w:spacing w:val="2"/>
                <w:sz w:val="24"/>
                <w:szCs w:val="24"/>
                <w:highlight w:val="none"/>
                <w:lang w:val="en-US" w:eastAsia="zh-CN"/>
              </w:rPr>
              <w:t>9.</w:t>
            </w:r>
            <w:r>
              <w:rPr>
                <w:rFonts w:hint="default" w:ascii="Times New Roman" w:hAnsi="Times New Roman" w:eastAsia="宋体" w:cs="Times New Roman"/>
                <w:b/>
                <w:bCs/>
                <w:color w:val="auto"/>
                <w:spacing w:val="2"/>
                <w:sz w:val="24"/>
                <w:szCs w:val="24"/>
                <w:highlight w:val="none"/>
              </w:rPr>
              <w:t>公用工程</w:t>
            </w:r>
          </w:p>
          <w:p w14:paraId="0960948E">
            <w:pPr>
              <w:pStyle w:val="16"/>
              <w:widowControl w:val="0"/>
              <w:spacing w:before="160" w:line="228" w:lineRule="auto"/>
              <w:rPr>
                <w:rFonts w:hint="default" w:ascii="Times New Roman" w:hAnsi="Times New Roman" w:eastAsia="宋体" w:cs="Times New Roman"/>
                <w:color w:val="auto"/>
                <w:sz w:val="24"/>
                <w:szCs w:val="24"/>
                <w:highlight w:val="none"/>
              </w:rPr>
            </w:pPr>
            <w:r>
              <w:rPr>
                <w:rFonts w:hint="eastAsia" w:ascii="Times New Roman" w:hAnsi="Times New Roman" w:cs="Times New Roman"/>
                <w:b/>
                <w:bCs/>
                <w:color w:val="auto"/>
                <w:spacing w:val="4"/>
                <w:sz w:val="24"/>
                <w:szCs w:val="24"/>
                <w:highlight w:val="none"/>
                <w:lang w:val="en-US" w:eastAsia="zh-CN"/>
              </w:rPr>
              <w:t>9</w:t>
            </w:r>
            <w:r>
              <w:rPr>
                <w:rFonts w:hint="default" w:ascii="Times New Roman" w:hAnsi="Times New Roman" w:eastAsia="宋体" w:cs="Times New Roman"/>
                <w:b/>
                <w:bCs/>
                <w:color w:val="auto"/>
                <w:spacing w:val="4"/>
                <w:sz w:val="24"/>
                <w:szCs w:val="24"/>
                <w:highlight w:val="none"/>
              </w:rPr>
              <w:t>.1给水</w:t>
            </w:r>
          </w:p>
          <w:p w14:paraId="001E6A94">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lang w:val="en-US" w:eastAsia="en-US" w:bidi="ar"/>
              </w:rPr>
            </w:pPr>
            <w:r>
              <w:rPr>
                <w:rFonts w:hint="default" w:ascii="Times New Roman" w:hAnsi="Times New Roman" w:eastAsia="宋体" w:cs="Times New Roman"/>
                <w:color w:val="auto"/>
                <w:sz w:val="24"/>
                <w:szCs w:val="24"/>
                <w:highlight w:val="none"/>
                <w:lang w:val="en-US" w:eastAsia="en-US" w:bidi="ar"/>
              </w:rPr>
              <w:t>本项目在钻井过程中用水主要为钻井液配比用水</w:t>
            </w:r>
            <w:r>
              <w:rPr>
                <w:rFonts w:hint="eastAsia" w:ascii="Times New Roman" w:hAnsi="Times New Roman" w:eastAsia="宋体" w:cs="Times New Roman"/>
                <w:color w:val="auto"/>
                <w:sz w:val="24"/>
                <w:szCs w:val="24"/>
                <w:highlight w:val="none"/>
                <w:lang w:val="en-US" w:eastAsia="zh-CN" w:bidi="ar"/>
              </w:rPr>
              <w:t>、压裂液配比用水</w:t>
            </w:r>
            <w:r>
              <w:rPr>
                <w:rFonts w:hint="default" w:ascii="Times New Roman" w:hAnsi="Times New Roman" w:eastAsia="宋体" w:cs="Times New Roman"/>
                <w:color w:val="auto"/>
                <w:sz w:val="24"/>
                <w:szCs w:val="24"/>
                <w:highlight w:val="none"/>
                <w:lang w:val="en-US" w:eastAsia="en-US" w:bidi="ar"/>
              </w:rPr>
              <w:t>及施工营地生活用水、洗井用水，由车辆从附近村庄</w:t>
            </w:r>
            <w:r>
              <w:rPr>
                <w:rFonts w:hint="eastAsia" w:ascii="Times New Roman" w:hAnsi="Times New Roman" w:eastAsia="宋体" w:cs="Times New Roman"/>
                <w:color w:val="auto"/>
                <w:sz w:val="24"/>
                <w:szCs w:val="24"/>
                <w:highlight w:val="none"/>
                <w:lang w:val="en-US" w:eastAsia="zh-CN" w:bidi="ar"/>
              </w:rPr>
              <w:t>用水点</w:t>
            </w:r>
            <w:r>
              <w:rPr>
                <w:rFonts w:hint="default" w:ascii="Times New Roman" w:hAnsi="Times New Roman" w:eastAsia="宋体" w:cs="Times New Roman"/>
                <w:color w:val="auto"/>
                <w:sz w:val="24"/>
                <w:szCs w:val="24"/>
                <w:highlight w:val="none"/>
                <w:lang w:val="en-US" w:eastAsia="zh-CN" w:bidi="ar"/>
              </w:rPr>
              <w:t>每天</w:t>
            </w:r>
            <w:r>
              <w:rPr>
                <w:rFonts w:hint="default" w:ascii="Times New Roman" w:hAnsi="Times New Roman" w:eastAsia="宋体" w:cs="Times New Roman"/>
                <w:color w:val="auto"/>
                <w:sz w:val="24"/>
                <w:szCs w:val="24"/>
                <w:highlight w:val="none"/>
                <w:lang w:val="en-US" w:eastAsia="en-US" w:bidi="ar"/>
              </w:rPr>
              <w:t>拉运至井场，每个生活区配置一个10m</w:t>
            </w:r>
            <w:r>
              <w:rPr>
                <w:rFonts w:hint="default" w:ascii="Times New Roman" w:hAnsi="Times New Roman" w:eastAsia="宋体" w:cs="Times New Roman"/>
                <w:color w:val="auto"/>
                <w:sz w:val="24"/>
                <w:szCs w:val="24"/>
                <w:highlight w:val="none"/>
                <w:vertAlign w:val="superscript"/>
                <w:lang w:val="en-US" w:eastAsia="en-US" w:bidi="ar"/>
              </w:rPr>
              <w:t>3</w:t>
            </w:r>
            <w:r>
              <w:rPr>
                <w:rFonts w:hint="default" w:ascii="Times New Roman" w:hAnsi="Times New Roman" w:eastAsia="宋体" w:cs="Times New Roman"/>
                <w:color w:val="auto"/>
                <w:sz w:val="24"/>
                <w:szCs w:val="24"/>
                <w:highlight w:val="none"/>
                <w:lang w:val="en-US" w:eastAsia="en-US" w:bidi="ar"/>
              </w:rPr>
              <w:t>的储水罐。因本项目钻井期用水量较小，供水可满足其需求量。</w:t>
            </w:r>
          </w:p>
          <w:p w14:paraId="0DF5DDB1">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vertAlign w:val="baseline"/>
                <w:lang w:val="en-US" w:eastAsia="zh-CN" w:bidi="ar"/>
              </w:rPr>
            </w:pPr>
            <w:r>
              <w:rPr>
                <w:rFonts w:hint="default" w:ascii="Times New Roman" w:hAnsi="Times New Roman" w:eastAsia="宋体" w:cs="Times New Roman"/>
                <w:color w:val="auto"/>
                <w:sz w:val="24"/>
                <w:szCs w:val="24"/>
                <w:highlight w:val="none"/>
                <w:lang w:val="en-US" w:eastAsia="en-US" w:bidi="ar"/>
              </w:rPr>
              <w:t>根据建设单位提供的资料，钻井液配比用水约为钻井液用</w:t>
            </w:r>
            <w:r>
              <w:rPr>
                <w:rFonts w:hint="default" w:ascii="Times New Roman" w:hAnsi="Times New Roman" w:eastAsia="宋体" w:cs="Times New Roman"/>
                <w:color w:val="auto"/>
                <w:sz w:val="24"/>
                <w:szCs w:val="24"/>
                <w:highlight w:val="none"/>
                <w:lang w:val="en-US" w:eastAsia="zh-CN" w:bidi="ar"/>
              </w:rPr>
              <w:t>量</w:t>
            </w:r>
            <w:r>
              <w:rPr>
                <w:rFonts w:hint="default" w:ascii="Times New Roman" w:hAnsi="Times New Roman" w:eastAsia="宋体" w:cs="Times New Roman"/>
                <w:color w:val="auto"/>
                <w:sz w:val="24"/>
                <w:szCs w:val="24"/>
                <w:highlight w:val="none"/>
                <w:lang w:val="en-US" w:eastAsia="en-US" w:bidi="ar"/>
              </w:rPr>
              <w:t>的80%，本项井期需</w:t>
            </w:r>
            <w:r>
              <w:rPr>
                <w:rFonts w:hint="default" w:ascii="Times New Roman" w:hAnsi="Times New Roman" w:eastAsia="宋体" w:cs="Times New Roman"/>
                <w:color w:val="auto"/>
                <w:sz w:val="24"/>
                <w:szCs w:val="24"/>
                <w:highlight w:val="none"/>
                <w:lang w:val="en-US" w:eastAsia="zh-CN" w:bidi="ar"/>
              </w:rPr>
              <w:t>水基</w:t>
            </w:r>
            <w:r>
              <w:rPr>
                <w:rFonts w:hint="default" w:ascii="Times New Roman" w:hAnsi="Times New Roman" w:eastAsia="宋体" w:cs="Times New Roman"/>
                <w:color w:val="auto"/>
                <w:sz w:val="24"/>
                <w:szCs w:val="24"/>
                <w:highlight w:val="none"/>
                <w:lang w:val="en-US" w:eastAsia="en-US" w:bidi="ar"/>
              </w:rPr>
              <w:t>钻井液</w:t>
            </w:r>
            <w:r>
              <w:rPr>
                <w:rFonts w:hint="default" w:ascii="Times New Roman" w:hAnsi="Times New Roman" w:eastAsia="宋体" w:cs="Times New Roman"/>
                <w:color w:val="auto"/>
                <w:sz w:val="24"/>
                <w:szCs w:val="24"/>
                <w:highlight w:val="none"/>
                <w:lang w:val="en-US" w:eastAsia="zh-CN" w:bidi="ar"/>
              </w:rPr>
              <w:t>15000</w:t>
            </w:r>
            <w:r>
              <w:rPr>
                <w:rFonts w:hint="default" w:ascii="Times New Roman" w:hAnsi="Times New Roman" w:eastAsia="宋体" w:cs="Times New Roman"/>
                <w:color w:val="auto"/>
                <w:sz w:val="24"/>
                <w:szCs w:val="24"/>
                <w:highlight w:val="none"/>
                <w:lang w:val="en-US" w:eastAsia="en-US" w:bidi="ar"/>
              </w:rPr>
              <w:t>m</w:t>
            </w:r>
            <w:r>
              <w:rPr>
                <w:rFonts w:hint="default" w:ascii="Times New Roman" w:hAnsi="Times New Roman" w:eastAsia="宋体" w:cs="Times New Roman"/>
                <w:color w:val="auto"/>
                <w:sz w:val="24"/>
                <w:szCs w:val="24"/>
                <w:highlight w:val="none"/>
                <w:vertAlign w:val="superscript"/>
                <w:lang w:val="en-US" w:eastAsia="en-US" w:bidi="ar"/>
              </w:rPr>
              <w:t>3</w:t>
            </w:r>
            <w:r>
              <w:rPr>
                <w:rFonts w:hint="default" w:ascii="Times New Roman" w:hAnsi="Times New Roman" w:eastAsia="宋体" w:cs="Times New Roman"/>
                <w:color w:val="auto"/>
                <w:sz w:val="24"/>
                <w:szCs w:val="24"/>
                <w:highlight w:val="none"/>
                <w:lang w:val="en-US" w:eastAsia="en-US" w:bidi="ar"/>
              </w:rPr>
              <w:t>，则</w:t>
            </w:r>
            <w:r>
              <w:rPr>
                <w:rFonts w:hint="default" w:ascii="Times New Roman" w:hAnsi="Times New Roman" w:eastAsia="宋体" w:cs="Times New Roman"/>
                <w:color w:val="auto"/>
                <w:sz w:val="24"/>
                <w:szCs w:val="24"/>
                <w:highlight w:val="none"/>
                <w:lang w:val="en-US" w:eastAsia="zh-CN" w:bidi="ar"/>
              </w:rPr>
              <w:t>钻井液</w:t>
            </w:r>
            <w:r>
              <w:rPr>
                <w:rFonts w:hint="default" w:ascii="Times New Roman" w:hAnsi="Times New Roman" w:eastAsia="宋体" w:cs="Times New Roman"/>
                <w:color w:val="auto"/>
                <w:sz w:val="24"/>
                <w:szCs w:val="24"/>
                <w:highlight w:val="none"/>
                <w:lang w:val="en-US" w:eastAsia="en-US" w:bidi="ar"/>
              </w:rPr>
              <w:t>配比用水</w:t>
            </w:r>
            <w:r>
              <w:rPr>
                <w:rFonts w:hint="default" w:ascii="Times New Roman" w:hAnsi="Times New Roman" w:eastAsia="宋体" w:cs="Times New Roman"/>
                <w:color w:val="auto"/>
                <w:sz w:val="24"/>
                <w:szCs w:val="24"/>
                <w:highlight w:val="none"/>
                <w:lang w:val="en-US" w:eastAsia="zh-CN" w:bidi="ar"/>
              </w:rPr>
              <w:t>12000</w:t>
            </w:r>
            <w:r>
              <w:rPr>
                <w:rFonts w:hint="default" w:ascii="Times New Roman" w:hAnsi="Times New Roman" w:eastAsia="宋体" w:cs="Times New Roman"/>
                <w:color w:val="auto"/>
                <w:sz w:val="24"/>
                <w:szCs w:val="24"/>
                <w:highlight w:val="none"/>
                <w:lang w:val="en-US" w:eastAsia="en-US" w:bidi="ar"/>
              </w:rPr>
              <w:t>m</w:t>
            </w:r>
            <w:r>
              <w:rPr>
                <w:rFonts w:hint="default" w:ascii="Times New Roman" w:hAnsi="Times New Roman" w:eastAsia="宋体" w:cs="Times New Roman"/>
                <w:color w:val="auto"/>
                <w:sz w:val="24"/>
                <w:szCs w:val="24"/>
                <w:highlight w:val="none"/>
                <w:vertAlign w:val="superscript"/>
                <w:lang w:val="en-US" w:eastAsia="en-US" w:bidi="ar"/>
              </w:rPr>
              <w:t>3</w:t>
            </w:r>
            <w:r>
              <w:rPr>
                <w:rFonts w:hint="eastAsia" w:ascii="Times New Roman" w:hAnsi="Times New Roman" w:eastAsia="宋体" w:cs="Times New Roman"/>
                <w:color w:val="auto"/>
                <w:sz w:val="24"/>
                <w:szCs w:val="24"/>
                <w:highlight w:val="none"/>
                <w:vertAlign w:val="baseline"/>
                <w:lang w:val="en-US" w:eastAsia="zh-CN" w:bidi="ar"/>
              </w:rPr>
              <w:t>，项目油基钻井液直接将成品钻井液拉运至所需地，不进行现场配置</w:t>
            </w:r>
          </w:p>
          <w:p w14:paraId="69D83360">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en-US" w:bidi="ar"/>
              </w:rPr>
              <w:t>根据建设单位提供的资料，压裂液配比用水约为压裂液的</w:t>
            </w:r>
            <w:r>
              <w:rPr>
                <w:rFonts w:hint="default" w:ascii="Times New Roman" w:hAnsi="Times New Roman" w:eastAsia="宋体" w:cs="Times New Roman"/>
                <w:color w:val="auto"/>
                <w:sz w:val="24"/>
                <w:szCs w:val="24"/>
                <w:highlight w:val="none"/>
                <w:lang w:val="en-US" w:eastAsia="zh-CN" w:bidi="ar"/>
              </w:rPr>
              <w:t>99</w:t>
            </w:r>
            <w:r>
              <w:rPr>
                <w:rFonts w:hint="default" w:ascii="Times New Roman" w:hAnsi="Times New Roman" w:eastAsia="宋体" w:cs="Times New Roman"/>
                <w:color w:val="auto"/>
                <w:sz w:val="24"/>
                <w:szCs w:val="24"/>
                <w:highlight w:val="none"/>
                <w:lang w:val="en-US" w:eastAsia="en-US" w:bidi="ar"/>
              </w:rPr>
              <w:t>%，本项</w:t>
            </w:r>
            <w:r>
              <w:rPr>
                <w:rFonts w:hint="default" w:ascii="Times New Roman" w:hAnsi="Times New Roman" w:eastAsia="宋体" w:cs="Times New Roman"/>
                <w:color w:val="auto"/>
                <w:sz w:val="24"/>
                <w:szCs w:val="24"/>
                <w:highlight w:val="none"/>
                <w:lang w:val="en-US" w:eastAsia="zh-CN" w:bidi="ar"/>
              </w:rPr>
              <w:t>目</w:t>
            </w:r>
            <w:r>
              <w:rPr>
                <w:rFonts w:hint="default" w:ascii="Times New Roman" w:hAnsi="Times New Roman" w:eastAsia="宋体" w:cs="Times New Roman"/>
                <w:color w:val="auto"/>
                <w:sz w:val="24"/>
                <w:szCs w:val="24"/>
                <w:highlight w:val="none"/>
                <w:lang w:val="en-US" w:eastAsia="en-US" w:bidi="ar"/>
              </w:rPr>
              <w:t>共需</w:t>
            </w:r>
            <w:r>
              <w:rPr>
                <w:rFonts w:hint="default" w:ascii="Times New Roman" w:hAnsi="Times New Roman" w:eastAsia="宋体" w:cs="Times New Roman"/>
                <w:color w:val="auto"/>
                <w:sz w:val="24"/>
                <w:szCs w:val="24"/>
                <w:highlight w:val="none"/>
                <w:lang w:val="en-US" w:eastAsia="zh-CN" w:bidi="ar"/>
              </w:rPr>
              <w:t>压裂</w:t>
            </w:r>
            <w:r>
              <w:rPr>
                <w:rFonts w:hint="default" w:ascii="Times New Roman" w:hAnsi="Times New Roman" w:eastAsia="宋体" w:cs="Times New Roman"/>
                <w:color w:val="auto"/>
                <w:sz w:val="24"/>
                <w:szCs w:val="24"/>
                <w:highlight w:val="none"/>
                <w:lang w:val="en-US" w:eastAsia="en-US" w:bidi="ar"/>
              </w:rPr>
              <w:t>液</w:t>
            </w:r>
            <w:r>
              <w:rPr>
                <w:rFonts w:hint="default" w:ascii="Times New Roman" w:hAnsi="Times New Roman" w:eastAsia="宋体" w:cs="Times New Roman"/>
                <w:color w:val="auto"/>
                <w:sz w:val="24"/>
                <w:szCs w:val="24"/>
                <w:highlight w:val="none"/>
                <w:lang w:val="en-US" w:eastAsia="zh-CN" w:bidi="ar"/>
              </w:rPr>
              <w:t>6128.40</w:t>
            </w:r>
            <w:r>
              <w:rPr>
                <w:rFonts w:hint="default" w:ascii="Times New Roman" w:hAnsi="Times New Roman" w:eastAsia="宋体" w:cs="Times New Roman"/>
                <w:color w:val="auto"/>
                <w:sz w:val="24"/>
                <w:szCs w:val="24"/>
                <w:highlight w:val="none"/>
                <w:lang w:val="en-US" w:eastAsia="en-US" w:bidi="ar"/>
              </w:rPr>
              <w:t>m</w:t>
            </w:r>
            <w:r>
              <w:rPr>
                <w:rFonts w:hint="default" w:ascii="Times New Roman" w:hAnsi="Times New Roman" w:eastAsia="宋体" w:cs="Times New Roman"/>
                <w:color w:val="auto"/>
                <w:sz w:val="24"/>
                <w:szCs w:val="24"/>
                <w:highlight w:val="none"/>
                <w:vertAlign w:val="superscript"/>
                <w:lang w:val="en-US" w:eastAsia="en-US" w:bidi="ar"/>
              </w:rPr>
              <w:t>3</w:t>
            </w:r>
            <w:r>
              <w:rPr>
                <w:rFonts w:hint="default" w:ascii="Times New Roman" w:hAnsi="Times New Roman" w:eastAsia="宋体" w:cs="Times New Roman"/>
                <w:color w:val="auto"/>
                <w:sz w:val="24"/>
                <w:szCs w:val="24"/>
                <w:highlight w:val="none"/>
                <w:lang w:val="en-US" w:eastAsia="en-US" w:bidi="ar"/>
              </w:rPr>
              <w:t>，则</w:t>
            </w:r>
            <w:r>
              <w:rPr>
                <w:rFonts w:hint="default" w:ascii="Times New Roman" w:hAnsi="Times New Roman" w:eastAsia="宋体" w:cs="Times New Roman"/>
                <w:color w:val="auto"/>
                <w:sz w:val="24"/>
                <w:szCs w:val="24"/>
                <w:highlight w:val="none"/>
                <w:lang w:val="en-US" w:eastAsia="zh-CN" w:bidi="ar"/>
              </w:rPr>
              <w:t>压裂液</w:t>
            </w:r>
            <w:r>
              <w:rPr>
                <w:rFonts w:hint="default" w:ascii="Times New Roman" w:hAnsi="Times New Roman" w:eastAsia="宋体" w:cs="Times New Roman"/>
                <w:color w:val="auto"/>
                <w:sz w:val="24"/>
                <w:szCs w:val="24"/>
                <w:highlight w:val="none"/>
                <w:lang w:val="en-US" w:eastAsia="en-US" w:bidi="ar"/>
              </w:rPr>
              <w:t>配比用水</w:t>
            </w:r>
            <w:r>
              <w:rPr>
                <w:rFonts w:hint="default" w:ascii="Times New Roman" w:hAnsi="Times New Roman" w:eastAsia="宋体" w:cs="Times New Roman"/>
                <w:color w:val="auto"/>
                <w:sz w:val="24"/>
                <w:szCs w:val="24"/>
                <w:highlight w:val="none"/>
                <w:lang w:val="en-US" w:eastAsia="zh-CN" w:bidi="ar"/>
              </w:rPr>
              <w:t>6067.12</w:t>
            </w:r>
            <w:r>
              <w:rPr>
                <w:rFonts w:hint="default" w:ascii="Times New Roman" w:hAnsi="Times New Roman" w:eastAsia="宋体" w:cs="Times New Roman"/>
                <w:color w:val="auto"/>
                <w:sz w:val="24"/>
                <w:szCs w:val="24"/>
                <w:highlight w:val="none"/>
                <w:lang w:val="en-US" w:eastAsia="en-US" w:bidi="ar"/>
              </w:rPr>
              <w:t>m</w:t>
            </w:r>
            <w:r>
              <w:rPr>
                <w:rFonts w:hint="default" w:ascii="Times New Roman" w:hAnsi="Times New Roman" w:eastAsia="宋体" w:cs="Times New Roman"/>
                <w:color w:val="auto"/>
                <w:sz w:val="24"/>
                <w:szCs w:val="24"/>
                <w:highlight w:val="none"/>
                <w:vertAlign w:val="superscript"/>
                <w:lang w:val="en-US" w:eastAsia="en-US" w:bidi="ar"/>
              </w:rPr>
              <w:t>3</w:t>
            </w:r>
            <w:r>
              <w:rPr>
                <w:rFonts w:hint="default" w:ascii="Times New Roman" w:hAnsi="Times New Roman" w:eastAsia="宋体" w:cs="Times New Roman"/>
                <w:color w:val="auto"/>
                <w:sz w:val="24"/>
                <w:szCs w:val="24"/>
                <w:highlight w:val="none"/>
                <w:lang w:val="en-US" w:eastAsia="en-US" w:bidi="ar"/>
              </w:rPr>
              <w:t>。</w:t>
            </w:r>
          </w:p>
          <w:p w14:paraId="68219452">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lang w:val="en-US" w:eastAsia="en-US" w:bidi="ar"/>
              </w:rPr>
            </w:pPr>
            <w:r>
              <w:rPr>
                <w:rFonts w:hint="default" w:ascii="Times New Roman" w:hAnsi="Times New Roman" w:eastAsia="宋体" w:cs="Times New Roman"/>
                <w:color w:val="auto"/>
                <w:sz w:val="24"/>
                <w:szCs w:val="24"/>
                <w:highlight w:val="none"/>
                <w:lang w:val="en-US" w:eastAsia="en-US" w:bidi="ar"/>
              </w:rPr>
              <w:t>钻井期每个钻井</w:t>
            </w:r>
            <w:r>
              <w:rPr>
                <w:rFonts w:hint="eastAsia" w:ascii="Times New Roman" w:hAnsi="Times New Roman" w:eastAsia="宋体" w:cs="Times New Roman"/>
                <w:color w:val="auto"/>
                <w:sz w:val="24"/>
                <w:szCs w:val="24"/>
                <w:highlight w:val="none"/>
                <w:lang w:val="en-US" w:eastAsia="zh-CN" w:bidi="ar"/>
              </w:rPr>
              <w:t>场</w:t>
            </w:r>
            <w:r>
              <w:rPr>
                <w:rFonts w:hint="default" w:ascii="Times New Roman" w:hAnsi="Times New Roman" w:eastAsia="宋体" w:cs="Times New Roman"/>
                <w:color w:val="auto"/>
                <w:sz w:val="24"/>
                <w:szCs w:val="24"/>
                <w:highlight w:val="none"/>
                <w:lang w:val="en-US" w:eastAsia="zh-CN" w:bidi="ar"/>
              </w:rPr>
              <w:t>3</w:t>
            </w:r>
            <w:r>
              <w:rPr>
                <w:rFonts w:hint="default" w:ascii="Times New Roman" w:hAnsi="Times New Roman" w:eastAsia="宋体" w:cs="Times New Roman"/>
                <w:color w:val="auto"/>
                <w:sz w:val="24"/>
                <w:szCs w:val="24"/>
                <w:highlight w:val="none"/>
                <w:lang w:val="en-US" w:eastAsia="en-US" w:bidi="ar"/>
              </w:rPr>
              <w:t>5人，</w:t>
            </w:r>
            <w:r>
              <w:rPr>
                <w:rFonts w:hint="eastAsia" w:ascii="Times New Roman" w:hAnsi="Times New Roman" w:eastAsia="宋体" w:cs="Times New Roman"/>
                <w:color w:val="auto"/>
                <w:sz w:val="24"/>
                <w:szCs w:val="24"/>
                <w:highlight w:val="none"/>
                <w:lang w:val="en-US" w:eastAsia="zh-CN" w:bidi="ar"/>
              </w:rPr>
              <w:t>单井</w:t>
            </w:r>
            <w:r>
              <w:rPr>
                <w:rFonts w:hint="default" w:ascii="Times New Roman" w:hAnsi="Times New Roman" w:eastAsia="宋体" w:cs="Times New Roman"/>
                <w:color w:val="auto"/>
                <w:spacing w:val="-1"/>
                <w:sz w:val="24"/>
                <w:szCs w:val="24"/>
                <w:highlight w:val="none"/>
              </w:rPr>
              <w:t>钻井期为</w:t>
            </w:r>
            <w:r>
              <w:rPr>
                <w:rFonts w:hint="eastAsia" w:ascii="Times New Roman" w:hAnsi="Times New Roman" w:cs="Times New Roman"/>
                <w:color w:val="auto"/>
                <w:spacing w:val="-1"/>
                <w:sz w:val="24"/>
                <w:szCs w:val="24"/>
                <w:highlight w:val="none"/>
                <w:lang w:val="en-US" w:eastAsia="zh-CN"/>
              </w:rPr>
              <w:t>30</w:t>
            </w:r>
            <w:r>
              <w:rPr>
                <w:rFonts w:hint="default" w:ascii="Times New Roman" w:hAnsi="Times New Roman" w:eastAsia="宋体" w:cs="Times New Roman"/>
                <w:color w:val="auto"/>
                <w:spacing w:val="-1"/>
                <w:sz w:val="24"/>
                <w:szCs w:val="24"/>
                <w:highlight w:val="none"/>
              </w:rPr>
              <w:t>天，</w:t>
            </w:r>
            <w:r>
              <w:rPr>
                <w:rFonts w:hint="eastAsia" w:ascii="Times New Roman" w:hAnsi="Times New Roman" w:cs="Times New Roman"/>
                <w:color w:val="auto"/>
                <w:spacing w:val="-1"/>
                <w:sz w:val="24"/>
                <w:szCs w:val="24"/>
                <w:highlight w:val="none"/>
                <w:lang w:val="en-US" w:eastAsia="zh-CN"/>
              </w:rPr>
              <w:t>7口井同时开钻，分三批次钻完</w:t>
            </w:r>
            <w:r>
              <w:rPr>
                <w:rFonts w:hint="default" w:ascii="Times New Roman" w:hAnsi="Times New Roman" w:eastAsia="宋体" w:cs="Times New Roman"/>
                <w:color w:val="auto"/>
                <w:sz w:val="24"/>
                <w:szCs w:val="24"/>
                <w:highlight w:val="none"/>
                <w:lang w:val="en-US" w:eastAsia="en-US" w:bidi="ar"/>
              </w:rPr>
              <w:t>，按每人每天用水50L计算，钻井期生活用水</w:t>
            </w:r>
            <w:r>
              <w:rPr>
                <w:rFonts w:hint="eastAsia" w:ascii="Times New Roman" w:hAnsi="Times New Roman" w:eastAsia="宋体" w:cs="Times New Roman"/>
                <w:color w:val="auto"/>
                <w:sz w:val="24"/>
                <w:szCs w:val="24"/>
                <w:highlight w:val="none"/>
                <w:lang w:val="en-US" w:eastAsia="zh-CN" w:bidi="ar"/>
              </w:rPr>
              <w:t>1050</w:t>
            </w:r>
            <w:r>
              <w:rPr>
                <w:rFonts w:hint="default" w:ascii="Times New Roman" w:hAnsi="Times New Roman" w:eastAsia="宋体" w:cs="Times New Roman"/>
                <w:color w:val="auto"/>
                <w:sz w:val="24"/>
                <w:szCs w:val="24"/>
                <w:highlight w:val="none"/>
                <w:lang w:val="en-US" w:eastAsia="en-US" w:bidi="ar"/>
              </w:rPr>
              <w:t>m</w:t>
            </w:r>
            <w:r>
              <w:rPr>
                <w:rFonts w:hint="default" w:ascii="Times New Roman" w:hAnsi="Times New Roman" w:eastAsia="宋体" w:cs="Times New Roman"/>
                <w:color w:val="auto"/>
                <w:sz w:val="24"/>
                <w:szCs w:val="24"/>
                <w:highlight w:val="none"/>
                <w:vertAlign w:val="superscript"/>
                <w:lang w:val="en-US" w:eastAsia="en-US" w:bidi="ar"/>
              </w:rPr>
              <w:t>3</w:t>
            </w:r>
            <w:r>
              <w:rPr>
                <w:rFonts w:hint="default" w:ascii="Times New Roman" w:hAnsi="Times New Roman" w:eastAsia="宋体" w:cs="Times New Roman"/>
                <w:color w:val="auto"/>
                <w:sz w:val="24"/>
                <w:szCs w:val="24"/>
                <w:highlight w:val="none"/>
                <w:lang w:val="en-US" w:eastAsia="en-US" w:bidi="ar"/>
              </w:rPr>
              <w:t>。试油期</w:t>
            </w:r>
            <w:r>
              <w:rPr>
                <w:rFonts w:hint="default" w:ascii="Times New Roman" w:hAnsi="Times New Roman" w:eastAsia="宋体" w:cs="Times New Roman"/>
                <w:color w:val="auto"/>
                <w:sz w:val="24"/>
                <w:szCs w:val="24"/>
                <w:highlight w:val="none"/>
                <w:lang w:val="en-US" w:eastAsia="zh-CN" w:bidi="ar"/>
              </w:rPr>
              <w:t>180</w:t>
            </w:r>
            <w:r>
              <w:rPr>
                <w:rFonts w:hint="default" w:ascii="Times New Roman" w:hAnsi="Times New Roman" w:eastAsia="宋体" w:cs="Times New Roman"/>
                <w:color w:val="auto"/>
                <w:sz w:val="24"/>
                <w:szCs w:val="24"/>
                <w:highlight w:val="none"/>
                <w:lang w:val="en-US" w:eastAsia="en-US" w:bidi="ar"/>
              </w:rPr>
              <w:t>天，设2人巡井，不在井场食宿。</w:t>
            </w:r>
          </w:p>
          <w:p w14:paraId="27C3E433">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lang w:val="en-US" w:eastAsia="en-US" w:bidi="ar"/>
              </w:rPr>
            </w:pPr>
            <w:r>
              <w:rPr>
                <w:rFonts w:hint="default" w:ascii="Times New Roman" w:hAnsi="Times New Roman" w:eastAsia="宋体" w:cs="Times New Roman"/>
                <w:color w:val="auto"/>
                <w:sz w:val="24"/>
                <w:szCs w:val="24"/>
                <w:highlight w:val="none"/>
                <w:lang w:val="en-US" w:eastAsia="en-US" w:bidi="ar"/>
              </w:rPr>
              <w:t>本项目洗井用水为</w:t>
            </w:r>
            <w:r>
              <w:rPr>
                <w:rFonts w:hint="default" w:ascii="Times New Roman" w:hAnsi="Times New Roman" w:eastAsia="宋体" w:cs="Times New Roman"/>
                <w:color w:val="auto"/>
                <w:sz w:val="24"/>
                <w:szCs w:val="24"/>
                <w:highlight w:val="none"/>
                <w:lang w:val="en-US" w:eastAsia="zh-CN" w:bidi="ar"/>
              </w:rPr>
              <w:t>603</w:t>
            </w:r>
            <w:r>
              <w:rPr>
                <w:rFonts w:hint="default" w:ascii="Times New Roman" w:hAnsi="Times New Roman" w:eastAsia="宋体" w:cs="Times New Roman"/>
                <w:color w:val="auto"/>
                <w:sz w:val="24"/>
                <w:szCs w:val="24"/>
                <w:highlight w:val="none"/>
                <w:lang w:val="en-US" w:eastAsia="en-US" w:bidi="ar"/>
              </w:rPr>
              <w:t>m</w:t>
            </w:r>
            <w:r>
              <w:rPr>
                <w:rFonts w:hint="default" w:ascii="Times New Roman" w:hAnsi="Times New Roman" w:eastAsia="宋体" w:cs="Times New Roman"/>
                <w:color w:val="auto"/>
                <w:sz w:val="24"/>
                <w:szCs w:val="24"/>
                <w:highlight w:val="none"/>
                <w:vertAlign w:val="superscript"/>
                <w:lang w:val="en-US" w:eastAsia="en-US" w:bidi="ar"/>
              </w:rPr>
              <w:t>3</w:t>
            </w:r>
            <w:r>
              <w:rPr>
                <w:rFonts w:hint="default" w:ascii="Times New Roman" w:hAnsi="Times New Roman" w:eastAsia="宋体" w:cs="Times New Roman"/>
                <w:color w:val="auto"/>
                <w:sz w:val="24"/>
                <w:szCs w:val="24"/>
                <w:highlight w:val="none"/>
                <w:lang w:val="en-US" w:eastAsia="en-US" w:bidi="ar"/>
              </w:rPr>
              <w:t>（每口井按30.15m</w:t>
            </w:r>
            <w:r>
              <w:rPr>
                <w:rFonts w:hint="default" w:ascii="Times New Roman" w:hAnsi="Times New Roman" w:eastAsia="宋体" w:cs="Times New Roman"/>
                <w:color w:val="auto"/>
                <w:sz w:val="24"/>
                <w:szCs w:val="24"/>
                <w:highlight w:val="none"/>
                <w:vertAlign w:val="superscript"/>
                <w:lang w:val="en-US" w:eastAsia="en-US" w:bidi="ar"/>
              </w:rPr>
              <w:t>3</w:t>
            </w:r>
            <w:r>
              <w:rPr>
                <w:rFonts w:hint="default" w:ascii="Times New Roman" w:hAnsi="Times New Roman" w:eastAsia="宋体" w:cs="Times New Roman"/>
                <w:color w:val="auto"/>
                <w:sz w:val="24"/>
                <w:szCs w:val="24"/>
                <w:highlight w:val="none"/>
                <w:lang w:val="en-US" w:eastAsia="en-US" w:bidi="ar"/>
              </w:rPr>
              <w:t>计）。</w:t>
            </w:r>
          </w:p>
          <w:p w14:paraId="06E0A805">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lang w:val="en-US" w:eastAsia="en-US" w:bidi="ar"/>
              </w:rPr>
            </w:pPr>
            <w:r>
              <w:rPr>
                <w:rFonts w:hint="default" w:ascii="Times New Roman" w:hAnsi="Times New Roman" w:eastAsia="宋体" w:cs="Times New Roman"/>
                <w:color w:val="auto"/>
                <w:sz w:val="24"/>
                <w:szCs w:val="24"/>
                <w:highlight w:val="none"/>
                <w:lang w:val="en-US" w:eastAsia="en-US" w:bidi="ar"/>
              </w:rPr>
              <w:t>综上</w:t>
            </w:r>
            <w:r>
              <w:rPr>
                <w:rFonts w:hint="eastAsia" w:ascii="Times New Roman" w:hAnsi="Times New Roman" w:eastAsia="宋体" w:cs="Times New Roman"/>
                <w:color w:val="auto"/>
                <w:sz w:val="24"/>
                <w:szCs w:val="24"/>
                <w:highlight w:val="none"/>
                <w:lang w:val="en-US" w:eastAsia="zh-CN" w:bidi="ar"/>
              </w:rPr>
              <w:t>所述</w:t>
            </w:r>
            <w:r>
              <w:rPr>
                <w:rFonts w:hint="default" w:ascii="Times New Roman" w:hAnsi="Times New Roman" w:eastAsia="宋体" w:cs="Times New Roman"/>
                <w:color w:val="auto"/>
                <w:sz w:val="24"/>
                <w:szCs w:val="24"/>
                <w:highlight w:val="none"/>
                <w:lang w:val="en-US" w:eastAsia="en-US" w:bidi="ar"/>
              </w:rPr>
              <w:t>，本项目总用水量为</w:t>
            </w:r>
            <w:r>
              <w:rPr>
                <w:rFonts w:hint="eastAsia" w:ascii="Times New Roman" w:hAnsi="Times New Roman" w:eastAsia="宋体" w:cs="Times New Roman"/>
                <w:color w:val="auto"/>
                <w:sz w:val="24"/>
                <w:szCs w:val="24"/>
                <w:highlight w:val="none"/>
                <w:lang w:val="en-US" w:eastAsia="zh-CN" w:bidi="ar"/>
              </w:rPr>
              <w:t>197</w:t>
            </w:r>
            <w:r>
              <w:rPr>
                <w:rFonts w:hint="default" w:ascii="Times New Roman" w:hAnsi="Times New Roman" w:eastAsia="宋体" w:cs="Times New Roman"/>
                <w:color w:val="auto"/>
                <w:sz w:val="24"/>
                <w:szCs w:val="24"/>
                <w:highlight w:val="none"/>
                <w:lang w:val="en-US" w:eastAsia="zh-CN" w:bidi="ar"/>
              </w:rPr>
              <w:t>20.12</w:t>
            </w:r>
            <w:r>
              <w:rPr>
                <w:rFonts w:hint="default" w:ascii="Times New Roman" w:hAnsi="Times New Roman" w:eastAsia="宋体" w:cs="Times New Roman"/>
                <w:color w:val="auto"/>
                <w:sz w:val="24"/>
                <w:szCs w:val="24"/>
                <w:highlight w:val="none"/>
                <w:lang w:val="en-US" w:eastAsia="en-US" w:bidi="ar"/>
              </w:rPr>
              <w:t>m</w:t>
            </w:r>
            <w:r>
              <w:rPr>
                <w:rFonts w:hint="default" w:ascii="Times New Roman" w:hAnsi="Times New Roman" w:eastAsia="宋体" w:cs="Times New Roman"/>
                <w:color w:val="auto"/>
                <w:sz w:val="24"/>
                <w:szCs w:val="24"/>
                <w:highlight w:val="none"/>
                <w:vertAlign w:val="superscript"/>
                <w:lang w:val="en-US" w:eastAsia="en-US" w:bidi="ar"/>
              </w:rPr>
              <w:t>3</w:t>
            </w:r>
            <w:r>
              <w:rPr>
                <w:rFonts w:hint="default" w:ascii="Times New Roman" w:hAnsi="Times New Roman" w:eastAsia="宋体" w:cs="Times New Roman"/>
                <w:color w:val="auto"/>
                <w:sz w:val="24"/>
                <w:szCs w:val="24"/>
                <w:highlight w:val="none"/>
                <w:lang w:val="en-US" w:eastAsia="en-US" w:bidi="ar"/>
              </w:rPr>
              <w:t>。</w:t>
            </w:r>
          </w:p>
          <w:p w14:paraId="68CE13E1">
            <w:pPr>
              <w:pStyle w:val="16"/>
              <w:widowControl w:val="0"/>
              <w:spacing w:before="162" w:line="228" w:lineRule="auto"/>
              <w:rPr>
                <w:rFonts w:hint="default" w:ascii="Times New Roman" w:hAnsi="Times New Roman" w:eastAsia="宋体" w:cs="Times New Roman"/>
                <w:color w:val="auto"/>
                <w:sz w:val="24"/>
                <w:szCs w:val="24"/>
                <w:highlight w:val="none"/>
              </w:rPr>
            </w:pPr>
            <w:r>
              <w:rPr>
                <w:rFonts w:hint="eastAsia" w:ascii="Times New Roman" w:hAnsi="Times New Roman" w:cs="Times New Roman"/>
                <w:b/>
                <w:bCs/>
                <w:color w:val="auto"/>
                <w:spacing w:val="4"/>
                <w:sz w:val="24"/>
                <w:szCs w:val="24"/>
                <w:highlight w:val="none"/>
                <w:lang w:val="en-US" w:eastAsia="zh-CN"/>
              </w:rPr>
              <w:t>9</w:t>
            </w:r>
            <w:r>
              <w:rPr>
                <w:rFonts w:hint="default" w:ascii="Times New Roman" w:hAnsi="Times New Roman" w:eastAsia="宋体" w:cs="Times New Roman"/>
                <w:b/>
                <w:bCs/>
                <w:color w:val="auto"/>
                <w:spacing w:val="4"/>
                <w:sz w:val="24"/>
                <w:szCs w:val="24"/>
                <w:highlight w:val="none"/>
              </w:rPr>
              <w:t>.2排水</w:t>
            </w:r>
          </w:p>
          <w:p w14:paraId="1C210D06">
            <w:pPr>
              <w:keepNext w:val="0"/>
              <w:keepLines w:val="0"/>
              <w:pageBreakBefore w:val="0"/>
              <w:widowControl w:val="0"/>
              <w:kinsoku/>
              <w:wordWrap/>
              <w:overflowPunct w:val="0"/>
              <w:topLinePunct w:val="0"/>
              <w:autoSpaceDE w:val="0"/>
              <w:autoSpaceDN w:val="0"/>
              <w:bidi w:val="0"/>
              <w:adjustRightInd w:val="0"/>
              <w:snapToGrid w:val="0"/>
              <w:spacing w:line="500" w:lineRule="exact"/>
              <w:ind w:firstLine="480" w:firstLineChars="200"/>
              <w:jc w:val="both"/>
              <w:textAlignment w:val="baseline"/>
              <w:rPr>
                <w:rFonts w:hint="default" w:ascii="Times New Roman" w:hAnsi="Times New Roman" w:eastAsia="宋体" w:cs="Times New Roman"/>
                <w:color w:val="auto"/>
                <w:sz w:val="24"/>
                <w:szCs w:val="24"/>
                <w:highlight w:val="none"/>
                <w:lang w:val="en-US" w:eastAsia="en-US" w:bidi="ar"/>
              </w:rPr>
            </w:pPr>
            <w:r>
              <w:rPr>
                <w:rFonts w:hint="default" w:ascii="Times New Roman" w:hAnsi="Times New Roman" w:eastAsia="宋体" w:cs="Times New Roman"/>
                <w:color w:val="auto"/>
                <w:sz w:val="24"/>
                <w:szCs w:val="24"/>
                <w:highlight w:val="none"/>
                <w:lang w:val="en-US" w:eastAsia="en-US" w:bidi="ar"/>
              </w:rPr>
              <w:t>本项目在钻井过程中采用</w:t>
            </w:r>
            <w:r>
              <w:rPr>
                <w:rFonts w:hint="eastAsia" w:ascii="Times New Roman" w:hAnsi="Times New Roman" w:eastAsia="宋体" w:cs="Times New Roman"/>
                <w:color w:val="auto"/>
                <w:sz w:val="24"/>
                <w:szCs w:val="24"/>
                <w:highlight w:val="none"/>
                <w:lang w:val="en-US" w:eastAsia="zh-CN" w:bidi="ar"/>
              </w:rPr>
              <w:t>“</w:t>
            </w:r>
            <w:r>
              <w:rPr>
                <w:rFonts w:hint="default" w:ascii="Times New Roman" w:hAnsi="Times New Roman" w:eastAsia="宋体" w:cs="Times New Roman"/>
                <w:color w:val="auto"/>
                <w:sz w:val="24"/>
                <w:szCs w:val="24"/>
                <w:highlight w:val="none"/>
                <w:lang w:val="en-US" w:eastAsia="en-US" w:bidi="ar"/>
              </w:rPr>
              <w:t>钻井泥浆不落地技术</w:t>
            </w:r>
            <w:r>
              <w:rPr>
                <w:rFonts w:hint="eastAsia" w:ascii="Times New Roman" w:hAnsi="Times New Roman" w:eastAsia="宋体" w:cs="Times New Roman"/>
                <w:color w:val="auto"/>
                <w:sz w:val="24"/>
                <w:szCs w:val="24"/>
                <w:highlight w:val="none"/>
                <w:lang w:val="en-US" w:eastAsia="zh-CN" w:bidi="ar"/>
              </w:rPr>
              <w:t>”</w:t>
            </w:r>
            <w:r>
              <w:rPr>
                <w:rFonts w:hint="default" w:ascii="Times New Roman" w:hAnsi="Times New Roman" w:eastAsia="宋体" w:cs="Times New Roman"/>
                <w:color w:val="auto"/>
                <w:sz w:val="24"/>
                <w:szCs w:val="24"/>
                <w:highlight w:val="none"/>
                <w:lang w:val="en-US" w:eastAsia="en-US" w:bidi="ar"/>
              </w:rPr>
              <w:t>，分离出的液相循环使用。本项目废水主要为钻井期生活污水</w:t>
            </w:r>
            <w:r>
              <w:rPr>
                <w:rFonts w:hint="default" w:ascii="Times New Roman" w:hAnsi="Times New Roman" w:eastAsia="宋体" w:cs="Times New Roman"/>
                <w:color w:val="auto"/>
                <w:sz w:val="24"/>
                <w:szCs w:val="24"/>
                <w:highlight w:val="none"/>
                <w:lang w:val="en-US" w:eastAsia="zh-CN" w:bidi="ar"/>
              </w:rPr>
              <w:t>，</w:t>
            </w:r>
            <w:r>
              <w:rPr>
                <w:rFonts w:hint="default" w:ascii="Times New Roman" w:hAnsi="Times New Roman" w:eastAsia="宋体" w:cs="Times New Roman"/>
                <w:color w:val="auto"/>
                <w:sz w:val="24"/>
                <w:szCs w:val="24"/>
                <w:highlight w:val="none"/>
                <w:lang w:val="en-US" w:eastAsia="en-US" w:bidi="ar"/>
              </w:rPr>
              <w:t>试油期井下作业洗井废水</w:t>
            </w:r>
            <w:r>
              <w:rPr>
                <w:rFonts w:hint="default" w:ascii="Times New Roman" w:hAnsi="Times New Roman" w:eastAsia="宋体" w:cs="Times New Roman"/>
                <w:color w:val="auto"/>
                <w:sz w:val="24"/>
                <w:szCs w:val="24"/>
                <w:highlight w:val="none"/>
                <w:lang w:val="en-US" w:eastAsia="zh-CN" w:bidi="ar"/>
              </w:rPr>
              <w:t>、</w:t>
            </w:r>
            <w:r>
              <w:rPr>
                <w:rFonts w:hint="default" w:ascii="Times New Roman" w:hAnsi="Times New Roman" w:eastAsia="宋体" w:cs="Times New Roman"/>
                <w:color w:val="auto"/>
                <w:sz w:val="24"/>
                <w:szCs w:val="24"/>
                <w:highlight w:val="none"/>
                <w:lang w:val="en-US" w:eastAsia="en-US" w:bidi="ar"/>
              </w:rPr>
              <w:t>压裂返排液。</w:t>
            </w:r>
          </w:p>
          <w:p w14:paraId="0A994AE0">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lang w:val="en-US" w:eastAsia="en-US" w:bidi="ar"/>
              </w:rPr>
            </w:pPr>
            <w:r>
              <w:rPr>
                <w:rFonts w:hint="default" w:ascii="Times New Roman" w:hAnsi="Times New Roman" w:eastAsia="宋体" w:cs="Times New Roman"/>
                <w:color w:val="auto"/>
                <w:sz w:val="24"/>
                <w:szCs w:val="24"/>
                <w:highlight w:val="none"/>
                <w:lang w:val="en-US" w:eastAsia="en-US" w:bidi="ar"/>
              </w:rPr>
              <w:t>（1）生活污水：本项目施工期生活污水产生量为用水量的80%，预计生活污水产生量为</w:t>
            </w:r>
            <w:r>
              <w:rPr>
                <w:rFonts w:hint="eastAsia" w:ascii="Times New Roman" w:hAnsi="Times New Roman" w:eastAsia="宋体" w:cs="Times New Roman"/>
                <w:color w:val="auto"/>
                <w:sz w:val="24"/>
                <w:szCs w:val="24"/>
                <w:highlight w:val="none"/>
                <w:lang w:val="en-US" w:eastAsia="zh-CN" w:bidi="ar"/>
              </w:rPr>
              <w:t>840</w:t>
            </w:r>
            <w:r>
              <w:rPr>
                <w:rFonts w:hint="default" w:ascii="Times New Roman" w:hAnsi="Times New Roman" w:eastAsia="宋体" w:cs="Times New Roman"/>
                <w:color w:val="auto"/>
                <w:sz w:val="24"/>
                <w:szCs w:val="24"/>
                <w:highlight w:val="none"/>
                <w:lang w:val="en-US" w:eastAsia="en-US" w:bidi="ar"/>
              </w:rPr>
              <w:t>m</w:t>
            </w:r>
            <w:r>
              <w:rPr>
                <w:rFonts w:hint="default" w:ascii="Times New Roman" w:hAnsi="Times New Roman" w:eastAsia="宋体" w:cs="Times New Roman"/>
                <w:color w:val="auto"/>
                <w:sz w:val="24"/>
                <w:szCs w:val="24"/>
                <w:highlight w:val="none"/>
                <w:vertAlign w:val="superscript"/>
                <w:lang w:val="en-US" w:eastAsia="en-US" w:bidi="ar"/>
              </w:rPr>
              <w:t>3</w:t>
            </w:r>
            <w:r>
              <w:rPr>
                <w:rFonts w:hint="default" w:ascii="Times New Roman" w:hAnsi="Times New Roman" w:eastAsia="宋体" w:cs="Times New Roman"/>
                <w:color w:val="auto"/>
                <w:sz w:val="24"/>
                <w:szCs w:val="24"/>
                <w:highlight w:val="none"/>
                <w:lang w:val="en-US" w:eastAsia="en-US" w:bidi="ar"/>
              </w:rPr>
              <w:t>。施工期每个生活营地设置1个防渗收集池（45m</w:t>
            </w:r>
            <w:r>
              <w:rPr>
                <w:rFonts w:hint="default" w:ascii="Times New Roman" w:hAnsi="Times New Roman" w:eastAsia="宋体" w:cs="Times New Roman"/>
                <w:color w:val="auto"/>
                <w:sz w:val="24"/>
                <w:szCs w:val="24"/>
                <w:highlight w:val="none"/>
                <w:vertAlign w:val="superscript"/>
                <w:lang w:val="en-US" w:eastAsia="en-US" w:bidi="ar"/>
              </w:rPr>
              <w:t>3</w:t>
            </w:r>
            <w:r>
              <w:rPr>
                <w:rFonts w:hint="default" w:ascii="Times New Roman" w:hAnsi="Times New Roman" w:eastAsia="宋体" w:cs="Times New Roman"/>
                <w:color w:val="auto"/>
                <w:sz w:val="24"/>
                <w:szCs w:val="24"/>
                <w:highlight w:val="none"/>
                <w:lang w:val="en-US" w:eastAsia="en-US" w:bidi="ar"/>
              </w:rPr>
              <w:t>），生活污水经防渗收集池由施工队采取密闭式吸污罐车定期拉运至吉木萨尔县生活污水处理厂进行处理。</w:t>
            </w:r>
          </w:p>
          <w:p w14:paraId="5762D884">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lang w:val="en-US" w:eastAsia="en-US" w:bidi="ar"/>
              </w:rPr>
            </w:pPr>
            <w:r>
              <w:rPr>
                <w:rFonts w:hint="default" w:ascii="Times New Roman" w:hAnsi="Times New Roman" w:eastAsia="宋体" w:cs="Times New Roman"/>
                <w:color w:val="auto"/>
                <w:sz w:val="24"/>
                <w:szCs w:val="24"/>
                <w:highlight w:val="none"/>
                <w:lang w:val="en-US" w:eastAsia="en-US" w:bidi="ar"/>
              </w:rPr>
              <w:t>（2）压裂返排液：根据《排放源统计调查产排污核算方法和系数手册》中的</w:t>
            </w:r>
            <w:r>
              <w:rPr>
                <w:rFonts w:hint="eastAsia" w:ascii="Times New Roman" w:hAnsi="Times New Roman" w:eastAsia="宋体" w:cs="Times New Roman"/>
                <w:color w:val="auto"/>
                <w:sz w:val="24"/>
                <w:szCs w:val="24"/>
                <w:highlight w:val="none"/>
                <w:lang w:val="en-US" w:eastAsia="zh-CN" w:bidi="ar"/>
              </w:rPr>
              <w:t>“</w:t>
            </w:r>
            <w:r>
              <w:rPr>
                <w:rFonts w:hint="default" w:ascii="Times New Roman" w:hAnsi="Times New Roman" w:eastAsia="宋体" w:cs="Times New Roman"/>
                <w:color w:val="auto"/>
                <w:sz w:val="24"/>
                <w:szCs w:val="24"/>
                <w:highlight w:val="none"/>
                <w:lang w:val="en-US" w:eastAsia="en-US" w:bidi="ar"/>
              </w:rPr>
              <w:t>1120石油和天然气开采专业及辅助性活动行业系数手册</w:t>
            </w:r>
            <w:r>
              <w:rPr>
                <w:rFonts w:hint="eastAsia" w:ascii="Times New Roman" w:hAnsi="Times New Roman" w:eastAsia="宋体" w:cs="Times New Roman"/>
                <w:color w:val="auto"/>
                <w:sz w:val="24"/>
                <w:szCs w:val="24"/>
                <w:highlight w:val="none"/>
                <w:lang w:val="en-US" w:eastAsia="zh-CN" w:bidi="ar"/>
              </w:rPr>
              <w:t>”</w:t>
            </w:r>
            <w:r>
              <w:rPr>
                <w:rFonts w:hint="default" w:ascii="Times New Roman" w:hAnsi="Times New Roman" w:eastAsia="宋体" w:cs="Times New Roman"/>
                <w:color w:val="auto"/>
                <w:sz w:val="24"/>
                <w:szCs w:val="24"/>
                <w:highlight w:val="none"/>
                <w:lang w:val="en-US" w:eastAsia="en-US" w:bidi="ar"/>
              </w:rPr>
              <w:t>，低渗透油井洗井作业废压裂液排放量为153.21m</w:t>
            </w:r>
            <w:r>
              <w:rPr>
                <w:rFonts w:hint="default" w:ascii="Times New Roman" w:hAnsi="Times New Roman" w:eastAsia="宋体" w:cs="Times New Roman"/>
                <w:color w:val="auto"/>
                <w:sz w:val="24"/>
                <w:szCs w:val="24"/>
                <w:highlight w:val="none"/>
                <w:vertAlign w:val="superscript"/>
                <w:lang w:val="en-US" w:eastAsia="en-US" w:bidi="ar"/>
              </w:rPr>
              <w:t>3</w:t>
            </w:r>
            <w:r>
              <w:rPr>
                <w:rFonts w:hint="default" w:ascii="Times New Roman" w:hAnsi="Times New Roman" w:eastAsia="宋体" w:cs="Times New Roman"/>
                <w:color w:val="auto"/>
                <w:sz w:val="24"/>
                <w:szCs w:val="24"/>
                <w:highlight w:val="none"/>
                <w:lang w:val="en-US" w:eastAsia="en-US" w:bidi="ar"/>
              </w:rPr>
              <w:t>/井</w:t>
            </w:r>
            <w:r>
              <w:rPr>
                <w:rFonts w:hint="default" w:ascii="Times New Roman" w:hAnsi="Times New Roman" w:eastAsia="宋体" w:cs="Times New Roman"/>
                <w:color w:val="auto"/>
                <w:sz w:val="24"/>
                <w:szCs w:val="24"/>
                <w:highlight w:val="none"/>
                <w:lang w:val="en-US" w:eastAsia="zh-CN" w:bidi="ar"/>
              </w:rPr>
              <w:t>（</w:t>
            </w:r>
            <w:r>
              <w:rPr>
                <w:rFonts w:hint="default" w:ascii="Times New Roman" w:hAnsi="Times New Roman" w:eastAsia="宋体" w:cs="Times New Roman"/>
                <w:color w:val="auto"/>
                <w:sz w:val="24"/>
                <w:szCs w:val="24"/>
                <w:highlight w:val="none"/>
                <w:lang w:val="en-US" w:eastAsia="en-US" w:bidi="ar"/>
              </w:rPr>
              <w:t>压裂液返排量约</w:t>
            </w:r>
            <w:r>
              <w:rPr>
                <w:rFonts w:hint="default" w:ascii="Times New Roman" w:hAnsi="Times New Roman" w:eastAsia="宋体" w:cs="Times New Roman"/>
                <w:color w:val="auto"/>
                <w:sz w:val="24"/>
                <w:szCs w:val="24"/>
                <w:highlight w:val="none"/>
                <w:lang w:val="en-US" w:eastAsia="zh-CN" w:bidi="ar"/>
              </w:rPr>
              <w:t>占压裂液用量的百分数为</w:t>
            </w:r>
            <w:r>
              <w:rPr>
                <w:rFonts w:hint="default" w:ascii="Times New Roman" w:hAnsi="Times New Roman" w:eastAsia="宋体" w:cs="Times New Roman"/>
                <w:color w:val="auto"/>
                <w:sz w:val="24"/>
                <w:szCs w:val="24"/>
                <w:highlight w:val="none"/>
                <w:lang w:val="en-US" w:eastAsia="en-US" w:bidi="ar"/>
              </w:rPr>
              <w:t>20%～50%，取最大值50%计算</w:t>
            </w:r>
            <w:r>
              <w:rPr>
                <w:rFonts w:hint="default" w:ascii="Times New Roman" w:hAnsi="Times New Roman" w:eastAsia="宋体" w:cs="Times New Roman"/>
                <w:color w:val="auto"/>
                <w:sz w:val="24"/>
                <w:szCs w:val="24"/>
                <w:highlight w:val="none"/>
                <w:lang w:val="en-US" w:eastAsia="zh-CN" w:bidi="ar"/>
              </w:rPr>
              <w:t>）</w:t>
            </w:r>
            <w:r>
              <w:rPr>
                <w:rFonts w:hint="default" w:ascii="Times New Roman" w:hAnsi="Times New Roman" w:eastAsia="宋体" w:cs="Times New Roman"/>
                <w:color w:val="auto"/>
                <w:sz w:val="24"/>
                <w:szCs w:val="24"/>
                <w:highlight w:val="none"/>
                <w:lang w:val="en-US" w:eastAsia="en-US" w:bidi="ar"/>
              </w:rPr>
              <w:t>。本项目产生压裂返排液</w:t>
            </w:r>
            <w:r>
              <w:rPr>
                <w:rFonts w:hint="eastAsia" w:ascii="Times New Roman" w:hAnsi="Times New Roman" w:eastAsia="宋体" w:cs="Times New Roman"/>
                <w:color w:val="auto"/>
                <w:sz w:val="24"/>
                <w:szCs w:val="24"/>
                <w:highlight w:val="none"/>
                <w:lang w:val="en-US" w:eastAsia="zh-CN" w:bidi="ar"/>
              </w:rPr>
              <w:t>6128.4</w:t>
            </w:r>
            <w:r>
              <w:rPr>
                <w:rFonts w:hint="default" w:ascii="Times New Roman" w:hAnsi="Times New Roman" w:eastAsia="宋体" w:cs="Times New Roman"/>
                <w:color w:val="auto"/>
                <w:sz w:val="24"/>
                <w:szCs w:val="24"/>
                <w:highlight w:val="none"/>
                <w:lang w:val="en-US" w:eastAsia="en-US" w:bidi="ar"/>
              </w:rPr>
              <w:t>m</w:t>
            </w:r>
            <w:r>
              <w:rPr>
                <w:rFonts w:hint="default" w:ascii="Times New Roman" w:hAnsi="Times New Roman" w:eastAsia="宋体" w:cs="Times New Roman"/>
                <w:color w:val="auto"/>
                <w:sz w:val="24"/>
                <w:szCs w:val="24"/>
                <w:highlight w:val="none"/>
                <w:vertAlign w:val="superscript"/>
                <w:lang w:val="en-US" w:eastAsia="en-US" w:bidi="ar"/>
              </w:rPr>
              <w:t>3</w:t>
            </w:r>
            <w:r>
              <w:rPr>
                <w:rFonts w:hint="default" w:ascii="Times New Roman" w:hAnsi="Times New Roman" w:eastAsia="宋体" w:cs="Times New Roman"/>
                <w:color w:val="auto"/>
                <w:sz w:val="24"/>
                <w:szCs w:val="24"/>
                <w:highlight w:val="none"/>
                <w:lang w:val="en-US" w:eastAsia="en-US" w:bidi="ar"/>
              </w:rPr>
              <w:t>，产生的废压裂液由罐车送至吉</w:t>
            </w:r>
            <w:r>
              <w:rPr>
                <w:rFonts w:hint="default" w:ascii="Times New Roman" w:hAnsi="Times New Roman" w:eastAsia="宋体" w:cs="Times New Roman"/>
                <w:color w:val="auto"/>
                <w:sz w:val="24"/>
                <w:szCs w:val="24"/>
                <w:highlight w:val="none"/>
                <w:lang w:val="en-US" w:eastAsia="zh-CN" w:bidi="ar"/>
              </w:rPr>
              <w:t>康</w:t>
            </w:r>
            <w:r>
              <w:rPr>
                <w:rFonts w:hint="default" w:ascii="Times New Roman" w:hAnsi="Times New Roman" w:eastAsia="宋体" w:cs="Times New Roman"/>
                <w:color w:val="auto"/>
                <w:sz w:val="24"/>
                <w:szCs w:val="24"/>
                <w:highlight w:val="none"/>
                <w:lang w:val="en-US" w:eastAsia="en-US" w:bidi="ar"/>
              </w:rPr>
              <w:t>脱水站处理</w:t>
            </w:r>
            <w:r>
              <w:rPr>
                <w:rFonts w:hint="eastAsia" w:ascii="Times New Roman" w:hAnsi="Times New Roman" w:eastAsia="宋体" w:cs="Times New Roman"/>
                <w:color w:val="auto"/>
                <w:sz w:val="24"/>
                <w:szCs w:val="24"/>
                <w:highlight w:val="none"/>
                <w:lang w:val="en-US" w:eastAsia="zh-CN" w:bidi="ar"/>
              </w:rPr>
              <w:t>后全部回注</w:t>
            </w:r>
            <w:r>
              <w:rPr>
                <w:rFonts w:hint="default" w:ascii="Times New Roman" w:hAnsi="Times New Roman" w:eastAsia="宋体" w:cs="Times New Roman"/>
                <w:color w:val="auto"/>
                <w:sz w:val="24"/>
                <w:szCs w:val="24"/>
                <w:highlight w:val="none"/>
                <w:lang w:val="en-US" w:eastAsia="en-US" w:bidi="ar"/>
              </w:rPr>
              <w:t>，不外排。</w:t>
            </w:r>
          </w:p>
          <w:p w14:paraId="1083019F">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lang w:val="en-US" w:eastAsia="en-US" w:bidi="ar"/>
              </w:rPr>
            </w:pPr>
            <w:r>
              <w:rPr>
                <w:rFonts w:hint="default" w:ascii="Times New Roman" w:hAnsi="Times New Roman" w:eastAsia="宋体" w:cs="Times New Roman"/>
                <w:color w:val="auto"/>
                <w:sz w:val="24"/>
                <w:szCs w:val="24"/>
                <w:highlight w:val="none"/>
                <w:lang w:val="en-US" w:eastAsia="en-US" w:bidi="ar"/>
              </w:rPr>
              <w:t>（3）洗井废水：</w:t>
            </w:r>
            <w:r>
              <w:rPr>
                <w:rFonts w:hint="eastAsia" w:ascii="Times New Roman" w:hAnsi="Times New Roman" w:eastAsia="宋体" w:cs="Times New Roman"/>
                <w:color w:val="auto"/>
                <w:sz w:val="24"/>
                <w:szCs w:val="24"/>
                <w:highlight w:val="none"/>
                <w:lang w:val="en-US" w:eastAsia="zh-CN" w:bidi="ar"/>
              </w:rPr>
              <w:t>项目洗井废水</w:t>
            </w:r>
            <w:r>
              <w:rPr>
                <w:rFonts w:hint="default" w:ascii="Times New Roman" w:hAnsi="Times New Roman" w:eastAsia="宋体" w:cs="Times New Roman"/>
                <w:color w:val="auto"/>
                <w:sz w:val="24"/>
                <w:szCs w:val="24"/>
                <w:highlight w:val="none"/>
                <w:lang w:val="en-US" w:eastAsia="en-US" w:bidi="ar"/>
              </w:rPr>
              <w:t>按照用水量的90%计算，本项目产生洗井废水</w:t>
            </w:r>
            <w:r>
              <w:rPr>
                <w:rFonts w:hint="default" w:ascii="Times New Roman" w:hAnsi="Times New Roman" w:eastAsia="宋体" w:cs="Times New Roman"/>
                <w:color w:val="auto"/>
                <w:sz w:val="24"/>
                <w:szCs w:val="24"/>
                <w:highlight w:val="none"/>
                <w:lang w:val="en-US" w:eastAsia="zh-CN" w:bidi="ar"/>
              </w:rPr>
              <w:t>542.6</w:t>
            </w:r>
            <w:r>
              <w:rPr>
                <w:rFonts w:hint="default" w:ascii="Times New Roman" w:hAnsi="Times New Roman" w:eastAsia="宋体" w:cs="Times New Roman"/>
                <w:color w:val="auto"/>
                <w:sz w:val="24"/>
                <w:szCs w:val="24"/>
                <w:highlight w:val="none"/>
                <w:lang w:val="en-US" w:eastAsia="en-US" w:bidi="ar"/>
              </w:rPr>
              <w:t>t。井下作业过程中，作业单位自带回收罐回收作业废水，运至吉</w:t>
            </w:r>
            <w:r>
              <w:rPr>
                <w:rFonts w:hint="default" w:ascii="Times New Roman" w:hAnsi="Times New Roman" w:eastAsia="宋体" w:cs="Times New Roman"/>
                <w:color w:val="auto"/>
                <w:sz w:val="24"/>
                <w:szCs w:val="24"/>
                <w:highlight w:val="none"/>
                <w:lang w:val="en-US" w:eastAsia="zh-CN" w:bidi="ar"/>
              </w:rPr>
              <w:t>康</w:t>
            </w:r>
            <w:r>
              <w:rPr>
                <w:rFonts w:hint="default" w:ascii="Times New Roman" w:hAnsi="Times New Roman" w:eastAsia="宋体" w:cs="Times New Roman"/>
                <w:color w:val="auto"/>
                <w:sz w:val="24"/>
                <w:szCs w:val="24"/>
                <w:highlight w:val="none"/>
                <w:lang w:val="en-US" w:eastAsia="en-US" w:bidi="ar"/>
              </w:rPr>
              <w:t>脱水站污水处理系统处理达标后，上清液回注含油层，底泥</w:t>
            </w:r>
            <w:r>
              <w:rPr>
                <w:rFonts w:hint="eastAsia" w:ascii="Times New Roman" w:hAnsi="Times New Roman" w:eastAsia="宋体" w:cs="Times New Roman"/>
                <w:color w:val="auto"/>
                <w:sz w:val="24"/>
                <w:szCs w:val="24"/>
                <w:highlight w:val="none"/>
                <w:lang w:val="en-US" w:eastAsia="zh-CN" w:bidi="ar"/>
              </w:rPr>
              <w:t>依托</w:t>
            </w:r>
            <w:r>
              <w:rPr>
                <w:rFonts w:hint="default" w:ascii="Times New Roman" w:hAnsi="Times New Roman" w:eastAsia="宋体" w:cs="Times New Roman"/>
                <w:color w:val="auto"/>
                <w:sz w:val="24"/>
                <w:szCs w:val="24"/>
                <w:highlight w:val="none"/>
                <w:lang w:val="en-US" w:eastAsia="en-US" w:bidi="ar"/>
              </w:rPr>
              <w:t>吉</w:t>
            </w:r>
            <w:r>
              <w:rPr>
                <w:rFonts w:hint="default" w:ascii="Times New Roman" w:hAnsi="Times New Roman" w:eastAsia="宋体" w:cs="Times New Roman"/>
                <w:color w:val="auto"/>
                <w:sz w:val="24"/>
                <w:szCs w:val="24"/>
                <w:highlight w:val="none"/>
                <w:lang w:val="en-US" w:eastAsia="zh-CN" w:bidi="ar"/>
              </w:rPr>
              <w:t>康脱水</w:t>
            </w:r>
            <w:r>
              <w:rPr>
                <w:rFonts w:hint="default" w:ascii="Times New Roman" w:hAnsi="Times New Roman" w:eastAsia="宋体" w:cs="Times New Roman"/>
                <w:color w:val="auto"/>
                <w:sz w:val="24"/>
                <w:szCs w:val="24"/>
                <w:highlight w:val="none"/>
                <w:lang w:val="en-US" w:eastAsia="en-US" w:bidi="ar"/>
              </w:rPr>
              <w:t>站</w:t>
            </w:r>
            <w:r>
              <w:rPr>
                <w:rFonts w:hint="eastAsia" w:ascii="Times New Roman" w:hAnsi="Times New Roman" w:eastAsia="宋体" w:cs="Times New Roman"/>
                <w:color w:val="auto"/>
                <w:sz w:val="24"/>
                <w:szCs w:val="24"/>
                <w:highlight w:val="none"/>
                <w:lang w:val="en-US" w:eastAsia="zh-CN" w:bidi="ar"/>
              </w:rPr>
              <w:t>污泥罐暂存</w:t>
            </w:r>
            <w:r>
              <w:rPr>
                <w:rFonts w:hint="default" w:ascii="Times New Roman" w:hAnsi="Times New Roman" w:eastAsia="宋体" w:cs="Times New Roman"/>
                <w:color w:val="auto"/>
                <w:sz w:val="24"/>
                <w:szCs w:val="24"/>
                <w:highlight w:val="none"/>
                <w:lang w:val="en-US" w:eastAsia="en-US" w:bidi="ar"/>
              </w:rPr>
              <w:t>，</w:t>
            </w:r>
            <w:r>
              <w:rPr>
                <w:rFonts w:hint="eastAsia" w:ascii="Times New Roman" w:hAnsi="Times New Roman" w:eastAsia="宋体" w:cs="Times New Roman"/>
                <w:color w:val="auto"/>
                <w:sz w:val="24"/>
                <w:szCs w:val="24"/>
                <w:highlight w:val="none"/>
                <w:lang w:val="en-US" w:eastAsia="zh-CN" w:bidi="ar"/>
              </w:rPr>
              <w:t>定期</w:t>
            </w:r>
            <w:r>
              <w:rPr>
                <w:rFonts w:hint="default" w:ascii="Times New Roman" w:hAnsi="Times New Roman" w:eastAsia="宋体" w:cs="Times New Roman"/>
                <w:color w:val="auto"/>
                <w:sz w:val="24"/>
                <w:szCs w:val="24"/>
                <w:highlight w:val="none"/>
                <w:lang w:val="en-US" w:eastAsia="en-US" w:bidi="ar"/>
              </w:rPr>
              <w:t>交由新疆中建环能北庭环保科技有限公司进行无害化处置</w:t>
            </w:r>
            <w:r>
              <w:rPr>
                <w:rFonts w:hint="default" w:ascii="Times New Roman" w:hAnsi="Times New Roman" w:eastAsia="宋体" w:cs="Times New Roman"/>
                <w:color w:val="auto"/>
                <w:sz w:val="24"/>
                <w:szCs w:val="24"/>
                <w:highlight w:val="none"/>
                <w:lang w:val="en-US" w:eastAsia="zh-CN" w:bidi="ar"/>
              </w:rPr>
              <w:t>。</w:t>
            </w:r>
          </w:p>
          <w:p w14:paraId="6A520294">
            <w:pPr>
              <w:pStyle w:val="16"/>
              <w:widowControl w:val="0"/>
              <w:spacing w:before="179" w:line="219" w:lineRule="auto"/>
              <w:ind w:left="484"/>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综上所述，本项目水平衡见表2-1</w:t>
            </w:r>
            <w:r>
              <w:rPr>
                <w:rFonts w:hint="default" w:ascii="Times New Roman" w:hAnsi="Times New Roman" w:cs="Times New Roman"/>
                <w:color w:val="auto"/>
                <w:spacing w:val="-1"/>
                <w:sz w:val="24"/>
                <w:szCs w:val="24"/>
                <w:highlight w:val="none"/>
                <w:lang w:val="en-US" w:eastAsia="zh-CN"/>
              </w:rPr>
              <w:t>3</w:t>
            </w:r>
            <w:r>
              <w:rPr>
                <w:rFonts w:hint="default" w:ascii="Times New Roman" w:hAnsi="Times New Roman" w:eastAsia="宋体" w:cs="Times New Roman"/>
                <w:color w:val="auto"/>
                <w:spacing w:val="-1"/>
                <w:sz w:val="24"/>
                <w:szCs w:val="24"/>
                <w:highlight w:val="none"/>
              </w:rPr>
              <w:t>。</w:t>
            </w:r>
          </w:p>
          <w:p w14:paraId="3CFADF58">
            <w:pPr>
              <w:widowControl w:val="0"/>
              <w:snapToGrid w:val="0"/>
              <w:spacing w:line="500" w:lineRule="exact"/>
              <w:jc w:val="center"/>
              <w:rPr>
                <w:rFonts w:hint="default" w:ascii="Times New Roman" w:hAnsi="Times New Roman" w:eastAsia="宋体" w:cs="Times New Roman"/>
                <w:b/>
                <w:bCs/>
                <w:color w:val="auto"/>
                <w:sz w:val="21"/>
                <w:szCs w:val="21"/>
                <w:highlight w:val="none"/>
              </w:rPr>
            </w:pPr>
          </w:p>
          <w:p w14:paraId="35A71A14">
            <w:pPr>
              <w:widowControl w:val="0"/>
              <w:snapToGrid w:val="0"/>
              <w:spacing w:line="500" w:lineRule="exact"/>
              <w:jc w:val="center"/>
              <w:rPr>
                <w:rFonts w:hint="default" w:ascii="Times New Roman" w:hAnsi="Times New Roman" w:eastAsia="宋体" w:cs="Times New Roman"/>
                <w:b/>
                <w:bCs/>
                <w:color w:val="auto"/>
                <w:sz w:val="21"/>
                <w:szCs w:val="21"/>
                <w:highlight w:val="none"/>
              </w:rPr>
            </w:pPr>
          </w:p>
          <w:p w14:paraId="26D04CD6">
            <w:pPr>
              <w:widowControl w:val="0"/>
              <w:snapToGrid w:val="0"/>
              <w:spacing w:line="50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表2-1</w:t>
            </w:r>
            <w:r>
              <w:rPr>
                <w:rFonts w:hint="default" w:ascii="Times New Roman" w:hAnsi="Times New Roman" w:eastAsia="宋体" w:cs="Times New Roman"/>
                <w:b/>
                <w:bCs/>
                <w:color w:val="auto"/>
                <w:sz w:val="21"/>
                <w:szCs w:val="21"/>
                <w:highlight w:val="none"/>
                <w:lang w:val="en-US" w:eastAsia="zh-CN"/>
              </w:rPr>
              <w:t xml:space="preserve">3 </w:t>
            </w:r>
            <w:r>
              <w:rPr>
                <w:rFonts w:hint="default" w:ascii="Times New Roman" w:hAnsi="Times New Roman" w:eastAsia="宋体" w:cs="Times New Roman"/>
                <w:b/>
                <w:bCs/>
                <w:color w:val="auto"/>
                <w:sz w:val="21"/>
                <w:szCs w:val="21"/>
                <w:highlight w:val="none"/>
              </w:rPr>
              <w:t>项目水平衡一览表</w:t>
            </w:r>
            <w:r>
              <w:rPr>
                <w:rFonts w:hint="eastAsia"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单位：m</w:t>
            </w:r>
            <w:r>
              <w:rPr>
                <w:rFonts w:hint="default" w:ascii="Times New Roman" w:hAnsi="Times New Roman" w:eastAsia="宋体" w:cs="Times New Roman"/>
                <w:b/>
                <w:bCs/>
                <w:color w:val="auto"/>
                <w:sz w:val="21"/>
                <w:szCs w:val="21"/>
                <w:highlight w:val="none"/>
                <w:vertAlign w:val="superscript"/>
              </w:rPr>
              <w:t>3</w:t>
            </w:r>
          </w:p>
          <w:tbl>
            <w:tblPr>
              <w:tblStyle w:val="15"/>
              <w:tblW w:w="81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2"/>
              <w:gridCol w:w="1229"/>
              <w:gridCol w:w="1478"/>
              <w:gridCol w:w="1507"/>
              <w:gridCol w:w="2204"/>
            </w:tblGrid>
            <w:tr w14:paraId="7774E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12" w:type="dxa"/>
                  <w:tcBorders>
                    <w:left w:val="single" w:color="000000" w:sz="2" w:space="0"/>
                  </w:tcBorders>
                  <w:vAlign w:val="center"/>
                </w:tcPr>
                <w:p w14:paraId="66D6E6A3">
                  <w:pPr>
                    <w:pStyle w:val="16"/>
                    <w:spacing w:before="29" w:line="22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rPr>
                    <w:t>项目</w:t>
                  </w:r>
                </w:p>
              </w:tc>
              <w:tc>
                <w:tcPr>
                  <w:tcW w:w="1229" w:type="dxa"/>
                  <w:vAlign w:val="center"/>
                </w:tcPr>
                <w:p w14:paraId="4A3E5824">
                  <w:pPr>
                    <w:pStyle w:val="16"/>
                    <w:spacing w:before="29" w:line="22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新鲜水</w:t>
                  </w:r>
                </w:p>
              </w:tc>
              <w:tc>
                <w:tcPr>
                  <w:tcW w:w="1478" w:type="dxa"/>
                  <w:vAlign w:val="center"/>
                </w:tcPr>
                <w:p w14:paraId="48461B91">
                  <w:pPr>
                    <w:pStyle w:val="16"/>
                    <w:spacing w:before="29" w:line="22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损失量</w:t>
                  </w:r>
                </w:p>
              </w:tc>
              <w:tc>
                <w:tcPr>
                  <w:tcW w:w="1507" w:type="dxa"/>
                  <w:vAlign w:val="center"/>
                </w:tcPr>
                <w:p w14:paraId="22DF1D3A">
                  <w:pPr>
                    <w:pStyle w:val="16"/>
                    <w:spacing w:before="29" w:line="22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b/>
                      <w:bCs/>
                      <w:color w:val="auto"/>
                      <w:spacing w:val="5"/>
                      <w:sz w:val="21"/>
                      <w:szCs w:val="21"/>
                      <w:highlight w:val="none"/>
                      <w:lang w:val="en-US" w:eastAsia="zh-CN"/>
                    </w:rPr>
                    <w:t>废水</w:t>
                  </w:r>
                  <w:r>
                    <w:rPr>
                      <w:rFonts w:hint="default" w:ascii="Times New Roman" w:hAnsi="Times New Roman" w:eastAsia="宋体" w:cs="Times New Roman"/>
                      <w:b/>
                      <w:bCs/>
                      <w:color w:val="auto"/>
                      <w:spacing w:val="5"/>
                      <w:sz w:val="21"/>
                      <w:szCs w:val="21"/>
                      <w:highlight w:val="none"/>
                    </w:rPr>
                    <w:t>量</w:t>
                  </w:r>
                </w:p>
              </w:tc>
              <w:tc>
                <w:tcPr>
                  <w:tcW w:w="2204" w:type="dxa"/>
                  <w:vAlign w:val="center"/>
                </w:tcPr>
                <w:p w14:paraId="4B3D1ACA">
                  <w:pPr>
                    <w:pStyle w:val="16"/>
                    <w:spacing w:before="29" w:line="220" w:lineRule="auto"/>
                    <w:jc w:val="center"/>
                    <w:rPr>
                      <w:rFonts w:hint="default" w:ascii="Times New Roman" w:hAnsi="Times New Roman" w:eastAsia="宋体" w:cs="Times New Roman"/>
                      <w:b/>
                      <w:bCs/>
                      <w:color w:val="auto"/>
                      <w:spacing w:val="5"/>
                      <w:sz w:val="21"/>
                      <w:szCs w:val="21"/>
                      <w:highlight w:val="none"/>
                      <w:lang w:val="en-US" w:eastAsia="zh-CN"/>
                    </w:rPr>
                  </w:pPr>
                  <w:r>
                    <w:rPr>
                      <w:rFonts w:hint="default" w:ascii="Times New Roman" w:hAnsi="Times New Roman" w:eastAsia="宋体" w:cs="Times New Roman"/>
                      <w:b/>
                      <w:bCs/>
                      <w:color w:val="auto"/>
                      <w:spacing w:val="5"/>
                      <w:sz w:val="21"/>
                      <w:szCs w:val="21"/>
                      <w:highlight w:val="none"/>
                      <w:lang w:val="en-US" w:eastAsia="zh-CN"/>
                    </w:rPr>
                    <w:t>备注</w:t>
                  </w:r>
                </w:p>
              </w:tc>
            </w:tr>
            <w:tr w14:paraId="03493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1712" w:type="dxa"/>
                  <w:tcBorders>
                    <w:left w:val="single" w:color="000000" w:sz="2" w:space="0"/>
                  </w:tcBorders>
                  <w:vAlign w:val="center"/>
                </w:tcPr>
                <w:p w14:paraId="20DBECB3">
                  <w:pPr>
                    <w:pStyle w:val="16"/>
                    <w:spacing w:before="29" w:line="219"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钻井</w:t>
                  </w:r>
                  <w:r>
                    <w:rPr>
                      <w:rFonts w:hint="default" w:ascii="Times New Roman" w:hAnsi="Times New Roman" w:eastAsia="宋体" w:cs="Times New Roman"/>
                      <w:color w:val="auto"/>
                      <w:spacing w:val="7"/>
                      <w:sz w:val="21"/>
                      <w:szCs w:val="21"/>
                      <w:highlight w:val="none"/>
                      <w:lang w:val="en-US" w:eastAsia="zh-CN"/>
                    </w:rPr>
                    <w:t>液配比</w:t>
                  </w:r>
                  <w:r>
                    <w:rPr>
                      <w:rFonts w:hint="default" w:ascii="Times New Roman" w:hAnsi="Times New Roman" w:eastAsia="宋体" w:cs="Times New Roman"/>
                      <w:color w:val="auto"/>
                      <w:spacing w:val="7"/>
                      <w:sz w:val="21"/>
                      <w:szCs w:val="21"/>
                      <w:highlight w:val="none"/>
                    </w:rPr>
                    <w:t>用水</w:t>
                  </w:r>
                </w:p>
              </w:tc>
              <w:tc>
                <w:tcPr>
                  <w:tcW w:w="1229" w:type="dxa"/>
                  <w:vAlign w:val="center"/>
                </w:tcPr>
                <w:p w14:paraId="3F022E1E">
                  <w:pPr>
                    <w:spacing w:before="65" w:line="195" w:lineRule="auto"/>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bidi="ar"/>
                    </w:rPr>
                    <w:t>12000.00</w:t>
                  </w:r>
                </w:p>
              </w:tc>
              <w:tc>
                <w:tcPr>
                  <w:tcW w:w="1478" w:type="dxa"/>
                  <w:vAlign w:val="center"/>
                </w:tcPr>
                <w:p w14:paraId="58E6765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507" w:type="dxa"/>
                  <w:vAlign w:val="center"/>
                </w:tcPr>
                <w:p w14:paraId="259A7CE4">
                  <w:pPr>
                    <w:spacing w:before="65" w:line="195"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204" w:type="dxa"/>
                  <w:vAlign w:val="center"/>
                </w:tcPr>
                <w:p w14:paraId="11669788">
                  <w:pPr>
                    <w:spacing w:before="65" w:line="195"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全部用于</w:t>
                  </w:r>
                  <w:r>
                    <w:rPr>
                      <w:rFonts w:hint="default" w:ascii="Times New Roman" w:hAnsi="Times New Roman" w:eastAsia="宋体" w:cs="Times New Roman"/>
                      <w:color w:val="auto"/>
                      <w:spacing w:val="7"/>
                      <w:sz w:val="21"/>
                      <w:szCs w:val="21"/>
                      <w:highlight w:val="none"/>
                    </w:rPr>
                    <w:t>钻井</w:t>
                  </w:r>
                  <w:r>
                    <w:rPr>
                      <w:rFonts w:hint="default" w:ascii="Times New Roman" w:hAnsi="Times New Roman" w:eastAsia="宋体" w:cs="Times New Roman"/>
                      <w:color w:val="auto"/>
                      <w:spacing w:val="7"/>
                      <w:sz w:val="21"/>
                      <w:szCs w:val="21"/>
                      <w:highlight w:val="none"/>
                      <w:lang w:val="en-US" w:eastAsia="zh-CN"/>
                    </w:rPr>
                    <w:t>液12000.00</w:t>
                  </w:r>
                </w:p>
              </w:tc>
            </w:tr>
            <w:tr w14:paraId="139FE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1712" w:type="dxa"/>
                  <w:tcBorders>
                    <w:left w:val="single" w:color="000000" w:sz="2" w:space="0"/>
                  </w:tcBorders>
                  <w:shd w:val="clear" w:color="auto" w:fill="auto"/>
                  <w:vAlign w:val="center"/>
                </w:tcPr>
                <w:p w14:paraId="69AD5AEF">
                  <w:pPr>
                    <w:pStyle w:val="16"/>
                    <w:spacing w:before="29" w:line="219" w:lineRule="auto"/>
                    <w:jc w:val="center"/>
                    <w:rPr>
                      <w:rFonts w:hint="default" w:ascii="Times New Roman" w:hAnsi="Times New Roman" w:eastAsia="宋体" w:cs="Times New Roman"/>
                      <w:snapToGrid w:val="0"/>
                      <w:color w:val="auto"/>
                      <w:spacing w:val="7"/>
                      <w:kern w:val="0"/>
                      <w:sz w:val="21"/>
                      <w:szCs w:val="21"/>
                      <w:highlight w:val="none"/>
                      <w:lang w:val="en-US" w:eastAsia="zh-CN" w:bidi="ar-SA"/>
                    </w:rPr>
                  </w:pPr>
                  <w:r>
                    <w:rPr>
                      <w:rFonts w:hint="default" w:ascii="Times New Roman" w:hAnsi="Times New Roman" w:cs="Times New Roman"/>
                      <w:color w:val="auto"/>
                      <w:spacing w:val="7"/>
                      <w:sz w:val="21"/>
                      <w:szCs w:val="21"/>
                      <w:highlight w:val="none"/>
                      <w:lang w:val="en-US" w:eastAsia="zh-CN"/>
                    </w:rPr>
                    <w:t>压裂液</w:t>
                  </w:r>
                  <w:r>
                    <w:rPr>
                      <w:rFonts w:hint="default" w:ascii="Times New Roman" w:hAnsi="Times New Roman" w:eastAsia="宋体" w:cs="Times New Roman"/>
                      <w:color w:val="auto"/>
                      <w:spacing w:val="7"/>
                      <w:sz w:val="21"/>
                      <w:szCs w:val="21"/>
                      <w:highlight w:val="none"/>
                      <w:lang w:val="en-US" w:eastAsia="zh-CN"/>
                    </w:rPr>
                    <w:t>配比</w:t>
                  </w:r>
                  <w:r>
                    <w:rPr>
                      <w:rFonts w:hint="default" w:ascii="Times New Roman" w:hAnsi="Times New Roman" w:eastAsia="宋体" w:cs="Times New Roman"/>
                      <w:color w:val="auto"/>
                      <w:spacing w:val="7"/>
                      <w:sz w:val="21"/>
                      <w:szCs w:val="21"/>
                      <w:highlight w:val="none"/>
                    </w:rPr>
                    <w:t>用水</w:t>
                  </w:r>
                </w:p>
              </w:tc>
              <w:tc>
                <w:tcPr>
                  <w:tcW w:w="1229" w:type="dxa"/>
                  <w:shd w:val="clear" w:color="auto" w:fill="auto"/>
                  <w:vAlign w:val="center"/>
                </w:tcPr>
                <w:p w14:paraId="0586A0A2">
                  <w:pPr>
                    <w:spacing w:before="65" w:line="195" w:lineRule="auto"/>
                    <w:jc w:val="center"/>
                    <w:rPr>
                      <w:rFonts w:hint="default" w:ascii="Times New Roman" w:hAnsi="Times New Roman" w:eastAsia="宋体" w:cs="Times New Roman"/>
                      <w:snapToGrid w:val="0"/>
                      <w:color w:val="auto"/>
                      <w:spacing w:val="-1"/>
                      <w:kern w:val="0"/>
                      <w:sz w:val="21"/>
                      <w:szCs w:val="21"/>
                      <w:highlight w:val="none"/>
                      <w:lang w:val="en-US" w:eastAsia="zh-CN" w:bidi="ar-SA"/>
                    </w:rPr>
                  </w:pPr>
                  <w:r>
                    <w:rPr>
                      <w:rFonts w:hint="default" w:ascii="Times New Roman" w:hAnsi="Times New Roman" w:eastAsia="宋体" w:cs="Times New Roman"/>
                      <w:color w:val="auto"/>
                      <w:spacing w:val="-1"/>
                      <w:sz w:val="21"/>
                      <w:szCs w:val="21"/>
                      <w:highlight w:val="none"/>
                      <w:lang w:val="en-US" w:eastAsia="zh-CN"/>
                    </w:rPr>
                    <w:t>6067.12</w:t>
                  </w:r>
                </w:p>
              </w:tc>
              <w:tc>
                <w:tcPr>
                  <w:tcW w:w="1478" w:type="dxa"/>
                  <w:shd w:val="clear" w:color="auto" w:fill="auto"/>
                  <w:vAlign w:val="center"/>
                </w:tcPr>
                <w:p w14:paraId="493B06FE">
                  <w:pPr>
                    <w:keepNext w:val="0"/>
                    <w:keepLines w:val="0"/>
                    <w:widowControl/>
                    <w:suppressLineNumbers w:val="0"/>
                    <w:jc w:val="center"/>
                    <w:textAlignment w:val="center"/>
                    <w:rPr>
                      <w:rFonts w:hint="default" w:ascii="Times New Roman" w:hAnsi="Times New Roman" w:eastAsia="宋体" w:cs="Times New Roman"/>
                      <w:snapToGrid w:val="0"/>
                      <w:color w:val="auto"/>
                      <w:spacing w:val="3"/>
                      <w:kern w:val="0"/>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3002.92</w:t>
                  </w:r>
                </w:p>
              </w:tc>
              <w:tc>
                <w:tcPr>
                  <w:tcW w:w="1507" w:type="dxa"/>
                  <w:shd w:val="clear" w:color="auto" w:fill="auto"/>
                  <w:vAlign w:val="center"/>
                </w:tcPr>
                <w:p w14:paraId="4DEC1F28">
                  <w:pPr>
                    <w:spacing w:before="65" w:line="195" w:lineRule="auto"/>
                    <w:jc w:val="center"/>
                    <w:rPr>
                      <w:rFonts w:hint="default" w:ascii="Times New Roman" w:hAnsi="Times New Roman" w:eastAsia="宋体" w:cs="Times New Roman"/>
                      <w:snapToGrid w:val="0"/>
                      <w:color w:val="auto"/>
                      <w:spacing w:val="3"/>
                      <w:kern w:val="0"/>
                      <w:sz w:val="21"/>
                      <w:szCs w:val="21"/>
                      <w:highlight w:val="none"/>
                      <w:lang w:val="en-US" w:eastAsia="zh-CN" w:bidi="ar-SA"/>
                    </w:rPr>
                  </w:pPr>
                  <w:r>
                    <w:rPr>
                      <w:rFonts w:hint="default" w:ascii="Times New Roman" w:hAnsi="Times New Roman" w:eastAsia="宋体" w:cs="Times New Roman"/>
                      <w:color w:val="auto"/>
                      <w:spacing w:val="3"/>
                      <w:sz w:val="21"/>
                      <w:szCs w:val="21"/>
                      <w:highlight w:val="none"/>
                      <w:lang w:val="en-US" w:eastAsia="zh-CN"/>
                    </w:rPr>
                    <w:t>3064.20</w:t>
                  </w:r>
                </w:p>
              </w:tc>
              <w:tc>
                <w:tcPr>
                  <w:tcW w:w="2204" w:type="dxa"/>
                  <w:shd w:val="clear" w:color="auto" w:fill="auto"/>
                  <w:vAlign w:val="center"/>
                </w:tcPr>
                <w:p w14:paraId="20145B68">
                  <w:pPr>
                    <w:spacing w:before="65" w:line="195" w:lineRule="auto"/>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w:t>
                  </w:r>
                </w:p>
              </w:tc>
            </w:tr>
            <w:tr w14:paraId="49286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12" w:type="dxa"/>
                  <w:tcBorders>
                    <w:left w:val="single" w:color="000000" w:sz="2" w:space="0"/>
                  </w:tcBorders>
                  <w:vAlign w:val="center"/>
                </w:tcPr>
                <w:p w14:paraId="17832B23">
                  <w:pPr>
                    <w:pStyle w:val="16"/>
                    <w:spacing w:before="29" w:line="219" w:lineRule="auto"/>
                    <w:jc w:val="center"/>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洗井用水</w:t>
                  </w:r>
                </w:p>
              </w:tc>
              <w:tc>
                <w:tcPr>
                  <w:tcW w:w="1229" w:type="dxa"/>
                  <w:vAlign w:val="center"/>
                </w:tcPr>
                <w:p w14:paraId="683B24E2">
                  <w:pPr>
                    <w:spacing w:before="65" w:line="195" w:lineRule="auto"/>
                    <w:jc w:val="center"/>
                    <w:rPr>
                      <w:rFonts w:hint="default" w:ascii="Times New Roman" w:hAnsi="Times New Roman" w:eastAsia="宋体" w:cs="Times New Roman"/>
                      <w:color w:val="auto"/>
                      <w:spacing w:val="-1"/>
                      <w:sz w:val="21"/>
                      <w:szCs w:val="21"/>
                      <w:highlight w:val="none"/>
                      <w:lang w:val="en-US"/>
                    </w:rPr>
                  </w:pPr>
                  <w:r>
                    <w:rPr>
                      <w:rFonts w:hint="default" w:ascii="Times New Roman" w:hAnsi="Times New Roman" w:eastAsia="宋体" w:cs="Times New Roman"/>
                      <w:color w:val="auto"/>
                      <w:sz w:val="21"/>
                      <w:szCs w:val="21"/>
                      <w:highlight w:val="none"/>
                      <w:lang w:val="en-US" w:eastAsia="zh-CN" w:bidi="ar"/>
                    </w:rPr>
                    <w:t>603.00</w:t>
                  </w:r>
                </w:p>
              </w:tc>
              <w:tc>
                <w:tcPr>
                  <w:tcW w:w="1478" w:type="dxa"/>
                  <w:vAlign w:val="center"/>
                </w:tcPr>
                <w:p w14:paraId="09341153">
                  <w:pPr>
                    <w:keepNext w:val="0"/>
                    <w:keepLines w:val="0"/>
                    <w:widowControl/>
                    <w:suppressLineNumbers w:val="0"/>
                    <w:jc w:val="center"/>
                    <w:textAlignment w:val="center"/>
                    <w:rPr>
                      <w:rFonts w:hint="default" w:ascii="Times New Roman" w:hAnsi="Times New Roman" w:eastAsia="宋体" w:cs="Times New Roman"/>
                      <w:color w:val="auto"/>
                      <w:spacing w:val="3"/>
                      <w:sz w:val="21"/>
                      <w:szCs w:val="21"/>
                      <w:highlight w:val="none"/>
                      <w:lang w:val="en-US"/>
                    </w:rPr>
                  </w:pPr>
                  <w:r>
                    <w:rPr>
                      <w:rFonts w:hint="default" w:ascii="Times New Roman" w:hAnsi="Times New Roman" w:eastAsia="宋体" w:cs="Times New Roman"/>
                      <w:i w:val="0"/>
                      <w:iCs w:val="0"/>
                      <w:snapToGrid w:val="0"/>
                      <w:color w:val="auto"/>
                      <w:kern w:val="0"/>
                      <w:sz w:val="21"/>
                      <w:szCs w:val="21"/>
                      <w:u w:val="none"/>
                      <w:lang w:val="en-US" w:eastAsia="zh-CN" w:bidi="ar"/>
                    </w:rPr>
                    <w:t>60.40</w:t>
                  </w:r>
                </w:p>
              </w:tc>
              <w:tc>
                <w:tcPr>
                  <w:tcW w:w="1507" w:type="dxa"/>
                  <w:vAlign w:val="center"/>
                </w:tcPr>
                <w:p w14:paraId="2BAB1AA4">
                  <w:pPr>
                    <w:spacing w:before="65" w:line="195" w:lineRule="auto"/>
                    <w:jc w:val="center"/>
                    <w:rPr>
                      <w:rFonts w:hint="default" w:ascii="Times New Roman" w:hAnsi="Times New Roman" w:eastAsia="宋体" w:cs="Times New Roman"/>
                      <w:color w:val="auto"/>
                      <w:spacing w:val="3"/>
                      <w:sz w:val="21"/>
                      <w:szCs w:val="21"/>
                      <w:highlight w:val="none"/>
                      <w:lang w:val="en-US"/>
                    </w:rPr>
                  </w:pPr>
                  <w:r>
                    <w:rPr>
                      <w:rFonts w:hint="default" w:ascii="Times New Roman" w:hAnsi="Times New Roman" w:eastAsia="宋体" w:cs="Times New Roman"/>
                      <w:color w:val="auto"/>
                      <w:sz w:val="21"/>
                      <w:szCs w:val="21"/>
                      <w:highlight w:val="none"/>
                      <w:lang w:val="en-US" w:eastAsia="zh-CN" w:bidi="ar"/>
                    </w:rPr>
                    <w:t>542.60</w:t>
                  </w:r>
                </w:p>
              </w:tc>
              <w:tc>
                <w:tcPr>
                  <w:tcW w:w="2204" w:type="dxa"/>
                  <w:vAlign w:val="center"/>
                </w:tcPr>
                <w:p w14:paraId="36E38DC8">
                  <w:pPr>
                    <w:spacing w:before="65" w:line="195"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w:t>
                  </w:r>
                </w:p>
              </w:tc>
            </w:tr>
            <w:tr w14:paraId="70B25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712" w:type="dxa"/>
                  <w:tcBorders>
                    <w:left w:val="single" w:color="000000" w:sz="2" w:space="0"/>
                  </w:tcBorders>
                  <w:vAlign w:val="center"/>
                </w:tcPr>
                <w:p w14:paraId="35B61886">
                  <w:pPr>
                    <w:pStyle w:val="16"/>
                    <w:spacing w:before="28" w:line="22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生活用水</w:t>
                  </w:r>
                </w:p>
              </w:tc>
              <w:tc>
                <w:tcPr>
                  <w:tcW w:w="1229" w:type="dxa"/>
                  <w:vAlign w:val="center"/>
                </w:tcPr>
                <w:p w14:paraId="7AD2CDE0">
                  <w:pPr>
                    <w:spacing w:before="64" w:line="195" w:lineRule="auto"/>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bidi="ar"/>
                    </w:rPr>
                    <w:t>1050</w:t>
                  </w:r>
                  <w:r>
                    <w:rPr>
                      <w:rFonts w:hint="default" w:ascii="Times New Roman" w:hAnsi="Times New Roman" w:eastAsia="宋体" w:cs="Times New Roman"/>
                      <w:color w:val="auto"/>
                      <w:sz w:val="21"/>
                      <w:szCs w:val="21"/>
                      <w:highlight w:val="none"/>
                      <w:lang w:val="en-US" w:eastAsia="zh-CN" w:bidi="ar"/>
                    </w:rPr>
                    <w:t>.00</w:t>
                  </w:r>
                </w:p>
              </w:tc>
              <w:tc>
                <w:tcPr>
                  <w:tcW w:w="1478" w:type="dxa"/>
                  <w:vAlign w:val="center"/>
                </w:tcPr>
                <w:p w14:paraId="6A64AE6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i w:val="0"/>
                      <w:iCs w:val="0"/>
                      <w:snapToGrid w:val="0"/>
                      <w:color w:val="auto"/>
                      <w:kern w:val="0"/>
                      <w:sz w:val="21"/>
                      <w:szCs w:val="21"/>
                      <w:u w:val="none"/>
                      <w:lang w:val="en-US" w:eastAsia="zh-CN" w:bidi="ar"/>
                    </w:rPr>
                    <w:t>210</w:t>
                  </w:r>
                </w:p>
              </w:tc>
              <w:tc>
                <w:tcPr>
                  <w:tcW w:w="1507" w:type="dxa"/>
                  <w:vAlign w:val="center"/>
                </w:tcPr>
                <w:p w14:paraId="48A32A4E">
                  <w:pPr>
                    <w:spacing w:before="64" w:line="195"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840</w:t>
                  </w:r>
                  <w:r>
                    <w:rPr>
                      <w:rFonts w:hint="default" w:ascii="Times New Roman" w:hAnsi="Times New Roman" w:eastAsia="宋体" w:cs="Times New Roman"/>
                      <w:color w:val="auto"/>
                      <w:sz w:val="21"/>
                      <w:szCs w:val="21"/>
                      <w:highlight w:val="none"/>
                      <w:lang w:val="en-US" w:eastAsia="zh-CN"/>
                    </w:rPr>
                    <w:t>.00</w:t>
                  </w:r>
                </w:p>
              </w:tc>
              <w:tc>
                <w:tcPr>
                  <w:tcW w:w="2204" w:type="dxa"/>
                  <w:vAlign w:val="center"/>
                </w:tcPr>
                <w:p w14:paraId="4B40E512">
                  <w:pPr>
                    <w:spacing w:before="64" w:line="195"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0F889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1712" w:type="dxa"/>
                  <w:tcBorders>
                    <w:left w:val="single" w:color="000000" w:sz="2" w:space="0"/>
                  </w:tcBorders>
                  <w:vAlign w:val="center"/>
                </w:tcPr>
                <w:p w14:paraId="5A7E565C">
                  <w:pPr>
                    <w:pStyle w:val="16"/>
                    <w:spacing w:before="29" w:line="22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合计</w:t>
                  </w:r>
                </w:p>
              </w:tc>
              <w:tc>
                <w:tcPr>
                  <w:tcW w:w="1229" w:type="dxa"/>
                  <w:vAlign w:val="center"/>
                </w:tcPr>
                <w:p w14:paraId="1A9E0B5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197</w:t>
                  </w:r>
                  <w:r>
                    <w:rPr>
                      <w:rFonts w:hint="default" w:ascii="Times New Roman" w:hAnsi="Times New Roman" w:eastAsia="宋体" w:cs="Times New Roman"/>
                      <w:i w:val="0"/>
                      <w:iCs w:val="0"/>
                      <w:snapToGrid w:val="0"/>
                      <w:color w:val="auto"/>
                      <w:kern w:val="0"/>
                      <w:sz w:val="21"/>
                      <w:szCs w:val="21"/>
                      <w:u w:val="none"/>
                      <w:lang w:val="en-US" w:eastAsia="zh-CN" w:bidi="ar"/>
                    </w:rPr>
                    <w:t>20.12</w:t>
                  </w:r>
                </w:p>
              </w:tc>
              <w:tc>
                <w:tcPr>
                  <w:tcW w:w="1478" w:type="dxa"/>
                  <w:vAlign w:val="center"/>
                </w:tcPr>
                <w:p w14:paraId="5FCC3EF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3</w:t>
                  </w:r>
                  <w:r>
                    <w:rPr>
                      <w:rFonts w:hint="eastAsia" w:ascii="Times New Roman" w:hAnsi="Times New Roman" w:eastAsia="宋体" w:cs="Times New Roman"/>
                      <w:i w:val="0"/>
                      <w:iCs w:val="0"/>
                      <w:snapToGrid w:val="0"/>
                      <w:color w:val="auto"/>
                      <w:kern w:val="0"/>
                      <w:sz w:val="21"/>
                      <w:szCs w:val="21"/>
                      <w:u w:val="none"/>
                      <w:lang w:val="en-US" w:eastAsia="zh-CN" w:bidi="ar"/>
                    </w:rPr>
                    <w:t>273</w:t>
                  </w:r>
                  <w:r>
                    <w:rPr>
                      <w:rFonts w:hint="default" w:ascii="Times New Roman" w:hAnsi="Times New Roman" w:eastAsia="宋体" w:cs="Times New Roman"/>
                      <w:i w:val="0"/>
                      <w:iCs w:val="0"/>
                      <w:snapToGrid w:val="0"/>
                      <w:color w:val="auto"/>
                      <w:kern w:val="0"/>
                      <w:sz w:val="21"/>
                      <w:szCs w:val="21"/>
                      <w:u w:val="none"/>
                      <w:lang w:val="en-US" w:eastAsia="zh-CN" w:bidi="ar"/>
                    </w:rPr>
                    <w:t>.32</w:t>
                  </w:r>
                </w:p>
              </w:tc>
              <w:tc>
                <w:tcPr>
                  <w:tcW w:w="1507" w:type="dxa"/>
                  <w:vAlign w:val="center"/>
                </w:tcPr>
                <w:p w14:paraId="66D0D5D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4446</w:t>
                  </w:r>
                  <w:r>
                    <w:rPr>
                      <w:rFonts w:hint="default" w:ascii="Times New Roman" w:hAnsi="Times New Roman" w:eastAsia="宋体" w:cs="Times New Roman"/>
                      <w:i w:val="0"/>
                      <w:iCs w:val="0"/>
                      <w:snapToGrid w:val="0"/>
                      <w:color w:val="auto"/>
                      <w:kern w:val="0"/>
                      <w:sz w:val="21"/>
                      <w:szCs w:val="21"/>
                      <w:u w:val="none"/>
                      <w:lang w:val="en-US" w:eastAsia="zh-CN" w:bidi="ar"/>
                    </w:rPr>
                    <w:t>.80</w:t>
                  </w:r>
                </w:p>
              </w:tc>
              <w:tc>
                <w:tcPr>
                  <w:tcW w:w="2204" w:type="dxa"/>
                  <w:vAlign w:val="center"/>
                </w:tcPr>
                <w:p w14:paraId="518CFAF3">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12000.00</w:t>
                  </w:r>
                </w:p>
              </w:tc>
            </w:tr>
          </w:tbl>
          <w:p w14:paraId="0B9AFA0F">
            <w:pPr>
              <w:pStyle w:val="16"/>
              <w:widowControl w:val="0"/>
              <w:spacing w:before="34" w:line="219" w:lineRule="auto"/>
              <w:ind w:left="519"/>
              <w:rPr>
                <w:rFonts w:hint="eastAsia" w:ascii="Times New Roman" w:hAnsi="Times New Roman" w:cs="Times New Roman"/>
                <w:snapToGrid w:val="0"/>
                <w:color w:val="auto"/>
                <w:kern w:val="0"/>
                <w:sz w:val="24"/>
                <w:szCs w:val="24"/>
                <w:highlight w:val="none"/>
                <w:lang w:val="en-US" w:eastAsia="zh-CN" w:bidi="ar"/>
              </w:rPr>
            </w:pPr>
            <w:r>
              <w:rPr>
                <w:rFonts w:hint="default" w:ascii="Times New Roman" w:hAnsi="Times New Roman" w:eastAsia="宋体" w:cs="Times New Roman"/>
                <w:snapToGrid w:val="0"/>
                <w:color w:val="auto"/>
                <w:kern w:val="0"/>
                <w:sz w:val="24"/>
                <w:szCs w:val="24"/>
                <w:highlight w:val="none"/>
                <w:lang w:val="en-US" w:eastAsia="en-US" w:bidi="ar"/>
              </w:rPr>
              <w:t>项目水平衡图</w:t>
            </w:r>
            <w:r>
              <w:rPr>
                <w:rFonts w:hint="eastAsia" w:ascii="Times New Roman" w:hAnsi="Times New Roman" w:cs="Times New Roman"/>
                <w:snapToGrid w:val="0"/>
                <w:color w:val="auto"/>
                <w:kern w:val="0"/>
                <w:sz w:val="24"/>
                <w:szCs w:val="24"/>
                <w:highlight w:val="none"/>
                <w:lang w:val="en-US" w:eastAsia="zh-CN" w:bidi="ar"/>
              </w:rPr>
              <w:t>见图2-2。</w:t>
            </w:r>
          </w:p>
          <w:p w14:paraId="18CA4E46">
            <w:pPr>
              <w:pStyle w:val="16"/>
              <w:widowControl w:val="0"/>
              <w:spacing w:before="34" w:line="219" w:lineRule="auto"/>
              <w:ind w:left="519"/>
              <w:rPr>
                <w:rFonts w:hint="default" w:ascii="Times New Roman" w:hAnsi="Times New Roman" w:cs="Times New Roman"/>
                <w:snapToGrid w:val="0"/>
                <w:color w:val="auto"/>
                <w:kern w:val="0"/>
                <w:sz w:val="24"/>
                <w:szCs w:val="24"/>
                <w:highlight w:val="none"/>
                <w:lang w:val="en-US" w:eastAsia="zh-CN" w:bidi="ar"/>
              </w:rPr>
            </w:pPr>
          </w:p>
          <w:p w14:paraId="72C94DDF">
            <w:pPr>
              <w:pStyle w:val="16"/>
              <w:widowControl w:val="0"/>
              <w:spacing w:before="161" w:line="240" w:lineRule="auto"/>
              <w:rPr>
                <w:rFonts w:hint="eastAsia" w:ascii="Times New Roman" w:hAnsi="Times New Roman" w:eastAsia="宋体" w:cs="Times New Roman"/>
                <w:b/>
                <w:bCs/>
                <w:snapToGrid w:val="0"/>
                <w:color w:val="auto"/>
                <w:kern w:val="0"/>
                <w:sz w:val="21"/>
                <w:szCs w:val="21"/>
                <w:highlight w:val="none"/>
                <w:lang w:val="en-US" w:eastAsia="zh-CN" w:bidi="ar-SA"/>
              </w:rPr>
            </w:pPr>
            <w:r>
              <w:rPr>
                <w:rFonts w:hint="eastAsia" w:ascii="Times New Roman" w:hAnsi="Times New Roman" w:eastAsia="宋体" w:cs="Times New Roman"/>
                <w:b/>
                <w:bCs/>
                <w:snapToGrid w:val="0"/>
                <w:color w:val="auto"/>
                <w:kern w:val="0"/>
                <w:sz w:val="21"/>
                <w:szCs w:val="21"/>
                <w:highlight w:val="none"/>
                <w:lang w:val="en-US" w:eastAsia="zh-CN" w:bidi="ar-SA"/>
              </w:rPr>
              <w:drawing>
                <wp:inline distT="0" distB="0" distL="114300" distR="114300">
                  <wp:extent cx="5191760" cy="2917825"/>
                  <wp:effectExtent l="0" t="0" r="8890" b="15875"/>
                  <wp:docPr id="14" name="F360BE8B-6686-4F3D-AEAF-501FE73E4058-1" descr="绘图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360BE8B-6686-4F3D-AEAF-501FE73E4058-1" descr="绘图1(7)"/>
                          <pic:cNvPicPr>
                            <a:picLocks noChangeAspect="1"/>
                          </pic:cNvPicPr>
                        </pic:nvPicPr>
                        <pic:blipFill>
                          <a:blip r:embed="rId13"/>
                          <a:stretch>
                            <a:fillRect/>
                          </a:stretch>
                        </pic:blipFill>
                        <pic:spPr>
                          <a:xfrm>
                            <a:off x="0" y="0"/>
                            <a:ext cx="5191760" cy="2917825"/>
                          </a:xfrm>
                          <a:prstGeom prst="rect">
                            <a:avLst/>
                          </a:prstGeom>
                        </pic:spPr>
                      </pic:pic>
                    </a:graphicData>
                  </a:graphic>
                </wp:inline>
              </w:drawing>
            </w:r>
          </w:p>
          <w:p w14:paraId="676E3A3E">
            <w:pPr>
              <w:pStyle w:val="16"/>
              <w:widowControl w:val="0"/>
              <w:spacing w:before="161" w:line="240" w:lineRule="auto"/>
              <w:ind w:left="2526"/>
              <w:rPr>
                <w:rFonts w:hint="default" w:ascii="Times New Roman" w:hAnsi="Times New Roman" w:eastAsia="宋体" w:cs="Times New Roman"/>
                <w:b/>
                <w:bCs/>
                <w:color w:val="auto"/>
                <w:sz w:val="24"/>
                <w:szCs w:val="24"/>
                <w:highlight w:val="none"/>
                <w:lang w:val="en-US" w:eastAsia="en-US" w:bidi="ar"/>
              </w:rPr>
            </w:pPr>
            <w:r>
              <w:rPr>
                <w:rFonts w:hint="default" w:ascii="Times New Roman" w:hAnsi="Times New Roman" w:eastAsia="宋体" w:cs="Times New Roman"/>
                <w:b/>
                <w:bCs/>
                <w:snapToGrid w:val="0"/>
                <w:color w:val="auto"/>
                <w:kern w:val="0"/>
                <w:sz w:val="21"/>
                <w:szCs w:val="21"/>
                <w:highlight w:val="none"/>
                <w:lang w:val="en-US" w:eastAsia="en-US" w:bidi="ar-SA"/>
              </w:rPr>
              <w:t>图2-</w:t>
            </w:r>
            <w:r>
              <w:rPr>
                <w:rFonts w:hint="default" w:ascii="Times New Roman" w:hAnsi="Times New Roman" w:cs="Times New Roman"/>
                <w:b/>
                <w:bCs/>
                <w:snapToGrid w:val="0"/>
                <w:color w:val="auto"/>
                <w:kern w:val="0"/>
                <w:sz w:val="21"/>
                <w:szCs w:val="21"/>
                <w:highlight w:val="none"/>
                <w:lang w:val="en-US" w:eastAsia="zh-CN" w:bidi="ar-SA"/>
              </w:rPr>
              <w:t>2</w:t>
            </w:r>
            <w:r>
              <w:rPr>
                <w:rFonts w:hint="default" w:ascii="Times New Roman" w:hAnsi="Times New Roman" w:eastAsia="宋体" w:cs="Times New Roman"/>
                <w:b/>
                <w:bCs/>
                <w:snapToGrid w:val="0"/>
                <w:color w:val="auto"/>
                <w:kern w:val="0"/>
                <w:sz w:val="21"/>
                <w:szCs w:val="21"/>
                <w:highlight w:val="none"/>
                <w:lang w:val="en-US" w:eastAsia="zh-CN" w:bidi="ar-SA"/>
              </w:rPr>
              <w:t xml:space="preserve"> </w:t>
            </w:r>
            <w:r>
              <w:rPr>
                <w:rFonts w:hint="default" w:ascii="Times New Roman" w:hAnsi="Times New Roman" w:eastAsia="宋体" w:cs="Times New Roman"/>
                <w:b/>
                <w:bCs/>
                <w:snapToGrid w:val="0"/>
                <w:color w:val="auto"/>
                <w:kern w:val="0"/>
                <w:sz w:val="21"/>
                <w:szCs w:val="21"/>
                <w:highlight w:val="none"/>
                <w:lang w:val="en-US" w:eastAsia="en-US" w:bidi="ar-SA"/>
              </w:rPr>
              <w:t>项目水平衡图单位：m</w:t>
            </w:r>
            <w:r>
              <w:rPr>
                <w:rFonts w:hint="default" w:ascii="Times New Roman" w:hAnsi="Times New Roman" w:eastAsia="宋体" w:cs="Times New Roman"/>
                <w:b/>
                <w:bCs/>
                <w:snapToGrid w:val="0"/>
                <w:color w:val="auto"/>
                <w:kern w:val="0"/>
                <w:sz w:val="21"/>
                <w:szCs w:val="21"/>
                <w:highlight w:val="none"/>
                <w:vertAlign w:val="superscript"/>
                <w:lang w:val="en-US" w:eastAsia="en-US" w:bidi="ar-SA"/>
              </w:rPr>
              <w:t>3</w:t>
            </w:r>
          </w:p>
          <w:p w14:paraId="0BFBF5E2">
            <w:pPr>
              <w:widowControl w:val="0"/>
              <w:snapToGrid w:val="0"/>
              <w:spacing w:line="500" w:lineRule="exact"/>
              <w:jc w:val="both"/>
              <w:rPr>
                <w:rFonts w:hint="default" w:ascii="Times New Roman" w:hAnsi="Times New Roman" w:eastAsia="宋体" w:cs="Times New Roman"/>
                <w:b/>
                <w:bCs/>
                <w:color w:val="auto"/>
                <w:sz w:val="24"/>
                <w:szCs w:val="24"/>
                <w:highlight w:val="none"/>
                <w:lang w:val="en-US" w:eastAsia="en-US" w:bidi="ar"/>
              </w:rPr>
            </w:pPr>
            <w:r>
              <w:rPr>
                <w:rFonts w:hint="eastAsia" w:ascii="Times New Roman" w:hAnsi="Times New Roman" w:eastAsia="宋体" w:cs="Times New Roman"/>
                <w:b/>
                <w:bCs/>
                <w:color w:val="auto"/>
                <w:sz w:val="24"/>
                <w:szCs w:val="24"/>
                <w:highlight w:val="none"/>
                <w:lang w:val="en-US" w:eastAsia="zh-CN" w:bidi="ar"/>
              </w:rPr>
              <w:t>9.</w:t>
            </w:r>
            <w:r>
              <w:rPr>
                <w:rFonts w:hint="default" w:ascii="Times New Roman" w:hAnsi="Times New Roman" w:eastAsia="宋体" w:cs="Times New Roman"/>
                <w:b/>
                <w:bCs/>
                <w:color w:val="auto"/>
                <w:sz w:val="24"/>
                <w:szCs w:val="24"/>
                <w:highlight w:val="none"/>
                <w:lang w:val="en-US" w:eastAsia="en-US" w:bidi="ar"/>
              </w:rPr>
              <w:t>3供暖</w:t>
            </w:r>
          </w:p>
          <w:p w14:paraId="441EED6F">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lang w:val="en-US" w:eastAsia="en-US" w:bidi="ar"/>
              </w:rPr>
            </w:pPr>
            <w:r>
              <w:rPr>
                <w:rFonts w:hint="default" w:ascii="Times New Roman" w:hAnsi="Times New Roman" w:eastAsia="宋体" w:cs="Times New Roman"/>
                <w:color w:val="auto"/>
                <w:sz w:val="24"/>
                <w:szCs w:val="24"/>
                <w:highlight w:val="none"/>
                <w:lang w:val="en-US" w:eastAsia="en-US" w:bidi="ar"/>
              </w:rPr>
              <w:t>本项目钻井期不在冬季，无需供暖。</w:t>
            </w:r>
          </w:p>
          <w:p w14:paraId="4B847FEE">
            <w:pPr>
              <w:pStyle w:val="16"/>
              <w:widowControl w:val="0"/>
              <w:spacing w:before="181" w:line="219" w:lineRule="auto"/>
              <w:rPr>
                <w:rFonts w:hint="default" w:ascii="Times New Roman" w:hAnsi="Times New Roman" w:eastAsia="宋体" w:cs="Times New Roman"/>
                <w:color w:val="auto"/>
                <w:sz w:val="24"/>
                <w:szCs w:val="24"/>
                <w:highlight w:val="none"/>
              </w:rPr>
            </w:pPr>
            <w:r>
              <w:rPr>
                <w:rFonts w:hint="eastAsia" w:ascii="Times New Roman" w:hAnsi="Times New Roman" w:cs="Times New Roman"/>
                <w:b/>
                <w:bCs/>
                <w:color w:val="auto"/>
                <w:spacing w:val="-3"/>
                <w:sz w:val="24"/>
                <w:szCs w:val="24"/>
                <w:highlight w:val="none"/>
                <w:lang w:val="en-US" w:eastAsia="zh-CN"/>
              </w:rPr>
              <w:t>9</w:t>
            </w:r>
            <w:r>
              <w:rPr>
                <w:rFonts w:hint="default" w:ascii="Times New Roman" w:hAnsi="Times New Roman" w:eastAsia="宋体" w:cs="Times New Roman"/>
                <w:b/>
                <w:bCs/>
                <w:color w:val="auto"/>
                <w:spacing w:val="-3"/>
                <w:sz w:val="24"/>
                <w:szCs w:val="24"/>
                <w:highlight w:val="none"/>
              </w:rPr>
              <w:t>.4供电</w:t>
            </w:r>
          </w:p>
          <w:p w14:paraId="68A320D1">
            <w:pPr>
              <w:pStyle w:val="16"/>
              <w:widowControl w:val="0"/>
              <w:spacing w:before="184" w:line="359" w:lineRule="auto"/>
              <w:ind w:left="13" w:right="128" w:firstLine="468"/>
              <w:jc w:val="both"/>
              <w:rPr>
                <w:rFonts w:hint="default" w:ascii="Times New Roman" w:hAnsi="Times New Roman" w:eastAsia="宋体" w:cs="Times New Roman"/>
                <w:snapToGrid w:val="0"/>
                <w:color w:val="auto"/>
                <w:kern w:val="0"/>
                <w:sz w:val="24"/>
                <w:szCs w:val="24"/>
                <w:highlight w:val="none"/>
                <w:lang w:val="en-US" w:eastAsia="en-US" w:bidi="ar"/>
              </w:rPr>
            </w:pPr>
            <w:r>
              <w:rPr>
                <w:rFonts w:hint="default" w:ascii="Times New Roman" w:hAnsi="Times New Roman" w:eastAsia="宋体" w:cs="Times New Roman"/>
                <w:snapToGrid w:val="0"/>
                <w:color w:val="auto"/>
                <w:kern w:val="0"/>
                <w:sz w:val="24"/>
                <w:szCs w:val="24"/>
                <w:highlight w:val="none"/>
                <w:lang w:val="en-US" w:eastAsia="en-US" w:bidi="ar"/>
              </w:rPr>
              <w:t>钻井作业过程中需要使用柴油机和柴油发电机，要消耗一定量的柴油</w:t>
            </w:r>
            <w:r>
              <w:rPr>
                <w:rFonts w:hint="eastAsia" w:ascii="Times New Roman" w:hAnsi="Times New Roman" w:cs="Times New Roman"/>
                <w:snapToGrid w:val="0"/>
                <w:color w:val="auto"/>
                <w:kern w:val="0"/>
                <w:sz w:val="24"/>
                <w:szCs w:val="24"/>
                <w:highlight w:val="none"/>
                <w:lang w:val="en-US" w:eastAsia="zh-CN" w:bidi="ar"/>
              </w:rPr>
              <w:t>，</w:t>
            </w:r>
            <w:r>
              <w:rPr>
                <w:rFonts w:hint="default" w:ascii="Times New Roman" w:hAnsi="Times New Roman" w:eastAsia="宋体" w:cs="Times New Roman"/>
                <w:snapToGrid w:val="0"/>
                <w:color w:val="auto"/>
                <w:kern w:val="0"/>
                <w:sz w:val="24"/>
                <w:szCs w:val="24"/>
                <w:highlight w:val="none"/>
                <w:lang w:val="en-US" w:eastAsia="en-US" w:bidi="ar"/>
              </w:rPr>
              <w:t>均符合国家标准。</w:t>
            </w:r>
          </w:p>
          <w:p w14:paraId="6375F094">
            <w:pPr>
              <w:pStyle w:val="16"/>
              <w:widowControl w:val="0"/>
              <w:spacing w:line="361" w:lineRule="auto"/>
              <w:ind w:left="30" w:firstLine="418"/>
              <w:rPr>
                <w:rFonts w:hint="default" w:ascii="Times New Roman" w:hAnsi="Times New Roman" w:eastAsia="宋体" w:cs="Times New Roman"/>
                <w:color w:val="auto"/>
                <w:highlight w:val="none"/>
              </w:rPr>
            </w:pPr>
            <w:r>
              <w:rPr>
                <w:rFonts w:hint="default" w:ascii="Times New Roman" w:hAnsi="Times New Roman" w:eastAsia="宋体" w:cs="Times New Roman"/>
                <w:snapToGrid w:val="0"/>
                <w:color w:val="auto"/>
                <w:kern w:val="0"/>
                <w:sz w:val="24"/>
                <w:szCs w:val="24"/>
                <w:highlight w:val="none"/>
                <w:lang w:val="en-US" w:eastAsia="en-US" w:bidi="ar"/>
              </w:rPr>
              <w:t>各井场动力系统设</w:t>
            </w:r>
            <w:r>
              <w:rPr>
                <w:rFonts w:hint="default" w:ascii="Times New Roman" w:hAnsi="Times New Roman" w:cs="Times New Roman"/>
                <w:snapToGrid w:val="0"/>
                <w:color w:val="auto"/>
                <w:kern w:val="0"/>
                <w:sz w:val="24"/>
                <w:szCs w:val="24"/>
                <w:highlight w:val="none"/>
                <w:lang w:val="en-US" w:eastAsia="zh-CN" w:bidi="ar"/>
              </w:rPr>
              <w:t>4</w:t>
            </w:r>
            <w:r>
              <w:rPr>
                <w:rFonts w:hint="default" w:ascii="Times New Roman" w:hAnsi="Times New Roman" w:eastAsia="宋体" w:cs="Times New Roman"/>
                <w:snapToGrid w:val="0"/>
                <w:color w:val="auto"/>
                <w:kern w:val="0"/>
                <w:sz w:val="24"/>
                <w:szCs w:val="24"/>
                <w:highlight w:val="none"/>
                <w:lang w:val="en-US" w:eastAsia="en-US" w:bidi="ar"/>
              </w:rPr>
              <w:t>台柴油机和</w:t>
            </w:r>
            <w:r>
              <w:rPr>
                <w:rFonts w:hint="default" w:ascii="Times New Roman" w:hAnsi="Times New Roman" w:cs="Times New Roman"/>
                <w:snapToGrid w:val="0"/>
                <w:color w:val="auto"/>
                <w:kern w:val="0"/>
                <w:sz w:val="24"/>
                <w:szCs w:val="24"/>
                <w:highlight w:val="none"/>
                <w:lang w:val="en-US" w:eastAsia="zh-CN" w:bidi="ar"/>
              </w:rPr>
              <w:t>2</w:t>
            </w:r>
            <w:r>
              <w:rPr>
                <w:rFonts w:hint="default" w:ascii="Times New Roman" w:hAnsi="Times New Roman" w:eastAsia="宋体" w:cs="Times New Roman"/>
                <w:snapToGrid w:val="0"/>
                <w:color w:val="auto"/>
                <w:kern w:val="0"/>
                <w:sz w:val="24"/>
                <w:szCs w:val="24"/>
                <w:highlight w:val="none"/>
                <w:lang w:val="en-US" w:eastAsia="en-US" w:bidi="ar"/>
              </w:rPr>
              <w:t>台柴油发电机；电力供应有充分保障。</w:t>
            </w:r>
          </w:p>
        </w:tc>
      </w:tr>
      <w:bookmarkEnd w:id="3"/>
      <w:tr w14:paraId="12C52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4" w:type="dxa"/>
            <w:vAlign w:val="center"/>
          </w:tcPr>
          <w:p w14:paraId="2429416E">
            <w:pPr>
              <w:widowControl w:val="0"/>
              <w:snapToGrid w:val="0"/>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rPr>
              <w:t>总平面及现场布置</w:t>
            </w:r>
          </w:p>
        </w:tc>
        <w:tc>
          <w:tcPr>
            <w:tcW w:w="8394" w:type="dxa"/>
            <w:tcBorders>
              <w:top w:val="single" w:color="auto" w:sz="4" w:space="0"/>
            </w:tcBorders>
          </w:tcPr>
          <w:p w14:paraId="10C07995">
            <w:pPr>
              <w:pStyle w:val="16"/>
              <w:widowControl w:val="0"/>
              <w:spacing w:line="360" w:lineRule="auto"/>
              <w:jc w:val="both"/>
              <w:rPr>
                <w:rFonts w:hint="default" w:ascii="Times New Roman" w:hAnsi="Times New Roman" w:eastAsia="宋体" w:cs="Times New Roman"/>
                <w:b/>
                <w:bCs/>
                <w:color w:val="auto"/>
                <w:sz w:val="24"/>
                <w:szCs w:val="24"/>
                <w:highlight w:val="none"/>
                <w:lang w:val="en-US" w:eastAsia="en-US" w:bidi="ar"/>
              </w:rPr>
            </w:pPr>
            <w:r>
              <w:rPr>
                <w:rFonts w:hint="default" w:ascii="Times New Roman" w:hAnsi="Times New Roman" w:eastAsia="宋体" w:cs="Times New Roman"/>
                <w:b/>
                <w:bCs/>
                <w:color w:val="auto"/>
                <w:sz w:val="24"/>
                <w:szCs w:val="24"/>
                <w:highlight w:val="none"/>
                <w:lang w:val="en-US" w:eastAsia="en-US" w:bidi="ar"/>
              </w:rPr>
              <w:t>1</w:t>
            </w:r>
            <w:r>
              <w:rPr>
                <w:rFonts w:hint="default" w:ascii="Times New Roman" w:hAnsi="Times New Roman" w:eastAsia="宋体" w:cs="Times New Roman"/>
                <w:b/>
                <w:bCs/>
                <w:color w:val="auto"/>
                <w:sz w:val="24"/>
                <w:szCs w:val="24"/>
                <w:highlight w:val="none"/>
                <w:lang w:val="en-US" w:eastAsia="zh-CN" w:bidi="ar"/>
              </w:rPr>
              <w:t>.</w:t>
            </w:r>
            <w:r>
              <w:rPr>
                <w:rFonts w:hint="default" w:ascii="Times New Roman" w:hAnsi="Times New Roman" w:eastAsia="宋体" w:cs="Times New Roman"/>
                <w:b/>
                <w:bCs/>
                <w:color w:val="auto"/>
                <w:sz w:val="24"/>
                <w:szCs w:val="24"/>
                <w:highlight w:val="none"/>
                <w:lang w:val="en-US" w:eastAsia="en-US" w:bidi="ar"/>
              </w:rPr>
              <w:t>钻井期井场平面布置</w:t>
            </w:r>
          </w:p>
          <w:p w14:paraId="6894E217">
            <w:pPr>
              <w:pStyle w:val="16"/>
              <w:widowControl w:val="0"/>
              <w:spacing w:line="360" w:lineRule="auto"/>
              <w:ind w:firstLine="476" w:firstLineChars="200"/>
              <w:jc w:val="both"/>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本项目新钻井</w:t>
            </w:r>
            <w:r>
              <w:rPr>
                <w:rFonts w:hint="default" w:ascii="Times New Roman" w:hAnsi="Times New Roman" w:cs="Times New Roman"/>
                <w:color w:val="auto"/>
                <w:spacing w:val="-1"/>
                <w:sz w:val="24"/>
                <w:szCs w:val="24"/>
                <w:highlight w:val="none"/>
                <w:lang w:val="en-US" w:eastAsia="zh-CN"/>
              </w:rPr>
              <w:t>20</w:t>
            </w:r>
            <w:r>
              <w:rPr>
                <w:rFonts w:hint="default" w:ascii="Times New Roman" w:hAnsi="Times New Roman" w:eastAsia="宋体" w:cs="Times New Roman"/>
                <w:color w:val="auto"/>
                <w:spacing w:val="-1"/>
                <w:sz w:val="24"/>
                <w:szCs w:val="24"/>
                <w:highlight w:val="none"/>
              </w:rPr>
              <w:t>口，钻井期井场布置依据《钻前工程及井场布置技术要求》</w:t>
            </w:r>
            <w:r>
              <w:rPr>
                <w:rFonts w:hint="eastAsia" w:ascii="Times New Roman" w:hAnsi="Times New Roman" w:cs="Times New Roman"/>
                <w:color w:val="auto"/>
                <w:spacing w:val="-3"/>
                <w:sz w:val="24"/>
                <w:szCs w:val="24"/>
                <w:highlight w:val="none"/>
                <w:lang w:eastAsia="zh-CN"/>
              </w:rPr>
              <w:t>（</w:t>
            </w:r>
            <w:r>
              <w:rPr>
                <w:rFonts w:hint="default" w:ascii="Times New Roman" w:hAnsi="Times New Roman" w:eastAsia="宋体" w:cs="Times New Roman"/>
                <w:color w:val="auto"/>
                <w:spacing w:val="-3"/>
                <w:sz w:val="24"/>
                <w:szCs w:val="24"/>
                <w:highlight w:val="none"/>
              </w:rPr>
              <w:t>SY/T5466-2013</w:t>
            </w:r>
            <w:r>
              <w:rPr>
                <w:rFonts w:hint="eastAsia" w:ascii="Times New Roman" w:hAnsi="Times New Roman" w:cs="Times New Roman"/>
                <w:color w:val="auto"/>
                <w:spacing w:val="-3"/>
                <w:sz w:val="24"/>
                <w:szCs w:val="24"/>
                <w:highlight w:val="none"/>
                <w:lang w:eastAsia="zh-CN"/>
              </w:rPr>
              <w:t>）</w:t>
            </w:r>
            <w:r>
              <w:rPr>
                <w:rFonts w:hint="default" w:ascii="Times New Roman" w:hAnsi="Times New Roman" w:eastAsia="宋体" w:cs="Times New Roman"/>
                <w:color w:val="auto"/>
                <w:spacing w:val="-3"/>
                <w:sz w:val="24"/>
                <w:szCs w:val="24"/>
                <w:highlight w:val="none"/>
              </w:rPr>
              <w:t>相关要求，设有柴油储罐、发电房、废料场、不落地系统、泥浆储罐区、岩屑储罐区、</w:t>
            </w:r>
            <w:r>
              <w:rPr>
                <w:rFonts w:hint="default" w:ascii="Times New Roman" w:hAnsi="Times New Roman" w:cs="Times New Roman"/>
                <w:color w:val="auto"/>
                <w:spacing w:val="-3"/>
                <w:sz w:val="24"/>
                <w:szCs w:val="24"/>
                <w:highlight w:val="none"/>
                <w:lang w:val="en-US" w:eastAsia="zh-CN"/>
              </w:rPr>
              <w:t>防喷池、</w:t>
            </w:r>
            <w:r>
              <w:rPr>
                <w:rFonts w:hint="default" w:ascii="Times New Roman" w:hAnsi="Times New Roman" w:eastAsia="宋体" w:cs="Times New Roman"/>
                <w:color w:val="auto"/>
                <w:spacing w:val="-3"/>
                <w:sz w:val="24"/>
                <w:szCs w:val="24"/>
                <w:highlight w:val="none"/>
              </w:rPr>
              <w:t>值班房</w:t>
            </w:r>
            <w:r>
              <w:rPr>
                <w:rFonts w:hint="default" w:ascii="Times New Roman" w:hAnsi="Times New Roman" w:eastAsia="宋体" w:cs="Times New Roman"/>
                <w:color w:val="auto"/>
                <w:spacing w:val="-1"/>
                <w:sz w:val="24"/>
                <w:szCs w:val="24"/>
                <w:highlight w:val="none"/>
              </w:rPr>
              <w:t>等</w:t>
            </w:r>
            <w:r>
              <w:rPr>
                <w:rFonts w:hint="eastAsia" w:ascii="Times New Roman" w:hAnsi="Times New Roman" w:cs="Times New Roman"/>
                <w:color w:val="auto"/>
                <w:spacing w:val="-1"/>
                <w:sz w:val="24"/>
                <w:szCs w:val="24"/>
                <w:highlight w:val="none"/>
                <w:lang w:eastAsia="zh-CN"/>
              </w:rPr>
              <w:t>，</w:t>
            </w:r>
            <w:r>
              <w:rPr>
                <w:rFonts w:hint="eastAsia" w:ascii="Times New Roman" w:hAnsi="Times New Roman" w:cs="Times New Roman"/>
                <w:color w:val="auto"/>
                <w:spacing w:val="-1"/>
                <w:sz w:val="24"/>
                <w:szCs w:val="24"/>
                <w:highlight w:val="none"/>
                <w:lang w:val="en-US" w:eastAsia="zh-CN"/>
              </w:rPr>
              <w:t>钻井期井场</w:t>
            </w:r>
            <w:r>
              <w:rPr>
                <w:rFonts w:hint="default" w:ascii="Times New Roman" w:hAnsi="Times New Roman" w:eastAsia="宋体" w:cs="Times New Roman"/>
                <w:color w:val="auto"/>
                <w:spacing w:val="-1"/>
                <w:sz w:val="24"/>
                <w:szCs w:val="24"/>
                <w:highlight w:val="none"/>
              </w:rPr>
              <w:t>平面布置</w:t>
            </w:r>
            <w:r>
              <w:rPr>
                <w:rFonts w:hint="eastAsia" w:ascii="Times New Roman" w:hAnsi="Times New Roman" w:cs="Times New Roman"/>
                <w:color w:val="auto"/>
                <w:spacing w:val="-1"/>
                <w:sz w:val="24"/>
                <w:szCs w:val="24"/>
                <w:highlight w:val="none"/>
                <w:lang w:val="en-US" w:eastAsia="zh-CN"/>
              </w:rPr>
              <w:t>示意图</w:t>
            </w:r>
            <w:r>
              <w:rPr>
                <w:rFonts w:hint="default" w:ascii="Times New Roman" w:hAnsi="Times New Roman" w:cs="Times New Roman"/>
                <w:color w:val="auto"/>
                <w:spacing w:val="-1"/>
                <w:sz w:val="24"/>
                <w:szCs w:val="24"/>
                <w:highlight w:val="none"/>
                <w:lang w:val="en-US" w:eastAsia="zh-CN"/>
              </w:rPr>
              <w:t>见附</w:t>
            </w:r>
            <w:r>
              <w:rPr>
                <w:rFonts w:hint="default" w:ascii="Times New Roman" w:hAnsi="Times New Roman" w:eastAsia="宋体" w:cs="Times New Roman"/>
                <w:color w:val="auto"/>
                <w:spacing w:val="-1"/>
                <w:sz w:val="24"/>
                <w:szCs w:val="24"/>
                <w:highlight w:val="none"/>
              </w:rPr>
              <w:t>图</w:t>
            </w:r>
            <w:r>
              <w:rPr>
                <w:rFonts w:hint="default" w:ascii="Times New Roman" w:hAnsi="Times New Roman" w:cs="Times New Roman"/>
                <w:color w:val="auto"/>
                <w:spacing w:val="-1"/>
                <w:sz w:val="24"/>
                <w:szCs w:val="24"/>
                <w:highlight w:val="none"/>
                <w:lang w:val="en-US" w:eastAsia="zh-CN"/>
              </w:rPr>
              <w:t>9。</w:t>
            </w:r>
          </w:p>
          <w:p w14:paraId="569A2938">
            <w:pPr>
              <w:pStyle w:val="16"/>
              <w:widowControl w:val="0"/>
              <w:spacing w:line="360" w:lineRule="auto"/>
              <w:jc w:val="both"/>
              <w:rPr>
                <w:rFonts w:hint="default" w:ascii="Times New Roman" w:hAnsi="Times New Roman" w:eastAsia="宋体" w:cs="Times New Roman"/>
                <w:b/>
                <w:bCs/>
                <w:color w:val="auto"/>
                <w:sz w:val="24"/>
                <w:szCs w:val="24"/>
                <w:highlight w:val="none"/>
                <w:lang w:val="en-US" w:eastAsia="en-US" w:bidi="ar"/>
              </w:rPr>
            </w:pPr>
            <w:r>
              <w:rPr>
                <w:rFonts w:hint="default" w:ascii="Times New Roman" w:hAnsi="Times New Roman" w:eastAsia="宋体" w:cs="Times New Roman"/>
                <w:b/>
                <w:bCs/>
                <w:color w:val="auto"/>
                <w:sz w:val="24"/>
                <w:szCs w:val="24"/>
                <w:highlight w:val="none"/>
                <w:lang w:val="en-US" w:eastAsia="en-US" w:bidi="ar"/>
              </w:rPr>
              <w:t>2</w:t>
            </w:r>
            <w:r>
              <w:rPr>
                <w:rFonts w:hint="default" w:ascii="Times New Roman" w:hAnsi="Times New Roman" w:eastAsia="宋体" w:cs="Times New Roman"/>
                <w:b/>
                <w:bCs/>
                <w:color w:val="auto"/>
                <w:sz w:val="24"/>
                <w:szCs w:val="24"/>
                <w:highlight w:val="none"/>
                <w:lang w:val="en-US" w:eastAsia="zh-CN" w:bidi="ar"/>
              </w:rPr>
              <w:t>.</w:t>
            </w:r>
            <w:r>
              <w:rPr>
                <w:rFonts w:hint="default" w:ascii="Times New Roman" w:hAnsi="Times New Roman" w:eastAsia="宋体" w:cs="Times New Roman"/>
                <w:b/>
                <w:bCs/>
                <w:color w:val="auto"/>
                <w:sz w:val="24"/>
                <w:szCs w:val="24"/>
                <w:highlight w:val="none"/>
                <w:lang w:val="en-US" w:eastAsia="en-US" w:bidi="ar"/>
              </w:rPr>
              <w:t>试油期井场平面布置</w:t>
            </w:r>
          </w:p>
          <w:p w14:paraId="570D04FE">
            <w:pPr>
              <w:pStyle w:val="16"/>
              <w:widowControl w:val="0"/>
              <w:spacing w:line="360" w:lineRule="auto"/>
              <w:ind w:firstLine="472" w:firstLineChars="200"/>
              <w:jc w:val="both"/>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2"/>
                <w:sz w:val="24"/>
                <w:szCs w:val="24"/>
                <w:highlight w:val="none"/>
              </w:rPr>
              <w:t>试油期井场布置发电房、采出液储罐、试油废水罐、值班</w:t>
            </w:r>
            <w:r>
              <w:rPr>
                <w:rFonts w:hint="default" w:ascii="Times New Roman" w:hAnsi="Times New Roman" w:eastAsia="宋体" w:cs="Times New Roman"/>
                <w:color w:val="auto"/>
                <w:spacing w:val="-3"/>
                <w:sz w:val="24"/>
                <w:szCs w:val="24"/>
                <w:highlight w:val="none"/>
              </w:rPr>
              <w:t>房、</w:t>
            </w:r>
            <w:r>
              <w:rPr>
                <w:rFonts w:hint="default" w:ascii="Times New Roman" w:hAnsi="Times New Roman" w:cs="Times New Roman"/>
                <w:color w:val="auto"/>
                <w:spacing w:val="-3"/>
                <w:sz w:val="24"/>
                <w:szCs w:val="24"/>
                <w:highlight w:val="none"/>
                <w:lang w:val="en-US" w:eastAsia="zh-CN"/>
              </w:rPr>
              <w:t>放喷池</w:t>
            </w:r>
            <w:r>
              <w:rPr>
                <w:rFonts w:hint="default" w:ascii="Times New Roman" w:hAnsi="Times New Roman" w:eastAsia="宋体" w:cs="Times New Roman"/>
                <w:color w:val="auto"/>
                <w:spacing w:val="-3"/>
                <w:sz w:val="24"/>
                <w:szCs w:val="24"/>
                <w:highlight w:val="none"/>
              </w:rPr>
              <w:t>等设施并设置紧急</w:t>
            </w:r>
            <w:r>
              <w:rPr>
                <w:rFonts w:hint="default" w:ascii="Times New Roman" w:hAnsi="Times New Roman" w:eastAsia="宋体" w:cs="Times New Roman"/>
                <w:color w:val="auto"/>
                <w:spacing w:val="-1"/>
                <w:sz w:val="24"/>
                <w:szCs w:val="24"/>
                <w:highlight w:val="none"/>
              </w:rPr>
              <w:t>集合点</w:t>
            </w:r>
            <w:r>
              <w:rPr>
                <w:rFonts w:hint="eastAsia" w:ascii="Times New Roman" w:hAnsi="Times New Roman" w:cs="Times New Roman"/>
                <w:color w:val="auto"/>
                <w:spacing w:val="-1"/>
                <w:sz w:val="24"/>
                <w:szCs w:val="24"/>
                <w:highlight w:val="none"/>
                <w:lang w:val="en-US" w:eastAsia="zh-CN"/>
              </w:rPr>
              <w:t>等</w:t>
            </w:r>
            <w:r>
              <w:rPr>
                <w:rFonts w:hint="default" w:ascii="Times New Roman" w:hAnsi="Times New Roman" w:eastAsia="宋体" w:cs="Times New Roman"/>
                <w:color w:val="auto"/>
                <w:spacing w:val="-1"/>
                <w:sz w:val="24"/>
                <w:szCs w:val="24"/>
                <w:highlight w:val="none"/>
              </w:rPr>
              <w:t>，</w:t>
            </w:r>
            <w:r>
              <w:rPr>
                <w:rFonts w:hint="eastAsia" w:ascii="Times New Roman" w:hAnsi="Times New Roman" w:cs="Times New Roman"/>
                <w:color w:val="auto"/>
                <w:spacing w:val="-1"/>
                <w:sz w:val="24"/>
                <w:szCs w:val="24"/>
                <w:highlight w:val="none"/>
                <w:lang w:val="en-US" w:eastAsia="zh-CN"/>
              </w:rPr>
              <w:t>试油期井场</w:t>
            </w:r>
            <w:r>
              <w:rPr>
                <w:rFonts w:hint="default" w:ascii="Times New Roman" w:hAnsi="Times New Roman" w:eastAsia="宋体" w:cs="Times New Roman"/>
                <w:color w:val="auto"/>
                <w:spacing w:val="-1"/>
                <w:sz w:val="24"/>
                <w:szCs w:val="24"/>
                <w:highlight w:val="none"/>
              </w:rPr>
              <w:t>平面布置</w:t>
            </w:r>
            <w:r>
              <w:rPr>
                <w:rFonts w:hint="eastAsia" w:ascii="Times New Roman" w:hAnsi="Times New Roman" w:cs="Times New Roman"/>
                <w:color w:val="auto"/>
                <w:spacing w:val="-1"/>
                <w:sz w:val="24"/>
                <w:szCs w:val="24"/>
                <w:highlight w:val="none"/>
                <w:lang w:val="en-US" w:eastAsia="zh-CN"/>
              </w:rPr>
              <w:t>示意图</w:t>
            </w:r>
            <w:r>
              <w:rPr>
                <w:rFonts w:hint="default" w:ascii="Times New Roman" w:hAnsi="Times New Roman" w:eastAsia="宋体" w:cs="Times New Roman"/>
                <w:color w:val="auto"/>
                <w:spacing w:val="-1"/>
                <w:sz w:val="24"/>
                <w:szCs w:val="24"/>
                <w:highlight w:val="none"/>
              </w:rPr>
              <w:t>见</w:t>
            </w:r>
            <w:r>
              <w:rPr>
                <w:rFonts w:hint="default" w:ascii="Times New Roman" w:hAnsi="Times New Roman" w:cs="Times New Roman"/>
                <w:color w:val="auto"/>
                <w:spacing w:val="-1"/>
                <w:sz w:val="24"/>
                <w:szCs w:val="24"/>
                <w:highlight w:val="none"/>
                <w:lang w:val="en-US" w:eastAsia="zh-CN"/>
              </w:rPr>
              <w:t>附</w:t>
            </w:r>
            <w:r>
              <w:rPr>
                <w:rFonts w:hint="default" w:ascii="Times New Roman" w:hAnsi="Times New Roman" w:eastAsia="宋体" w:cs="Times New Roman"/>
                <w:color w:val="auto"/>
                <w:spacing w:val="-1"/>
                <w:sz w:val="24"/>
                <w:szCs w:val="24"/>
                <w:highlight w:val="none"/>
              </w:rPr>
              <w:t>图</w:t>
            </w:r>
            <w:r>
              <w:rPr>
                <w:rFonts w:hint="default" w:ascii="Times New Roman" w:hAnsi="Times New Roman" w:cs="Times New Roman"/>
                <w:color w:val="auto"/>
                <w:spacing w:val="-1"/>
                <w:sz w:val="24"/>
                <w:szCs w:val="24"/>
                <w:highlight w:val="none"/>
                <w:lang w:val="en-US" w:eastAsia="zh-CN"/>
              </w:rPr>
              <w:t>10</w:t>
            </w:r>
            <w:r>
              <w:rPr>
                <w:rFonts w:hint="default" w:ascii="Times New Roman" w:hAnsi="Times New Roman" w:eastAsia="宋体" w:cs="Times New Roman"/>
                <w:color w:val="auto"/>
                <w:spacing w:val="-1"/>
                <w:sz w:val="24"/>
                <w:szCs w:val="24"/>
                <w:highlight w:val="none"/>
              </w:rPr>
              <w:t>。</w:t>
            </w:r>
          </w:p>
          <w:p w14:paraId="18DF47F1">
            <w:pPr>
              <w:pStyle w:val="16"/>
              <w:widowControl w:val="0"/>
              <w:spacing w:line="360" w:lineRule="auto"/>
              <w:jc w:val="both"/>
              <w:rPr>
                <w:rFonts w:hint="default" w:ascii="Times New Roman" w:hAnsi="Times New Roman" w:eastAsia="宋体" w:cs="Times New Roman"/>
                <w:b/>
                <w:bCs/>
                <w:color w:val="auto"/>
                <w:sz w:val="24"/>
                <w:szCs w:val="24"/>
                <w:highlight w:val="none"/>
                <w:lang w:val="en-US" w:eastAsia="en-US" w:bidi="ar"/>
              </w:rPr>
            </w:pPr>
            <w:r>
              <w:rPr>
                <w:rFonts w:hint="default" w:ascii="Times New Roman" w:hAnsi="Times New Roman" w:eastAsia="宋体" w:cs="Times New Roman"/>
                <w:b/>
                <w:bCs/>
                <w:color w:val="auto"/>
                <w:sz w:val="24"/>
                <w:szCs w:val="24"/>
                <w:highlight w:val="none"/>
                <w:lang w:val="en-US" w:eastAsia="en-US" w:bidi="ar"/>
              </w:rPr>
              <w:t>3</w:t>
            </w:r>
            <w:r>
              <w:rPr>
                <w:rFonts w:hint="default" w:ascii="Times New Roman" w:hAnsi="Times New Roman" w:eastAsia="宋体" w:cs="Times New Roman"/>
                <w:b/>
                <w:bCs/>
                <w:color w:val="auto"/>
                <w:sz w:val="24"/>
                <w:szCs w:val="24"/>
                <w:highlight w:val="none"/>
                <w:lang w:val="en-US" w:eastAsia="zh-CN" w:bidi="ar"/>
              </w:rPr>
              <w:t>.</w:t>
            </w:r>
            <w:r>
              <w:rPr>
                <w:rFonts w:hint="default" w:ascii="Times New Roman" w:hAnsi="Times New Roman" w:eastAsia="宋体" w:cs="Times New Roman"/>
                <w:b/>
                <w:bCs/>
                <w:color w:val="auto"/>
                <w:sz w:val="24"/>
                <w:szCs w:val="24"/>
                <w:highlight w:val="none"/>
                <w:lang w:val="en-US" w:eastAsia="en-US" w:bidi="ar"/>
              </w:rPr>
              <w:t>工期安排</w:t>
            </w:r>
          </w:p>
          <w:p w14:paraId="340A94AE">
            <w:pPr>
              <w:pStyle w:val="16"/>
              <w:widowControl w:val="0"/>
              <w:spacing w:line="360" w:lineRule="auto"/>
              <w:ind w:firstLine="476" w:firstLineChars="200"/>
              <w:jc w:val="both"/>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本</w:t>
            </w:r>
            <w:r>
              <w:rPr>
                <w:rFonts w:hint="default" w:ascii="Times New Roman" w:hAnsi="Times New Roman" w:cs="Times New Roman"/>
                <w:color w:val="auto"/>
                <w:spacing w:val="-1"/>
                <w:sz w:val="24"/>
                <w:szCs w:val="24"/>
                <w:highlight w:val="none"/>
                <w:lang w:val="en-US" w:eastAsia="zh-CN"/>
              </w:rPr>
              <w:t>项目</w:t>
            </w:r>
            <w:r>
              <w:rPr>
                <w:rFonts w:hint="default" w:ascii="Times New Roman" w:hAnsi="Times New Roman" w:eastAsia="宋体" w:cs="Times New Roman"/>
                <w:color w:val="auto"/>
                <w:spacing w:val="-1"/>
                <w:sz w:val="24"/>
                <w:szCs w:val="24"/>
                <w:highlight w:val="none"/>
              </w:rPr>
              <w:t>施工时序依次为钻井、试油、完井三部分，本项目</w:t>
            </w:r>
            <w:r>
              <w:rPr>
                <w:rFonts w:hint="eastAsia" w:ascii="Times New Roman" w:hAnsi="Times New Roman" w:cs="Times New Roman"/>
                <w:color w:val="auto"/>
                <w:spacing w:val="-1"/>
                <w:sz w:val="24"/>
                <w:szCs w:val="24"/>
                <w:highlight w:val="none"/>
                <w:lang w:val="en-US" w:eastAsia="zh-CN"/>
              </w:rPr>
              <w:t>单井</w:t>
            </w:r>
            <w:r>
              <w:rPr>
                <w:rFonts w:hint="default" w:ascii="Times New Roman" w:hAnsi="Times New Roman" w:eastAsia="宋体" w:cs="Times New Roman"/>
                <w:color w:val="auto"/>
                <w:spacing w:val="-1"/>
                <w:sz w:val="24"/>
                <w:szCs w:val="24"/>
                <w:highlight w:val="none"/>
              </w:rPr>
              <w:t>钻井期为</w:t>
            </w:r>
            <w:r>
              <w:rPr>
                <w:rFonts w:hint="eastAsia" w:ascii="Times New Roman" w:hAnsi="Times New Roman" w:cs="Times New Roman"/>
                <w:color w:val="auto"/>
                <w:spacing w:val="-1"/>
                <w:sz w:val="24"/>
                <w:szCs w:val="24"/>
                <w:highlight w:val="none"/>
                <w:lang w:val="en-US" w:eastAsia="zh-CN"/>
              </w:rPr>
              <w:t>30</w:t>
            </w:r>
            <w:r>
              <w:rPr>
                <w:rFonts w:hint="default" w:ascii="Times New Roman" w:hAnsi="Times New Roman" w:eastAsia="宋体" w:cs="Times New Roman"/>
                <w:color w:val="auto"/>
                <w:spacing w:val="-1"/>
                <w:sz w:val="24"/>
                <w:szCs w:val="24"/>
                <w:highlight w:val="none"/>
              </w:rPr>
              <w:t>天，</w:t>
            </w:r>
            <w:r>
              <w:rPr>
                <w:rFonts w:hint="eastAsia" w:ascii="Times New Roman" w:hAnsi="Times New Roman" w:cs="Times New Roman"/>
                <w:color w:val="auto"/>
                <w:spacing w:val="-1"/>
                <w:sz w:val="24"/>
                <w:szCs w:val="24"/>
                <w:highlight w:val="none"/>
                <w:lang w:val="en-US" w:eastAsia="zh-CN"/>
              </w:rPr>
              <w:t>7口井同时开钻，分三批次钻完，钻井总工期90天，</w:t>
            </w:r>
            <w:r>
              <w:rPr>
                <w:rFonts w:hint="default" w:ascii="Times New Roman" w:hAnsi="Times New Roman" w:eastAsia="宋体" w:cs="Times New Roman"/>
                <w:color w:val="auto"/>
                <w:spacing w:val="-1"/>
                <w:sz w:val="24"/>
                <w:szCs w:val="24"/>
                <w:highlight w:val="none"/>
              </w:rPr>
              <w:t>试油期为180天。本项目用工实行轮休制度，采用两班两倒工作制，每班12小时。</w:t>
            </w:r>
          </w:p>
          <w:p w14:paraId="6DAAAA0F">
            <w:pPr>
              <w:pStyle w:val="16"/>
              <w:widowControl w:val="0"/>
              <w:spacing w:line="360" w:lineRule="auto"/>
              <w:jc w:val="both"/>
              <w:rPr>
                <w:rFonts w:hint="default" w:ascii="Times New Roman" w:hAnsi="Times New Roman" w:eastAsia="宋体" w:cs="Times New Roman"/>
                <w:b/>
                <w:bCs/>
                <w:color w:val="auto"/>
                <w:sz w:val="24"/>
                <w:szCs w:val="24"/>
                <w:highlight w:val="none"/>
                <w:lang w:val="en-US" w:eastAsia="en-US" w:bidi="ar"/>
              </w:rPr>
            </w:pPr>
            <w:r>
              <w:rPr>
                <w:rFonts w:hint="default" w:ascii="Times New Roman" w:hAnsi="Times New Roman" w:eastAsia="宋体" w:cs="Times New Roman"/>
                <w:b/>
                <w:bCs/>
                <w:color w:val="auto"/>
                <w:sz w:val="24"/>
                <w:szCs w:val="24"/>
                <w:highlight w:val="none"/>
                <w:lang w:val="en-US" w:eastAsia="en-US" w:bidi="ar"/>
              </w:rPr>
              <w:t>4</w:t>
            </w:r>
            <w:r>
              <w:rPr>
                <w:rFonts w:hint="default" w:ascii="Times New Roman" w:hAnsi="Times New Roman" w:cs="Times New Roman"/>
                <w:b/>
                <w:bCs/>
                <w:color w:val="auto"/>
                <w:sz w:val="24"/>
                <w:szCs w:val="24"/>
                <w:highlight w:val="none"/>
                <w:lang w:val="en-US" w:eastAsia="zh-CN" w:bidi="ar"/>
              </w:rPr>
              <w:t>.</w:t>
            </w:r>
            <w:r>
              <w:rPr>
                <w:rFonts w:hint="default" w:ascii="Times New Roman" w:hAnsi="Times New Roman" w:eastAsia="宋体" w:cs="Times New Roman"/>
                <w:b/>
                <w:bCs/>
                <w:color w:val="auto"/>
                <w:sz w:val="24"/>
                <w:szCs w:val="24"/>
                <w:highlight w:val="none"/>
                <w:lang w:val="en-US" w:eastAsia="en-US" w:bidi="ar"/>
              </w:rPr>
              <w:t>临时工程平面布置</w:t>
            </w:r>
          </w:p>
          <w:p w14:paraId="73D8ADA4">
            <w:pPr>
              <w:pStyle w:val="16"/>
              <w:widowControl w:val="0"/>
              <w:spacing w:line="360" w:lineRule="auto"/>
              <w:ind w:firstLine="476" w:firstLineChars="200"/>
              <w:jc w:val="both"/>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本项目在</w:t>
            </w:r>
            <w:r>
              <w:rPr>
                <w:rFonts w:hint="default" w:ascii="Times New Roman" w:hAnsi="Times New Roman" w:cs="Times New Roman"/>
                <w:color w:val="auto"/>
                <w:spacing w:val="-1"/>
                <w:sz w:val="24"/>
                <w:szCs w:val="24"/>
                <w:highlight w:val="none"/>
                <w:lang w:val="en-US" w:eastAsia="zh-CN"/>
              </w:rPr>
              <w:t>各</w:t>
            </w:r>
            <w:r>
              <w:rPr>
                <w:rFonts w:hint="eastAsia" w:ascii="Times New Roman" w:hAnsi="Times New Roman" w:cs="Times New Roman"/>
                <w:color w:val="auto"/>
                <w:spacing w:val="-1"/>
                <w:sz w:val="24"/>
                <w:szCs w:val="24"/>
                <w:highlight w:val="none"/>
                <w:lang w:val="en-US" w:eastAsia="zh-CN"/>
              </w:rPr>
              <w:t>钻试场</w:t>
            </w:r>
            <w:r>
              <w:rPr>
                <w:rFonts w:hint="default" w:ascii="Times New Roman" w:hAnsi="Times New Roman" w:eastAsia="宋体" w:cs="Times New Roman"/>
                <w:color w:val="auto"/>
                <w:spacing w:val="-1"/>
                <w:sz w:val="24"/>
                <w:szCs w:val="24"/>
                <w:highlight w:val="none"/>
              </w:rPr>
              <w:t>设1处生活营地</w:t>
            </w:r>
            <w:r>
              <w:rPr>
                <w:rFonts w:hint="default" w:ascii="Times New Roman" w:hAnsi="Times New Roman" w:cs="Times New Roman"/>
                <w:color w:val="auto"/>
                <w:spacing w:val="-1"/>
                <w:sz w:val="24"/>
                <w:szCs w:val="24"/>
                <w:highlight w:val="none"/>
                <w:lang w:eastAsia="zh-CN"/>
              </w:rPr>
              <w:t>，</w:t>
            </w:r>
            <w:r>
              <w:rPr>
                <w:rFonts w:hint="default" w:ascii="Times New Roman" w:hAnsi="Times New Roman" w:cs="Times New Roman"/>
                <w:color w:val="auto"/>
                <w:spacing w:val="-1"/>
                <w:sz w:val="24"/>
                <w:szCs w:val="24"/>
                <w:highlight w:val="none"/>
                <w:lang w:val="en-US" w:eastAsia="zh-CN"/>
              </w:rPr>
              <w:t>共4</w:t>
            </w:r>
            <w:r>
              <w:rPr>
                <w:rFonts w:hint="default" w:ascii="Times New Roman" w:hAnsi="Times New Roman" w:eastAsia="宋体" w:cs="Times New Roman"/>
                <w:color w:val="auto"/>
                <w:spacing w:val="-1"/>
                <w:sz w:val="24"/>
                <w:szCs w:val="24"/>
                <w:highlight w:val="none"/>
              </w:rPr>
              <w:t>处生活营地，生活污水防渗收集池设置在生活营地内。根据井口位置和周围已建道路情况修建临时道路。</w:t>
            </w:r>
          </w:p>
          <w:p w14:paraId="4915B4BC">
            <w:pPr>
              <w:pStyle w:val="16"/>
              <w:widowControl w:val="0"/>
              <w:spacing w:line="360" w:lineRule="auto"/>
              <w:jc w:val="both"/>
              <w:rPr>
                <w:rFonts w:hint="default" w:ascii="Times New Roman" w:hAnsi="Times New Roman" w:eastAsia="宋体" w:cs="Times New Roman"/>
                <w:b/>
                <w:bCs/>
                <w:color w:val="auto"/>
                <w:sz w:val="24"/>
                <w:szCs w:val="24"/>
                <w:highlight w:val="none"/>
                <w:lang w:val="en-US" w:eastAsia="en-US" w:bidi="ar"/>
              </w:rPr>
            </w:pPr>
            <w:r>
              <w:rPr>
                <w:rFonts w:hint="default" w:ascii="Times New Roman" w:hAnsi="Times New Roman" w:eastAsia="宋体" w:cs="Times New Roman"/>
                <w:b/>
                <w:bCs/>
                <w:color w:val="auto"/>
                <w:sz w:val="24"/>
                <w:szCs w:val="24"/>
                <w:highlight w:val="none"/>
                <w:lang w:val="en-US" w:eastAsia="zh-CN" w:bidi="ar"/>
              </w:rPr>
              <w:t>5.</w:t>
            </w:r>
            <w:r>
              <w:rPr>
                <w:rFonts w:hint="default" w:ascii="Times New Roman" w:hAnsi="Times New Roman" w:eastAsia="宋体" w:cs="Times New Roman"/>
                <w:b/>
                <w:bCs/>
                <w:color w:val="auto"/>
                <w:sz w:val="24"/>
                <w:szCs w:val="24"/>
                <w:highlight w:val="none"/>
                <w:lang w:val="en-US" w:eastAsia="en-US" w:bidi="ar"/>
              </w:rPr>
              <w:t>土石方平衡</w:t>
            </w:r>
          </w:p>
          <w:p w14:paraId="1D7C7329">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项目土石方平衡见下表。</w:t>
            </w:r>
          </w:p>
          <w:p w14:paraId="28CC84B8">
            <w:pPr>
              <w:pStyle w:val="16"/>
              <w:widowControl w:val="0"/>
              <w:numPr>
                <w:ilvl w:val="0"/>
                <w:numId w:val="0"/>
              </w:numPr>
              <w:spacing w:line="240" w:lineRule="auto"/>
              <w:jc w:val="center"/>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b/>
                <w:bCs/>
                <w:color w:val="auto"/>
                <w:spacing w:val="-2"/>
                <w:sz w:val="21"/>
                <w:szCs w:val="21"/>
                <w:highlight w:val="none"/>
                <w:lang w:eastAsia="zh-CN"/>
              </w:rPr>
              <w:t>表</w:t>
            </w:r>
            <w:r>
              <w:rPr>
                <w:rFonts w:hint="default" w:ascii="Times New Roman" w:hAnsi="Times New Roman" w:cs="Times New Roman"/>
                <w:b/>
                <w:bCs/>
                <w:color w:val="auto"/>
                <w:spacing w:val="-2"/>
                <w:sz w:val="21"/>
                <w:szCs w:val="21"/>
                <w:highlight w:val="none"/>
                <w:lang w:val="en-US" w:eastAsia="zh-CN"/>
              </w:rPr>
              <w:t xml:space="preserve">2-14 </w:t>
            </w:r>
            <w:r>
              <w:rPr>
                <w:rFonts w:hint="default" w:ascii="Times New Roman" w:hAnsi="Times New Roman" w:eastAsia="宋体" w:cs="Times New Roman"/>
                <w:b/>
                <w:bCs/>
                <w:color w:val="auto"/>
                <w:spacing w:val="-2"/>
                <w:sz w:val="21"/>
                <w:szCs w:val="21"/>
                <w:highlight w:val="none"/>
                <w:lang w:eastAsia="zh-CN"/>
              </w:rPr>
              <w:t>土石方平衡一览表</w:t>
            </w:r>
          </w:p>
          <w:tbl>
            <w:tblPr>
              <w:tblStyle w:val="15"/>
              <w:tblW w:w="811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4"/>
              <w:gridCol w:w="1215"/>
              <w:gridCol w:w="1455"/>
              <w:gridCol w:w="1744"/>
              <w:gridCol w:w="1274"/>
              <w:gridCol w:w="1416"/>
            </w:tblGrid>
            <w:tr w14:paraId="08B5A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1014" w:type="dxa"/>
                  <w:vMerge w:val="restart"/>
                  <w:vAlign w:val="center"/>
                </w:tcPr>
                <w:p w14:paraId="5DA7A870">
                  <w:pPr>
                    <w:pStyle w:val="16"/>
                    <w:spacing w:before="177" w:line="229" w:lineRule="auto"/>
                    <w:jc w:val="center"/>
                    <w:rPr>
                      <w:rFonts w:hint="default" w:ascii="Times New Roman" w:hAnsi="Times New Roman" w:cs="Times New Roman" w:eastAsiaTheme="minorEastAsia"/>
                      <w:b/>
                      <w:bCs/>
                      <w:color w:val="auto"/>
                      <w:spacing w:val="5"/>
                      <w:sz w:val="21"/>
                      <w:szCs w:val="21"/>
                      <w:lang w:val="en-US" w:eastAsia="zh-CN"/>
                    </w:rPr>
                  </w:pPr>
                  <w:r>
                    <w:rPr>
                      <w:rFonts w:hint="default" w:ascii="Times New Roman" w:hAnsi="Times New Roman" w:cs="Times New Roman" w:eastAsiaTheme="minorEastAsia"/>
                      <w:b/>
                      <w:bCs/>
                      <w:color w:val="auto"/>
                      <w:spacing w:val="5"/>
                      <w:sz w:val="21"/>
                      <w:szCs w:val="21"/>
                      <w:lang w:val="en-US" w:eastAsia="zh-CN"/>
                    </w:rPr>
                    <w:t>类别</w:t>
                  </w:r>
                </w:p>
              </w:tc>
              <w:tc>
                <w:tcPr>
                  <w:tcW w:w="1215" w:type="dxa"/>
                  <w:vMerge w:val="restart"/>
                  <w:tcBorders>
                    <w:bottom w:val="nil"/>
                  </w:tcBorders>
                  <w:vAlign w:val="center"/>
                </w:tcPr>
                <w:p w14:paraId="1850C580">
                  <w:pPr>
                    <w:pStyle w:val="16"/>
                    <w:spacing w:before="39" w:line="235" w:lineRule="auto"/>
                    <w:ind w:right="120"/>
                    <w:jc w:val="center"/>
                    <w:rPr>
                      <w:rFonts w:hint="default" w:ascii="Times New Roman" w:hAnsi="Times New Roman" w:cs="Times New Roman" w:eastAsiaTheme="minorEastAsia"/>
                      <w:b/>
                      <w:bCs/>
                      <w:color w:val="auto"/>
                      <w:spacing w:val="8"/>
                      <w:sz w:val="21"/>
                      <w:szCs w:val="21"/>
                    </w:rPr>
                  </w:pPr>
                  <w:r>
                    <w:rPr>
                      <w:rFonts w:hint="default" w:ascii="Times New Roman" w:hAnsi="Times New Roman" w:cs="Times New Roman" w:eastAsiaTheme="minorEastAsia"/>
                      <w:b/>
                      <w:bCs/>
                      <w:color w:val="auto"/>
                      <w:spacing w:val="8"/>
                      <w:sz w:val="21"/>
                      <w:szCs w:val="21"/>
                    </w:rPr>
                    <w:t>挖方</w:t>
                  </w:r>
                </w:p>
                <w:p w14:paraId="646A2C62">
                  <w:pPr>
                    <w:pStyle w:val="16"/>
                    <w:spacing w:before="39" w:line="235" w:lineRule="auto"/>
                    <w:ind w:right="120"/>
                    <w:jc w:val="center"/>
                    <w:rPr>
                      <w:rFonts w:hint="default" w:ascii="Times New Roman" w:hAnsi="Times New Roman" w:cs="Times New Roman" w:eastAsiaTheme="minorEastAsia"/>
                      <w:b/>
                      <w:bCs/>
                      <w:color w:val="auto"/>
                      <w:spacing w:val="8"/>
                      <w:sz w:val="21"/>
                      <w:szCs w:val="21"/>
                    </w:rPr>
                  </w:pPr>
                  <w:r>
                    <w:rPr>
                      <w:rFonts w:hint="default" w:ascii="Times New Roman" w:hAnsi="Times New Roman" w:cs="Times New Roman" w:eastAsiaTheme="minorEastAsia"/>
                      <w:b/>
                      <w:bCs/>
                      <w:color w:val="auto"/>
                      <w:spacing w:val="8"/>
                      <w:sz w:val="21"/>
                      <w:szCs w:val="21"/>
                    </w:rPr>
                    <w:t>（m</w:t>
                  </w:r>
                  <w:r>
                    <w:rPr>
                      <w:rFonts w:hint="default" w:ascii="Times New Roman" w:hAnsi="Times New Roman" w:cs="Times New Roman" w:eastAsiaTheme="minorEastAsia"/>
                      <w:b/>
                      <w:bCs/>
                      <w:color w:val="auto"/>
                      <w:spacing w:val="8"/>
                      <w:sz w:val="21"/>
                      <w:szCs w:val="21"/>
                      <w:vertAlign w:val="superscript"/>
                      <w:lang w:val="en-US" w:eastAsia="zh-CN"/>
                    </w:rPr>
                    <w:t>3</w:t>
                  </w:r>
                  <w:r>
                    <w:rPr>
                      <w:rFonts w:hint="default" w:ascii="Times New Roman" w:hAnsi="Times New Roman" w:cs="Times New Roman" w:eastAsiaTheme="minorEastAsia"/>
                      <w:b/>
                      <w:bCs/>
                      <w:color w:val="auto"/>
                      <w:spacing w:val="8"/>
                      <w:sz w:val="21"/>
                      <w:szCs w:val="21"/>
                    </w:rPr>
                    <w:t>）</w:t>
                  </w:r>
                </w:p>
              </w:tc>
              <w:tc>
                <w:tcPr>
                  <w:tcW w:w="1455" w:type="dxa"/>
                  <w:vMerge w:val="restart"/>
                  <w:tcBorders>
                    <w:bottom w:val="nil"/>
                  </w:tcBorders>
                  <w:vAlign w:val="center"/>
                </w:tcPr>
                <w:p w14:paraId="4C10458F">
                  <w:pPr>
                    <w:pStyle w:val="16"/>
                    <w:spacing w:before="39" w:line="235" w:lineRule="auto"/>
                    <w:ind w:right="120"/>
                    <w:jc w:val="center"/>
                    <w:rPr>
                      <w:rFonts w:hint="default" w:ascii="Times New Roman" w:hAnsi="Times New Roman" w:cs="Times New Roman" w:eastAsiaTheme="minorEastAsia"/>
                      <w:b/>
                      <w:bCs/>
                      <w:color w:val="auto"/>
                      <w:spacing w:val="8"/>
                      <w:sz w:val="21"/>
                      <w:szCs w:val="21"/>
                    </w:rPr>
                  </w:pPr>
                  <w:r>
                    <w:rPr>
                      <w:rFonts w:hint="default" w:ascii="Times New Roman" w:hAnsi="Times New Roman" w:cs="Times New Roman" w:eastAsiaTheme="minorEastAsia"/>
                      <w:b/>
                      <w:bCs/>
                      <w:color w:val="auto"/>
                      <w:spacing w:val="8"/>
                      <w:sz w:val="21"/>
                      <w:szCs w:val="21"/>
                    </w:rPr>
                    <w:t>填方</w:t>
                  </w:r>
                </w:p>
                <w:p w14:paraId="1F9D21D2">
                  <w:pPr>
                    <w:pStyle w:val="16"/>
                    <w:spacing w:before="39" w:line="235" w:lineRule="auto"/>
                    <w:ind w:right="120"/>
                    <w:jc w:val="center"/>
                    <w:rPr>
                      <w:rFonts w:hint="default" w:ascii="Times New Roman" w:hAnsi="Times New Roman" w:cs="Times New Roman" w:eastAsiaTheme="minorEastAsia"/>
                      <w:b/>
                      <w:bCs/>
                      <w:color w:val="auto"/>
                      <w:spacing w:val="8"/>
                      <w:sz w:val="21"/>
                      <w:szCs w:val="21"/>
                    </w:rPr>
                  </w:pPr>
                  <w:r>
                    <w:rPr>
                      <w:rFonts w:hint="default" w:ascii="Times New Roman" w:hAnsi="Times New Roman" w:cs="Times New Roman" w:eastAsiaTheme="minorEastAsia"/>
                      <w:b/>
                      <w:bCs/>
                      <w:color w:val="auto"/>
                      <w:spacing w:val="8"/>
                      <w:sz w:val="21"/>
                      <w:szCs w:val="21"/>
                    </w:rPr>
                    <w:t>（m</w:t>
                  </w:r>
                  <w:r>
                    <w:rPr>
                      <w:rFonts w:hint="default" w:ascii="Times New Roman" w:hAnsi="Times New Roman" w:cs="Times New Roman" w:eastAsiaTheme="minorEastAsia"/>
                      <w:b/>
                      <w:bCs/>
                      <w:color w:val="auto"/>
                      <w:spacing w:val="8"/>
                      <w:sz w:val="21"/>
                      <w:szCs w:val="21"/>
                      <w:vertAlign w:val="superscript"/>
                      <w:lang w:val="en-US" w:eastAsia="zh-CN"/>
                    </w:rPr>
                    <w:t>3</w:t>
                  </w:r>
                  <w:r>
                    <w:rPr>
                      <w:rFonts w:hint="default" w:ascii="Times New Roman" w:hAnsi="Times New Roman" w:cs="Times New Roman" w:eastAsiaTheme="minorEastAsia"/>
                      <w:b/>
                      <w:bCs/>
                      <w:color w:val="auto"/>
                      <w:spacing w:val="8"/>
                      <w:sz w:val="21"/>
                      <w:szCs w:val="21"/>
                    </w:rPr>
                    <w:t>）</w:t>
                  </w:r>
                </w:p>
              </w:tc>
              <w:tc>
                <w:tcPr>
                  <w:tcW w:w="1744" w:type="dxa"/>
                  <w:vMerge w:val="restart"/>
                  <w:tcBorders>
                    <w:bottom w:val="nil"/>
                  </w:tcBorders>
                  <w:vAlign w:val="center"/>
                </w:tcPr>
                <w:p w14:paraId="43D2CEF3">
                  <w:pPr>
                    <w:pStyle w:val="16"/>
                    <w:spacing w:before="39" w:line="235" w:lineRule="auto"/>
                    <w:ind w:right="12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pacing w:val="8"/>
                      <w:sz w:val="21"/>
                      <w:szCs w:val="21"/>
                    </w:rPr>
                    <w:t>借方</w:t>
                  </w:r>
                  <w:r>
                    <w:rPr>
                      <w:rFonts w:hint="default" w:ascii="Times New Roman" w:hAnsi="Times New Roman" w:cs="Times New Roman" w:eastAsiaTheme="minorEastAsia"/>
                      <w:b/>
                      <w:bCs/>
                      <w:color w:val="auto"/>
                      <w:spacing w:val="11"/>
                      <w:sz w:val="21"/>
                      <w:szCs w:val="21"/>
                    </w:rPr>
                    <w:t>（</w:t>
                  </w:r>
                  <w:r>
                    <w:rPr>
                      <w:rFonts w:hint="default" w:ascii="Times New Roman" w:hAnsi="Times New Roman" w:cs="Times New Roman" w:eastAsiaTheme="minorEastAsia"/>
                      <w:b/>
                      <w:bCs/>
                      <w:color w:val="auto"/>
                      <w:spacing w:val="3"/>
                      <w:sz w:val="21"/>
                      <w:szCs w:val="21"/>
                    </w:rPr>
                    <w:t>m</w:t>
                  </w:r>
                  <w:r>
                    <w:rPr>
                      <w:rFonts w:hint="default" w:ascii="Times New Roman" w:hAnsi="Times New Roman" w:cs="Times New Roman" w:eastAsiaTheme="minorEastAsia"/>
                      <w:b/>
                      <w:bCs/>
                      <w:color w:val="auto"/>
                      <w:spacing w:val="3"/>
                      <w:position w:val="6"/>
                      <w:sz w:val="21"/>
                      <w:szCs w:val="21"/>
                      <w:vertAlign w:val="superscript"/>
                    </w:rPr>
                    <w:t>3</w:t>
                  </w:r>
                  <w:r>
                    <w:rPr>
                      <w:rFonts w:hint="default" w:ascii="Times New Roman" w:hAnsi="Times New Roman" w:cs="Times New Roman" w:eastAsiaTheme="minorEastAsia"/>
                      <w:b/>
                      <w:bCs/>
                      <w:color w:val="auto"/>
                      <w:spacing w:val="3"/>
                      <w:sz w:val="21"/>
                      <w:szCs w:val="21"/>
                    </w:rPr>
                    <w:t>）</w:t>
                  </w:r>
                </w:p>
              </w:tc>
              <w:tc>
                <w:tcPr>
                  <w:tcW w:w="2690" w:type="dxa"/>
                  <w:gridSpan w:val="2"/>
                  <w:tcBorders>
                    <w:right w:val="single" w:color="000000" w:sz="4" w:space="0"/>
                  </w:tcBorders>
                  <w:vAlign w:val="center"/>
                </w:tcPr>
                <w:p w14:paraId="7602AC36">
                  <w:pPr>
                    <w:pStyle w:val="16"/>
                    <w:spacing w:before="36" w:line="213"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pacing w:val="5"/>
                      <w:sz w:val="21"/>
                      <w:szCs w:val="21"/>
                    </w:rPr>
                    <w:t>弃方（m</w:t>
                  </w:r>
                  <w:r>
                    <w:rPr>
                      <w:rFonts w:hint="default" w:ascii="Times New Roman" w:hAnsi="Times New Roman" w:cs="Times New Roman" w:eastAsiaTheme="minorEastAsia"/>
                      <w:b/>
                      <w:bCs/>
                      <w:color w:val="auto"/>
                      <w:spacing w:val="5"/>
                      <w:sz w:val="21"/>
                      <w:szCs w:val="21"/>
                      <w:vertAlign w:val="superscript"/>
                      <w:lang w:val="en-US" w:eastAsia="zh-CN"/>
                    </w:rPr>
                    <w:t>3</w:t>
                  </w:r>
                  <w:r>
                    <w:rPr>
                      <w:rFonts w:hint="default" w:ascii="Times New Roman" w:hAnsi="Times New Roman" w:cs="Times New Roman" w:eastAsiaTheme="minorEastAsia"/>
                      <w:b/>
                      <w:bCs/>
                      <w:color w:val="auto"/>
                      <w:spacing w:val="5"/>
                      <w:sz w:val="21"/>
                      <w:szCs w:val="21"/>
                    </w:rPr>
                    <w:t>）</w:t>
                  </w:r>
                </w:p>
              </w:tc>
            </w:tr>
            <w:tr w14:paraId="71DAC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1014" w:type="dxa"/>
                  <w:vMerge w:val="continue"/>
                  <w:vAlign w:val="center"/>
                </w:tcPr>
                <w:p w14:paraId="4DC99EBD">
                  <w:pPr>
                    <w:jc w:val="center"/>
                    <w:rPr>
                      <w:rFonts w:hint="default" w:ascii="Times New Roman" w:hAnsi="Times New Roman" w:cs="Times New Roman" w:eastAsiaTheme="minorEastAsia"/>
                      <w:b/>
                      <w:bCs/>
                      <w:color w:val="auto"/>
                      <w:sz w:val="21"/>
                      <w:szCs w:val="21"/>
                    </w:rPr>
                  </w:pPr>
                </w:p>
              </w:tc>
              <w:tc>
                <w:tcPr>
                  <w:tcW w:w="1215" w:type="dxa"/>
                  <w:vMerge w:val="continue"/>
                  <w:tcBorders>
                    <w:top w:val="nil"/>
                  </w:tcBorders>
                  <w:vAlign w:val="center"/>
                </w:tcPr>
                <w:p w14:paraId="67FF0BFE">
                  <w:pPr>
                    <w:jc w:val="center"/>
                    <w:rPr>
                      <w:rFonts w:hint="default" w:ascii="Times New Roman" w:hAnsi="Times New Roman" w:cs="Times New Roman" w:eastAsiaTheme="minorEastAsia"/>
                      <w:b/>
                      <w:bCs/>
                      <w:color w:val="auto"/>
                      <w:sz w:val="21"/>
                      <w:szCs w:val="21"/>
                    </w:rPr>
                  </w:pPr>
                </w:p>
              </w:tc>
              <w:tc>
                <w:tcPr>
                  <w:tcW w:w="1455" w:type="dxa"/>
                  <w:vMerge w:val="continue"/>
                  <w:tcBorders>
                    <w:top w:val="nil"/>
                  </w:tcBorders>
                  <w:vAlign w:val="center"/>
                </w:tcPr>
                <w:p w14:paraId="69BF52C8">
                  <w:pPr>
                    <w:jc w:val="center"/>
                    <w:rPr>
                      <w:rFonts w:hint="default" w:ascii="Times New Roman" w:hAnsi="Times New Roman" w:cs="Times New Roman" w:eastAsiaTheme="minorEastAsia"/>
                      <w:b/>
                      <w:bCs/>
                      <w:color w:val="auto"/>
                      <w:sz w:val="21"/>
                      <w:szCs w:val="21"/>
                    </w:rPr>
                  </w:pPr>
                </w:p>
              </w:tc>
              <w:tc>
                <w:tcPr>
                  <w:tcW w:w="1744" w:type="dxa"/>
                  <w:vMerge w:val="continue"/>
                  <w:tcBorders>
                    <w:top w:val="nil"/>
                  </w:tcBorders>
                  <w:vAlign w:val="center"/>
                </w:tcPr>
                <w:p w14:paraId="7D12FC23">
                  <w:pPr>
                    <w:jc w:val="center"/>
                    <w:rPr>
                      <w:rFonts w:hint="default" w:ascii="Times New Roman" w:hAnsi="Times New Roman" w:cs="Times New Roman" w:eastAsiaTheme="minorEastAsia"/>
                      <w:b/>
                      <w:bCs/>
                      <w:color w:val="auto"/>
                      <w:sz w:val="21"/>
                      <w:szCs w:val="21"/>
                    </w:rPr>
                  </w:pPr>
                </w:p>
              </w:tc>
              <w:tc>
                <w:tcPr>
                  <w:tcW w:w="1274" w:type="dxa"/>
                  <w:vAlign w:val="center"/>
                </w:tcPr>
                <w:p w14:paraId="6A0F6696">
                  <w:pPr>
                    <w:pStyle w:val="16"/>
                    <w:spacing w:before="37" w:line="212"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pacing w:val="3"/>
                      <w:sz w:val="21"/>
                      <w:szCs w:val="21"/>
                    </w:rPr>
                    <w:t>数量</w:t>
                  </w:r>
                </w:p>
              </w:tc>
              <w:tc>
                <w:tcPr>
                  <w:tcW w:w="1416" w:type="dxa"/>
                  <w:tcBorders>
                    <w:right w:val="single" w:color="000000" w:sz="4" w:space="0"/>
                  </w:tcBorders>
                  <w:vAlign w:val="center"/>
                </w:tcPr>
                <w:p w14:paraId="156809BB">
                  <w:pPr>
                    <w:pStyle w:val="16"/>
                    <w:spacing w:before="37" w:line="212"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pacing w:val="3"/>
                      <w:sz w:val="21"/>
                      <w:szCs w:val="21"/>
                    </w:rPr>
                    <w:t>去向</w:t>
                  </w:r>
                </w:p>
              </w:tc>
            </w:tr>
            <w:tr w14:paraId="05309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1014" w:type="dxa"/>
                  <w:vAlign w:val="center"/>
                </w:tcPr>
                <w:p w14:paraId="7A51BCFE">
                  <w:pPr>
                    <w:spacing w:before="58" w:line="194" w:lineRule="auto"/>
                    <w:jc w:val="center"/>
                    <w:rPr>
                      <w:rFonts w:hint="default" w:ascii="Times New Roman" w:hAnsi="Times New Roman" w:cs="Times New Roman" w:eastAsiaTheme="minorEastAsia"/>
                      <w:color w:val="auto"/>
                      <w:spacing w:val="3"/>
                      <w:sz w:val="21"/>
                      <w:szCs w:val="21"/>
                      <w:lang w:val="en-US" w:eastAsia="zh-CN"/>
                    </w:rPr>
                  </w:pPr>
                  <w:r>
                    <w:rPr>
                      <w:rFonts w:hint="default" w:ascii="Times New Roman" w:hAnsi="Times New Roman" w:cs="Times New Roman" w:eastAsiaTheme="minorEastAsia"/>
                      <w:color w:val="auto"/>
                      <w:spacing w:val="3"/>
                      <w:sz w:val="21"/>
                      <w:szCs w:val="21"/>
                      <w:lang w:val="en-US" w:eastAsia="zh-CN"/>
                    </w:rPr>
                    <w:t>合计</w:t>
                  </w:r>
                </w:p>
              </w:tc>
              <w:tc>
                <w:tcPr>
                  <w:tcW w:w="1215" w:type="dxa"/>
                  <w:vAlign w:val="center"/>
                </w:tcPr>
                <w:p w14:paraId="53A8F5C2">
                  <w:pPr>
                    <w:pStyle w:val="16"/>
                    <w:spacing w:before="39" w:line="235" w:lineRule="auto"/>
                    <w:ind w:right="120"/>
                    <w:jc w:val="center"/>
                    <w:rPr>
                      <w:rFonts w:hint="default" w:ascii="Times New Roman" w:hAnsi="Times New Roman" w:cs="Times New Roman" w:eastAsiaTheme="minorEastAsia"/>
                      <w:b w:val="0"/>
                      <w:bCs w:val="0"/>
                      <w:color w:val="auto"/>
                      <w:spacing w:val="8"/>
                      <w:sz w:val="21"/>
                      <w:szCs w:val="21"/>
                      <w:highlight w:val="none"/>
                      <w:lang w:val="en-US" w:eastAsia="zh-CN"/>
                    </w:rPr>
                  </w:pPr>
                  <w:r>
                    <w:rPr>
                      <w:rFonts w:hint="default" w:ascii="Times New Roman" w:hAnsi="Times New Roman" w:cs="Times New Roman" w:eastAsiaTheme="minorEastAsia"/>
                      <w:b w:val="0"/>
                      <w:bCs w:val="0"/>
                      <w:color w:val="auto"/>
                      <w:spacing w:val="8"/>
                      <w:sz w:val="21"/>
                      <w:szCs w:val="21"/>
                      <w:highlight w:val="none"/>
                      <w:lang w:val="en-US" w:eastAsia="zh-CN"/>
                    </w:rPr>
                    <w:t xml:space="preserve">11873.77 </w:t>
                  </w:r>
                </w:p>
              </w:tc>
              <w:tc>
                <w:tcPr>
                  <w:tcW w:w="1455" w:type="dxa"/>
                  <w:vAlign w:val="center"/>
                </w:tcPr>
                <w:p w14:paraId="4398797C">
                  <w:pPr>
                    <w:pStyle w:val="16"/>
                    <w:spacing w:before="39" w:line="235" w:lineRule="auto"/>
                    <w:ind w:right="120"/>
                    <w:jc w:val="center"/>
                    <w:rPr>
                      <w:rFonts w:hint="default" w:ascii="Times New Roman" w:hAnsi="Times New Roman" w:cs="Times New Roman" w:eastAsiaTheme="minorEastAsia"/>
                      <w:b w:val="0"/>
                      <w:bCs w:val="0"/>
                      <w:color w:val="auto"/>
                      <w:spacing w:val="8"/>
                      <w:sz w:val="21"/>
                      <w:szCs w:val="21"/>
                      <w:highlight w:val="none"/>
                      <w:lang w:val="en-US" w:eastAsia="zh-CN"/>
                    </w:rPr>
                  </w:pPr>
                  <w:r>
                    <w:rPr>
                      <w:rFonts w:hint="default" w:ascii="Times New Roman" w:hAnsi="Times New Roman" w:cs="Times New Roman" w:eastAsiaTheme="minorEastAsia"/>
                      <w:b w:val="0"/>
                      <w:bCs w:val="0"/>
                      <w:color w:val="auto"/>
                      <w:spacing w:val="8"/>
                      <w:sz w:val="21"/>
                      <w:szCs w:val="21"/>
                      <w:highlight w:val="none"/>
                      <w:lang w:val="en-US" w:eastAsia="zh-CN"/>
                    </w:rPr>
                    <w:t xml:space="preserve">11873.77 </w:t>
                  </w:r>
                </w:p>
              </w:tc>
              <w:tc>
                <w:tcPr>
                  <w:tcW w:w="1744" w:type="dxa"/>
                  <w:vAlign w:val="center"/>
                </w:tcPr>
                <w:p w14:paraId="72C9D396">
                  <w:pPr>
                    <w:pStyle w:val="16"/>
                    <w:spacing w:before="39" w:line="235" w:lineRule="auto"/>
                    <w:ind w:right="120"/>
                    <w:jc w:val="center"/>
                    <w:rPr>
                      <w:rFonts w:hint="default" w:ascii="Times New Roman" w:hAnsi="Times New Roman" w:cs="Times New Roman" w:eastAsiaTheme="minorEastAsia"/>
                      <w:b w:val="0"/>
                      <w:bCs w:val="0"/>
                      <w:color w:val="auto"/>
                      <w:spacing w:val="8"/>
                      <w:sz w:val="21"/>
                      <w:szCs w:val="21"/>
                      <w:highlight w:val="none"/>
                      <w:lang w:val="en-US"/>
                    </w:rPr>
                  </w:pPr>
                  <w:r>
                    <w:rPr>
                      <w:rFonts w:hint="eastAsia" w:ascii="Times New Roman" w:hAnsi="Times New Roman" w:cs="Times New Roman" w:eastAsiaTheme="minorEastAsia"/>
                      <w:b w:val="0"/>
                      <w:bCs w:val="0"/>
                      <w:color w:val="auto"/>
                      <w:spacing w:val="8"/>
                      <w:sz w:val="21"/>
                      <w:szCs w:val="21"/>
                      <w:highlight w:val="none"/>
                      <w:lang w:val="en-US" w:eastAsia="zh-CN"/>
                    </w:rPr>
                    <w:t>0</w:t>
                  </w:r>
                </w:p>
              </w:tc>
              <w:tc>
                <w:tcPr>
                  <w:tcW w:w="1274" w:type="dxa"/>
                  <w:vAlign w:val="center"/>
                </w:tcPr>
                <w:p w14:paraId="4AEFD47C">
                  <w:pPr>
                    <w:spacing w:before="58" w:line="194"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w:t>
                  </w:r>
                </w:p>
              </w:tc>
              <w:tc>
                <w:tcPr>
                  <w:tcW w:w="1416" w:type="dxa"/>
                  <w:tcBorders>
                    <w:right w:val="single" w:color="000000" w:sz="4" w:space="0"/>
                  </w:tcBorders>
                  <w:vAlign w:val="center"/>
                </w:tcPr>
                <w:p w14:paraId="58760738">
                  <w:pPr>
                    <w:spacing w:before="54" w:line="198" w:lineRule="auto"/>
                    <w:jc w:val="center"/>
                    <w:rPr>
                      <w:rFonts w:hint="default" w:ascii="Times New Roman" w:hAnsi="Times New Roman" w:cs="Times New Roman" w:eastAsiaTheme="minorEastAsia"/>
                      <w:color w:val="auto"/>
                      <w:spacing w:val="2"/>
                      <w:sz w:val="21"/>
                      <w:szCs w:val="21"/>
                      <w:lang w:val="en-US" w:eastAsia="zh-CN"/>
                    </w:rPr>
                  </w:pPr>
                  <w:r>
                    <w:rPr>
                      <w:rFonts w:hint="default" w:ascii="Times New Roman" w:hAnsi="Times New Roman" w:cs="Times New Roman" w:eastAsiaTheme="minorEastAsia"/>
                      <w:color w:val="auto"/>
                      <w:spacing w:val="2"/>
                      <w:sz w:val="21"/>
                      <w:szCs w:val="21"/>
                      <w:lang w:val="en-US" w:eastAsia="zh-CN"/>
                    </w:rPr>
                    <w:t>/</w:t>
                  </w:r>
                </w:p>
              </w:tc>
            </w:tr>
          </w:tbl>
          <w:p w14:paraId="7736F0AC">
            <w:pPr>
              <w:pStyle w:val="16"/>
              <w:widowControl w:val="0"/>
              <w:spacing w:line="360" w:lineRule="auto"/>
              <w:jc w:val="both"/>
              <w:rPr>
                <w:rFonts w:hint="default" w:ascii="Times New Roman" w:hAnsi="Times New Roman" w:cs="Times New Roman"/>
                <w:b/>
                <w:bCs/>
                <w:color w:val="auto"/>
                <w:sz w:val="24"/>
                <w:szCs w:val="24"/>
                <w:highlight w:val="none"/>
                <w:lang w:val="en-US" w:eastAsia="zh-CN" w:bidi="ar"/>
              </w:rPr>
            </w:pPr>
          </w:p>
          <w:p w14:paraId="76B4CF39">
            <w:pPr>
              <w:pStyle w:val="16"/>
              <w:widowControl w:val="0"/>
              <w:spacing w:line="360" w:lineRule="auto"/>
              <w:jc w:val="both"/>
              <w:rPr>
                <w:rFonts w:hint="default" w:ascii="Times New Roman" w:hAnsi="Times New Roman" w:eastAsia="宋体" w:cs="Times New Roman"/>
                <w:b/>
                <w:bCs/>
                <w:color w:val="auto"/>
                <w:sz w:val="24"/>
                <w:szCs w:val="24"/>
                <w:highlight w:val="none"/>
                <w:lang w:val="en-US" w:eastAsia="en-US" w:bidi="ar"/>
              </w:rPr>
            </w:pPr>
            <w:r>
              <w:rPr>
                <w:rFonts w:hint="default" w:ascii="Times New Roman" w:hAnsi="Times New Roman" w:cs="Times New Roman"/>
                <w:b/>
                <w:bCs/>
                <w:color w:val="auto"/>
                <w:sz w:val="24"/>
                <w:szCs w:val="24"/>
                <w:highlight w:val="none"/>
                <w:lang w:val="en-US" w:eastAsia="zh-CN" w:bidi="ar"/>
              </w:rPr>
              <w:t>6.</w:t>
            </w:r>
            <w:r>
              <w:rPr>
                <w:rFonts w:hint="default" w:ascii="Times New Roman" w:hAnsi="Times New Roman" w:eastAsia="宋体" w:cs="Times New Roman"/>
                <w:b/>
                <w:bCs/>
                <w:color w:val="auto"/>
                <w:sz w:val="24"/>
                <w:szCs w:val="24"/>
                <w:highlight w:val="none"/>
                <w:lang w:val="en-US" w:eastAsia="en-US" w:bidi="ar"/>
              </w:rPr>
              <w:t>防渗设计</w:t>
            </w:r>
          </w:p>
          <w:p w14:paraId="209E9291">
            <w:pPr>
              <w:pStyle w:val="16"/>
              <w:widowControl w:val="0"/>
              <w:spacing w:line="360" w:lineRule="auto"/>
              <w:ind w:firstLine="476" w:firstLineChars="200"/>
              <w:jc w:val="both"/>
              <w:rPr>
                <w:rFonts w:hint="default" w:ascii="Times New Roman" w:hAnsi="Times New Roman" w:eastAsia="宋体" w:cs="Times New Roman"/>
                <w:color w:val="auto"/>
                <w:spacing w:val="-1"/>
                <w:sz w:val="24"/>
                <w:szCs w:val="24"/>
                <w:highlight w:val="none"/>
              </w:rPr>
            </w:pPr>
            <w:r>
              <w:rPr>
                <w:rFonts w:hint="default" w:ascii="Times New Roman" w:hAnsi="Times New Roman" w:cs="Times New Roman"/>
                <w:color w:val="auto"/>
                <w:spacing w:val="-1"/>
                <w:sz w:val="24"/>
                <w:szCs w:val="24"/>
              </w:rPr>
              <w:t>本项目钻井井场柴油罐区、岩屑储罐、各类罐体罐基</w:t>
            </w:r>
            <w:r>
              <w:rPr>
                <w:rFonts w:hint="default" w:ascii="Times New Roman" w:hAnsi="Times New Roman" w:cs="Times New Roman"/>
                <w:color w:val="auto"/>
                <w:spacing w:val="-2"/>
                <w:sz w:val="24"/>
                <w:szCs w:val="24"/>
              </w:rPr>
              <w:t>础、生活污水收集池和</w:t>
            </w:r>
            <w:r>
              <w:rPr>
                <w:rFonts w:hint="default" w:ascii="Times New Roman" w:hAnsi="Times New Roman" w:cs="Times New Roman"/>
                <w:color w:val="auto"/>
                <w:sz w:val="24"/>
                <w:szCs w:val="24"/>
              </w:rPr>
              <w:t>放喷池</w:t>
            </w:r>
            <w:r>
              <w:rPr>
                <w:rFonts w:hint="eastAsia" w:ascii="Times New Roman" w:hAnsi="Times New Roman" w:cs="Times New Roman"/>
                <w:color w:val="auto"/>
                <w:sz w:val="24"/>
                <w:szCs w:val="24"/>
                <w:lang w:val="en-US" w:eastAsia="zh-CN"/>
              </w:rPr>
              <w:t>及其油品储存区</w:t>
            </w:r>
            <w:r>
              <w:rPr>
                <w:rFonts w:hint="default" w:ascii="Times New Roman" w:hAnsi="Times New Roman" w:cs="Times New Roman"/>
                <w:color w:val="auto"/>
                <w:sz w:val="24"/>
                <w:szCs w:val="24"/>
              </w:rPr>
              <w:t>采取重点防渗，参照《危险废物贮存污染控制标准》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Times New Roman" w:cs="Times New Roman"/>
                <w:color w:val="auto"/>
                <w:spacing w:val="-1"/>
                <w:sz w:val="24"/>
                <w:szCs w:val="24"/>
              </w:rPr>
              <w:t>GB18597-2023</w:t>
            </w:r>
            <w:r>
              <w:rPr>
                <w:rFonts w:hint="eastAsia" w:ascii="Times New Roman" w:hAnsi="Times New Roman" w:eastAsia="宋体" w:cs="Times New Roman"/>
                <w:color w:val="auto"/>
                <w:spacing w:val="-1"/>
                <w:sz w:val="24"/>
                <w:szCs w:val="24"/>
                <w:lang w:eastAsia="zh-CN"/>
              </w:rPr>
              <w:t>）</w:t>
            </w:r>
            <w:r>
              <w:rPr>
                <w:rFonts w:hint="default" w:ascii="Times New Roman" w:hAnsi="Times New Roman" w:cs="Times New Roman"/>
                <w:color w:val="auto"/>
                <w:spacing w:val="-1"/>
                <w:sz w:val="24"/>
                <w:szCs w:val="24"/>
              </w:rPr>
              <w:t>中相应防渗要求</w:t>
            </w:r>
            <w:r>
              <w:rPr>
                <w:rFonts w:hint="eastAsia" w:ascii="Times New Roman" w:hAnsi="Times New Roman" w:cs="Times New Roman"/>
                <w:color w:val="auto"/>
                <w:spacing w:val="-1"/>
                <w:sz w:val="24"/>
                <w:szCs w:val="24"/>
                <w:lang w:val="en-US" w:eastAsia="zh-CN"/>
              </w:rPr>
              <w:t>进行防渗</w:t>
            </w:r>
            <w:r>
              <w:rPr>
                <w:rFonts w:hint="default" w:ascii="Times New Roman" w:hAnsi="Times New Roman" w:cs="Times New Roman"/>
                <w:color w:val="auto"/>
                <w:spacing w:val="-1"/>
                <w:sz w:val="24"/>
                <w:szCs w:val="24"/>
              </w:rPr>
              <w:t>；材料房、配电房、录井房、地质房等采取一般</w:t>
            </w:r>
            <w:r>
              <w:rPr>
                <w:rFonts w:hint="default" w:ascii="Times New Roman" w:hAnsi="Times New Roman" w:cs="Times New Roman"/>
                <w:color w:val="auto"/>
                <w:spacing w:val="-2"/>
                <w:sz w:val="24"/>
                <w:szCs w:val="24"/>
              </w:rPr>
              <w:t>防渗要求执行其</w:t>
            </w:r>
            <w:r>
              <w:rPr>
                <w:rFonts w:hint="default" w:ascii="Times New Roman" w:hAnsi="Times New Roman" w:cs="Times New Roman"/>
                <w:color w:val="auto"/>
                <w:spacing w:val="-1"/>
                <w:sz w:val="24"/>
                <w:szCs w:val="24"/>
              </w:rPr>
              <w:t>他区域采取简单防渗，采取一般地面硬化。</w:t>
            </w:r>
          </w:p>
        </w:tc>
      </w:tr>
      <w:tr w14:paraId="76463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14:paraId="6BEEF4E5">
            <w:pPr>
              <w:widowControl w:val="0"/>
              <w:snapToGrid w:val="0"/>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rPr>
              <w:t>施工方案</w:t>
            </w:r>
          </w:p>
        </w:tc>
        <w:tc>
          <w:tcPr>
            <w:tcW w:w="8394" w:type="dxa"/>
          </w:tcPr>
          <w:p w14:paraId="5B91F1DD">
            <w:pPr>
              <w:pStyle w:val="16"/>
              <w:widowControl w:val="0"/>
              <w:spacing w:before="36" w:line="227"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7"/>
                <w:sz w:val="24"/>
                <w:szCs w:val="24"/>
                <w:highlight w:val="none"/>
              </w:rPr>
              <w:t>工艺流程简述（图示</w:t>
            </w:r>
            <w:r>
              <w:rPr>
                <w:rFonts w:hint="default" w:ascii="Times New Roman" w:hAnsi="Times New Roman" w:eastAsia="宋体" w:cs="Times New Roman"/>
                <w:b/>
                <w:bCs/>
                <w:color w:val="auto"/>
                <w:spacing w:val="-1"/>
                <w:sz w:val="24"/>
                <w:szCs w:val="24"/>
                <w:highlight w:val="none"/>
              </w:rPr>
              <w:t>）：</w:t>
            </w:r>
          </w:p>
          <w:p w14:paraId="5DD1801E">
            <w:pPr>
              <w:pStyle w:val="16"/>
              <w:widowControl w:val="0"/>
              <w:spacing w:before="183" w:line="360" w:lineRule="auto"/>
              <w:ind w:firstLine="492"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本项目包括钻井及试油工程，其中</w:t>
            </w:r>
            <w:r>
              <w:rPr>
                <w:rFonts w:hint="eastAsia" w:ascii="Times New Roman" w:hAnsi="Times New Roman" w:cs="Times New Roman"/>
                <w:color w:val="auto"/>
                <w:spacing w:val="3"/>
                <w:sz w:val="24"/>
                <w:szCs w:val="24"/>
                <w:highlight w:val="none"/>
                <w:lang w:val="en-US" w:eastAsia="zh-CN"/>
              </w:rPr>
              <w:t>单井</w:t>
            </w:r>
            <w:r>
              <w:rPr>
                <w:rFonts w:hint="default" w:ascii="Times New Roman" w:hAnsi="Times New Roman" w:eastAsia="宋体" w:cs="Times New Roman"/>
                <w:color w:val="auto"/>
                <w:spacing w:val="-1"/>
                <w:sz w:val="24"/>
                <w:szCs w:val="24"/>
                <w:highlight w:val="none"/>
              </w:rPr>
              <w:t>钻井期为</w:t>
            </w:r>
            <w:r>
              <w:rPr>
                <w:rFonts w:hint="eastAsia" w:ascii="Times New Roman" w:hAnsi="Times New Roman" w:cs="Times New Roman"/>
                <w:color w:val="auto"/>
                <w:spacing w:val="-1"/>
                <w:sz w:val="24"/>
                <w:szCs w:val="24"/>
                <w:highlight w:val="none"/>
                <w:lang w:val="en-US" w:eastAsia="zh-CN"/>
              </w:rPr>
              <w:t>30</w:t>
            </w:r>
            <w:r>
              <w:rPr>
                <w:rFonts w:hint="default" w:ascii="Times New Roman" w:hAnsi="Times New Roman" w:eastAsia="宋体" w:cs="Times New Roman"/>
                <w:color w:val="auto"/>
                <w:spacing w:val="-1"/>
                <w:sz w:val="24"/>
                <w:szCs w:val="24"/>
                <w:highlight w:val="none"/>
              </w:rPr>
              <w:t>天，</w:t>
            </w:r>
            <w:r>
              <w:rPr>
                <w:rFonts w:hint="eastAsia" w:ascii="Times New Roman" w:hAnsi="Times New Roman" w:cs="Times New Roman"/>
                <w:color w:val="auto"/>
                <w:spacing w:val="-1"/>
                <w:sz w:val="24"/>
                <w:szCs w:val="24"/>
                <w:highlight w:val="none"/>
                <w:lang w:val="en-US" w:eastAsia="zh-CN"/>
              </w:rPr>
              <w:t>7口井同时开钻，分三批次钻完</w:t>
            </w:r>
            <w:r>
              <w:rPr>
                <w:rFonts w:hint="default" w:ascii="Times New Roman" w:hAnsi="Times New Roman" w:eastAsia="宋体" w:cs="Times New Roman"/>
                <w:color w:val="auto"/>
                <w:spacing w:val="3"/>
                <w:sz w:val="24"/>
                <w:szCs w:val="24"/>
                <w:highlight w:val="none"/>
              </w:rPr>
              <w:t>，试油期</w:t>
            </w:r>
            <w:r>
              <w:rPr>
                <w:rFonts w:hint="default" w:ascii="Times New Roman" w:hAnsi="Times New Roman" w:eastAsia="宋体" w:cs="Times New Roman"/>
                <w:color w:val="auto"/>
                <w:spacing w:val="3"/>
                <w:sz w:val="24"/>
                <w:szCs w:val="24"/>
                <w:highlight w:val="none"/>
                <w:lang w:val="en-US" w:eastAsia="zh-CN"/>
              </w:rPr>
              <w:t>18</w:t>
            </w:r>
            <w:r>
              <w:rPr>
                <w:rFonts w:hint="default" w:ascii="Times New Roman" w:hAnsi="Times New Roman" w:eastAsia="宋体" w:cs="Times New Roman"/>
                <w:color w:val="auto"/>
                <w:spacing w:val="3"/>
                <w:sz w:val="24"/>
                <w:szCs w:val="24"/>
                <w:highlight w:val="none"/>
              </w:rPr>
              <w:t>0天。</w:t>
            </w:r>
          </w:p>
          <w:p w14:paraId="4BFAABCE">
            <w:pPr>
              <w:pStyle w:val="16"/>
              <w:widowControl w:val="0"/>
              <w:numPr>
                <w:ilvl w:val="0"/>
                <w:numId w:val="4"/>
              </w:numPr>
              <w:spacing w:before="39" w:line="360" w:lineRule="auto"/>
              <w:ind w:left="12"/>
              <w:rPr>
                <w:rFonts w:hint="default" w:ascii="Times New Roman" w:hAnsi="Times New Roman" w:eastAsia="宋体" w:cs="Times New Roman"/>
                <w:b/>
                <w:bCs/>
                <w:color w:val="auto"/>
                <w:spacing w:val="-8"/>
                <w:sz w:val="24"/>
                <w:szCs w:val="24"/>
                <w:highlight w:val="none"/>
              </w:rPr>
            </w:pPr>
            <w:r>
              <w:rPr>
                <w:rFonts w:hint="default" w:ascii="Times New Roman" w:hAnsi="Times New Roman" w:eastAsia="宋体" w:cs="Times New Roman"/>
                <w:b/>
                <w:bCs/>
                <w:color w:val="auto"/>
                <w:spacing w:val="-8"/>
                <w:sz w:val="24"/>
                <w:szCs w:val="24"/>
                <w:highlight w:val="none"/>
              </w:rPr>
              <w:t>钻井工艺流程</w:t>
            </w:r>
          </w:p>
          <w:p w14:paraId="33D53862">
            <w:pPr>
              <w:pStyle w:val="16"/>
              <w:widowControl w:val="0"/>
              <w:spacing w:before="183" w:line="360" w:lineRule="auto"/>
              <w:ind w:firstLine="492" w:firstLineChars="200"/>
              <w:rPr>
                <w:rFonts w:hint="default" w:ascii="Times New Roman" w:hAnsi="Times New Roman" w:eastAsia="宋体" w:cs="Times New Roman"/>
                <w:color w:val="auto"/>
                <w:spacing w:val="3"/>
                <w:sz w:val="24"/>
                <w:szCs w:val="24"/>
                <w:highlight w:val="none"/>
                <w:lang w:val="en-US" w:eastAsia="zh-CN"/>
              </w:rPr>
            </w:pPr>
            <w:r>
              <w:rPr>
                <w:rFonts w:hint="eastAsia" w:ascii="Times New Roman" w:hAnsi="Times New Roman" w:eastAsia="宋体" w:cs="Times New Roman"/>
                <w:color w:val="auto"/>
                <w:spacing w:val="3"/>
                <w:sz w:val="24"/>
                <w:szCs w:val="24"/>
                <w:highlight w:val="none"/>
                <w:lang w:val="en-US" w:eastAsia="zh-CN"/>
              </w:rPr>
              <w:t>项目钻井工艺流程及其产污节点图见图2-3。</w:t>
            </w:r>
          </w:p>
          <w:p w14:paraId="122F08B7">
            <w:pPr>
              <w:pStyle w:val="16"/>
              <w:widowControl w:val="0"/>
              <w:spacing w:before="39" w:line="240" w:lineRule="auto"/>
              <w:ind w:left="12" w:firstLine="400" w:firstLineChars="20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position w:val="-57"/>
                <w:highlight w:val="none"/>
              </w:rPr>
              <w:drawing>
                <wp:inline distT="0" distB="0" distL="0" distR="0">
                  <wp:extent cx="4538345" cy="1514475"/>
                  <wp:effectExtent l="0" t="0" r="14605" b="9525"/>
                  <wp:docPr id="11" name="IM 22"/>
                  <wp:cNvGraphicFramePr/>
                  <a:graphic xmlns:a="http://schemas.openxmlformats.org/drawingml/2006/main">
                    <a:graphicData uri="http://schemas.openxmlformats.org/drawingml/2006/picture">
                      <pic:pic xmlns:pic="http://schemas.openxmlformats.org/drawingml/2006/picture">
                        <pic:nvPicPr>
                          <pic:cNvPr id="11" name="IM 22"/>
                          <pic:cNvPicPr/>
                        </pic:nvPicPr>
                        <pic:blipFill>
                          <a:blip r:embed="rId14"/>
                          <a:stretch>
                            <a:fillRect/>
                          </a:stretch>
                        </pic:blipFill>
                        <pic:spPr>
                          <a:xfrm>
                            <a:off x="0" y="0"/>
                            <a:ext cx="4538345" cy="1514475"/>
                          </a:xfrm>
                          <a:prstGeom prst="rect">
                            <a:avLst/>
                          </a:prstGeom>
                        </pic:spPr>
                      </pic:pic>
                    </a:graphicData>
                  </a:graphic>
                </wp:inline>
              </w:drawing>
            </w:r>
          </w:p>
          <w:p w14:paraId="71176560">
            <w:pPr>
              <w:pStyle w:val="16"/>
              <w:widowControl w:val="0"/>
              <w:spacing w:before="169" w:line="240" w:lineRule="auto"/>
              <w:jc w:val="center"/>
              <w:rPr>
                <w:rFonts w:hint="default" w:ascii="Times New Roman" w:hAnsi="Times New Roman" w:eastAsia="宋体" w:cs="Times New Roman"/>
                <w:b/>
                <w:bCs/>
                <w:color w:val="auto"/>
                <w:spacing w:val="4"/>
                <w:sz w:val="21"/>
                <w:szCs w:val="21"/>
                <w:highlight w:val="none"/>
              </w:rPr>
            </w:pPr>
            <w:r>
              <w:rPr>
                <w:rFonts w:hint="default" w:ascii="Times New Roman" w:hAnsi="Times New Roman" w:eastAsia="宋体" w:cs="Times New Roman"/>
                <w:b/>
                <w:bCs/>
                <w:color w:val="auto"/>
                <w:spacing w:val="4"/>
                <w:sz w:val="21"/>
                <w:szCs w:val="21"/>
                <w:highlight w:val="none"/>
              </w:rPr>
              <w:t>图2-</w:t>
            </w:r>
            <w:r>
              <w:rPr>
                <w:rFonts w:hint="default" w:ascii="Times New Roman" w:hAnsi="Times New Roman" w:cs="Times New Roman"/>
                <w:b/>
                <w:bCs/>
                <w:color w:val="auto"/>
                <w:spacing w:val="4"/>
                <w:sz w:val="21"/>
                <w:szCs w:val="21"/>
                <w:highlight w:val="none"/>
                <w:lang w:val="en-US" w:eastAsia="zh-CN"/>
              </w:rPr>
              <w:t xml:space="preserve">3 </w:t>
            </w:r>
            <w:r>
              <w:rPr>
                <w:rFonts w:hint="default" w:ascii="Times New Roman" w:hAnsi="Times New Roman" w:eastAsia="宋体" w:cs="Times New Roman"/>
                <w:b/>
                <w:bCs/>
                <w:color w:val="auto"/>
                <w:spacing w:val="4"/>
                <w:sz w:val="21"/>
                <w:szCs w:val="21"/>
                <w:highlight w:val="none"/>
              </w:rPr>
              <w:t>钻井工艺流程及产污节点图</w:t>
            </w:r>
          </w:p>
          <w:p w14:paraId="2B16BB16">
            <w:pPr>
              <w:pStyle w:val="16"/>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p>
          <w:p w14:paraId="54360D17">
            <w:pPr>
              <w:pStyle w:val="16"/>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钻井工程包括：钻前作业、设备进场，钻井施工、试油作业、地貌恢复。</w:t>
            </w:r>
          </w:p>
          <w:p w14:paraId="789C31FC">
            <w:pPr>
              <w:pStyle w:val="16"/>
              <w:widowControl w:val="0"/>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1.1钻前</w:t>
            </w:r>
            <w:r>
              <w:rPr>
                <w:rFonts w:hint="default" w:ascii="Times New Roman" w:hAnsi="Times New Roman" w:eastAsia="宋体" w:cs="Times New Roman"/>
                <w:b/>
                <w:bCs/>
                <w:color w:val="auto"/>
                <w:spacing w:val="-4"/>
                <w:sz w:val="24"/>
                <w:szCs w:val="24"/>
                <w:highlight w:val="none"/>
              </w:rPr>
              <w:t>作业</w:t>
            </w:r>
          </w:p>
          <w:p w14:paraId="102712B8">
            <w:pPr>
              <w:pStyle w:val="16"/>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（1）钻前整理场地，并保证全套钻井设备达到相关的安装标准。</w:t>
            </w:r>
          </w:p>
          <w:p w14:paraId="1E8CA8B6">
            <w:pPr>
              <w:pStyle w:val="16"/>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（2）在钻机安装的过程中，注意保护井口设备。</w:t>
            </w:r>
          </w:p>
          <w:p w14:paraId="18B1C6A2">
            <w:pPr>
              <w:pStyle w:val="16"/>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（3）要求天车、转盘、井口三点成一条铅垂线，误差小于10mm；确保在施工过程中不偏磨井口套管及井控设备。</w:t>
            </w:r>
          </w:p>
          <w:p w14:paraId="395D1D12">
            <w:pPr>
              <w:pStyle w:val="16"/>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（4）设备运转正常，安全装置灵活好用。各种仪器仪表准确灵敏好用。</w:t>
            </w:r>
          </w:p>
          <w:p w14:paraId="4274D74B">
            <w:pPr>
              <w:pStyle w:val="16"/>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（5）地面高压管线用清水按标准试压。</w:t>
            </w:r>
          </w:p>
          <w:p w14:paraId="0236733D">
            <w:pPr>
              <w:pStyle w:val="16"/>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（6）钻具在入井前必须用通径规通径。</w:t>
            </w:r>
          </w:p>
          <w:p w14:paraId="7FB4E7EF">
            <w:pPr>
              <w:pStyle w:val="16"/>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（7）对所有的下井钻具进行外观检查和超声波探伤，准确丈量钻具，钻具记录上注明内外径、扣型，特殊工具要画草图。</w:t>
            </w:r>
          </w:p>
          <w:p w14:paraId="5346F761">
            <w:pPr>
              <w:pStyle w:val="16"/>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（8）修建进场道路。</w:t>
            </w:r>
          </w:p>
          <w:p w14:paraId="6E17AE1A">
            <w:pPr>
              <w:pStyle w:val="16"/>
              <w:widowControl w:val="0"/>
              <w:spacing w:line="360" w:lineRule="auto"/>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1.2钻井施工</w:t>
            </w:r>
          </w:p>
          <w:p w14:paraId="1F7D8705">
            <w:pPr>
              <w:pStyle w:val="16"/>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center"/>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钻井是采用旋转的钻头给所钻的地层一定的压力，使钻头的牙齿嵌入地层，然后旋转钻头，利用旋转钻头的扭矩来切削地层，并用循环的钻井液将钻屑带出井眼，以保证持续钻井。钻井施工作业流程及排污节点见图2-</w:t>
            </w:r>
            <w:r>
              <w:rPr>
                <w:rFonts w:hint="default"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p>
          <w:p w14:paraId="05E5DAFD">
            <w:pPr>
              <w:pStyle w:val="16"/>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center"/>
              <w:textAlignment w:val="baseline"/>
              <w:rPr>
                <w:rFonts w:hint="default" w:ascii="Times New Roman" w:hAnsi="Times New Roman" w:eastAsia="宋体" w:cs="Times New Roman"/>
                <w:color w:val="auto"/>
                <w:sz w:val="24"/>
                <w:szCs w:val="24"/>
                <w:highlight w:val="none"/>
              </w:rPr>
            </w:pPr>
          </w:p>
          <w:p w14:paraId="4836EBBB">
            <w:pPr>
              <w:pStyle w:val="16"/>
              <w:keepNext w:val="0"/>
              <w:keepLines w:val="0"/>
              <w:pageBreakBefore w:val="0"/>
              <w:widowControl w:val="0"/>
              <w:kinsoku w:val="0"/>
              <w:wordWrap/>
              <w:overflowPunct/>
              <w:topLinePunct w:val="0"/>
              <w:autoSpaceDE w:val="0"/>
              <w:autoSpaceDN w:val="0"/>
              <w:bidi w:val="0"/>
              <w:adjustRightInd w:val="0"/>
              <w:snapToGrid w:val="0"/>
              <w:spacing w:line="360" w:lineRule="auto"/>
              <w:ind w:firstLine="400" w:firstLineChars="200"/>
              <w:jc w:val="center"/>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position w:val="-68"/>
                <w:highlight w:val="none"/>
              </w:rPr>
              <w:drawing>
                <wp:inline distT="0" distB="0" distL="0" distR="0">
                  <wp:extent cx="3420110" cy="1782445"/>
                  <wp:effectExtent l="0" t="0" r="8890" b="8255"/>
                  <wp:docPr id="13" name="IM 24"/>
                  <wp:cNvGraphicFramePr/>
                  <a:graphic xmlns:a="http://schemas.openxmlformats.org/drawingml/2006/main">
                    <a:graphicData uri="http://schemas.openxmlformats.org/drawingml/2006/picture">
                      <pic:pic xmlns:pic="http://schemas.openxmlformats.org/drawingml/2006/picture">
                        <pic:nvPicPr>
                          <pic:cNvPr id="13" name="IM 24"/>
                          <pic:cNvPicPr/>
                        </pic:nvPicPr>
                        <pic:blipFill>
                          <a:blip r:embed="rId15"/>
                          <a:stretch>
                            <a:fillRect/>
                          </a:stretch>
                        </pic:blipFill>
                        <pic:spPr>
                          <a:xfrm>
                            <a:off x="0" y="0"/>
                            <a:ext cx="3420110" cy="1782445"/>
                          </a:xfrm>
                          <a:prstGeom prst="rect">
                            <a:avLst/>
                          </a:prstGeom>
                        </pic:spPr>
                      </pic:pic>
                    </a:graphicData>
                  </a:graphic>
                </wp:inline>
              </w:drawing>
            </w:r>
          </w:p>
          <w:p w14:paraId="59754E93">
            <w:pPr>
              <w:pStyle w:val="16"/>
              <w:widowControl w:val="0"/>
              <w:spacing w:before="176" w:line="360" w:lineRule="auto"/>
              <w:ind w:left="2416"/>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图2-</w:t>
            </w:r>
            <w:r>
              <w:rPr>
                <w:rFonts w:hint="default" w:ascii="Times New Roman" w:hAnsi="Times New Roman" w:cs="Times New Roman"/>
                <w:b/>
                <w:bCs/>
                <w:color w:val="auto"/>
                <w:spacing w:val="6"/>
                <w:sz w:val="21"/>
                <w:szCs w:val="21"/>
                <w:highlight w:val="none"/>
                <w:lang w:val="en-US" w:eastAsia="zh-CN"/>
              </w:rPr>
              <w:t>4</w:t>
            </w:r>
            <w:r>
              <w:rPr>
                <w:rFonts w:hint="default" w:ascii="Times New Roman" w:hAnsi="Times New Roman" w:eastAsia="宋体" w:cs="Times New Roman"/>
                <w:b/>
                <w:bCs/>
                <w:color w:val="auto"/>
                <w:spacing w:val="6"/>
                <w:sz w:val="21"/>
                <w:szCs w:val="21"/>
                <w:highlight w:val="none"/>
                <w:lang w:val="en-US" w:eastAsia="zh-CN"/>
              </w:rPr>
              <w:t xml:space="preserve"> </w:t>
            </w:r>
            <w:r>
              <w:rPr>
                <w:rFonts w:hint="default" w:ascii="Times New Roman" w:hAnsi="Times New Roman" w:eastAsia="宋体" w:cs="Times New Roman"/>
                <w:b/>
                <w:bCs/>
                <w:color w:val="auto"/>
                <w:spacing w:val="6"/>
                <w:sz w:val="21"/>
                <w:szCs w:val="21"/>
                <w:highlight w:val="none"/>
              </w:rPr>
              <w:t>钻井施工作业流程及产污节点图</w:t>
            </w:r>
          </w:p>
          <w:p w14:paraId="609382A9">
            <w:pPr>
              <w:pStyle w:val="16"/>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钻井时井筒排出的钻井泥浆及岩屑进入泥浆不落地循环系统，该系统设置振动筛、除砂器、除泥器、离心机四级处理，经四级处理后，岩屑与钻井液完全分离，钻井液返回井筒，岩屑排至岩屑储罐</w:t>
            </w:r>
            <w:r>
              <w:rPr>
                <w:rFonts w:hint="default" w:ascii="Times New Roman" w:hAnsi="Times New Roman" w:cs="Times New Roman"/>
                <w:color w:val="auto"/>
                <w:sz w:val="24"/>
                <w:szCs w:val="24"/>
                <w:highlight w:val="none"/>
                <w:lang w:val="en-US" w:eastAsia="zh-CN"/>
              </w:rPr>
              <w:t>储存罐区（临时堆场）</w:t>
            </w:r>
            <w:r>
              <w:rPr>
                <w:rFonts w:hint="default" w:ascii="Times New Roman" w:hAnsi="Times New Roman" w:eastAsia="宋体" w:cs="Times New Roman"/>
                <w:color w:val="auto"/>
                <w:sz w:val="24"/>
                <w:szCs w:val="24"/>
                <w:highlight w:val="none"/>
              </w:rPr>
              <w:t>暂存。</w:t>
            </w:r>
          </w:p>
          <w:p w14:paraId="1FB7E8FA">
            <w:pPr>
              <w:pStyle w:val="16"/>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钻井过程中使用水基钻井液和油基钻井液，钻井泥浆及岩屑使用钻井不落地系统进行处理。工艺流程如下：</w:t>
            </w:r>
          </w:p>
          <w:p w14:paraId="031BEE9D">
            <w:pPr>
              <w:pStyle w:val="16"/>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（1）钻井井口产生的钻井泥浆、岩屑混合物经振动筛、除砂器、除泥器、离心机四级实现初步分离，分离出的液相进入废水收集罐，用于钻井液配制，分离出的混合物进入收集箱待进一步处理。</w:t>
            </w:r>
          </w:p>
          <w:p w14:paraId="047D6239">
            <w:pPr>
              <w:pStyle w:val="16"/>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（2）收集箱中的混合物经不落地系统进一步固液分离，进入岩屑储罐暂存；分离出的液相回用于钻井，水基岩屑</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油基钻井岩屑和废弃油基钻井泥浆</w:t>
            </w:r>
            <w:r>
              <w:rPr>
                <w:rFonts w:hint="default" w:ascii="Times New Roman" w:hAnsi="Times New Roman" w:cs="Times New Roman"/>
                <w:color w:val="auto"/>
                <w:sz w:val="24"/>
                <w:szCs w:val="24"/>
                <w:highlight w:val="none"/>
                <w:lang w:val="en-US" w:eastAsia="zh-CN"/>
              </w:rPr>
              <w:t>分别</w:t>
            </w:r>
            <w:r>
              <w:rPr>
                <w:rFonts w:hint="default" w:ascii="Times New Roman" w:hAnsi="Times New Roman" w:eastAsia="宋体" w:cs="Times New Roman"/>
                <w:color w:val="auto"/>
                <w:sz w:val="24"/>
                <w:szCs w:val="24"/>
                <w:highlight w:val="none"/>
              </w:rPr>
              <w:t>委托有资质的单位进行处置。</w:t>
            </w:r>
          </w:p>
          <w:p w14:paraId="7ADA6D89">
            <w:pPr>
              <w:pStyle w:val="16"/>
              <w:widowControl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（3）钻井结束后剩余钻井泥浆由钻井队回收，送至下个</w:t>
            </w:r>
            <w:r>
              <w:rPr>
                <w:rFonts w:hint="eastAsia" w:ascii="Times New Roman" w:hAnsi="Times New Roman" w:cs="Times New Roman"/>
                <w:color w:val="auto"/>
                <w:sz w:val="24"/>
                <w:szCs w:val="24"/>
                <w:highlight w:val="none"/>
                <w:lang w:val="en-US" w:eastAsia="zh-CN"/>
              </w:rPr>
              <w:t>钻井场</w:t>
            </w:r>
            <w:r>
              <w:rPr>
                <w:rFonts w:hint="default" w:ascii="Times New Roman" w:hAnsi="Times New Roman" w:eastAsia="宋体" w:cs="Times New Roman"/>
                <w:color w:val="auto"/>
                <w:sz w:val="24"/>
                <w:szCs w:val="24"/>
                <w:highlight w:val="none"/>
              </w:rPr>
              <w:t>循环利用，不外排；防渗膜由钻井队回收利用。</w:t>
            </w:r>
          </w:p>
          <w:p w14:paraId="175050A3">
            <w:pPr>
              <w:pStyle w:val="16"/>
              <w:widowControl w:val="0"/>
              <w:spacing w:line="360" w:lineRule="auto"/>
              <w:ind w:firstLine="400" w:firstLineChars="20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position w:val="-93"/>
                <w:highlight w:val="none"/>
              </w:rPr>
              <w:drawing>
                <wp:inline distT="0" distB="0" distL="0" distR="0">
                  <wp:extent cx="3583940" cy="2254250"/>
                  <wp:effectExtent l="0" t="0" r="16510" b="12700"/>
                  <wp:docPr id="15" name="IM 26"/>
                  <wp:cNvGraphicFramePr/>
                  <a:graphic xmlns:a="http://schemas.openxmlformats.org/drawingml/2006/main">
                    <a:graphicData uri="http://schemas.openxmlformats.org/drawingml/2006/picture">
                      <pic:pic xmlns:pic="http://schemas.openxmlformats.org/drawingml/2006/picture">
                        <pic:nvPicPr>
                          <pic:cNvPr id="15" name="IM 26"/>
                          <pic:cNvPicPr/>
                        </pic:nvPicPr>
                        <pic:blipFill>
                          <a:blip r:embed="rId16"/>
                          <a:stretch>
                            <a:fillRect/>
                          </a:stretch>
                        </pic:blipFill>
                        <pic:spPr>
                          <a:xfrm>
                            <a:off x="0" y="0"/>
                            <a:ext cx="3583940" cy="2254250"/>
                          </a:xfrm>
                          <a:prstGeom prst="rect">
                            <a:avLst/>
                          </a:prstGeom>
                        </pic:spPr>
                      </pic:pic>
                    </a:graphicData>
                  </a:graphic>
                </wp:inline>
              </w:drawing>
            </w:r>
          </w:p>
          <w:p w14:paraId="5D14C0F7">
            <w:pPr>
              <w:pStyle w:val="16"/>
              <w:widowControl w:val="0"/>
              <w:spacing w:before="176" w:line="228" w:lineRule="auto"/>
              <w:ind w:left="2624"/>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图2-</w:t>
            </w:r>
            <w:r>
              <w:rPr>
                <w:rFonts w:hint="default" w:ascii="Times New Roman" w:hAnsi="Times New Roman" w:cs="Times New Roman"/>
                <w:b/>
                <w:bCs/>
                <w:color w:val="auto"/>
                <w:spacing w:val="5"/>
                <w:sz w:val="21"/>
                <w:szCs w:val="21"/>
                <w:highlight w:val="none"/>
                <w:lang w:val="en-US" w:eastAsia="zh-CN"/>
              </w:rPr>
              <w:t>5</w:t>
            </w:r>
            <w:r>
              <w:rPr>
                <w:rFonts w:hint="default" w:ascii="Times New Roman" w:hAnsi="Times New Roman" w:eastAsia="宋体" w:cs="Times New Roman"/>
                <w:b/>
                <w:bCs/>
                <w:color w:val="auto"/>
                <w:spacing w:val="5"/>
                <w:sz w:val="21"/>
                <w:szCs w:val="21"/>
                <w:highlight w:val="none"/>
                <w:lang w:val="en-US" w:eastAsia="zh-CN"/>
              </w:rPr>
              <w:t xml:space="preserve"> </w:t>
            </w:r>
            <w:r>
              <w:rPr>
                <w:rFonts w:hint="default" w:ascii="Times New Roman" w:hAnsi="Times New Roman" w:eastAsia="宋体" w:cs="Times New Roman"/>
                <w:b/>
                <w:bCs/>
                <w:color w:val="auto"/>
                <w:spacing w:val="5"/>
                <w:sz w:val="21"/>
                <w:szCs w:val="21"/>
                <w:highlight w:val="none"/>
              </w:rPr>
              <w:t>钻井泥浆不落地装置示意图</w:t>
            </w:r>
          </w:p>
          <w:p w14:paraId="6D4E44EB">
            <w:pPr>
              <w:pStyle w:val="16"/>
              <w:widowControl w:val="0"/>
              <w:spacing w:line="360" w:lineRule="auto"/>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1.3固井作业</w:t>
            </w:r>
          </w:p>
          <w:p w14:paraId="4120644C">
            <w:pPr>
              <w:pStyle w:val="16"/>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固井是在已钻成的井眼内下入套管，然后在套管与井壁之间环空内注入水泥浆将套管和地层固结在一起的工艺过程，可防止复杂情况以保证安全继续钻进下一段井眼或保证顺利开采生产层中的油、气。</w:t>
            </w:r>
          </w:p>
          <w:p w14:paraId="0455B6DD">
            <w:pPr>
              <w:pStyle w:val="16"/>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固井工程包括下套管和注水泥两个过程。下套管就是在已经钻成的井眼中按规定深度下入一定直径、由某种或几种不同钢级及壁厚的套管组成的套管柱。注水泥就是在地面上将水泥浆通过套管柱注入到井眼与套管柱之间的环形空间中的过程。固井的主要目的是封隔疏松的易塌、易漏地层；封隔油、气、水层，防止互相窜漏。固井作业的主要设备有水泥搅拌机、下灰罐车、混合漏斗和其他附属安全</w:t>
            </w:r>
            <w:r>
              <w:rPr>
                <w:rFonts w:hint="eastAsia" w:ascii="Times New Roman" w:hAnsi="Times New Roman" w:cs="Times New Roman"/>
                <w:color w:val="auto"/>
                <w:sz w:val="24"/>
                <w:szCs w:val="24"/>
                <w:highlight w:val="none"/>
                <w:lang w:eastAsia="zh-CN"/>
              </w:rPr>
              <w:t>防</w:t>
            </w:r>
            <w:r>
              <w:rPr>
                <w:rFonts w:hint="default" w:ascii="Times New Roman" w:hAnsi="Times New Roman" w:eastAsia="宋体" w:cs="Times New Roman"/>
                <w:color w:val="auto"/>
                <w:sz w:val="24"/>
                <w:szCs w:val="24"/>
                <w:highlight w:val="none"/>
              </w:rPr>
              <w:t>喷设备等。</w:t>
            </w:r>
          </w:p>
          <w:p w14:paraId="66B21D96">
            <w:pPr>
              <w:pStyle w:val="16"/>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另外，现场施工前根据实际情况要做水泥浆配方及性能复核试验，同时，如果是钻井中井漏严重，则应考虑采用双凝水泥浆体系固井，从而提高固井质量，防止因为井漏事故造成地下水环境污染。</w:t>
            </w:r>
          </w:p>
          <w:p w14:paraId="2545A0BA">
            <w:pPr>
              <w:pStyle w:val="16"/>
              <w:widowControl w:val="0"/>
              <w:spacing w:line="360" w:lineRule="auto"/>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试油作业</w:t>
            </w:r>
          </w:p>
          <w:p w14:paraId="5873A26E">
            <w:pPr>
              <w:pStyle w:val="16"/>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在钻井施工完毕后对目的层进行试油作业。主要包括试油准备、储层改造和试油。</w:t>
            </w:r>
          </w:p>
          <w:p w14:paraId="6F473E50">
            <w:pPr>
              <w:pStyle w:val="16"/>
              <w:widowControl w:val="0"/>
              <w:spacing w:line="360" w:lineRule="auto"/>
              <w:jc w:val="both"/>
              <w:rPr>
                <w:rFonts w:hint="default" w:ascii="Times New Roman" w:hAnsi="Times New Roman" w:eastAsia="宋体"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2.1</w:t>
            </w:r>
            <w:r>
              <w:rPr>
                <w:rFonts w:hint="default" w:ascii="Times New Roman" w:hAnsi="Times New Roman" w:eastAsia="宋体" w:cs="Times New Roman"/>
                <w:b/>
                <w:bCs/>
                <w:color w:val="auto"/>
                <w:sz w:val="24"/>
                <w:szCs w:val="24"/>
                <w:highlight w:val="none"/>
              </w:rPr>
              <w:t>试油准备</w:t>
            </w:r>
          </w:p>
          <w:p w14:paraId="74A82079">
            <w:pPr>
              <w:pStyle w:val="16"/>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试油准备主要进行通井、洗井和试压工作。通井时用钻杆或油管带通井规下入井内，检查套管是否有影响试油工具通过的弯曲和固体物质等；洗井使用泵注设备，利用洗井液，通过井内管柱内外循环，清除套管壁杂物等；试压用气体或液体介质，对地面流程、井口设备、井下套管等进行耐压程度检验。</w:t>
            </w:r>
          </w:p>
          <w:p w14:paraId="51976677">
            <w:pPr>
              <w:pStyle w:val="16"/>
              <w:widowControl w:val="0"/>
              <w:spacing w:line="360" w:lineRule="auto"/>
              <w:jc w:val="both"/>
              <w:rPr>
                <w:rFonts w:hint="default" w:ascii="Times New Roman" w:hAnsi="Times New Roman" w:eastAsia="宋体"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2.2</w:t>
            </w:r>
            <w:r>
              <w:rPr>
                <w:rFonts w:hint="default" w:ascii="Times New Roman" w:hAnsi="Times New Roman" w:eastAsia="宋体" w:cs="Times New Roman"/>
                <w:b/>
                <w:bCs/>
                <w:color w:val="auto"/>
                <w:sz w:val="24"/>
                <w:szCs w:val="24"/>
                <w:highlight w:val="none"/>
              </w:rPr>
              <w:t>储层改造</w:t>
            </w:r>
          </w:p>
          <w:p w14:paraId="0A0237DF">
            <w:pPr>
              <w:pStyle w:val="16"/>
              <w:widowControl w:val="0"/>
              <w:spacing w:line="360" w:lineRule="auto"/>
              <w:ind w:firstLine="480" w:firstLineChars="200"/>
              <w:jc w:val="both"/>
              <w:rPr>
                <w:rFonts w:hint="default" w:ascii="Times New Roman" w:hAnsi="Times New Roman"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储层改造包括射孔和压裂两个工序。射孔时利用专用设备和射孔枪，对套管和井壁进行射孔，建立地层与井筒之间的通道；射孔方式为：电缆常规射孔；压裂时用泵车将压裂液挤入油层，当把油层压出许多裂缝后加入支撑剂（如石英砂等），使其充填进裂缝，可有效提高油气层的渗透能力。停泵后，压裂返排液自喷返排至地面专用废液收集罐中，拉运至吉</w:t>
            </w:r>
            <w:r>
              <w:rPr>
                <w:rFonts w:hint="default" w:ascii="Times New Roman" w:hAnsi="Times New Roman" w:cs="Times New Roman"/>
                <w:color w:val="auto"/>
                <w:sz w:val="24"/>
                <w:szCs w:val="24"/>
                <w:highlight w:val="none"/>
                <w:lang w:val="en-US" w:eastAsia="zh-CN"/>
              </w:rPr>
              <w:t>康</w:t>
            </w:r>
            <w:r>
              <w:rPr>
                <w:rFonts w:hint="default" w:ascii="Times New Roman" w:hAnsi="Times New Roman" w:eastAsia="宋体" w:cs="Times New Roman"/>
                <w:color w:val="auto"/>
                <w:sz w:val="24"/>
                <w:szCs w:val="24"/>
                <w:highlight w:val="none"/>
              </w:rPr>
              <w:t>脱水站处理污水处理系统处理</w:t>
            </w:r>
            <w:r>
              <w:rPr>
                <w:rFonts w:hint="default" w:ascii="Times New Roman" w:hAnsi="Times New Roman" w:cs="Times New Roman"/>
                <w:color w:val="auto"/>
                <w:sz w:val="24"/>
                <w:szCs w:val="24"/>
                <w:highlight w:val="none"/>
                <w:lang w:eastAsia="zh-CN"/>
              </w:rPr>
              <w:t>。</w:t>
            </w:r>
          </w:p>
          <w:p w14:paraId="7B5E743D">
            <w:pPr>
              <w:pStyle w:val="16"/>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其中压裂工艺具体为：泵注桥塞射孔连作→压裂→焖井→排液→测试生产。</w:t>
            </w:r>
          </w:p>
          <w:p w14:paraId="42C1351B">
            <w:pPr>
              <w:pStyle w:val="16"/>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项目压裂作业工艺流程及其产污环节图见图2-6。</w:t>
            </w:r>
          </w:p>
          <w:p w14:paraId="698683BA">
            <w:pPr>
              <w:pStyle w:val="16"/>
              <w:widowControl w:val="0"/>
              <w:spacing w:line="360" w:lineRule="auto"/>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drawing>
                <wp:inline distT="0" distB="0" distL="114300" distR="114300">
                  <wp:extent cx="4613275" cy="1137920"/>
                  <wp:effectExtent l="0" t="0" r="15875" b="5080"/>
                  <wp:docPr id="5" name="图片 5" descr="压裂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压裂工艺"/>
                          <pic:cNvPicPr>
                            <a:picLocks noChangeAspect="1"/>
                          </pic:cNvPicPr>
                        </pic:nvPicPr>
                        <pic:blipFill>
                          <a:blip r:embed="rId17"/>
                          <a:stretch>
                            <a:fillRect/>
                          </a:stretch>
                        </pic:blipFill>
                        <pic:spPr>
                          <a:xfrm>
                            <a:off x="0" y="0"/>
                            <a:ext cx="4613275" cy="1137920"/>
                          </a:xfrm>
                          <a:prstGeom prst="rect">
                            <a:avLst/>
                          </a:prstGeom>
                        </pic:spPr>
                      </pic:pic>
                    </a:graphicData>
                  </a:graphic>
                </wp:inline>
              </w:drawing>
            </w:r>
          </w:p>
          <w:p w14:paraId="116448C7">
            <w:pPr>
              <w:keepNext w:val="0"/>
              <w:keepLines w:val="0"/>
              <w:widowControl/>
              <w:suppressLineNumbers w:val="0"/>
              <w:spacing w:line="36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snapToGrid w:val="0"/>
                <w:color w:val="auto"/>
                <w:spacing w:val="5"/>
                <w:kern w:val="0"/>
                <w:sz w:val="21"/>
                <w:szCs w:val="21"/>
                <w:highlight w:val="none"/>
                <w:lang w:val="en-US" w:eastAsia="zh-CN" w:bidi="ar-SA"/>
              </w:rPr>
              <w:t>图2-6 压裂作业工艺流程及产污环节图</w:t>
            </w:r>
          </w:p>
          <w:p w14:paraId="249F9F16">
            <w:pPr>
              <w:pStyle w:val="16"/>
              <w:widowControl w:val="0"/>
              <w:spacing w:line="360" w:lineRule="auto"/>
              <w:jc w:val="both"/>
              <w:rPr>
                <w:rFonts w:hint="default" w:ascii="Times New Roman" w:hAnsi="Times New Roman" w:eastAsia="宋体"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2.3</w:t>
            </w:r>
            <w:r>
              <w:rPr>
                <w:rFonts w:hint="default" w:ascii="Times New Roman" w:hAnsi="Times New Roman" w:eastAsia="宋体" w:cs="Times New Roman"/>
                <w:b/>
                <w:bCs/>
                <w:color w:val="auto"/>
                <w:sz w:val="24"/>
                <w:szCs w:val="24"/>
                <w:highlight w:val="none"/>
              </w:rPr>
              <w:t>试油</w:t>
            </w:r>
          </w:p>
          <w:p w14:paraId="60834362">
            <w:pPr>
              <w:pStyle w:val="16"/>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储层改造完成后方可进行试油作业，需在井口安装分离器，对获取的地层油、气、水进行取样。采出液进入地面储罐，最终由罐车拉运至吉</w:t>
            </w:r>
            <w:r>
              <w:rPr>
                <w:rFonts w:hint="default" w:ascii="Times New Roman" w:hAnsi="Times New Roman" w:cs="Times New Roman"/>
                <w:color w:val="auto"/>
                <w:sz w:val="24"/>
                <w:szCs w:val="24"/>
                <w:highlight w:val="none"/>
                <w:lang w:val="en-US" w:eastAsia="zh-CN"/>
              </w:rPr>
              <w:t>康</w:t>
            </w:r>
            <w:r>
              <w:rPr>
                <w:rFonts w:hint="default" w:ascii="Times New Roman" w:hAnsi="Times New Roman" w:eastAsia="宋体" w:cs="Times New Roman"/>
                <w:color w:val="auto"/>
                <w:sz w:val="24"/>
                <w:szCs w:val="24"/>
                <w:highlight w:val="none"/>
              </w:rPr>
              <w:t>脱水站原油处理系统处理，伴生气通过地面排气管线充分燃烧后放空。</w:t>
            </w:r>
          </w:p>
          <w:p w14:paraId="32CFCD84">
            <w:pPr>
              <w:pStyle w:val="16"/>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试油作业流程见图2-</w:t>
            </w:r>
            <w:r>
              <w:rPr>
                <w:rFonts w:hint="default" w:ascii="Times New Roman" w:hAnsi="Times New Roman"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w:t>
            </w:r>
          </w:p>
          <w:p w14:paraId="05990F84">
            <w:pPr>
              <w:pStyle w:val="16"/>
              <w:widowControl w:val="0"/>
              <w:spacing w:line="36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drawing>
                <wp:inline distT="0" distB="0" distL="114300" distR="114300">
                  <wp:extent cx="3846830" cy="2664460"/>
                  <wp:effectExtent l="0" t="0" r="1270" b="2540"/>
                  <wp:docPr id="3" name="图片 3" descr="e80b3dd4f6e8fc2d5bd7f6884012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80b3dd4f6e8fc2d5bd7f6884012b00"/>
                          <pic:cNvPicPr>
                            <a:picLocks noChangeAspect="1"/>
                          </pic:cNvPicPr>
                        </pic:nvPicPr>
                        <pic:blipFill>
                          <a:blip r:embed="rId18"/>
                          <a:stretch>
                            <a:fillRect/>
                          </a:stretch>
                        </pic:blipFill>
                        <pic:spPr>
                          <a:xfrm>
                            <a:off x="0" y="0"/>
                            <a:ext cx="3846830" cy="2664460"/>
                          </a:xfrm>
                          <a:prstGeom prst="rect">
                            <a:avLst/>
                          </a:prstGeom>
                        </pic:spPr>
                      </pic:pic>
                    </a:graphicData>
                  </a:graphic>
                </wp:inline>
              </w:drawing>
            </w:r>
          </w:p>
          <w:p w14:paraId="60F026DB">
            <w:pPr>
              <w:pStyle w:val="16"/>
              <w:widowControl w:val="0"/>
              <w:spacing w:before="183" w:line="360" w:lineRule="auto"/>
              <w:ind w:left="2624"/>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图2-</w:t>
            </w:r>
            <w:r>
              <w:rPr>
                <w:rFonts w:hint="default" w:ascii="Times New Roman" w:hAnsi="Times New Roman" w:cs="Times New Roman"/>
                <w:b/>
                <w:bCs/>
                <w:color w:val="auto"/>
                <w:spacing w:val="5"/>
                <w:sz w:val="21"/>
                <w:szCs w:val="21"/>
                <w:highlight w:val="none"/>
                <w:lang w:val="en-US" w:eastAsia="zh-CN"/>
              </w:rPr>
              <w:t>7</w:t>
            </w:r>
            <w:r>
              <w:rPr>
                <w:rFonts w:hint="default" w:ascii="Times New Roman" w:hAnsi="Times New Roman" w:eastAsia="宋体" w:cs="Times New Roman"/>
                <w:b/>
                <w:bCs/>
                <w:color w:val="auto"/>
                <w:spacing w:val="5"/>
                <w:sz w:val="21"/>
                <w:szCs w:val="21"/>
                <w:highlight w:val="none"/>
                <w:lang w:val="en-US" w:eastAsia="zh-CN"/>
              </w:rPr>
              <w:t xml:space="preserve"> </w:t>
            </w:r>
            <w:r>
              <w:rPr>
                <w:rFonts w:hint="default" w:ascii="Times New Roman" w:hAnsi="Times New Roman" w:eastAsia="宋体" w:cs="Times New Roman"/>
                <w:b/>
                <w:bCs/>
                <w:color w:val="auto"/>
                <w:spacing w:val="5"/>
                <w:sz w:val="21"/>
                <w:szCs w:val="21"/>
                <w:highlight w:val="none"/>
              </w:rPr>
              <w:t>试油作业流程及产污节点图</w:t>
            </w:r>
          </w:p>
          <w:p w14:paraId="2FCEEE2E">
            <w:pPr>
              <w:pStyle w:val="16"/>
              <w:widowControl w:val="0"/>
              <w:spacing w:line="360" w:lineRule="auto"/>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钻后工程（完井和封井）</w:t>
            </w:r>
          </w:p>
          <w:p w14:paraId="739F3010">
            <w:pPr>
              <w:pStyle w:val="16"/>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试油作业结束后，如该油井具备商业开采价值，则对油井进行关井，后期根据油田开发要求转入开采井（转开采井的污染影响不包含在本次评价工作中）。如该油井不具备开采价值，则对地面设施进行拆除，对井口按照《废弃井及长停井处置指南》（SY/T6646-2017）进行封井作业。撤去所有生产设施、平整井场；清理钻井现场，将垃圾、物料清理干净。</w:t>
            </w:r>
          </w:p>
          <w:p w14:paraId="6FB37671">
            <w:pPr>
              <w:pStyle w:val="16"/>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（1）临时封井：在试油获得相关参数后，进行临时封井，在井下50</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100m注入水形成水泥塞，水泥塞试压合格后完成临时封井。</w:t>
            </w:r>
          </w:p>
          <w:p w14:paraId="08B12F6A">
            <w:pPr>
              <w:pStyle w:val="16"/>
              <w:widowControl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（2）永久封井：在油层套管的水泥返深以下、射孔井段顶部以上50</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100m间注水泥塞，厚度不小于50m，并在距井口50</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100m之间，再注一个水泥塞。水泥塞试压合格后，井口焊井口帽，完成永久封井。</w:t>
            </w:r>
          </w:p>
        </w:tc>
      </w:tr>
      <w:tr w14:paraId="05970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0" w:hRule="atLeast"/>
          <w:jc w:val="center"/>
        </w:trPr>
        <w:tc>
          <w:tcPr>
            <w:tcW w:w="704" w:type="dxa"/>
            <w:vAlign w:val="center"/>
          </w:tcPr>
          <w:p w14:paraId="6F6689F9">
            <w:pPr>
              <w:widowControl w:val="0"/>
              <w:snapToGrid w:val="0"/>
              <w:spacing w:line="5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其他</w:t>
            </w:r>
          </w:p>
        </w:tc>
        <w:tc>
          <w:tcPr>
            <w:tcW w:w="8394" w:type="dxa"/>
            <w:vAlign w:val="center"/>
          </w:tcPr>
          <w:p w14:paraId="34460D87">
            <w:pPr>
              <w:widowControl w:val="0"/>
              <w:snapToGrid w:val="0"/>
              <w:spacing w:line="500" w:lineRule="exact"/>
              <w:jc w:val="center"/>
              <w:rPr>
                <w:rFonts w:hint="default" w:ascii="Times New Roman" w:hAnsi="Times New Roman" w:eastAsia="宋体" w:cs="Times New Roman"/>
                <w:color w:val="auto"/>
                <w:sz w:val="24"/>
                <w:szCs w:val="24"/>
                <w:highlight w:val="none"/>
              </w:rPr>
            </w:pPr>
          </w:p>
          <w:p w14:paraId="6DF7E8C2">
            <w:pPr>
              <w:widowControl w:val="0"/>
              <w:snapToGrid w:val="0"/>
              <w:spacing w:line="500" w:lineRule="exact"/>
              <w:jc w:val="center"/>
              <w:rPr>
                <w:rFonts w:hint="default" w:ascii="Times New Roman" w:hAnsi="Times New Roman" w:eastAsia="宋体" w:cs="Times New Roman"/>
                <w:color w:val="auto"/>
                <w:sz w:val="24"/>
                <w:szCs w:val="24"/>
                <w:highlight w:val="none"/>
              </w:rPr>
            </w:pPr>
          </w:p>
          <w:p w14:paraId="07E6DF3A">
            <w:pPr>
              <w:widowControl w:val="0"/>
              <w:snapToGrid w:val="0"/>
              <w:spacing w:line="500" w:lineRule="exact"/>
              <w:jc w:val="center"/>
              <w:rPr>
                <w:rFonts w:hint="default" w:ascii="Times New Roman" w:hAnsi="Times New Roman" w:eastAsia="宋体" w:cs="Times New Roman"/>
                <w:color w:val="auto"/>
                <w:sz w:val="24"/>
                <w:szCs w:val="24"/>
                <w:highlight w:val="none"/>
              </w:rPr>
            </w:pPr>
          </w:p>
          <w:p w14:paraId="6D4919E3">
            <w:pPr>
              <w:widowControl w:val="0"/>
              <w:snapToGrid w:val="0"/>
              <w:spacing w:line="500" w:lineRule="exact"/>
              <w:jc w:val="center"/>
              <w:rPr>
                <w:rFonts w:hint="default" w:ascii="Times New Roman" w:hAnsi="Times New Roman" w:eastAsia="宋体" w:cs="Times New Roman"/>
                <w:color w:val="auto"/>
                <w:sz w:val="24"/>
                <w:szCs w:val="24"/>
                <w:highlight w:val="none"/>
              </w:rPr>
            </w:pPr>
          </w:p>
          <w:p w14:paraId="092612A6">
            <w:pPr>
              <w:widowControl w:val="0"/>
              <w:snapToGrid w:val="0"/>
              <w:spacing w:line="500" w:lineRule="exact"/>
              <w:jc w:val="center"/>
              <w:rPr>
                <w:rFonts w:hint="default" w:ascii="Times New Roman" w:hAnsi="Times New Roman" w:eastAsia="宋体" w:cs="Times New Roman"/>
                <w:color w:val="auto"/>
                <w:sz w:val="24"/>
                <w:szCs w:val="24"/>
                <w:highlight w:val="none"/>
              </w:rPr>
            </w:pPr>
          </w:p>
          <w:p w14:paraId="6AB05583">
            <w:pPr>
              <w:widowControl w:val="0"/>
              <w:snapToGrid w:val="0"/>
              <w:spacing w:line="500" w:lineRule="exact"/>
              <w:jc w:val="center"/>
              <w:rPr>
                <w:rFonts w:hint="default" w:ascii="Times New Roman" w:hAnsi="Times New Roman" w:eastAsia="宋体" w:cs="Times New Roman"/>
                <w:color w:val="auto"/>
                <w:sz w:val="24"/>
                <w:szCs w:val="24"/>
                <w:highlight w:val="none"/>
              </w:rPr>
            </w:pPr>
          </w:p>
          <w:p w14:paraId="1BD72BC3">
            <w:pPr>
              <w:widowControl w:val="0"/>
              <w:snapToGrid w:val="0"/>
              <w:spacing w:line="500" w:lineRule="exact"/>
              <w:jc w:val="center"/>
              <w:rPr>
                <w:rFonts w:hint="default" w:ascii="Times New Roman" w:hAnsi="Times New Roman" w:eastAsia="宋体" w:cs="Times New Roman"/>
                <w:color w:val="auto"/>
                <w:sz w:val="24"/>
                <w:szCs w:val="24"/>
                <w:highlight w:val="none"/>
              </w:rPr>
            </w:pPr>
          </w:p>
          <w:p w14:paraId="478AC2F2">
            <w:pPr>
              <w:widowControl w:val="0"/>
              <w:snapToGrid w:val="0"/>
              <w:spacing w:line="500" w:lineRule="exact"/>
              <w:jc w:val="center"/>
              <w:rPr>
                <w:rFonts w:hint="default" w:ascii="Times New Roman" w:hAnsi="Times New Roman" w:eastAsia="宋体" w:cs="Times New Roman"/>
                <w:color w:val="auto"/>
                <w:sz w:val="24"/>
                <w:szCs w:val="24"/>
                <w:highlight w:val="none"/>
              </w:rPr>
            </w:pPr>
          </w:p>
          <w:p w14:paraId="59B713E7">
            <w:pPr>
              <w:widowControl w:val="0"/>
              <w:snapToGrid w:val="0"/>
              <w:spacing w:line="500" w:lineRule="exact"/>
              <w:jc w:val="center"/>
              <w:rPr>
                <w:rFonts w:hint="default" w:ascii="Times New Roman" w:hAnsi="Times New Roman" w:eastAsia="宋体" w:cs="Times New Roman"/>
                <w:color w:val="auto"/>
                <w:sz w:val="24"/>
                <w:szCs w:val="24"/>
                <w:highlight w:val="none"/>
              </w:rPr>
            </w:pPr>
          </w:p>
          <w:p w14:paraId="11EC79E2">
            <w:pPr>
              <w:widowControl w:val="0"/>
              <w:snapToGrid w:val="0"/>
              <w:spacing w:line="500" w:lineRule="exact"/>
              <w:jc w:val="center"/>
              <w:rPr>
                <w:rFonts w:hint="default" w:ascii="Times New Roman" w:hAnsi="Times New Roman" w:eastAsia="宋体" w:cs="Times New Roman"/>
                <w:color w:val="auto"/>
                <w:sz w:val="24"/>
                <w:szCs w:val="24"/>
                <w:highlight w:val="none"/>
              </w:rPr>
            </w:pPr>
          </w:p>
          <w:p w14:paraId="43432870">
            <w:pPr>
              <w:widowControl w:val="0"/>
              <w:snapToGrid w:val="0"/>
              <w:spacing w:line="50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无</w:t>
            </w:r>
          </w:p>
          <w:p w14:paraId="7311A1EF">
            <w:pPr>
              <w:widowControl w:val="0"/>
              <w:snapToGrid w:val="0"/>
              <w:spacing w:line="500" w:lineRule="exact"/>
              <w:jc w:val="center"/>
              <w:rPr>
                <w:rFonts w:hint="default" w:ascii="Times New Roman" w:hAnsi="Times New Roman" w:eastAsia="宋体" w:cs="Times New Roman"/>
                <w:color w:val="auto"/>
                <w:sz w:val="24"/>
                <w:szCs w:val="24"/>
                <w:highlight w:val="none"/>
              </w:rPr>
            </w:pPr>
          </w:p>
          <w:p w14:paraId="1CEF2BC6">
            <w:pPr>
              <w:widowControl w:val="0"/>
              <w:snapToGrid w:val="0"/>
              <w:spacing w:line="500" w:lineRule="exact"/>
              <w:jc w:val="center"/>
              <w:rPr>
                <w:rFonts w:hint="default" w:ascii="Times New Roman" w:hAnsi="Times New Roman" w:eastAsia="宋体" w:cs="Times New Roman"/>
                <w:color w:val="auto"/>
                <w:sz w:val="24"/>
                <w:szCs w:val="24"/>
                <w:highlight w:val="none"/>
              </w:rPr>
            </w:pPr>
          </w:p>
          <w:p w14:paraId="0228053B">
            <w:pPr>
              <w:widowControl w:val="0"/>
              <w:snapToGrid w:val="0"/>
              <w:spacing w:line="500" w:lineRule="exact"/>
              <w:jc w:val="center"/>
              <w:rPr>
                <w:rFonts w:hint="default" w:ascii="Times New Roman" w:hAnsi="Times New Roman" w:eastAsia="宋体" w:cs="Times New Roman"/>
                <w:color w:val="auto"/>
                <w:sz w:val="24"/>
                <w:szCs w:val="24"/>
                <w:highlight w:val="none"/>
              </w:rPr>
            </w:pPr>
          </w:p>
          <w:p w14:paraId="4680CCA1">
            <w:pPr>
              <w:widowControl w:val="0"/>
              <w:snapToGrid w:val="0"/>
              <w:spacing w:line="500" w:lineRule="exact"/>
              <w:jc w:val="center"/>
              <w:rPr>
                <w:rFonts w:hint="default" w:ascii="Times New Roman" w:hAnsi="Times New Roman" w:eastAsia="宋体" w:cs="Times New Roman"/>
                <w:color w:val="auto"/>
                <w:sz w:val="24"/>
                <w:szCs w:val="24"/>
                <w:highlight w:val="none"/>
              </w:rPr>
            </w:pPr>
          </w:p>
          <w:p w14:paraId="5DE1FA8D">
            <w:pPr>
              <w:widowControl w:val="0"/>
              <w:snapToGrid w:val="0"/>
              <w:spacing w:line="500" w:lineRule="exact"/>
              <w:jc w:val="center"/>
              <w:rPr>
                <w:rFonts w:hint="default" w:ascii="Times New Roman" w:hAnsi="Times New Roman" w:eastAsia="宋体" w:cs="Times New Roman"/>
                <w:color w:val="auto"/>
                <w:sz w:val="24"/>
                <w:szCs w:val="24"/>
                <w:highlight w:val="none"/>
              </w:rPr>
            </w:pPr>
          </w:p>
          <w:p w14:paraId="40241C21">
            <w:pPr>
              <w:widowControl w:val="0"/>
              <w:snapToGrid w:val="0"/>
              <w:spacing w:line="500" w:lineRule="exact"/>
              <w:jc w:val="center"/>
              <w:rPr>
                <w:rFonts w:hint="default" w:ascii="Times New Roman" w:hAnsi="Times New Roman" w:eastAsia="宋体" w:cs="Times New Roman"/>
                <w:color w:val="auto"/>
                <w:sz w:val="24"/>
                <w:szCs w:val="24"/>
                <w:highlight w:val="none"/>
              </w:rPr>
            </w:pPr>
          </w:p>
          <w:p w14:paraId="34C85F48">
            <w:pPr>
              <w:widowControl w:val="0"/>
              <w:snapToGrid w:val="0"/>
              <w:spacing w:line="500" w:lineRule="exact"/>
              <w:jc w:val="center"/>
              <w:rPr>
                <w:rFonts w:hint="default" w:ascii="Times New Roman" w:hAnsi="Times New Roman" w:eastAsia="宋体" w:cs="Times New Roman"/>
                <w:color w:val="auto"/>
                <w:sz w:val="24"/>
                <w:szCs w:val="24"/>
                <w:highlight w:val="none"/>
              </w:rPr>
            </w:pPr>
          </w:p>
          <w:p w14:paraId="4731B2AB">
            <w:pPr>
              <w:widowControl w:val="0"/>
              <w:snapToGrid w:val="0"/>
              <w:spacing w:line="500" w:lineRule="exact"/>
              <w:jc w:val="center"/>
              <w:rPr>
                <w:rFonts w:hint="default" w:ascii="Times New Roman" w:hAnsi="Times New Roman" w:eastAsia="宋体" w:cs="Times New Roman"/>
                <w:color w:val="auto"/>
                <w:sz w:val="24"/>
                <w:szCs w:val="24"/>
                <w:highlight w:val="none"/>
              </w:rPr>
            </w:pPr>
          </w:p>
          <w:p w14:paraId="40AD7FFA">
            <w:pPr>
              <w:widowControl w:val="0"/>
              <w:snapToGrid w:val="0"/>
              <w:spacing w:line="500" w:lineRule="exact"/>
              <w:jc w:val="center"/>
              <w:rPr>
                <w:rFonts w:hint="default" w:ascii="Times New Roman" w:hAnsi="Times New Roman" w:eastAsia="宋体" w:cs="Times New Roman"/>
                <w:color w:val="auto"/>
                <w:sz w:val="24"/>
                <w:szCs w:val="24"/>
                <w:highlight w:val="none"/>
              </w:rPr>
            </w:pPr>
          </w:p>
          <w:p w14:paraId="5363965C">
            <w:pPr>
              <w:widowControl w:val="0"/>
              <w:snapToGrid w:val="0"/>
              <w:spacing w:line="500" w:lineRule="exact"/>
              <w:jc w:val="center"/>
              <w:rPr>
                <w:rFonts w:hint="default" w:ascii="Times New Roman" w:hAnsi="Times New Roman" w:eastAsia="宋体" w:cs="Times New Roman"/>
                <w:color w:val="auto"/>
                <w:sz w:val="24"/>
                <w:szCs w:val="24"/>
                <w:highlight w:val="none"/>
              </w:rPr>
            </w:pPr>
          </w:p>
          <w:p w14:paraId="1FC995CF">
            <w:pPr>
              <w:widowControl w:val="0"/>
              <w:snapToGrid w:val="0"/>
              <w:spacing w:line="500" w:lineRule="exact"/>
              <w:jc w:val="center"/>
              <w:rPr>
                <w:rFonts w:hint="default" w:ascii="Times New Roman" w:hAnsi="Times New Roman" w:eastAsia="宋体" w:cs="Times New Roman"/>
                <w:color w:val="auto"/>
                <w:sz w:val="24"/>
                <w:szCs w:val="24"/>
                <w:highlight w:val="none"/>
              </w:rPr>
            </w:pPr>
          </w:p>
          <w:p w14:paraId="6A99E92B">
            <w:pPr>
              <w:widowControl w:val="0"/>
              <w:snapToGrid w:val="0"/>
              <w:spacing w:line="500" w:lineRule="exact"/>
              <w:jc w:val="center"/>
              <w:rPr>
                <w:rFonts w:hint="default" w:ascii="Times New Roman" w:hAnsi="Times New Roman" w:eastAsia="宋体" w:cs="Times New Roman"/>
                <w:color w:val="auto"/>
                <w:sz w:val="24"/>
                <w:szCs w:val="24"/>
                <w:highlight w:val="none"/>
              </w:rPr>
            </w:pPr>
          </w:p>
          <w:p w14:paraId="36A0CEF1">
            <w:pPr>
              <w:widowControl w:val="0"/>
              <w:snapToGrid w:val="0"/>
              <w:spacing w:line="500" w:lineRule="exact"/>
              <w:jc w:val="both"/>
              <w:rPr>
                <w:rFonts w:hint="default" w:ascii="Times New Roman" w:hAnsi="Times New Roman" w:eastAsia="宋体" w:cs="Times New Roman"/>
                <w:color w:val="auto"/>
                <w:sz w:val="24"/>
                <w:szCs w:val="24"/>
                <w:highlight w:val="none"/>
              </w:rPr>
            </w:pPr>
          </w:p>
        </w:tc>
      </w:tr>
    </w:tbl>
    <w:p w14:paraId="36509936">
      <w:pPr>
        <w:rPr>
          <w:rFonts w:hint="default" w:ascii="Times New Roman" w:hAnsi="Times New Roman" w:eastAsia="宋体" w:cs="Times New Roman"/>
          <w:b/>
          <w:bCs/>
          <w:color w:val="auto"/>
          <w:spacing w:val="7"/>
          <w:sz w:val="31"/>
          <w:szCs w:val="31"/>
          <w:highlight w:val="none"/>
        </w:rPr>
      </w:pPr>
      <w:r>
        <w:rPr>
          <w:rFonts w:hint="default" w:ascii="Times New Roman" w:hAnsi="Times New Roman" w:eastAsia="宋体" w:cs="Times New Roman"/>
          <w:b/>
          <w:bCs/>
          <w:color w:val="auto"/>
          <w:spacing w:val="7"/>
          <w:sz w:val="31"/>
          <w:szCs w:val="31"/>
          <w:highlight w:val="none"/>
        </w:rPr>
        <w:br w:type="page"/>
      </w:r>
    </w:p>
    <w:p w14:paraId="5C2A1903">
      <w:pPr>
        <w:spacing w:before="101" w:line="360" w:lineRule="auto"/>
        <w:jc w:val="center"/>
        <w:outlineLvl w:val="0"/>
        <w:rPr>
          <w:rFonts w:hint="default" w:ascii="Times New Roman" w:hAnsi="Times New Roman" w:cs="Times New Roman"/>
          <w:color w:val="auto"/>
          <w:highlight w:val="none"/>
        </w:rPr>
      </w:pPr>
      <w:r>
        <w:rPr>
          <w:rFonts w:hint="default" w:ascii="Times New Roman" w:hAnsi="Times New Roman" w:eastAsia="宋体" w:cs="Times New Roman"/>
          <w:b/>
          <w:bCs/>
          <w:color w:val="auto"/>
          <w:spacing w:val="7"/>
          <w:sz w:val="31"/>
          <w:szCs w:val="31"/>
          <w:highlight w:val="none"/>
        </w:rPr>
        <w:t>三、生态环境现状、保护目标及评价标准</w:t>
      </w:r>
    </w:p>
    <w:tbl>
      <w:tblPr>
        <w:tblStyle w:val="15"/>
        <w:tblW w:w="909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1"/>
        <w:gridCol w:w="8108"/>
      </w:tblGrid>
      <w:tr w14:paraId="09FEC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2" w:hRule="atLeast"/>
          <w:jc w:val="center"/>
        </w:trPr>
        <w:tc>
          <w:tcPr>
            <w:tcW w:w="991" w:type="dxa"/>
            <w:tcBorders>
              <w:left w:val="single" w:color="000000" w:sz="4" w:space="0"/>
            </w:tcBorders>
            <w:vAlign w:val="center"/>
          </w:tcPr>
          <w:p w14:paraId="77CE81F3">
            <w:pPr>
              <w:pStyle w:val="16"/>
              <w:spacing w:before="65"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pacing w:val="14"/>
                <w:sz w:val="24"/>
                <w:szCs w:val="24"/>
                <w:highlight w:val="none"/>
              </w:rPr>
              <w:t>生态环境</w:t>
            </w:r>
            <w:r>
              <w:rPr>
                <w:rFonts w:hint="default" w:ascii="Times New Roman" w:hAnsi="Times New Roman" w:eastAsia="宋体" w:cs="Times New Roman"/>
                <w:color w:val="auto"/>
                <w:spacing w:val="9"/>
                <w:sz w:val="24"/>
                <w:szCs w:val="24"/>
                <w:highlight w:val="none"/>
              </w:rPr>
              <w:t>现状</w:t>
            </w:r>
          </w:p>
        </w:tc>
        <w:tc>
          <w:tcPr>
            <w:tcW w:w="8108" w:type="dxa"/>
            <w:tcBorders>
              <w:right w:val="single" w:color="000000" w:sz="4" w:space="0"/>
            </w:tcBorders>
            <w:vAlign w:val="top"/>
          </w:tcPr>
          <w:p w14:paraId="1A532E66">
            <w:pPr>
              <w:pStyle w:val="16"/>
              <w:numPr>
                <w:ilvl w:val="0"/>
                <w:numId w:val="0"/>
              </w:numPr>
              <w:spacing w:before="34" w:line="360" w:lineRule="auto"/>
              <w:ind w:left="13" w:leftChars="0"/>
              <w:rPr>
                <w:rFonts w:hint="default" w:ascii="Times New Roman" w:hAnsi="Times New Roman" w:eastAsia="宋体" w:cs="Times New Roman"/>
                <w:b/>
                <w:bCs/>
                <w:color w:val="auto"/>
                <w:spacing w:val="-6"/>
                <w:sz w:val="24"/>
                <w:szCs w:val="24"/>
                <w:highlight w:val="none"/>
              </w:rPr>
            </w:pPr>
            <w:r>
              <w:rPr>
                <w:rFonts w:hint="eastAsia" w:ascii="Times New Roman" w:hAnsi="Times New Roman" w:cs="Times New Roman"/>
                <w:b/>
                <w:bCs/>
                <w:color w:val="auto"/>
                <w:spacing w:val="-6"/>
                <w:sz w:val="24"/>
                <w:szCs w:val="24"/>
                <w:highlight w:val="none"/>
                <w:lang w:val="en-US" w:eastAsia="zh-CN"/>
              </w:rPr>
              <w:t>1</w:t>
            </w:r>
            <w:r>
              <w:rPr>
                <w:rFonts w:hint="default" w:ascii="Times New Roman" w:hAnsi="Times New Roman" w:cs="Times New Roman"/>
                <w:b/>
                <w:bCs/>
                <w:color w:val="auto"/>
                <w:spacing w:val="-6"/>
                <w:sz w:val="24"/>
                <w:szCs w:val="24"/>
                <w:highlight w:val="none"/>
                <w:lang w:val="en-US" w:eastAsia="zh-CN"/>
              </w:rPr>
              <w:t>.</w:t>
            </w:r>
            <w:r>
              <w:rPr>
                <w:rFonts w:hint="default" w:ascii="Times New Roman" w:hAnsi="Times New Roman" w:eastAsia="宋体" w:cs="Times New Roman"/>
                <w:b/>
                <w:bCs/>
                <w:color w:val="auto"/>
                <w:spacing w:val="-6"/>
                <w:sz w:val="24"/>
                <w:szCs w:val="24"/>
                <w:highlight w:val="none"/>
              </w:rPr>
              <w:t>生态环境现状</w:t>
            </w:r>
          </w:p>
          <w:p w14:paraId="50D1A4A5">
            <w:pPr>
              <w:pStyle w:val="16"/>
              <w:numPr>
                <w:ilvl w:val="0"/>
                <w:numId w:val="0"/>
              </w:numPr>
              <w:spacing w:before="34" w:line="360" w:lineRule="auto"/>
              <w:ind w:left="13" w:leftChars="0"/>
              <w:rPr>
                <w:rFonts w:hint="default" w:ascii="Times New Roman" w:hAnsi="Times New Roman" w:eastAsia="宋体" w:cs="Times New Roman"/>
                <w:b/>
                <w:bCs/>
                <w:color w:val="auto"/>
                <w:spacing w:val="-2"/>
                <w:sz w:val="24"/>
                <w:szCs w:val="24"/>
                <w:highlight w:val="none"/>
              </w:rPr>
            </w:pPr>
            <w:r>
              <w:rPr>
                <w:rFonts w:hint="eastAsia" w:ascii="Times New Roman" w:hAnsi="Times New Roman" w:cs="Times New Roman"/>
                <w:b/>
                <w:bCs/>
                <w:color w:val="auto"/>
                <w:spacing w:val="-2"/>
                <w:sz w:val="24"/>
                <w:szCs w:val="24"/>
                <w:highlight w:val="none"/>
                <w:lang w:val="en-US" w:eastAsia="zh-CN"/>
              </w:rPr>
              <w:t>1</w:t>
            </w:r>
            <w:r>
              <w:rPr>
                <w:rFonts w:hint="default" w:ascii="Times New Roman" w:hAnsi="Times New Roman" w:eastAsia="宋体" w:cs="Times New Roman"/>
                <w:b/>
                <w:bCs/>
                <w:color w:val="auto"/>
                <w:spacing w:val="-2"/>
                <w:sz w:val="24"/>
                <w:szCs w:val="24"/>
                <w:highlight w:val="none"/>
              </w:rPr>
              <w:t>.1植被</w:t>
            </w:r>
            <w:r>
              <w:rPr>
                <w:rFonts w:hint="eastAsia" w:ascii="Times New Roman" w:hAnsi="Times New Roman" w:cs="Times New Roman"/>
                <w:b/>
                <w:bCs/>
                <w:color w:val="auto"/>
                <w:spacing w:val="-2"/>
                <w:sz w:val="24"/>
                <w:szCs w:val="24"/>
                <w:highlight w:val="none"/>
                <w:lang w:val="en-US" w:eastAsia="zh-CN"/>
              </w:rPr>
              <w:t>类型</w:t>
            </w:r>
            <w:r>
              <w:rPr>
                <w:rFonts w:hint="default" w:ascii="Times New Roman" w:hAnsi="Times New Roman" w:eastAsia="宋体" w:cs="Times New Roman"/>
                <w:b/>
                <w:bCs/>
                <w:color w:val="auto"/>
                <w:spacing w:val="-2"/>
                <w:sz w:val="24"/>
                <w:szCs w:val="24"/>
                <w:highlight w:val="none"/>
              </w:rPr>
              <w:t>现状</w:t>
            </w:r>
          </w:p>
          <w:p w14:paraId="3639E1F9">
            <w:pPr>
              <w:keepNext w:val="0"/>
              <w:keepLines w:val="0"/>
              <w:pageBreakBefore w:val="0"/>
              <w:widowControl/>
              <w:kinsoku w:val="0"/>
              <w:wordWrap/>
              <w:overflowPunct/>
              <w:topLinePunct w:val="0"/>
              <w:autoSpaceDE w:val="0"/>
              <w:autoSpaceDN w:val="0"/>
              <w:bidi w:val="0"/>
              <w:adjustRightInd w:val="0"/>
              <w:snapToGrid w:val="0"/>
              <w:spacing w:line="360" w:lineRule="auto"/>
              <w:ind w:firstLine="472" w:firstLineChars="200"/>
              <w:jc w:val="left"/>
              <w:textAlignment w:val="baseline"/>
              <w:rPr>
                <w:rFonts w:hint="default" w:ascii="Times New Roman" w:hAnsi="Times New Roman" w:eastAsia="宋体" w:cs="Times New Roman"/>
                <w:b w:val="0"/>
                <w:bCs w:val="0"/>
                <w:color w:val="auto"/>
                <w:spacing w:val="-2"/>
                <w:sz w:val="24"/>
                <w:szCs w:val="24"/>
                <w:highlight w:val="none"/>
              </w:rPr>
            </w:pPr>
            <w:r>
              <w:rPr>
                <w:rFonts w:hint="default" w:ascii="Times New Roman" w:hAnsi="Times New Roman" w:eastAsia="宋体" w:cs="Times New Roman"/>
                <w:b w:val="0"/>
                <w:bCs w:val="0"/>
                <w:color w:val="auto"/>
                <w:spacing w:val="-2"/>
                <w:sz w:val="24"/>
                <w:szCs w:val="24"/>
                <w:highlight w:val="none"/>
              </w:rPr>
              <w:t>根据2025年7月现场踏勘和相关文献资料分析，项目区域生态类型属于典型的荒漠</w:t>
            </w:r>
            <w:r>
              <w:rPr>
                <w:rFonts w:hint="eastAsia" w:ascii="Times New Roman" w:hAnsi="Times New Roman" w:cs="Times New Roman"/>
                <w:b w:val="0"/>
                <w:bCs w:val="0"/>
                <w:color w:val="auto"/>
                <w:spacing w:val="-2"/>
                <w:sz w:val="24"/>
                <w:szCs w:val="24"/>
                <w:highlight w:val="none"/>
                <w:lang w:val="en-US" w:eastAsia="zh-CN"/>
              </w:rPr>
              <w:t>乔灌草</w:t>
            </w:r>
            <w:r>
              <w:rPr>
                <w:rFonts w:hint="default" w:ascii="Times New Roman" w:hAnsi="Times New Roman" w:eastAsia="宋体" w:cs="Times New Roman"/>
                <w:b w:val="0"/>
                <w:bCs w:val="0"/>
                <w:color w:val="auto"/>
                <w:spacing w:val="-2"/>
                <w:sz w:val="24"/>
                <w:szCs w:val="24"/>
                <w:highlight w:val="none"/>
              </w:rPr>
              <w:t>植被带，区域植被群落结构较为简单，主要由骆驼蓬</w:t>
            </w:r>
            <w:r>
              <w:rPr>
                <w:rFonts w:hint="eastAsia" w:ascii="Times New Roman" w:hAnsi="Times New Roman" w:cs="Times New Roman"/>
                <w:b w:val="0"/>
                <w:bCs w:val="0"/>
                <w:color w:val="auto"/>
                <w:spacing w:val="-2"/>
                <w:sz w:val="24"/>
                <w:szCs w:val="24"/>
                <w:highlight w:val="none"/>
                <w:lang w:eastAsia="zh-CN"/>
              </w:rPr>
              <w:t>、</w:t>
            </w:r>
            <w:r>
              <w:rPr>
                <w:rFonts w:hint="eastAsia" w:eastAsia="宋体"/>
                <w:b w:val="0"/>
                <w:bCs w:val="0"/>
                <w:color w:val="auto"/>
                <w:sz w:val="24"/>
                <w:szCs w:val="24"/>
                <w:lang w:val="en-US" w:eastAsia="zh-CN"/>
              </w:rPr>
              <w:t>欧洲山杨林、伊犁小擘等植被</w:t>
            </w:r>
            <w:r>
              <w:rPr>
                <w:rFonts w:hint="default" w:ascii="Times New Roman" w:hAnsi="Times New Roman" w:eastAsia="宋体" w:cs="Times New Roman"/>
                <w:b w:val="0"/>
                <w:bCs w:val="0"/>
                <w:color w:val="auto"/>
                <w:spacing w:val="-2"/>
                <w:sz w:val="24"/>
                <w:szCs w:val="24"/>
                <w:highlight w:val="none"/>
              </w:rPr>
              <w:t>构成。植物种类耐旱性强，生物量低，呈点状或条带状分布，主要附生于沙砾土或砾石覆盖地表上。施工区域内植被生长状况较差，生态系统稳定性较弱，生态恢复能力有限。</w:t>
            </w:r>
          </w:p>
          <w:p w14:paraId="1B9EDE58">
            <w:pPr>
              <w:pStyle w:val="1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72" w:firstLineChars="200"/>
              <w:textAlignment w:val="baseline"/>
              <w:rPr>
                <w:rFonts w:hint="default" w:ascii="Times New Roman" w:hAnsi="Times New Roman" w:eastAsia="宋体" w:cs="Times New Roman"/>
                <w:b w:val="0"/>
                <w:bCs w:val="0"/>
                <w:color w:val="auto"/>
                <w:spacing w:val="-2"/>
                <w:sz w:val="24"/>
                <w:szCs w:val="24"/>
                <w:highlight w:val="none"/>
              </w:rPr>
            </w:pPr>
            <w:r>
              <w:rPr>
                <w:rFonts w:hint="default" w:ascii="Times New Roman" w:hAnsi="Times New Roman" w:eastAsia="宋体" w:cs="Times New Roman"/>
                <w:b w:val="0"/>
                <w:bCs w:val="0"/>
                <w:color w:val="auto"/>
                <w:spacing w:val="-2"/>
                <w:sz w:val="24"/>
                <w:szCs w:val="24"/>
                <w:highlight w:val="none"/>
              </w:rPr>
              <w:t>根据现场调查结果，在项目区域及临时占地范围内未发现国家和自治区重点保护植物物种，也未发现《新疆维吾尔自治区重点保护野生植物名录（2023年）》中所列植物。项目所涉及区域不属于生态保护红线、自然保护区或重要生态功能区，生态敏感性较低。</w:t>
            </w:r>
          </w:p>
          <w:p w14:paraId="4B8EE313">
            <w:pPr>
              <w:pStyle w:val="1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72" w:firstLineChars="200"/>
              <w:textAlignment w:val="baseline"/>
              <w:rPr>
                <w:rFonts w:hint="default" w:ascii="Times New Roman" w:hAnsi="Times New Roman" w:eastAsia="宋体" w:cs="Times New Roman"/>
                <w:b w:val="0"/>
                <w:bCs w:val="0"/>
                <w:color w:val="auto"/>
                <w:spacing w:val="-2"/>
                <w:sz w:val="24"/>
                <w:szCs w:val="24"/>
                <w:highlight w:val="none"/>
              </w:rPr>
            </w:pPr>
            <w:r>
              <w:rPr>
                <w:rFonts w:hint="default" w:ascii="Times New Roman" w:hAnsi="Times New Roman" w:eastAsia="宋体" w:cs="Times New Roman"/>
                <w:b w:val="0"/>
                <w:bCs w:val="0"/>
                <w:color w:val="auto"/>
                <w:spacing w:val="-2"/>
                <w:sz w:val="24"/>
                <w:szCs w:val="24"/>
                <w:highlight w:val="none"/>
              </w:rPr>
              <w:t>项目建设所涉及的临时用地正在依法办理征地审批手续，后续将依据国家和自治区相关规定缴纳生态恢复保证金及临时用地费用。根据生态环境保护要求，项目将及时开展地貌整治和原状植被恢复等措施，逐步恢复地表植被覆盖，减少对区域生态系统的干扰和破坏。</w:t>
            </w:r>
          </w:p>
          <w:p w14:paraId="002A6BAB">
            <w:pPr>
              <w:pStyle w:val="1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72" w:firstLineChars="200"/>
              <w:textAlignment w:val="baseline"/>
              <w:rPr>
                <w:rFonts w:hint="default" w:ascii="Times New Roman" w:hAnsi="Times New Roman" w:eastAsia="宋体" w:cs="Times New Roman"/>
                <w:b w:val="0"/>
                <w:bCs w:val="0"/>
                <w:color w:val="auto"/>
                <w:spacing w:val="-2"/>
                <w:sz w:val="24"/>
                <w:szCs w:val="24"/>
                <w:highlight w:val="none"/>
              </w:rPr>
            </w:pPr>
          </w:p>
          <w:p w14:paraId="768EA6B3">
            <w:pPr>
              <w:pStyle w:val="1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72" w:firstLineChars="200"/>
              <w:textAlignment w:val="baseline"/>
              <w:rPr>
                <w:rFonts w:hint="default" w:ascii="Times New Roman" w:hAnsi="Times New Roman" w:eastAsia="宋体" w:cs="Times New Roman"/>
                <w:b w:val="0"/>
                <w:bCs w:val="0"/>
                <w:color w:val="auto"/>
                <w:spacing w:val="-2"/>
                <w:sz w:val="24"/>
                <w:szCs w:val="24"/>
                <w:highlight w:val="none"/>
              </w:rPr>
            </w:pPr>
          </w:p>
          <w:p w14:paraId="4F2C122E">
            <w:pPr>
              <w:pStyle w:val="1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72" w:firstLineChars="200"/>
              <w:textAlignment w:val="baseline"/>
              <w:rPr>
                <w:rFonts w:hint="default" w:ascii="Times New Roman" w:hAnsi="Times New Roman" w:eastAsia="宋体" w:cs="Times New Roman"/>
                <w:b w:val="0"/>
                <w:bCs w:val="0"/>
                <w:color w:val="auto"/>
                <w:spacing w:val="-2"/>
                <w:sz w:val="24"/>
                <w:szCs w:val="24"/>
                <w:highlight w:val="none"/>
              </w:rPr>
            </w:pPr>
          </w:p>
          <w:p w14:paraId="52162DE6">
            <w:pPr>
              <w:pStyle w:val="1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72" w:firstLineChars="200"/>
              <w:textAlignment w:val="baseline"/>
              <w:rPr>
                <w:rFonts w:hint="default" w:ascii="Times New Roman" w:hAnsi="Times New Roman" w:eastAsia="宋体" w:cs="Times New Roman"/>
                <w:b w:val="0"/>
                <w:bCs w:val="0"/>
                <w:color w:val="auto"/>
                <w:spacing w:val="-2"/>
                <w:sz w:val="24"/>
                <w:szCs w:val="24"/>
                <w:highlight w:val="none"/>
              </w:rPr>
            </w:pPr>
          </w:p>
          <w:p w14:paraId="6597D47C">
            <w:pPr>
              <w:pStyle w:val="1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72" w:firstLineChars="200"/>
              <w:textAlignment w:val="baseline"/>
              <w:rPr>
                <w:rFonts w:hint="default" w:ascii="Times New Roman" w:hAnsi="Times New Roman" w:eastAsia="宋体" w:cs="Times New Roman"/>
                <w:b w:val="0"/>
                <w:bCs w:val="0"/>
                <w:color w:val="auto"/>
                <w:spacing w:val="-2"/>
                <w:sz w:val="24"/>
                <w:szCs w:val="24"/>
                <w:highlight w:val="none"/>
              </w:rPr>
            </w:pPr>
          </w:p>
          <w:p w14:paraId="78AF7C92">
            <w:pPr>
              <w:pStyle w:val="1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72" w:firstLineChars="200"/>
              <w:textAlignment w:val="baseline"/>
              <w:rPr>
                <w:rFonts w:hint="default" w:ascii="Times New Roman" w:hAnsi="Times New Roman" w:eastAsia="宋体" w:cs="Times New Roman"/>
                <w:b w:val="0"/>
                <w:bCs w:val="0"/>
                <w:color w:val="auto"/>
                <w:spacing w:val="-2"/>
                <w:sz w:val="24"/>
                <w:szCs w:val="24"/>
                <w:highlight w:val="none"/>
              </w:rPr>
            </w:pPr>
          </w:p>
          <w:p w14:paraId="6D743669">
            <w:pPr>
              <w:pStyle w:val="1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72" w:firstLineChars="200"/>
              <w:textAlignment w:val="baseline"/>
              <w:rPr>
                <w:rFonts w:hint="default" w:ascii="Times New Roman" w:hAnsi="Times New Roman" w:eastAsia="宋体" w:cs="Times New Roman"/>
                <w:b w:val="0"/>
                <w:bCs w:val="0"/>
                <w:color w:val="auto"/>
                <w:spacing w:val="-2"/>
                <w:sz w:val="24"/>
                <w:szCs w:val="24"/>
                <w:highlight w:val="none"/>
              </w:rPr>
            </w:pPr>
          </w:p>
          <w:tbl>
            <w:tblPr>
              <w:tblStyle w:val="12"/>
              <w:tblpPr w:leftFromText="180" w:rightFromText="180" w:vertAnchor="text" w:horzAnchor="page" w:tblpX="60" w:tblpY="53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1"/>
            </w:tblGrid>
            <w:tr w14:paraId="29B68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15" w:hRule="atLeast"/>
              </w:trPr>
              <w:tc>
                <w:tcPr>
                  <w:tcW w:w="7891" w:type="dxa"/>
                </w:tcPr>
                <w:p w14:paraId="0871B8D5">
                  <w:pPr>
                    <w:pStyle w:val="1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eastAsia" w:ascii="Times New Roman" w:hAnsi="Times New Roman" w:eastAsia="宋体" w:cs="Times New Roman"/>
                      <w:b w:val="0"/>
                      <w:bCs w:val="0"/>
                      <w:color w:val="auto"/>
                      <w:spacing w:val="-2"/>
                      <w:sz w:val="24"/>
                      <w:szCs w:val="24"/>
                      <w:highlight w:val="none"/>
                      <w:vertAlign w:val="baseline"/>
                      <w:lang w:eastAsia="zh-CN"/>
                    </w:rPr>
                  </w:pP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1674495</wp:posOffset>
                            </wp:positionH>
                            <wp:positionV relativeFrom="paragraph">
                              <wp:posOffset>3612515</wp:posOffset>
                            </wp:positionV>
                            <wp:extent cx="1828800" cy="285115"/>
                            <wp:effectExtent l="0" t="0" r="0" b="635"/>
                            <wp:wrapNone/>
                            <wp:docPr id="21" name="文本框 21"/>
                            <wp:cNvGraphicFramePr/>
                            <a:graphic xmlns:a="http://schemas.openxmlformats.org/drawingml/2006/main">
                              <a:graphicData uri="http://schemas.microsoft.com/office/word/2010/wordprocessingShape">
                                <wps:wsp>
                                  <wps:cNvSpPr txBox="1"/>
                                  <wps:spPr>
                                    <a:xfrm>
                                      <a:off x="3456305" y="9448800"/>
                                      <a:ext cx="182880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E234E80">
                                        <w:pPr>
                                          <w:jc w:val="center"/>
                                          <w:rPr>
                                            <w:rFonts w:hint="default" w:eastAsia="宋体"/>
                                            <w:b/>
                                            <w:bCs/>
                                            <w:color w:val="4F81BD" w:themeColor="accent1"/>
                                            <w:lang w:val="en-US" w:eastAsia="zh-CN"/>
                                            <w14:textFill>
                                              <w14:solidFill>
                                                <w14:schemeClr w14:val="accent1"/>
                                              </w14:solidFill>
                                            </w14:textFill>
                                          </w:rPr>
                                        </w:pPr>
                                        <w:r>
                                          <w:rPr>
                                            <w:rFonts w:hint="eastAsia" w:eastAsia="宋体"/>
                                            <w:b/>
                                            <w:bCs/>
                                            <w:color w:val="4F81BD" w:themeColor="accent1"/>
                                            <w:lang w:val="en-US" w:eastAsia="zh-CN"/>
                                            <w14:textFill>
                                              <w14:solidFill>
                                                <w14:schemeClr w14:val="accent1"/>
                                              </w14:solidFill>
                                            </w14:textFill>
                                          </w:rPr>
                                          <w:t>骆驼蓬植被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85pt;margin-top:284.45pt;height:22.45pt;width:144pt;z-index:251663360;mso-width-relative:page;mso-height-relative:page;" fillcolor="#FFFFFF [3201]" filled="t" stroked="f" coordsize="21600,21600" o:gfxdata="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Q1M2FdcA&#10;AAALAQAADwAAAAAAAAABACAAAAAiAAAAZHJzL2Rvd25yZXYueG1sUEsBAhQAFAAAAAgAh07iQExw&#10;x3VZAgAAnQQAAA4AAAAAAAAAAQAgAAAAJgEAAGRycy9lMm9Eb2MueG1sUEsFBgAAAAAGAAYAWQEA&#10;APEFAAAAAA==&#10;">
                            <v:fill on="t" focussize="0,0"/>
                            <v:stroke on="f" weight="0.5pt"/>
                            <v:imagedata o:title=""/>
                            <o:lock v:ext="edit" aspectratio="f"/>
                            <v:textbox>
                              <w:txbxContent>
                                <w:p w14:paraId="6E234E80">
                                  <w:pPr>
                                    <w:jc w:val="center"/>
                                    <w:rPr>
                                      <w:rFonts w:hint="default" w:eastAsia="宋体"/>
                                      <w:b/>
                                      <w:bCs/>
                                      <w:color w:val="4F81BD" w:themeColor="accent1"/>
                                      <w:lang w:val="en-US" w:eastAsia="zh-CN"/>
                                      <w14:textFill>
                                        <w14:solidFill>
                                          <w14:schemeClr w14:val="accent1"/>
                                        </w14:solidFill>
                                      </w14:textFill>
                                    </w:rPr>
                                  </w:pPr>
                                  <w:r>
                                    <w:rPr>
                                      <w:rFonts w:hint="eastAsia" w:eastAsia="宋体"/>
                                      <w:b/>
                                      <w:bCs/>
                                      <w:color w:val="4F81BD" w:themeColor="accent1"/>
                                      <w:lang w:val="en-US" w:eastAsia="zh-CN"/>
                                      <w14:textFill>
                                        <w14:solidFill>
                                          <w14:schemeClr w14:val="accent1"/>
                                        </w14:solidFill>
                                      </w14:textFill>
                                    </w:rPr>
                                    <w:t>骆驼蓬植被</w:t>
                                  </w:r>
                                </w:p>
                              </w:txbxContent>
                            </v:textbox>
                          </v:shape>
                        </w:pict>
                      </mc:Fallback>
                    </mc:AlternateContent>
                  </w:r>
                  <w:r>
                    <w:rPr>
                      <w:rFonts w:hint="eastAsia" w:ascii="Times New Roman" w:hAnsi="Times New Roman" w:eastAsia="宋体" w:cs="Times New Roman"/>
                      <w:b w:val="0"/>
                      <w:bCs w:val="0"/>
                      <w:color w:val="auto"/>
                      <w:spacing w:val="-2"/>
                      <w:sz w:val="24"/>
                      <w:szCs w:val="24"/>
                      <w:highlight w:val="none"/>
                      <w:vertAlign w:val="baseline"/>
                      <w:lang w:eastAsia="zh-CN"/>
                    </w:rPr>
                    <w:drawing>
                      <wp:inline distT="0" distB="0" distL="114300" distR="114300">
                        <wp:extent cx="4740275" cy="3556635"/>
                        <wp:effectExtent l="9525" t="9525" r="12700" b="15240"/>
                        <wp:docPr id="20" name="图片 20" descr="01骆驼蓬群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1骆驼蓬群系"/>
                                <pic:cNvPicPr>
                                  <a:picLocks noChangeAspect="1"/>
                                </pic:cNvPicPr>
                              </pic:nvPicPr>
                              <pic:blipFill>
                                <a:blip r:embed="rId19"/>
                                <a:stretch>
                                  <a:fillRect/>
                                </a:stretch>
                              </pic:blipFill>
                              <pic:spPr>
                                <a:xfrm>
                                  <a:off x="0" y="0"/>
                                  <a:ext cx="4740275" cy="3556635"/>
                                </a:xfrm>
                                <a:prstGeom prst="rect">
                                  <a:avLst/>
                                </a:prstGeom>
                                <a:ln>
                                  <a:solidFill>
                                    <a:schemeClr val="tx1"/>
                                  </a:solidFill>
                                </a:ln>
                              </pic:spPr>
                            </pic:pic>
                          </a:graphicData>
                        </a:graphic>
                      </wp:inline>
                    </w:drawing>
                  </w:r>
                </w:p>
                <w:p w14:paraId="43C8DBED">
                  <w:pPr>
                    <w:pStyle w:val="1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val="0"/>
                      <w:bCs w:val="0"/>
                      <w:color w:val="auto"/>
                      <w:spacing w:val="-2"/>
                      <w:sz w:val="24"/>
                      <w:szCs w:val="24"/>
                      <w:highlight w:val="none"/>
                      <w:vertAlign w:val="baseline"/>
                      <w:lang w:eastAsia="zh-CN"/>
                    </w:rPr>
                  </w:pPr>
                  <w:r>
                    <w:rPr>
                      <w:color w:val="auto"/>
                      <w:sz w:val="24"/>
                    </w:rPr>
                    <mc:AlternateContent>
                      <mc:Choice Requires="wps">
                        <w:drawing>
                          <wp:anchor distT="0" distB="0" distL="114300" distR="114300" simplePos="0" relativeHeight="251665408" behindDoc="0" locked="0" layoutInCell="1" allowOverlap="1">
                            <wp:simplePos x="0" y="0"/>
                            <wp:positionH relativeFrom="column">
                              <wp:posOffset>1712595</wp:posOffset>
                            </wp:positionH>
                            <wp:positionV relativeFrom="paragraph">
                              <wp:posOffset>3977005</wp:posOffset>
                            </wp:positionV>
                            <wp:extent cx="2457450" cy="342900"/>
                            <wp:effectExtent l="0" t="0" r="0" b="0"/>
                            <wp:wrapNone/>
                            <wp:docPr id="24" name="文本框 24"/>
                            <wp:cNvGraphicFramePr/>
                            <a:graphic xmlns:a="http://schemas.openxmlformats.org/drawingml/2006/main">
                              <a:graphicData uri="http://schemas.microsoft.com/office/word/2010/wordprocessingShape">
                                <wps:wsp>
                                  <wps:cNvSpPr txBox="1"/>
                                  <wps:spPr>
                                    <a:xfrm>
                                      <a:off x="2751455" y="9316085"/>
                                      <a:ext cx="2457450" cy="342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2A0F6D">
                                        <w:pPr>
                                          <w:rPr>
                                            <w:rFonts w:hint="default" w:eastAsia="宋体"/>
                                            <w:b/>
                                            <w:bCs/>
                                            <w:color w:val="4F81BD" w:themeColor="accent1"/>
                                            <w:lang w:val="en-US" w:eastAsia="zh-CN"/>
                                            <w14:textFill>
                                              <w14:solidFill>
                                                <w14:schemeClr w14:val="accent1"/>
                                              </w14:solidFill>
                                            </w14:textFill>
                                          </w:rPr>
                                        </w:pPr>
                                        <w:r>
                                          <w:rPr>
                                            <w:rFonts w:hint="eastAsia" w:eastAsia="宋体"/>
                                            <w:b/>
                                            <w:bCs/>
                                            <w:color w:val="4F81BD" w:themeColor="accent1"/>
                                            <w:lang w:val="en-US" w:eastAsia="zh-CN"/>
                                            <w14:textFill>
                                              <w14:solidFill>
                                                <w14:schemeClr w14:val="accent1"/>
                                              </w14:solidFill>
                                            </w14:textFill>
                                          </w:rPr>
                                          <w:t>欧洲山杨林植被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85pt;margin-top:313.15pt;height:27pt;width:193.5pt;z-index:251665408;mso-width-relative:page;mso-height-relative:page;" filled="f" stroked="f" coordsize="21600,21600" o:gfxdata="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3wpUtsAAAALAQAADwAAAAAA&#10;AAABACAAAAAiAAAAZHJzL2Rvd25yZXYueG1sUEsBAhQAFAAAAAgAh07iQDef8GZJAgAAdAQAAA4A&#10;AAAAAAAAAQAgAAAAKgEAAGRycy9lMm9Eb2MueG1sUEsFBgAAAAAGAAYAWQEAAOUFAAAAAA==&#10;">
                            <v:fill on="f" focussize="0,0"/>
                            <v:stroke on="f" weight="0.5pt"/>
                            <v:imagedata o:title=""/>
                            <o:lock v:ext="edit" aspectratio="f"/>
                            <v:textbox>
                              <w:txbxContent>
                                <w:p w14:paraId="572A0F6D">
                                  <w:pPr>
                                    <w:rPr>
                                      <w:rFonts w:hint="default" w:eastAsia="宋体"/>
                                      <w:b/>
                                      <w:bCs/>
                                      <w:color w:val="4F81BD" w:themeColor="accent1"/>
                                      <w:lang w:val="en-US" w:eastAsia="zh-CN"/>
                                      <w14:textFill>
                                        <w14:solidFill>
                                          <w14:schemeClr w14:val="accent1"/>
                                        </w14:solidFill>
                                      </w14:textFill>
                                    </w:rPr>
                                  </w:pPr>
                                  <w:r>
                                    <w:rPr>
                                      <w:rFonts w:hint="eastAsia" w:eastAsia="宋体"/>
                                      <w:b/>
                                      <w:bCs/>
                                      <w:color w:val="4F81BD" w:themeColor="accent1"/>
                                      <w:lang w:val="en-US" w:eastAsia="zh-CN"/>
                                      <w14:textFill>
                                        <w14:solidFill>
                                          <w14:schemeClr w14:val="accent1"/>
                                        </w14:solidFill>
                                      </w14:textFill>
                                    </w:rPr>
                                    <w:t>欧洲山杨林植被</w:t>
                                  </w:r>
                                </w:p>
                              </w:txbxContent>
                            </v:textbox>
                          </v:shape>
                        </w:pict>
                      </mc:Fallback>
                    </mc:AlternateContent>
                  </w:r>
                  <w:r>
                    <w:rPr>
                      <w:rFonts w:hint="default" w:ascii="Times New Roman" w:hAnsi="Times New Roman" w:eastAsia="宋体" w:cs="Times New Roman"/>
                      <w:b w:val="0"/>
                      <w:bCs w:val="0"/>
                      <w:color w:val="auto"/>
                      <w:spacing w:val="-2"/>
                      <w:sz w:val="24"/>
                      <w:szCs w:val="24"/>
                      <w:highlight w:val="none"/>
                      <w:vertAlign w:val="baseline"/>
                      <w:lang w:eastAsia="zh-CN"/>
                    </w:rPr>
                    <w:drawing>
                      <wp:anchor distT="0" distB="0" distL="114300" distR="114300" simplePos="0" relativeHeight="251664384" behindDoc="0" locked="0" layoutInCell="1" allowOverlap="1">
                        <wp:simplePos x="0" y="0"/>
                        <wp:positionH relativeFrom="column">
                          <wp:posOffset>74295</wp:posOffset>
                        </wp:positionH>
                        <wp:positionV relativeFrom="paragraph">
                          <wp:posOffset>304800</wp:posOffset>
                        </wp:positionV>
                        <wp:extent cx="4763135" cy="3657600"/>
                        <wp:effectExtent l="0" t="0" r="18415" b="0"/>
                        <wp:wrapNone/>
                        <wp:docPr id="22" name="图片 22" descr="4920a660070b6a513e14589d22a9e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920a660070b6a513e14589d22a9e374"/>
                                <pic:cNvPicPr>
                                  <a:picLocks noChangeAspect="1"/>
                                </pic:cNvPicPr>
                              </pic:nvPicPr>
                              <pic:blipFill>
                                <a:blip r:embed="rId20"/>
                                <a:stretch>
                                  <a:fillRect/>
                                </a:stretch>
                              </pic:blipFill>
                              <pic:spPr>
                                <a:xfrm>
                                  <a:off x="0" y="0"/>
                                  <a:ext cx="4763135" cy="3657600"/>
                                </a:xfrm>
                                <a:prstGeom prst="rect">
                                  <a:avLst/>
                                </a:prstGeom>
                              </pic:spPr>
                            </pic:pic>
                          </a:graphicData>
                        </a:graphic>
                      </wp:anchor>
                    </w:drawing>
                  </w:r>
                </w:p>
              </w:tc>
            </w:tr>
            <w:tr w14:paraId="11555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2" w:hRule="atLeast"/>
              </w:trPr>
              <w:tc>
                <w:tcPr>
                  <w:tcW w:w="7891" w:type="dxa"/>
                </w:tcPr>
                <w:p w14:paraId="4488F4D4">
                  <w:pPr>
                    <w:pStyle w:val="1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Times New Roman" w:hAnsi="Times New Roman" w:eastAsia="宋体" w:cs="Times New Roman"/>
                      <w:b w:val="0"/>
                      <w:bCs w:val="0"/>
                      <w:color w:val="auto"/>
                      <w:spacing w:val="-2"/>
                      <w:sz w:val="24"/>
                      <w:szCs w:val="24"/>
                      <w:highlight w:val="none"/>
                      <w:vertAlign w:val="baseline"/>
                      <w:lang w:eastAsia="zh-CN"/>
                    </w:rPr>
                  </w:pPr>
                  <w:r>
                    <w:rPr>
                      <w:color w:val="auto"/>
                      <w:sz w:val="24"/>
                    </w:rPr>
                    <mc:AlternateContent>
                      <mc:Choice Requires="wps">
                        <w:drawing>
                          <wp:anchor distT="0" distB="0" distL="114300" distR="114300" simplePos="0" relativeHeight="251666432" behindDoc="0" locked="0" layoutInCell="1" allowOverlap="1">
                            <wp:simplePos x="0" y="0"/>
                            <wp:positionH relativeFrom="column">
                              <wp:posOffset>1607820</wp:posOffset>
                            </wp:positionH>
                            <wp:positionV relativeFrom="paragraph">
                              <wp:posOffset>3564890</wp:posOffset>
                            </wp:positionV>
                            <wp:extent cx="1543050" cy="323850"/>
                            <wp:effectExtent l="0" t="0" r="0" b="0"/>
                            <wp:wrapNone/>
                            <wp:docPr id="26" name="文本框 26"/>
                            <wp:cNvGraphicFramePr/>
                            <a:graphic xmlns:a="http://schemas.openxmlformats.org/drawingml/2006/main">
                              <a:graphicData uri="http://schemas.microsoft.com/office/word/2010/wordprocessingShape">
                                <wps:wsp>
                                  <wps:cNvSpPr txBox="1"/>
                                  <wps:spPr>
                                    <a:xfrm>
                                      <a:off x="2951480" y="4565015"/>
                                      <a:ext cx="154305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D1B50A6">
                                        <w:pPr>
                                          <w:jc w:val="center"/>
                                          <w:rPr>
                                            <w:rFonts w:hint="default" w:eastAsia="宋体"/>
                                            <w:b/>
                                            <w:bCs/>
                                            <w:lang w:val="en-US" w:eastAsia="zh-CN"/>
                                          </w:rPr>
                                        </w:pPr>
                                        <w:r>
                                          <w:rPr>
                                            <w:rFonts w:hint="eastAsia" w:eastAsia="宋体"/>
                                            <w:b/>
                                            <w:bCs/>
                                            <w:lang w:val="en-US" w:eastAsia="zh-CN"/>
                                          </w:rPr>
                                          <w:t>伊犁小擘植被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6pt;margin-top:280.7pt;height:25.5pt;width:121.5pt;z-index:251666432;mso-width-relative:page;mso-height-relative:page;" fillcolor="#FFFFFF [3201]" filled="t" stroked="f" coordsize="21600,21600" o:gfxdata="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YvLrfW&#10;AAAACwEAAA8AAAAAAAAAAQAgAAAAIgAAAGRycy9kb3ducmV2LnhtbFBLAQIUABQAAAAIAIdO4kCT&#10;BsZJWwIAAJ0EAAAOAAAAAAAAAAEAIAAAACUBAABkcnMvZTJvRG9jLnhtbFBLBQYAAAAABgAGAFkB&#10;AADyBQAAAAA=&#10;">
                            <v:fill on="t" focussize="0,0"/>
                            <v:stroke on="f" weight="0.5pt"/>
                            <v:imagedata o:title=""/>
                            <o:lock v:ext="edit" aspectratio="f"/>
                            <v:textbox>
                              <w:txbxContent>
                                <w:p w14:paraId="5D1B50A6">
                                  <w:pPr>
                                    <w:jc w:val="center"/>
                                    <w:rPr>
                                      <w:rFonts w:hint="default" w:eastAsia="宋体"/>
                                      <w:b/>
                                      <w:bCs/>
                                      <w:lang w:val="en-US" w:eastAsia="zh-CN"/>
                                    </w:rPr>
                                  </w:pPr>
                                  <w:r>
                                    <w:rPr>
                                      <w:rFonts w:hint="eastAsia" w:eastAsia="宋体"/>
                                      <w:b/>
                                      <w:bCs/>
                                      <w:lang w:val="en-US" w:eastAsia="zh-CN"/>
                                    </w:rPr>
                                    <w:t>伊犁小擘植被</w:t>
                                  </w:r>
                                </w:p>
                              </w:txbxContent>
                            </v:textbox>
                          </v:shape>
                        </w:pict>
                      </mc:Fallback>
                    </mc:AlternateContent>
                  </w:r>
                  <w:r>
                    <w:rPr>
                      <w:rFonts w:hint="eastAsia" w:ascii="Times New Roman" w:hAnsi="Times New Roman" w:eastAsia="宋体" w:cs="Times New Roman"/>
                      <w:b w:val="0"/>
                      <w:bCs w:val="0"/>
                      <w:color w:val="auto"/>
                      <w:spacing w:val="-2"/>
                      <w:sz w:val="24"/>
                      <w:szCs w:val="24"/>
                      <w:highlight w:val="none"/>
                      <w:vertAlign w:val="baseline"/>
                      <w:lang w:eastAsia="zh-CN"/>
                    </w:rPr>
                    <w:drawing>
                      <wp:inline distT="0" distB="0" distL="114300" distR="114300">
                        <wp:extent cx="4866640" cy="3528060"/>
                        <wp:effectExtent l="9525" t="9525" r="19685" b="24765"/>
                        <wp:docPr id="23" name="图片 23" descr="378e333c123dcc6a812a2bac9fee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78e333c123dcc6a812a2bac9fee6080"/>
                                <pic:cNvPicPr>
                                  <a:picLocks noChangeAspect="1"/>
                                </pic:cNvPicPr>
                              </pic:nvPicPr>
                              <pic:blipFill>
                                <a:blip r:embed="rId21"/>
                                <a:stretch>
                                  <a:fillRect/>
                                </a:stretch>
                              </pic:blipFill>
                              <pic:spPr>
                                <a:xfrm>
                                  <a:off x="0" y="0"/>
                                  <a:ext cx="4866640" cy="3528060"/>
                                </a:xfrm>
                                <a:prstGeom prst="rect">
                                  <a:avLst/>
                                </a:prstGeom>
                                <a:ln>
                                  <a:solidFill>
                                    <a:schemeClr val="tx1"/>
                                  </a:solidFill>
                                </a:ln>
                              </pic:spPr>
                            </pic:pic>
                          </a:graphicData>
                        </a:graphic>
                      </wp:inline>
                    </w:drawing>
                  </w:r>
                </w:p>
              </w:tc>
            </w:tr>
          </w:tbl>
          <w:p w14:paraId="593AB00F">
            <w:pPr>
              <w:pStyle w:val="16"/>
              <w:spacing w:line="360" w:lineRule="auto"/>
              <w:rPr>
                <w:rFonts w:hint="default" w:ascii="Times New Roman" w:hAnsi="Times New Roman" w:eastAsia="宋体" w:cs="Times New Roman"/>
                <w:color w:val="auto"/>
                <w:sz w:val="24"/>
                <w:szCs w:val="24"/>
                <w:highlight w:val="none"/>
              </w:rPr>
            </w:pPr>
            <w:r>
              <w:rPr>
                <w:rFonts w:hint="eastAsia" w:ascii="Times New Roman" w:hAnsi="Times New Roman" w:cs="Times New Roman"/>
                <w:b/>
                <w:bCs/>
                <w:color w:val="auto"/>
                <w:spacing w:val="-2"/>
                <w:sz w:val="24"/>
                <w:szCs w:val="24"/>
                <w:highlight w:val="none"/>
                <w:lang w:val="en-US" w:eastAsia="zh-CN"/>
              </w:rPr>
              <w:t>1</w:t>
            </w:r>
            <w:r>
              <w:rPr>
                <w:rFonts w:hint="default" w:ascii="Times New Roman" w:hAnsi="Times New Roman" w:eastAsia="宋体" w:cs="Times New Roman"/>
                <w:b/>
                <w:bCs/>
                <w:color w:val="auto"/>
                <w:spacing w:val="-2"/>
                <w:sz w:val="24"/>
                <w:szCs w:val="24"/>
                <w:highlight w:val="none"/>
              </w:rPr>
              <w:t>.2野生动物现状</w:t>
            </w:r>
          </w:p>
          <w:p w14:paraId="6745F1D8">
            <w:pPr>
              <w:pStyle w:val="16"/>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按中国动物地理区划的分级标准，项目所在区域属古北界、中亚亚界、蒙新区、西部荒漠亚区、准噶尔盆地小区。因该区域地处准噶尔盆地东南缘，气候干燥，野生动物的栖息生境极为单一。本项目区域常见啮齿类、爬行类、鸟类等动物，</w:t>
            </w:r>
            <w:r>
              <w:rPr>
                <w:rFonts w:hint="default" w:ascii="Times New Roman" w:hAnsi="Times New Roman" w:cs="Times New Roman"/>
                <w:color w:val="auto"/>
                <w:sz w:val="24"/>
                <w:szCs w:val="24"/>
                <w:highlight w:val="none"/>
                <w:lang w:val="en-US" w:eastAsia="zh-CN"/>
              </w:rPr>
              <w:t>对照</w:t>
            </w:r>
            <w:r>
              <w:rPr>
                <w:rFonts w:hint="default" w:ascii="Times New Roman" w:hAnsi="Times New Roman" w:eastAsia="宋体" w:cs="Times New Roman"/>
                <w:color w:val="auto"/>
                <w:sz w:val="24"/>
                <w:szCs w:val="24"/>
                <w:highlight w:val="none"/>
              </w:rPr>
              <w:t>《国家重点保护野生动物名录》（2021版）、国家林业和草原局公告《陆生野生动物重要栖息地名录（第一批）》（2023年第23号）及自治区人民政府《关于发布新疆维吾尔自治区重点保护野生动物名录（修订）的通知》（新政发〔2022〕75号）</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未发现</w:t>
            </w:r>
            <w:r>
              <w:rPr>
                <w:rFonts w:hint="default" w:ascii="Times New Roman" w:hAnsi="Times New Roman" w:cs="Times New Roman"/>
                <w:color w:val="auto"/>
                <w:sz w:val="24"/>
                <w:szCs w:val="24"/>
                <w:highlight w:val="none"/>
                <w:lang w:val="en-US" w:eastAsia="zh-CN"/>
              </w:rPr>
              <w:t>以上</w:t>
            </w:r>
            <w:r>
              <w:rPr>
                <w:rFonts w:hint="default" w:ascii="Times New Roman" w:hAnsi="Times New Roman" w:eastAsia="宋体" w:cs="Times New Roman"/>
                <w:color w:val="auto"/>
                <w:sz w:val="24"/>
                <w:szCs w:val="24"/>
                <w:highlight w:val="none"/>
              </w:rPr>
              <w:t>《名录》中重点保护野生动物</w:t>
            </w:r>
            <w:r>
              <w:rPr>
                <w:rFonts w:hint="default" w:ascii="Times New Roman" w:hAnsi="Times New Roman" w:cs="Times New Roman"/>
                <w:color w:val="auto"/>
                <w:sz w:val="24"/>
                <w:szCs w:val="24"/>
                <w:highlight w:val="none"/>
                <w:lang w:val="en-US" w:eastAsia="zh-CN"/>
              </w:rPr>
              <w:t>和</w:t>
            </w:r>
            <w:r>
              <w:rPr>
                <w:rFonts w:hint="default" w:ascii="Times New Roman" w:hAnsi="Times New Roman" w:eastAsia="宋体" w:cs="Times New Roman"/>
                <w:color w:val="auto"/>
                <w:sz w:val="24"/>
                <w:szCs w:val="24"/>
                <w:highlight w:val="none"/>
              </w:rPr>
              <w:t>陆生野生动物重要栖息地。区域主要野生动物种类及分布情况见表</w:t>
            </w:r>
            <w:r>
              <w:rPr>
                <w:rFonts w:hint="eastAsia" w:ascii="Times New Roman" w:hAnsi="Times New Roman" w:cs="Times New Roman"/>
                <w:color w:val="auto"/>
                <w:sz w:val="24"/>
                <w:szCs w:val="24"/>
                <w:highlight w:val="none"/>
                <w:lang w:val="en-US" w:eastAsia="zh-CN"/>
              </w:rPr>
              <w:t>3-2</w:t>
            </w:r>
            <w:r>
              <w:rPr>
                <w:rFonts w:hint="default" w:ascii="Times New Roman" w:hAnsi="Times New Roman" w:eastAsia="宋体" w:cs="Times New Roman"/>
                <w:color w:val="auto"/>
                <w:sz w:val="24"/>
                <w:szCs w:val="24"/>
                <w:highlight w:val="none"/>
              </w:rPr>
              <w:t>。</w:t>
            </w:r>
          </w:p>
          <w:p w14:paraId="41D63603">
            <w:pPr>
              <w:pStyle w:val="16"/>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表3-</w:t>
            </w:r>
            <w:r>
              <w:rPr>
                <w:rFonts w:hint="default" w:ascii="Times New Roman" w:hAnsi="Times New Roman"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评价区域内主要野生动物及分布情况一览表</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8"/>
              <w:gridCol w:w="1419"/>
              <w:gridCol w:w="2978"/>
              <w:gridCol w:w="1272"/>
              <w:gridCol w:w="1382"/>
            </w:tblGrid>
            <w:tr w14:paraId="0219D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jc w:val="center"/>
              </w:trPr>
              <w:tc>
                <w:tcPr>
                  <w:tcW w:w="2207" w:type="dxa"/>
                  <w:gridSpan w:val="2"/>
                  <w:vMerge w:val="restart"/>
                  <w:tcBorders>
                    <w:top w:val="single" w:color="000000" w:sz="10" w:space="0"/>
                    <w:left w:val="single" w:color="000000" w:sz="2" w:space="0"/>
                    <w:bottom w:val="nil"/>
                  </w:tcBorders>
                  <w:vAlign w:val="center"/>
                </w:tcPr>
                <w:p w14:paraId="18CAB05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中名</w:t>
                  </w:r>
                </w:p>
              </w:tc>
              <w:tc>
                <w:tcPr>
                  <w:tcW w:w="2978" w:type="dxa"/>
                  <w:vMerge w:val="restart"/>
                  <w:tcBorders>
                    <w:top w:val="single" w:color="000000" w:sz="10" w:space="0"/>
                    <w:bottom w:val="nil"/>
                  </w:tcBorders>
                  <w:vAlign w:val="center"/>
                </w:tcPr>
                <w:p w14:paraId="6DA0AB6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学名</w:t>
                  </w:r>
                </w:p>
              </w:tc>
              <w:tc>
                <w:tcPr>
                  <w:tcW w:w="2654" w:type="dxa"/>
                  <w:gridSpan w:val="2"/>
                  <w:tcBorders>
                    <w:top w:val="single" w:color="000000" w:sz="10" w:space="0"/>
                  </w:tcBorders>
                  <w:vAlign w:val="top"/>
                </w:tcPr>
                <w:p w14:paraId="4AF2763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分布</w:t>
                  </w:r>
                </w:p>
              </w:tc>
            </w:tr>
            <w:tr w14:paraId="5B93B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jc w:val="center"/>
              </w:trPr>
              <w:tc>
                <w:tcPr>
                  <w:tcW w:w="2207" w:type="dxa"/>
                  <w:gridSpan w:val="2"/>
                  <w:vMerge w:val="continue"/>
                  <w:tcBorders>
                    <w:top w:val="nil"/>
                    <w:left w:val="single" w:color="000000" w:sz="2" w:space="0"/>
                  </w:tcBorders>
                  <w:vAlign w:val="center"/>
                </w:tcPr>
                <w:p w14:paraId="76E9B1F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auto"/>
                      <w:sz w:val="21"/>
                      <w:szCs w:val="21"/>
                      <w:highlight w:val="none"/>
                    </w:rPr>
                  </w:pPr>
                </w:p>
              </w:tc>
              <w:tc>
                <w:tcPr>
                  <w:tcW w:w="2978" w:type="dxa"/>
                  <w:vMerge w:val="continue"/>
                  <w:tcBorders>
                    <w:top w:val="nil"/>
                  </w:tcBorders>
                  <w:vAlign w:val="center"/>
                </w:tcPr>
                <w:p w14:paraId="3F0A25A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auto"/>
                      <w:sz w:val="21"/>
                      <w:szCs w:val="21"/>
                      <w:highlight w:val="none"/>
                    </w:rPr>
                  </w:pPr>
                </w:p>
              </w:tc>
              <w:tc>
                <w:tcPr>
                  <w:tcW w:w="1272" w:type="dxa"/>
                  <w:vAlign w:val="top"/>
                </w:tcPr>
                <w:p w14:paraId="67CE418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多见种</w:t>
                  </w:r>
                </w:p>
              </w:tc>
              <w:tc>
                <w:tcPr>
                  <w:tcW w:w="1382" w:type="dxa"/>
                  <w:vAlign w:val="top"/>
                </w:tcPr>
                <w:p w14:paraId="517410E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少见种</w:t>
                  </w:r>
                </w:p>
              </w:tc>
            </w:tr>
            <w:tr w14:paraId="7AFCE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jc w:val="center"/>
              </w:trPr>
              <w:tc>
                <w:tcPr>
                  <w:tcW w:w="7839" w:type="dxa"/>
                  <w:gridSpan w:val="5"/>
                  <w:tcBorders>
                    <w:left w:val="single" w:color="000000" w:sz="2" w:space="0"/>
                  </w:tcBorders>
                  <w:vAlign w:val="center"/>
                </w:tcPr>
                <w:p w14:paraId="2FF4387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爬行类（含两栖类）</w:t>
                  </w:r>
                </w:p>
              </w:tc>
            </w:tr>
            <w:tr w14:paraId="76A2E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jc w:val="center"/>
              </w:trPr>
              <w:tc>
                <w:tcPr>
                  <w:tcW w:w="788" w:type="dxa"/>
                  <w:tcBorders>
                    <w:left w:val="single" w:color="000000" w:sz="2" w:space="0"/>
                  </w:tcBorders>
                  <w:vAlign w:val="center"/>
                </w:tcPr>
                <w:p w14:paraId="3E11B62E">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1</w:t>
                  </w:r>
                </w:p>
              </w:tc>
              <w:tc>
                <w:tcPr>
                  <w:tcW w:w="1419" w:type="dxa"/>
                  <w:vAlign w:val="center"/>
                </w:tcPr>
                <w:p w14:paraId="1D2326FC">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变色沙蜥</w:t>
                  </w:r>
                </w:p>
              </w:tc>
              <w:tc>
                <w:tcPr>
                  <w:tcW w:w="2978" w:type="dxa"/>
                  <w:vAlign w:val="top"/>
                </w:tcPr>
                <w:p w14:paraId="0B7BF44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PhrynocephalusVersicolor</w:t>
                  </w:r>
                </w:p>
              </w:tc>
              <w:tc>
                <w:tcPr>
                  <w:tcW w:w="1272" w:type="dxa"/>
                  <w:vAlign w:val="top"/>
                </w:tcPr>
                <w:p w14:paraId="3C67361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rPr>
                  </w:pPr>
                </w:p>
              </w:tc>
              <w:tc>
                <w:tcPr>
                  <w:tcW w:w="1382" w:type="dxa"/>
                  <w:vAlign w:val="top"/>
                </w:tcPr>
                <w:p w14:paraId="740B6BD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5ECBD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jc w:val="center"/>
              </w:trPr>
              <w:tc>
                <w:tcPr>
                  <w:tcW w:w="788" w:type="dxa"/>
                  <w:tcBorders>
                    <w:left w:val="single" w:color="000000" w:sz="2" w:space="0"/>
                  </w:tcBorders>
                  <w:vAlign w:val="center"/>
                </w:tcPr>
                <w:p w14:paraId="2BDBBE9C">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2</w:t>
                  </w:r>
                </w:p>
              </w:tc>
              <w:tc>
                <w:tcPr>
                  <w:tcW w:w="1419" w:type="dxa"/>
                  <w:vAlign w:val="center"/>
                </w:tcPr>
                <w:p w14:paraId="3447F166">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快步麻蜥</w:t>
                  </w:r>
                </w:p>
              </w:tc>
              <w:tc>
                <w:tcPr>
                  <w:tcW w:w="2978" w:type="dxa"/>
                  <w:vAlign w:val="top"/>
                </w:tcPr>
                <w:p w14:paraId="5288287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Eryxtataricus</w:t>
                  </w:r>
                </w:p>
              </w:tc>
              <w:tc>
                <w:tcPr>
                  <w:tcW w:w="1272" w:type="dxa"/>
                  <w:vAlign w:val="top"/>
                </w:tcPr>
                <w:p w14:paraId="7A614BD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382" w:type="dxa"/>
                  <w:vAlign w:val="top"/>
                </w:tcPr>
                <w:p w14:paraId="6FC0DC7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18FF0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jc w:val="center"/>
              </w:trPr>
              <w:tc>
                <w:tcPr>
                  <w:tcW w:w="7839" w:type="dxa"/>
                  <w:gridSpan w:val="5"/>
                  <w:tcBorders>
                    <w:left w:val="single" w:color="000000" w:sz="2" w:space="0"/>
                  </w:tcBorders>
                  <w:vAlign w:val="center"/>
                </w:tcPr>
                <w:p w14:paraId="6C5EA61E">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啮齿类</w:t>
                  </w:r>
                </w:p>
              </w:tc>
            </w:tr>
            <w:tr w14:paraId="61C5F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jc w:val="center"/>
              </w:trPr>
              <w:tc>
                <w:tcPr>
                  <w:tcW w:w="788" w:type="dxa"/>
                  <w:tcBorders>
                    <w:left w:val="single" w:color="000000" w:sz="2" w:space="0"/>
                  </w:tcBorders>
                  <w:vAlign w:val="center"/>
                </w:tcPr>
                <w:p w14:paraId="76B8388F">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3</w:t>
                  </w:r>
                </w:p>
              </w:tc>
              <w:tc>
                <w:tcPr>
                  <w:tcW w:w="1419" w:type="dxa"/>
                  <w:vAlign w:val="center"/>
                </w:tcPr>
                <w:p w14:paraId="455AF615">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小五趾跳鼠</w:t>
                  </w:r>
                </w:p>
              </w:tc>
              <w:tc>
                <w:tcPr>
                  <w:tcW w:w="2978" w:type="dxa"/>
                  <w:vAlign w:val="top"/>
                </w:tcPr>
                <w:p w14:paraId="29AC006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Allactageelater</w:t>
                  </w:r>
                </w:p>
              </w:tc>
              <w:tc>
                <w:tcPr>
                  <w:tcW w:w="1272" w:type="dxa"/>
                  <w:vAlign w:val="top"/>
                </w:tcPr>
                <w:p w14:paraId="76D25BF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rPr>
                  </w:pPr>
                </w:p>
              </w:tc>
              <w:tc>
                <w:tcPr>
                  <w:tcW w:w="1382" w:type="dxa"/>
                  <w:vAlign w:val="top"/>
                </w:tcPr>
                <w:p w14:paraId="1A0CD37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09C1B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jc w:val="center"/>
              </w:trPr>
              <w:tc>
                <w:tcPr>
                  <w:tcW w:w="788" w:type="dxa"/>
                  <w:tcBorders>
                    <w:left w:val="single" w:color="000000" w:sz="2" w:space="0"/>
                  </w:tcBorders>
                  <w:vAlign w:val="center"/>
                </w:tcPr>
                <w:p w14:paraId="74E88E60">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4</w:t>
                  </w:r>
                </w:p>
              </w:tc>
              <w:tc>
                <w:tcPr>
                  <w:tcW w:w="1419" w:type="dxa"/>
                  <w:vAlign w:val="center"/>
                </w:tcPr>
                <w:p w14:paraId="55CB1AA7">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大沙鼠</w:t>
                  </w:r>
                </w:p>
              </w:tc>
              <w:tc>
                <w:tcPr>
                  <w:tcW w:w="2978" w:type="dxa"/>
                  <w:vAlign w:val="top"/>
                </w:tcPr>
                <w:p w14:paraId="478A6B7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Rhombomysopimus</w:t>
                  </w:r>
                </w:p>
              </w:tc>
              <w:tc>
                <w:tcPr>
                  <w:tcW w:w="1272" w:type="dxa"/>
                  <w:vAlign w:val="top"/>
                </w:tcPr>
                <w:p w14:paraId="441E7DB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382" w:type="dxa"/>
                  <w:vAlign w:val="top"/>
                </w:tcPr>
                <w:p w14:paraId="7FC5386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rPr>
                  </w:pPr>
                </w:p>
              </w:tc>
            </w:tr>
            <w:tr w14:paraId="42459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jc w:val="center"/>
              </w:trPr>
              <w:tc>
                <w:tcPr>
                  <w:tcW w:w="788" w:type="dxa"/>
                  <w:tcBorders>
                    <w:left w:val="single" w:color="000000" w:sz="2" w:space="0"/>
                    <w:bottom w:val="single" w:color="000000" w:sz="10" w:space="0"/>
                  </w:tcBorders>
                  <w:vAlign w:val="center"/>
                </w:tcPr>
                <w:p w14:paraId="4B309BAF">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5</w:t>
                  </w:r>
                </w:p>
              </w:tc>
              <w:tc>
                <w:tcPr>
                  <w:tcW w:w="1419" w:type="dxa"/>
                  <w:tcBorders>
                    <w:bottom w:val="single" w:color="000000" w:sz="10" w:space="0"/>
                  </w:tcBorders>
                  <w:vAlign w:val="center"/>
                </w:tcPr>
                <w:p w14:paraId="780D5330">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5"/>
                      <w:sz w:val="21"/>
                      <w:szCs w:val="21"/>
                      <w:highlight w:val="none"/>
                    </w:rPr>
                    <w:t>子午沙鼠</w:t>
                  </w:r>
                </w:p>
              </w:tc>
              <w:tc>
                <w:tcPr>
                  <w:tcW w:w="2978" w:type="dxa"/>
                  <w:tcBorders>
                    <w:bottom w:val="single" w:color="000000" w:sz="10" w:space="0"/>
                  </w:tcBorders>
                  <w:vAlign w:val="top"/>
                </w:tcPr>
                <w:p w14:paraId="0E2C222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i/>
                      <w:iCs/>
                      <w:color w:val="auto"/>
                      <w:sz w:val="21"/>
                      <w:szCs w:val="21"/>
                      <w:highlight w:val="none"/>
                    </w:rPr>
                  </w:pPr>
                  <w:r>
                    <w:rPr>
                      <w:rFonts w:hint="default" w:ascii="Times New Roman" w:hAnsi="Times New Roman" w:eastAsia="宋体" w:cs="Times New Roman"/>
                      <w:i/>
                      <w:iCs/>
                      <w:color w:val="auto"/>
                      <w:sz w:val="21"/>
                      <w:szCs w:val="21"/>
                      <w:highlight w:val="none"/>
                    </w:rPr>
                    <w:t>Merionesmeridianus</w:t>
                  </w:r>
                </w:p>
              </w:tc>
              <w:tc>
                <w:tcPr>
                  <w:tcW w:w="1272" w:type="dxa"/>
                  <w:tcBorders>
                    <w:bottom w:val="single" w:color="000000" w:sz="10" w:space="0"/>
                  </w:tcBorders>
                  <w:vAlign w:val="top"/>
                </w:tcPr>
                <w:p w14:paraId="2BD93B9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382" w:type="dxa"/>
                  <w:tcBorders>
                    <w:bottom w:val="single" w:color="000000" w:sz="10" w:space="0"/>
                  </w:tcBorders>
                  <w:vAlign w:val="top"/>
                </w:tcPr>
                <w:p w14:paraId="541A0D9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rPr>
                  </w:pPr>
                </w:p>
              </w:tc>
            </w:tr>
          </w:tbl>
          <w:p w14:paraId="4831CE4F">
            <w:pPr>
              <w:pStyle w:val="16"/>
              <w:spacing w:before="25" w:line="227" w:lineRule="auto"/>
              <w:ind w:left="3"/>
              <w:rPr>
                <w:rFonts w:hint="default" w:ascii="Times New Roman" w:hAnsi="Times New Roman" w:eastAsia="宋体" w:cs="Times New Roman"/>
                <w:color w:val="auto"/>
                <w:highlight w:val="none"/>
              </w:rPr>
            </w:pPr>
            <w:r>
              <w:rPr>
                <w:rFonts w:hint="default" w:ascii="Times New Roman" w:hAnsi="Times New Roman" w:eastAsia="宋体" w:cs="Times New Roman"/>
                <w:color w:val="auto"/>
                <w:spacing w:val="8"/>
                <w:highlight w:val="none"/>
              </w:rPr>
              <w:t>注：++多见，+少见，—偶见</w:t>
            </w:r>
          </w:p>
          <w:p w14:paraId="7487F157">
            <w:pPr>
              <w:pStyle w:val="16"/>
              <w:spacing w:before="30" w:line="360" w:lineRule="auto"/>
              <w:rPr>
                <w:rFonts w:hint="default" w:ascii="Times New Roman" w:hAnsi="Times New Roman" w:eastAsia="宋体" w:cs="Times New Roman"/>
                <w:color w:val="auto"/>
                <w:sz w:val="24"/>
                <w:szCs w:val="24"/>
                <w:highlight w:val="none"/>
              </w:rPr>
            </w:pPr>
            <w:r>
              <w:rPr>
                <w:rFonts w:hint="eastAsia" w:ascii="Times New Roman" w:hAnsi="Times New Roman" w:cs="Times New Roman"/>
                <w:b/>
                <w:bCs/>
                <w:color w:val="auto"/>
                <w:spacing w:val="-2"/>
                <w:sz w:val="24"/>
                <w:szCs w:val="24"/>
                <w:highlight w:val="none"/>
                <w:lang w:val="en-US" w:eastAsia="zh-CN"/>
              </w:rPr>
              <w:t>1</w:t>
            </w:r>
            <w:r>
              <w:rPr>
                <w:rFonts w:hint="default" w:ascii="Times New Roman" w:hAnsi="Times New Roman" w:eastAsia="宋体" w:cs="Times New Roman"/>
                <w:b/>
                <w:bCs/>
                <w:color w:val="auto"/>
                <w:spacing w:val="-2"/>
                <w:sz w:val="24"/>
                <w:szCs w:val="24"/>
                <w:highlight w:val="none"/>
              </w:rPr>
              <w:t>.3土地利用类型</w:t>
            </w:r>
          </w:p>
          <w:p w14:paraId="4C8C8540">
            <w:pPr>
              <w:pStyle w:val="16"/>
              <w:keepNext w:val="0"/>
              <w:keepLines w:val="0"/>
              <w:pageBreakBefore w:val="0"/>
              <w:widowControl/>
              <w:kinsoku/>
              <w:wordWrap/>
              <w:overflowPunct w:val="0"/>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建设单位提供的土地利用类型</w:t>
            </w:r>
            <w:r>
              <w:rPr>
                <w:rFonts w:hint="default" w:ascii="Times New Roman" w:hAnsi="Times New Roman" w:cs="Times New Roman"/>
                <w:color w:val="auto"/>
                <w:sz w:val="24"/>
                <w:szCs w:val="24"/>
                <w:highlight w:val="none"/>
                <w:lang w:val="en-US" w:eastAsia="zh-CN"/>
              </w:rPr>
              <w:t>资料</w:t>
            </w:r>
            <w:r>
              <w:rPr>
                <w:rFonts w:hint="default" w:ascii="Times New Roman" w:hAnsi="Times New Roman" w:eastAsia="宋体" w:cs="Times New Roman"/>
                <w:color w:val="auto"/>
                <w:sz w:val="24"/>
                <w:szCs w:val="24"/>
                <w:highlight w:val="none"/>
              </w:rPr>
              <w:t>可知，并参照《土地利用现状分类》（GB/T21010-2017），以确定本工程区域的土地利用类型。本《土地利用现状分类》，本项目</w:t>
            </w:r>
            <w:r>
              <w:rPr>
                <w:rFonts w:hint="default" w:ascii="Times New Roman" w:hAnsi="Times New Roman" w:cs="Times New Roman"/>
                <w:color w:val="auto"/>
                <w:sz w:val="24"/>
                <w:szCs w:val="24"/>
                <w:highlight w:val="none"/>
                <w:lang w:val="en-US" w:eastAsia="zh-CN"/>
              </w:rPr>
              <w:t>临时占地</w:t>
            </w:r>
            <w:r>
              <w:rPr>
                <w:rFonts w:hint="default" w:ascii="Times New Roman" w:hAnsi="Times New Roman" w:eastAsia="宋体" w:cs="Times New Roman"/>
                <w:color w:val="auto"/>
                <w:sz w:val="24"/>
                <w:szCs w:val="24"/>
                <w:highlight w:val="none"/>
              </w:rPr>
              <w:t>为</w:t>
            </w:r>
            <w:r>
              <w:rPr>
                <w:rFonts w:hint="eastAsia" w:ascii="Times New Roman" w:hAnsi="Times New Roman" w:cs="Times New Roman"/>
                <w:color w:val="auto"/>
                <w:spacing w:val="-2"/>
                <w:sz w:val="24"/>
                <w:szCs w:val="24"/>
                <w:highlight w:val="none"/>
                <w:lang w:val="en-US" w:eastAsia="zh-CN"/>
              </w:rPr>
              <w:t>水浇地、内陆滩涂、其他林地</w:t>
            </w:r>
            <w:r>
              <w:rPr>
                <w:rFonts w:hint="default" w:ascii="Times New Roman" w:hAnsi="Times New Roman" w:cs="Times New Roman"/>
                <w:color w:val="auto"/>
                <w:sz w:val="24"/>
                <w:szCs w:val="24"/>
                <w:highlight w:val="none"/>
                <w:lang w:eastAsia="zh-CN"/>
              </w:rPr>
              <w:t>。</w:t>
            </w:r>
          </w:p>
          <w:p w14:paraId="1C73D72C">
            <w:pPr>
              <w:pStyle w:val="16"/>
              <w:spacing w:line="360" w:lineRule="auto"/>
              <w:jc w:val="both"/>
              <w:rPr>
                <w:rFonts w:hint="default" w:ascii="Times New Roman" w:hAnsi="Times New Roman" w:eastAsia="宋体" w:cs="Times New Roman"/>
                <w:b/>
                <w:bCs/>
                <w:color w:val="auto"/>
                <w:sz w:val="24"/>
                <w:szCs w:val="24"/>
                <w:highlight w:val="none"/>
              </w:rPr>
            </w:pPr>
            <w:r>
              <w:rPr>
                <w:rFonts w:hint="eastAsia" w:ascii="Times New Roman" w:hAnsi="Times New Roman"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4土地沙化现状</w:t>
            </w:r>
          </w:p>
          <w:p w14:paraId="3F98D533">
            <w:pPr>
              <w:pStyle w:val="16"/>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按照《中华人民共和国防沙治沙法》（2018年10月26日修订）有关规定、《新疆第六次沙化监测报告》以及《关于加强沙区建设项目环境影响评价工作的通知》（新环环评发〔2020〕138号）文件，在沙化土地范围内从事开发建设活动的，必须事先就该项目可能对当地及相关地区生态产生的影响进行环境影响评价，依法提交环境影响报告；环境影响报告应当包括有关防沙治沙的内容。</w:t>
            </w:r>
          </w:p>
          <w:p w14:paraId="799DD40D">
            <w:pPr>
              <w:pStyle w:val="16"/>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（1）项目区沙化土地现状及防沙治沙工作情况</w:t>
            </w:r>
          </w:p>
          <w:p w14:paraId="4CE4865A">
            <w:pPr>
              <w:pStyle w:val="16"/>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新疆第六次沙化监测报告》，新疆国土总面积为16648.97万公顷，本次沙化监测区面积为15689.13万公顷，沙化监测区分布在14个地州市，88个县市（区）、10个自治区直辖市共98个行政区域。监测结果显示：沙化土地面积7468.21万公顷，占监测区总面积47.60%，具有明显沙化趋势的土地面积437.96万公顷</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占监测区总面积2.79%，非沙化土地面积7782.95万公顷，占监测区总面积49.61%。古尔班通古特沙漠面积48695km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，占全疆沙漠的11.05%；沙漠中的沙化土地面积449.44万hm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，其中：流动沙地3.57万hm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，半固定沙地96.92万hm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，固定沙地344.54万hm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，沙化耕地4.41万hm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p>
          <w:p w14:paraId="04D6DCF1">
            <w:pPr>
              <w:pStyle w:val="16"/>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本项目位于</w:t>
            </w:r>
            <w:r>
              <w:rPr>
                <w:rFonts w:hint="default" w:ascii="Times New Roman" w:hAnsi="Times New Roman" w:cs="Times New Roman"/>
                <w:color w:val="auto"/>
                <w:sz w:val="24"/>
                <w:szCs w:val="24"/>
                <w:highlight w:val="none"/>
                <w:lang w:val="en-US" w:eastAsia="zh-CN"/>
              </w:rPr>
              <w:t>昌吉州</w:t>
            </w:r>
            <w:r>
              <w:rPr>
                <w:rFonts w:hint="default" w:ascii="Times New Roman" w:hAnsi="Times New Roman" w:eastAsia="宋体" w:cs="Times New Roman"/>
                <w:color w:val="auto"/>
                <w:sz w:val="24"/>
                <w:szCs w:val="24"/>
                <w:highlight w:val="none"/>
              </w:rPr>
              <w:t>吉木萨尔县</w:t>
            </w:r>
            <w:r>
              <w:rPr>
                <w:rFonts w:hint="default" w:ascii="Times New Roman" w:hAnsi="Times New Roman" w:cs="Times New Roman"/>
                <w:color w:val="auto"/>
                <w:sz w:val="24"/>
                <w:szCs w:val="24"/>
                <w:highlight w:val="none"/>
                <w:lang w:val="en-US" w:eastAsia="zh-CN"/>
              </w:rPr>
              <w:t>和奇台县</w:t>
            </w:r>
            <w:r>
              <w:rPr>
                <w:rFonts w:hint="default" w:ascii="Times New Roman" w:hAnsi="Times New Roman" w:eastAsia="宋体" w:cs="Times New Roman"/>
                <w:color w:val="auto"/>
                <w:sz w:val="24"/>
                <w:szCs w:val="24"/>
                <w:highlight w:val="none"/>
              </w:rPr>
              <w:t>境内，位于古尔班通古特沙漠的准噶尔盆地的</w:t>
            </w:r>
            <w:r>
              <w:rPr>
                <w:rFonts w:hint="default" w:ascii="Times New Roman" w:hAnsi="Times New Roman" w:cs="Times New Roman"/>
                <w:color w:val="auto"/>
                <w:sz w:val="24"/>
                <w:szCs w:val="24"/>
                <w:highlight w:val="none"/>
                <w:lang w:val="en-US" w:eastAsia="zh-CN"/>
              </w:rPr>
              <w:t>南部</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不属于沙漠区域以及沙化土地，离古尔班通古特沙漠的准噶尔盆地约60km。新疆土地沙化现状见附图7。</w:t>
            </w:r>
          </w:p>
          <w:p w14:paraId="3E7067FC">
            <w:pPr>
              <w:pStyle w:val="16"/>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（2）项目实施过程中对周边沙化土地的影响</w:t>
            </w:r>
          </w:p>
          <w:p w14:paraId="206461A5">
            <w:pPr>
              <w:pStyle w:val="16"/>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val="en-US" w:eastAsia="zh-CN"/>
              </w:rPr>
              <w:t>根据《土地利用现状分类》本项目临时占地为</w:t>
            </w:r>
            <w:r>
              <w:rPr>
                <w:rFonts w:hint="eastAsia" w:ascii="Times New Roman" w:hAnsi="Times New Roman" w:cs="Times New Roman"/>
                <w:color w:val="auto"/>
                <w:sz w:val="24"/>
                <w:szCs w:val="24"/>
                <w:highlight w:val="none"/>
                <w:lang w:val="en-US" w:eastAsia="zh-CN"/>
              </w:rPr>
              <w:t>水浇地、内陆滩涂、其他林地</w:t>
            </w:r>
            <w:r>
              <w:rPr>
                <w:rFonts w:hint="default" w:ascii="Times New Roman" w:hAnsi="Times New Roman" w:cs="Times New Roman"/>
                <w:color w:val="auto"/>
                <w:sz w:val="24"/>
                <w:szCs w:val="24"/>
                <w:highlight w:val="none"/>
                <w:lang w:val="en-US" w:eastAsia="zh-CN"/>
              </w:rPr>
              <w:t>，项目临时占地不占用基本农田，存在土地沙化的潜在危害，拟建工程占地范围不涉及已建设的防沙治沙设施。</w:t>
            </w:r>
            <w:r>
              <w:rPr>
                <w:rFonts w:hint="default" w:ascii="Times New Roman" w:hAnsi="Times New Roman" w:eastAsia="宋体" w:cs="Times New Roman"/>
                <w:color w:val="auto"/>
                <w:sz w:val="24"/>
                <w:szCs w:val="24"/>
                <w:highlight w:val="none"/>
              </w:rPr>
              <w:t>项目建设过程中对原地貌的扰动将降低项目占地范围内的土壤抗侵蚀能力，造成土地沙化；此外，由于项目地处内陆地区，风沙较大，空气干燥，加上地表植被覆盖度低，若项目土石方堆存过程中未采取防尘网苫盖、洒水抑尘等措施，地表沙化的土壤及废土、废渣遇大风天气易产生严重的扬尘，形成沙尘天气。</w:t>
            </w:r>
          </w:p>
          <w:p w14:paraId="234A6D22">
            <w:pPr>
              <w:pStyle w:val="16"/>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（3）可能造成的土地沙化和沙尘等生态危害。</w:t>
            </w:r>
          </w:p>
          <w:p w14:paraId="03EB25BC">
            <w:pPr>
              <w:pStyle w:val="16"/>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项目在施工期土地开挖过程中，若未采取分层开挖、分层回填措施，可能导致土壤的蓄水保肥能力降低，影响区域植被生长，造成土壤逐渐沙化。此外</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在施工过程中，各种车辆（尤其是重型卡车）在荒漠上行驶将使经过的土壤变紧实，严重的经过多次碾压后植物很难再生长，甚至退化为沙地。</w:t>
            </w:r>
          </w:p>
          <w:p w14:paraId="4D9A0008">
            <w:pPr>
              <w:pStyle w:val="16"/>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上述施工作业过程中，对原地貌的扰动大大降低了项目占地范围内的土壤抗侵蚀能力，若未采取相应的防护措施，遇大风天气，极易加重区域沙尘天气。</w:t>
            </w:r>
          </w:p>
          <w:p w14:paraId="0934D19A">
            <w:pPr>
              <w:pStyle w:val="16"/>
              <w:spacing w:line="360" w:lineRule="auto"/>
              <w:jc w:val="both"/>
              <w:rPr>
                <w:rFonts w:hint="default" w:ascii="Times New Roman" w:hAnsi="Times New Roman" w:eastAsia="宋体"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.5水土流失现状</w:t>
            </w:r>
          </w:p>
          <w:p w14:paraId="67B2D28C">
            <w:pPr>
              <w:pStyle w:val="16"/>
              <w:spacing w:line="360" w:lineRule="auto"/>
              <w:ind w:firstLine="480" w:firstLineChars="200"/>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本项目位于新疆维吾尔自治区昌吉回族自治州，根据《关于划分国家级水土流失重点防治区的公告》《全国水土保持规划国家级水土流失重点预防区和重点治理区复核划分成果》（</w:t>
            </w:r>
            <w:r>
              <w:rPr>
                <w:rFonts w:hint="default" w:ascii="Times New Roman" w:hAnsi="Times New Roman" w:cs="Times New Roman"/>
                <w:color w:val="auto"/>
                <w:sz w:val="24"/>
                <w:szCs w:val="24"/>
                <w:highlight w:val="none"/>
                <w:lang w:val="en-US" w:eastAsia="zh-CN"/>
              </w:rPr>
              <w:t>办水保</w:t>
            </w:r>
            <w:r>
              <w:rPr>
                <w:rFonts w:hint="default" w:ascii="Times New Roman" w:hAnsi="Times New Roman" w:cs="Times New Roman"/>
                <w:color w:val="auto"/>
                <w:sz w:val="24"/>
                <w:szCs w:val="24"/>
                <w:highlight w:val="none"/>
                <w:lang w:eastAsia="zh-CN"/>
              </w:rPr>
              <w:t>〔201</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188</w:t>
            </w:r>
            <w:r>
              <w:rPr>
                <w:rFonts w:hint="default" w:ascii="Times New Roman" w:hAnsi="Times New Roman" w:cs="Times New Roman"/>
                <w:color w:val="auto"/>
                <w:sz w:val="24"/>
                <w:szCs w:val="24"/>
                <w:highlight w:val="none"/>
                <w:lang w:eastAsia="zh-CN"/>
              </w:rPr>
              <w:t>号），项目区属于</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天山北坡国家级水土流失重点预防区</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w:t>
            </w:r>
          </w:p>
          <w:p w14:paraId="7F66A6DF">
            <w:pPr>
              <w:pStyle w:val="16"/>
              <w:spacing w:line="240" w:lineRule="auto"/>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b/>
                <w:bCs/>
                <w:color w:val="auto"/>
                <w:sz w:val="21"/>
                <w:szCs w:val="21"/>
                <w:highlight w:val="none"/>
                <w:lang w:eastAsia="zh-CN"/>
              </w:rPr>
              <w:t>表3-</w:t>
            </w:r>
            <w:r>
              <w:rPr>
                <w:rFonts w:hint="default" w:ascii="Times New Roman" w:hAnsi="Times New Roman" w:cs="Times New Roman"/>
                <w:b/>
                <w:bCs/>
                <w:color w:val="auto"/>
                <w:sz w:val="21"/>
                <w:szCs w:val="21"/>
                <w:highlight w:val="none"/>
                <w:lang w:val="en-US" w:eastAsia="zh-CN"/>
              </w:rPr>
              <w:t xml:space="preserve">3 </w:t>
            </w:r>
            <w:r>
              <w:rPr>
                <w:rFonts w:hint="default" w:ascii="Times New Roman" w:hAnsi="Times New Roman" w:cs="Times New Roman"/>
                <w:b/>
                <w:bCs/>
                <w:color w:val="auto"/>
                <w:sz w:val="21"/>
                <w:szCs w:val="21"/>
                <w:highlight w:val="none"/>
                <w:lang w:eastAsia="zh-CN"/>
              </w:rPr>
              <w:t>项目区域在国家级水土流失区划中情况</w:t>
            </w:r>
          </w:p>
          <w:tbl>
            <w:tblPr>
              <w:tblStyle w:val="15"/>
              <w:tblW w:w="79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79"/>
              <w:gridCol w:w="2727"/>
              <w:gridCol w:w="3252"/>
            </w:tblGrid>
            <w:tr w14:paraId="3FD4A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1979" w:type="dxa"/>
                  <w:vAlign w:val="center"/>
                </w:tcPr>
                <w:p w14:paraId="60A4EEA1">
                  <w:pPr>
                    <w:pStyle w:val="16"/>
                    <w:spacing w:before="42" w:line="234" w:lineRule="auto"/>
                    <w:ind w:right="17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7"/>
                      <w:sz w:val="21"/>
                      <w:szCs w:val="21"/>
                    </w:rPr>
                    <w:t>涉及水土流失区划</w:t>
                  </w:r>
                  <w:r>
                    <w:rPr>
                      <w:rFonts w:hint="default" w:ascii="Times New Roman" w:hAnsi="Times New Roman" w:eastAsia="宋体" w:cs="Times New Roman"/>
                      <w:b/>
                      <w:bCs/>
                      <w:color w:val="auto"/>
                      <w:spacing w:val="3"/>
                      <w:sz w:val="21"/>
                      <w:szCs w:val="21"/>
                    </w:rPr>
                    <w:t>的行政区域</w:t>
                  </w:r>
                </w:p>
              </w:tc>
              <w:tc>
                <w:tcPr>
                  <w:tcW w:w="2727" w:type="dxa"/>
                  <w:vAlign w:val="center"/>
                </w:tcPr>
                <w:p w14:paraId="09C61D0D">
                  <w:pPr>
                    <w:pStyle w:val="16"/>
                    <w:spacing w:before="175" w:line="228" w:lineRule="auto"/>
                    <w:ind w:left="1213"/>
                    <w:jc w:val="both"/>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2"/>
                      <w:sz w:val="21"/>
                      <w:szCs w:val="21"/>
                    </w:rPr>
                    <w:t>大类</w:t>
                  </w:r>
                </w:p>
              </w:tc>
              <w:tc>
                <w:tcPr>
                  <w:tcW w:w="3252" w:type="dxa"/>
                  <w:tcBorders>
                    <w:right w:val="single" w:color="000000" w:sz="4" w:space="0"/>
                  </w:tcBorders>
                  <w:vAlign w:val="center"/>
                </w:tcPr>
                <w:p w14:paraId="3D97BB33">
                  <w:pPr>
                    <w:pStyle w:val="16"/>
                    <w:spacing w:before="175" w:line="230" w:lineRule="auto"/>
                    <w:ind w:left="1381"/>
                    <w:jc w:val="both"/>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区名称</w:t>
                  </w:r>
                </w:p>
              </w:tc>
            </w:tr>
            <w:tr w14:paraId="496A2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1979" w:type="dxa"/>
                  <w:vAlign w:val="center"/>
                </w:tcPr>
                <w:p w14:paraId="15FB7B62">
                  <w:pPr>
                    <w:pStyle w:val="16"/>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7"/>
                      <w:sz w:val="21"/>
                      <w:szCs w:val="21"/>
                    </w:rPr>
                    <w:t>吉木萨尔县</w:t>
                  </w:r>
                  <w:r>
                    <w:rPr>
                      <w:rFonts w:hint="default" w:ascii="Times New Roman" w:hAnsi="Times New Roman" w:eastAsia="宋体" w:cs="Times New Roman"/>
                      <w:color w:val="auto"/>
                      <w:spacing w:val="7"/>
                      <w:sz w:val="21"/>
                      <w:szCs w:val="21"/>
                      <w:lang w:eastAsia="zh-CN"/>
                    </w:rPr>
                    <w:t>、</w:t>
                  </w:r>
                  <w:r>
                    <w:rPr>
                      <w:rFonts w:hint="default" w:ascii="Times New Roman" w:hAnsi="Times New Roman" w:eastAsia="宋体" w:cs="Times New Roman"/>
                      <w:color w:val="auto"/>
                      <w:spacing w:val="7"/>
                      <w:sz w:val="21"/>
                      <w:szCs w:val="21"/>
                      <w:lang w:val="en-US" w:eastAsia="zh-CN"/>
                    </w:rPr>
                    <w:t>奇台县</w:t>
                  </w:r>
                </w:p>
              </w:tc>
              <w:tc>
                <w:tcPr>
                  <w:tcW w:w="2727" w:type="dxa"/>
                  <w:vAlign w:val="center"/>
                </w:tcPr>
                <w:p w14:paraId="6E0C62D0">
                  <w:pPr>
                    <w:pStyle w:val="16"/>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国家级水土流失重点预防区</w:t>
                  </w:r>
                </w:p>
              </w:tc>
              <w:tc>
                <w:tcPr>
                  <w:tcW w:w="3252" w:type="dxa"/>
                  <w:tcBorders>
                    <w:right w:val="single" w:color="000000" w:sz="4" w:space="0"/>
                  </w:tcBorders>
                  <w:vAlign w:val="center"/>
                </w:tcPr>
                <w:p w14:paraId="64234A5A">
                  <w:pPr>
                    <w:pStyle w:val="16"/>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天山北坡国家级水土流失重点预</w:t>
                  </w:r>
                  <w:r>
                    <w:rPr>
                      <w:rFonts w:hint="default" w:ascii="Times New Roman" w:hAnsi="Times New Roman" w:eastAsia="宋体" w:cs="Times New Roman"/>
                      <w:color w:val="auto"/>
                      <w:spacing w:val="-2"/>
                      <w:sz w:val="21"/>
                      <w:szCs w:val="21"/>
                    </w:rPr>
                    <w:t>防区</w:t>
                  </w:r>
                </w:p>
              </w:tc>
            </w:tr>
          </w:tbl>
          <w:p w14:paraId="291C2F41">
            <w:pPr>
              <w:pStyle w:val="16"/>
              <w:spacing w:line="360" w:lineRule="auto"/>
              <w:ind w:firstLine="480" w:firstLineChars="200"/>
              <w:jc w:val="both"/>
              <w:rPr>
                <w:rFonts w:hint="default" w:ascii="Times New Roman" w:hAnsi="Times New Roman" w:cs="Times New Roman"/>
                <w:b/>
                <w:bCs/>
                <w:color w:val="auto"/>
                <w:spacing w:val="6"/>
                <w:lang w:eastAsia="zh-CN"/>
              </w:rPr>
            </w:pPr>
            <w:r>
              <w:rPr>
                <w:rFonts w:hint="default" w:ascii="Times New Roman" w:hAnsi="Times New Roman" w:cs="Times New Roman"/>
                <w:color w:val="auto"/>
                <w:sz w:val="24"/>
                <w:szCs w:val="24"/>
                <w:highlight w:val="none"/>
                <w:lang w:eastAsia="zh-CN"/>
              </w:rPr>
              <w:t>根据《关于印发新疆自治区级水土流失重点预防区和重点治理区复核划分成果的通知》（新水水保〔2019〕4号）：全疆共划分了2个自治区级重点预防区，4个自治区级重点治理区。</w:t>
            </w:r>
            <w:r>
              <w:rPr>
                <w:rFonts w:hint="default" w:ascii="Times New Roman" w:hAnsi="Times New Roman" w:cs="Times New Roman"/>
                <w:color w:val="auto"/>
                <w:sz w:val="24"/>
                <w:szCs w:val="24"/>
                <w:highlight w:val="none"/>
                <w:lang w:val="en-US" w:eastAsia="zh-CN"/>
              </w:rPr>
              <w:t>依据</w:t>
            </w:r>
            <w:r>
              <w:rPr>
                <w:rFonts w:hint="default" w:ascii="Times New Roman" w:hAnsi="Times New Roman" w:cs="Times New Roman"/>
                <w:color w:val="auto"/>
                <w:sz w:val="24"/>
                <w:szCs w:val="24"/>
                <w:highlight w:val="none"/>
                <w:lang w:eastAsia="zh-CN"/>
              </w:rPr>
              <w:t>《昌吉州水土流失重点预防区和重点治理区划分成果》</w:t>
            </w:r>
            <w:r>
              <w:rPr>
                <w:rFonts w:hint="default" w:ascii="Times New Roman" w:hAnsi="Times New Roman" w:cs="Times New Roman"/>
                <w:color w:val="auto"/>
                <w:sz w:val="24"/>
                <w:szCs w:val="24"/>
                <w:highlight w:val="none"/>
                <w:lang w:val="en-US" w:eastAsia="zh-CN"/>
              </w:rPr>
              <w:t>及《昌吉回族自治州两区划分图</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》可知，</w:t>
            </w:r>
            <w:r>
              <w:rPr>
                <w:rFonts w:hint="default" w:ascii="Times New Roman" w:hAnsi="Times New Roman" w:cs="Times New Roman"/>
                <w:color w:val="auto"/>
                <w:sz w:val="24"/>
                <w:szCs w:val="24"/>
                <w:highlight w:val="none"/>
                <w:lang w:eastAsia="zh-CN"/>
              </w:rPr>
              <w:t>本项目</w:t>
            </w:r>
            <w:r>
              <w:rPr>
                <w:rFonts w:hint="default" w:ascii="Times New Roman" w:hAnsi="Times New Roman" w:cs="Times New Roman"/>
                <w:color w:val="auto"/>
                <w:sz w:val="24"/>
                <w:szCs w:val="24"/>
                <w:highlight w:val="none"/>
                <w:lang w:val="en-US" w:eastAsia="zh-CN"/>
              </w:rPr>
              <w:t>不在昌吉回族自治州两区划分的水土流失预防区和治理区。水土保持区划见附图8。</w:t>
            </w:r>
          </w:p>
          <w:p w14:paraId="693F65FB">
            <w:pPr>
              <w:pStyle w:val="16"/>
              <w:spacing w:line="360" w:lineRule="auto"/>
              <w:jc w:val="both"/>
              <w:rPr>
                <w:rFonts w:hint="default" w:ascii="Times New Roman" w:hAnsi="Times New Roman" w:eastAsia="宋体"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环境空气质量现状调查及评价</w:t>
            </w:r>
          </w:p>
          <w:p w14:paraId="6B698E92">
            <w:pPr>
              <w:pStyle w:val="16"/>
              <w:spacing w:before="38" w:line="356" w:lineRule="auto"/>
              <w:rPr>
                <w:rFonts w:hint="default" w:ascii="Times New Roman" w:hAnsi="Times New Roman" w:eastAsia="宋体" w:cs="Times New Roman"/>
                <w:b/>
                <w:bCs/>
                <w:color w:val="auto"/>
                <w:spacing w:val="-2"/>
                <w:sz w:val="24"/>
                <w:szCs w:val="24"/>
                <w:highlight w:val="none"/>
              </w:rPr>
            </w:pPr>
            <w:r>
              <w:rPr>
                <w:rFonts w:hint="default" w:ascii="Times New Roman" w:hAnsi="Times New Roman" w:cs="Times New Roman"/>
                <w:b/>
                <w:bCs/>
                <w:color w:val="auto"/>
                <w:spacing w:val="-2"/>
                <w:sz w:val="24"/>
                <w:szCs w:val="24"/>
                <w:highlight w:val="none"/>
                <w:lang w:val="en-US" w:eastAsia="zh-CN"/>
              </w:rPr>
              <w:t>2</w:t>
            </w:r>
            <w:r>
              <w:rPr>
                <w:rFonts w:hint="default" w:ascii="Times New Roman" w:hAnsi="Times New Roman" w:eastAsia="宋体" w:cs="Times New Roman"/>
                <w:b/>
                <w:bCs/>
                <w:color w:val="auto"/>
                <w:spacing w:val="-2"/>
                <w:sz w:val="24"/>
                <w:szCs w:val="24"/>
                <w:highlight w:val="none"/>
              </w:rPr>
              <w:t>.1数据来源</w:t>
            </w:r>
          </w:p>
          <w:p w14:paraId="65E0AC71">
            <w:pPr>
              <w:pStyle w:val="16"/>
              <w:spacing w:before="38" w:line="356" w:lineRule="auto"/>
              <w:ind w:firstLine="482"/>
              <w:jc w:val="both"/>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2"/>
                <w:sz w:val="24"/>
                <w:szCs w:val="24"/>
                <w:highlight w:val="none"/>
              </w:rPr>
              <w:t>根据《环境影响评价技术导则大气环境》</w:t>
            </w:r>
            <w:r>
              <w:rPr>
                <w:rFonts w:hint="eastAsia"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HJ2.2-2018</w:t>
            </w:r>
            <w:r>
              <w:rPr>
                <w:rFonts w:hint="eastAsia"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对环境质量现状数据的要求，本项目基本污染物环境质量现状评价采用环境空气质量模型空气质量数据，作为本项目环境空气现状评价基本污染物SO</w:t>
            </w:r>
            <w:r>
              <w:rPr>
                <w:rFonts w:hint="default" w:ascii="Times New Roman" w:hAnsi="Times New Roman" w:eastAsia="宋体" w:cs="Times New Roman"/>
                <w:color w:val="auto"/>
                <w:spacing w:val="-2"/>
                <w:sz w:val="24"/>
                <w:szCs w:val="24"/>
                <w:highlight w:val="none"/>
                <w:vertAlign w:val="subscript"/>
              </w:rPr>
              <w:t>2</w:t>
            </w:r>
            <w:r>
              <w:rPr>
                <w:rFonts w:hint="default" w:ascii="Times New Roman" w:hAnsi="Times New Roman" w:eastAsia="宋体" w:cs="Times New Roman"/>
                <w:color w:val="auto"/>
                <w:spacing w:val="-2"/>
                <w:sz w:val="24"/>
                <w:szCs w:val="24"/>
                <w:highlight w:val="none"/>
              </w:rPr>
              <w:t>、NO</w:t>
            </w:r>
            <w:r>
              <w:rPr>
                <w:rFonts w:hint="default" w:ascii="Times New Roman" w:hAnsi="Times New Roman" w:eastAsia="宋体" w:cs="Times New Roman"/>
                <w:color w:val="auto"/>
                <w:spacing w:val="-2"/>
                <w:sz w:val="24"/>
                <w:szCs w:val="24"/>
                <w:highlight w:val="none"/>
                <w:vertAlign w:val="subscript"/>
              </w:rPr>
              <w:t>2</w:t>
            </w:r>
            <w:r>
              <w:rPr>
                <w:rFonts w:hint="default" w:ascii="Times New Roman" w:hAnsi="Times New Roman" w:eastAsia="宋体" w:cs="Times New Roman"/>
                <w:color w:val="auto"/>
                <w:spacing w:val="-2"/>
                <w:sz w:val="24"/>
                <w:szCs w:val="24"/>
                <w:highlight w:val="none"/>
              </w:rPr>
              <w:t>、PM</w:t>
            </w:r>
            <w:r>
              <w:rPr>
                <w:rFonts w:hint="default" w:ascii="Times New Roman" w:hAnsi="Times New Roman" w:eastAsia="宋体" w:cs="Times New Roman"/>
                <w:color w:val="auto"/>
                <w:spacing w:val="-2"/>
                <w:sz w:val="24"/>
                <w:szCs w:val="24"/>
                <w:highlight w:val="none"/>
                <w:vertAlign w:val="subscript"/>
              </w:rPr>
              <w:t>10</w:t>
            </w:r>
            <w:r>
              <w:rPr>
                <w:rFonts w:hint="default" w:ascii="Times New Roman" w:hAnsi="Times New Roman" w:eastAsia="宋体" w:cs="Times New Roman"/>
                <w:color w:val="auto"/>
                <w:spacing w:val="-2"/>
                <w:sz w:val="24"/>
                <w:szCs w:val="24"/>
                <w:highlight w:val="none"/>
              </w:rPr>
              <w:t>、PM</w:t>
            </w:r>
            <w:r>
              <w:rPr>
                <w:rFonts w:hint="default" w:ascii="Times New Roman" w:hAnsi="Times New Roman" w:eastAsia="宋体" w:cs="Times New Roman"/>
                <w:color w:val="auto"/>
                <w:spacing w:val="-2"/>
                <w:sz w:val="24"/>
                <w:szCs w:val="24"/>
                <w:highlight w:val="none"/>
                <w:vertAlign w:val="subscript"/>
              </w:rPr>
              <w:t>2.5</w:t>
            </w:r>
            <w:r>
              <w:rPr>
                <w:rFonts w:hint="default" w:ascii="Times New Roman" w:hAnsi="Times New Roman" w:eastAsia="宋体" w:cs="Times New Roman"/>
                <w:color w:val="auto"/>
                <w:spacing w:val="-2"/>
                <w:sz w:val="24"/>
                <w:szCs w:val="24"/>
                <w:highlight w:val="none"/>
              </w:rPr>
              <w:t>、CO和O</w:t>
            </w:r>
            <w:r>
              <w:rPr>
                <w:rFonts w:hint="default" w:ascii="Times New Roman" w:hAnsi="Times New Roman" w:eastAsia="宋体" w:cs="Times New Roman"/>
                <w:color w:val="auto"/>
                <w:spacing w:val="-2"/>
                <w:sz w:val="24"/>
                <w:szCs w:val="24"/>
                <w:highlight w:val="none"/>
                <w:vertAlign w:val="subscript"/>
              </w:rPr>
              <w:t>3</w:t>
            </w:r>
            <w:r>
              <w:rPr>
                <w:rFonts w:hint="default" w:ascii="Times New Roman" w:hAnsi="Times New Roman" w:eastAsia="宋体" w:cs="Times New Roman"/>
                <w:color w:val="auto"/>
                <w:spacing w:val="-2"/>
                <w:sz w:val="24"/>
                <w:szCs w:val="24"/>
                <w:highlight w:val="none"/>
              </w:rPr>
              <w:t>的数据来源。</w:t>
            </w:r>
          </w:p>
          <w:p w14:paraId="4468C8C4">
            <w:pPr>
              <w:pStyle w:val="16"/>
              <w:spacing w:before="38" w:line="356" w:lineRule="auto"/>
              <w:rPr>
                <w:rFonts w:hint="default" w:ascii="Times New Roman" w:hAnsi="Times New Roman" w:eastAsia="宋体" w:cs="Times New Roman"/>
                <w:b/>
                <w:bCs/>
                <w:color w:val="auto"/>
                <w:spacing w:val="-2"/>
                <w:sz w:val="24"/>
                <w:szCs w:val="24"/>
                <w:highlight w:val="none"/>
              </w:rPr>
            </w:pPr>
            <w:r>
              <w:rPr>
                <w:rFonts w:hint="default" w:ascii="Times New Roman" w:hAnsi="Times New Roman" w:cs="Times New Roman"/>
                <w:b/>
                <w:bCs/>
                <w:color w:val="auto"/>
                <w:spacing w:val="-2"/>
                <w:sz w:val="24"/>
                <w:szCs w:val="24"/>
                <w:highlight w:val="none"/>
                <w:lang w:val="en-US" w:eastAsia="zh-CN"/>
              </w:rPr>
              <w:t>2</w:t>
            </w:r>
            <w:r>
              <w:rPr>
                <w:rFonts w:hint="default" w:ascii="Times New Roman" w:hAnsi="Times New Roman" w:eastAsia="宋体" w:cs="Times New Roman"/>
                <w:b/>
                <w:bCs/>
                <w:color w:val="auto"/>
                <w:spacing w:val="-2"/>
                <w:sz w:val="24"/>
                <w:szCs w:val="24"/>
                <w:highlight w:val="none"/>
              </w:rPr>
              <w:t>.2评价标准</w:t>
            </w:r>
          </w:p>
          <w:p w14:paraId="645C6835">
            <w:pPr>
              <w:pStyle w:val="16"/>
              <w:spacing w:before="38" w:line="356" w:lineRule="auto"/>
              <w:ind w:firstLine="482"/>
              <w:jc w:val="both"/>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2"/>
                <w:sz w:val="24"/>
                <w:szCs w:val="24"/>
                <w:highlight w:val="none"/>
              </w:rPr>
              <w:t>基本污染物SO</w:t>
            </w:r>
            <w:r>
              <w:rPr>
                <w:rFonts w:hint="default" w:ascii="Times New Roman" w:hAnsi="Times New Roman" w:eastAsia="宋体" w:cs="Times New Roman"/>
                <w:color w:val="auto"/>
                <w:spacing w:val="-2"/>
                <w:sz w:val="24"/>
                <w:szCs w:val="24"/>
                <w:highlight w:val="none"/>
                <w:vertAlign w:val="subscript"/>
              </w:rPr>
              <w:t>2</w:t>
            </w:r>
            <w:r>
              <w:rPr>
                <w:rFonts w:hint="default" w:ascii="Times New Roman" w:hAnsi="Times New Roman" w:eastAsia="宋体" w:cs="Times New Roman"/>
                <w:color w:val="auto"/>
                <w:spacing w:val="-2"/>
                <w:sz w:val="24"/>
                <w:szCs w:val="24"/>
                <w:highlight w:val="none"/>
              </w:rPr>
              <w:t>、NO</w:t>
            </w:r>
            <w:r>
              <w:rPr>
                <w:rFonts w:hint="default" w:ascii="Times New Roman" w:hAnsi="Times New Roman" w:eastAsia="宋体" w:cs="Times New Roman"/>
                <w:color w:val="auto"/>
                <w:spacing w:val="-2"/>
                <w:sz w:val="24"/>
                <w:szCs w:val="24"/>
                <w:highlight w:val="none"/>
                <w:vertAlign w:val="subscript"/>
              </w:rPr>
              <w:t>2</w:t>
            </w:r>
            <w:r>
              <w:rPr>
                <w:rFonts w:hint="default" w:ascii="Times New Roman" w:hAnsi="Times New Roman" w:eastAsia="宋体" w:cs="Times New Roman"/>
                <w:color w:val="auto"/>
                <w:spacing w:val="-2"/>
                <w:sz w:val="24"/>
                <w:szCs w:val="24"/>
                <w:highlight w:val="none"/>
              </w:rPr>
              <w:t>、PM</w:t>
            </w:r>
            <w:r>
              <w:rPr>
                <w:rFonts w:hint="default" w:ascii="Times New Roman" w:hAnsi="Times New Roman" w:eastAsia="宋体" w:cs="Times New Roman"/>
                <w:color w:val="auto"/>
                <w:spacing w:val="-2"/>
                <w:sz w:val="24"/>
                <w:szCs w:val="24"/>
                <w:highlight w:val="none"/>
                <w:vertAlign w:val="subscript"/>
              </w:rPr>
              <w:t>10</w:t>
            </w:r>
            <w:r>
              <w:rPr>
                <w:rFonts w:hint="default" w:ascii="Times New Roman" w:hAnsi="Times New Roman" w:eastAsia="宋体" w:cs="Times New Roman"/>
                <w:color w:val="auto"/>
                <w:spacing w:val="-2"/>
                <w:sz w:val="24"/>
                <w:szCs w:val="24"/>
                <w:highlight w:val="none"/>
              </w:rPr>
              <w:t>、PM</w:t>
            </w:r>
            <w:r>
              <w:rPr>
                <w:rFonts w:hint="default" w:ascii="Times New Roman" w:hAnsi="Times New Roman" w:eastAsia="宋体" w:cs="Times New Roman"/>
                <w:color w:val="auto"/>
                <w:spacing w:val="-2"/>
                <w:sz w:val="24"/>
                <w:szCs w:val="24"/>
                <w:highlight w:val="none"/>
                <w:vertAlign w:val="subscript"/>
              </w:rPr>
              <w:t>2.5</w:t>
            </w:r>
            <w:r>
              <w:rPr>
                <w:rFonts w:hint="default" w:ascii="Times New Roman" w:hAnsi="Times New Roman" w:eastAsia="宋体" w:cs="Times New Roman"/>
                <w:color w:val="auto"/>
                <w:spacing w:val="-2"/>
                <w:sz w:val="24"/>
                <w:szCs w:val="24"/>
                <w:highlight w:val="none"/>
              </w:rPr>
              <w:t>、CO和O</w:t>
            </w:r>
            <w:r>
              <w:rPr>
                <w:rFonts w:hint="default" w:ascii="Times New Roman" w:hAnsi="Times New Roman" w:eastAsia="宋体" w:cs="Times New Roman"/>
                <w:color w:val="auto"/>
                <w:spacing w:val="-2"/>
                <w:sz w:val="24"/>
                <w:szCs w:val="24"/>
                <w:highlight w:val="none"/>
                <w:vertAlign w:val="subscript"/>
              </w:rPr>
              <w:t>3</w:t>
            </w:r>
            <w:r>
              <w:rPr>
                <w:rFonts w:hint="default" w:ascii="Times New Roman" w:hAnsi="Times New Roman" w:eastAsia="宋体" w:cs="Times New Roman"/>
                <w:color w:val="auto"/>
                <w:spacing w:val="-2"/>
                <w:sz w:val="24"/>
                <w:szCs w:val="24"/>
                <w:highlight w:val="none"/>
              </w:rPr>
              <w:t>执行《环境空气质量标准》</w:t>
            </w:r>
            <w:r>
              <w:rPr>
                <w:rFonts w:hint="eastAsia"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GB3095-2012</w:t>
            </w:r>
            <w:r>
              <w:rPr>
                <w:rFonts w:hint="eastAsia"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中的二级标准。</w:t>
            </w:r>
          </w:p>
          <w:p w14:paraId="55A69921">
            <w:pPr>
              <w:pStyle w:val="16"/>
              <w:spacing w:before="38" w:line="356" w:lineRule="auto"/>
              <w:rPr>
                <w:rFonts w:hint="default" w:ascii="Times New Roman" w:hAnsi="Times New Roman" w:eastAsia="宋体" w:cs="Times New Roman"/>
                <w:b/>
                <w:bCs/>
                <w:color w:val="auto"/>
                <w:spacing w:val="-2"/>
                <w:sz w:val="24"/>
                <w:szCs w:val="24"/>
                <w:highlight w:val="none"/>
              </w:rPr>
            </w:pPr>
            <w:r>
              <w:rPr>
                <w:rFonts w:hint="default" w:ascii="Times New Roman" w:hAnsi="Times New Roman" w:cs="Times New Roman"/>
                <w:b/>
                <w:bCs/>
                <w:color w:val="auto"/>
                <w:spacing w:val="-2"/>
                <w:sz w:val="24"/>
                <w:szCs w:val="24"/>
                <w:highlight w:val="none"/>
                <w:lang w:val="en-US" w:eastAsia="zh-CN"/>
              </w:rPr>
              <w:t>2</w:t>
            </w:r>
            <w:r>
              <w:rPr>
                <w:rFonts w:hint="default" w:ascii="Times New Roman" w:hAnsi="Times New Roman" w:eastAsia="宋体" w:cs="Times New Roman"/>
                <w:b/>
                <w:bCs/>
                <w:color w:val="auto"/>
                <w:spacing w:val="-2"/>
                <w:sz w:val="24"/>
                <w:szCs w:val="24"/>
                <w:highlight w:val="none"/>
              </w:rPr>
              <w:t>.3评价方法</w:t>
            </w:r>
          </w:p>
          <w:p w14:paraId="4B336F2A">
            <w:pPr>
              <w:pStyle w:val="16"/>
              <w:spacing w:before="38" w:line="356" w:lineRule="auto"/>
              <w:ind w:firstLine="482"/>
              <w:jc w:val="both"/>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2"/>
                <w:sz w:val="24"/>
                <w:szCs w:val="24"/>
                <w:highlight w:val="none"/>
              </w:rPr>
              <w:t>基本污染物按照《环境空气质量评价技术规范（试行）》</w:t>
            </w:r>
            <w:r>
              <w:rPr>
                <w:rFonts w:hint="eastAsia"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HJ663-2013</w:t>
            </w:r>
            <w:r>
              <w:rPr>
                <w:rFonts w:hint="eastAsia"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中各评价项目的年评价指标进行判定年评价指标中的年均浓度和相应百分位数24h平均或8h平均质量浓度满足GB3095中浓度限值要求的即为达标。对于超标的污染物计算其超标倍数和超标率。</w:t>
            </w:r>
          </w:p>
          <w:p w14:paraId="559CC904">
            <w:pPr>
              <w:pStyle w:val="16"/>
              <w:spacing w:before="38" w:line="356" w:lineRule="auto"/>
              <w:rPr>
                <w:rFonts w:hint="default" w:ascii="Times New Roman" w:hAnsi="Times New Roman" w:eastAsia="宋体" w:cs="Times New Roman"/>
                <w:b/>
                <w:bCs/>
                <w:color w:val="auto"/>
                <w:spacing w:val="-2"/>
                <w:sz w:val="24"/>
                <w:szCs w:val="24"/>
                <w:highlight w:val="none"/>
              </w:rPr>
            </w:pPr>
            <w:r>
              <w:rPr>
                <w:rFonts w:hint="default" w:ascii="Times New Roman" w:hAnsi="Times New Roman" w:cs="Times New Roman"/>
                <w:b/>
                <w:bCs/>
                <w:color w:val="auto"/>
                <w:spacing w:val="-2"/>
                <w:sz w:val="24"/>
                <w:szCs w:val="24"/>
                <w:highlight w:val="none"/>
                <w:lang w:val="en-US" w:eastAsia="zh-CN"/>
              </w:rPr>
              <w:t>2</w:t>
            </w:r>
            <w:r>
              <w:rPr>
                <w:rFonts w:hint="default" w:ascii="Times New Roman" w:hAnsi="Times New Roman" w:eastAsia="宋体" w:cs="Times New Roman"/>
                <w:b/>
                <w:bCs/>
                <w:color w:val="auto"/>
                <w:spacing w:val="-2"/>
                <w:sz w:val="24"/>
                <w:szCs w:val="24"/>
                <w:highlight w:val="none"/>
              </w:rPr>
              <w:t>.4空气质量达标区判定</w:t>
            </w:r>
          </w:p>
          <w:p w14:paraId="4CD49A77">
            <w:pPr>
              <w:pStyle w:val="16"/>
              <w:spacing w:before="38" w:line="356" w:lineRule="auto"/>
              <w:ind w:firstLine="482"/>
              <w:jc w:val="both"/>
              <w:rPr>
                <w:rFonts w:hint="eastAsia"/>
                <w:color w:val="auto"/>
              </w:rPr>
            </w:pPr>
            <w:r>
              <w:rPr>
                <w:rFonts w:hint="default" w:ascii="Times New Roman" w:hAnsi="Times New Roman" w:eastAsia="宋体" w:cs="Times New Roman"/>
                <w:color w:val="auto"/>
                <w:spacing w:val="-2"/>
                <w:sz w:val="24"/>
                <w:szCs w:val="24"/>
                <w:highlight w:val="none"/>
              </w:rPr>
              <w:t>根据《新疆维吾尔自治区2024年生态环境状况公报》，项目所在的行政区―昌吉回族自治州属于环境空气不达标区。根据新疆维吾尔自治区生态环境厅发布的《2024年12月和1—12月全区环境空气质量状况及排名》数据显示，昌吉回族自治州2024年基本污染物中SO</w:t>
            </w:r>
            <w:r>
              <w:rPr>
                <w:rFonts w:hint="default" w:ascii="Times New Roman" w:hAnsi="Times New Roman" w:eastAsia="宋体" w:cs="Times New Roman"/>
                <w:color w:val="auto"/>
                <w:spacing w:val="-2"/>
                <w:sz w:val="24"/>
                <w:szCs w:val="24"/>
                <w:highlight w:val="none"/>
                <w:vertAlign w:val="subscript"/>
              </w:rPr>
              <w:t>2</w:t>
            </w:r>
            <w:r>
              <w:rPr>
                <w:rFonts w:hint="default" w:ascii="Times New Roman" w:hAnsi="Times New Roman" w:eastAsia="宋体" w:cs="Times New Roman"/>
                <w:color w:val="auto"/>
                <w:spacing w:val="-2"/>
                <w:sz w:val="24"/>
                <w:szCs w:val="24"/>
                <w:highlight w:val="none"/>
              </w:rPr>
              <w:t>、NO</w:t>
            </w:r>
            <w:r>
              <w:rPr>
                <w:rFonts w:hint="default" w:ascii="Times New Roman" w:hAnsi="Times New Roman" w:eastAsia="宋体" w:cs="Times New Roman"/>
                <w:color w:val="auto"/>
                <w:spacing w:val="-2"/>
                <w:sz w:val="24"/>
                <w:szCs w:val="24"/>
                <w:highlight w:val="none"/>
                <w:vertAlign w:val="subscript"/>
              </w:rPr>
              <w:t>2</w:t>
            </w:r>
            <w:r>
              <w:rPr>
                <w:rFonts w:hint="default" w:ascii="Times New Roman" w:hAnsi="Times New Roman" w:eastAsia="宋体" w:cs="Times New Roman"/>
                <w:color w:val="auto"/>
                <w:spacing w:val="-2"/>
                <w:sz w:val="24"/>
                <w:szCs w:val="24"/>
                <w:highlight w:val="none"/>
              </w:rPr>
              <w:t>、CO、O</w:t>
            </w:r>
            <w:r>
              <w:rPr>
                <w:rFonts w:hint="default" w:ascii="Times New Roman" w:hAnsi="Times New Roman" w:eastAsia="宋体" w:cs="Times New Roman"/>
                <w:color w:val="auto"/>
                <w:spacing w:val="-2"/>
                <w:sz w:val="24"/>
                <w:szCs w:val="24"/>
                <w:highlight w:val="none"/>
                <w:vertAlign w:val="subscript"/>
              </w:rPr>
              <w:t>3</w:t>
            </w:r>
            <w:r>
              <w:rPr>
                <w:rFonts w:hint="default" w:ascii="Times New Roman" w:hAnsi="Times New Roman" w:eastAsia="宋体" w:cs="Times New Roman"/>
                <w:color w:val="auto"/>
                <w:spacing w:val="-2"/>
                <w:sz w:val="24"/>
                <w:szCs w:val="24"/>
                <w:highlight w:val="none"/>
              </w:rPr>
              <w:t>的现状浓度均符合《环境空气质量标准》（GB3095-2012）二级标准，PM</w:t>
            </w:r>
            <w:r>
              <w:rPr>
                <w:rFonts w:hint="default" w:ascii="Times New Roman" w:hAnsi="Times New Roman" w:eastAsia="宋体" w:cs="Times New Roman"/>
                <w:color w:val="auto"/>
                <w:spacing w:val="-2"/>
                <w:sz w:val="24"/>
                <w:szCs w:val="24"/>
                <w:highlight w:val="none"/>
                <w:vertAlign w:val="subscript"/>
              </w:rPr>
              <w:t>10</w:t>
            </w:r>
            <w:r>
              <w:rPr>
                <w:rFonts w:hint="default" w:ascii="Times New Roman" w:hAnsi="Times New Roman" w:eastAsia="宋体" w:cs="Times New Roman"/>
                <w:color w:val="auto"/>
                <w:spacing w:val="-2"/>
                <w:sz w:val="24"/>
                <w:szCs w:val="24"/>
                <w:highlight w:val="none"/>
              </w:rPr>
              <w:t>和PM</w:t>
            </w:r>
            <w:r>
              <w:rPr>
                <w:rFonts w:hint="default" w:ascii="Times New Roman" w:hAnsi="Times New Roman" w:eastAsia="宋体" w:cs="Times New Roman"/>
                <w:color w:val="auto"/>
                <w:spacing w:val="-2"/>
                <w:sz w:val="24"/>
                <w:szCs w:val="24"/>
                <w:highlight w:val="none"/>
                <w:vertAlign w:val="subscript"/>
              </w:rPr>
              <w:t>2.5</w:t>
            </w:r>
            <w:r>
              <w:rPr>
                <w:rFonts w:hint="default" w:ascii="Times New Roman" w:hAnsi="Times New Roman" w:eastAsia="宋体" w:cs="Times New Roman"/>
                <w:color w:val="auto"/>
                <w:spacing w:val="-2"/>
                <w:sz w:val="24"/>
                <w:szCs w:val="24"/>
                <w:highlight w:val="none"/>
              </w:rPr>
              <w:t>的现状浓度超标，具体数据见表</w:t>
            </w:r>
            <w:r>
              <w:rPr>
                <w:rFonts w:hint="eastAsia" w:ascii="Times New Roman" w:hAnsi="Times New Roman" w:eastAsia="宋体" w:cs="Times New Roman"/>
                <w:color w:val="auto"/>
                <w:spacing w:val="-2"/>
                <w:sz w:val="24"/>
                <w:szCs w:val="24"/>
                <w:highlight w:val="none"/>
                <w:lang w:val="en-US" w:eastAsia="zh-CN"/>
              </w:rPr>
              <w:t>3-4</w:t>
            </w:r>
            <w:r>
              <w:rPr>
                <w:rFonts w:hint="default" w:ascii="Times New Roman" w:hAnsi="Times New Roman" w:eastAsia="宋体" w:cs="Times New Roman"/>
                <w:color w:val="auto"/>
                <w:spacing w:val="-2"/>
                <w:sz w:val="24"/>
                <w:szCs w:val="24"/>
                <w:highlight w:val="none"/>
              </w:rPr>
              <w:t>。</w:t>
            </w:r>
            <w:bookmarkStart w:id="17" w:name="_Ref179977892"/>
            <w:bookmarkStart w:id="18" w:name="_Ref21430043"/>
          </w:p>
          <w:p w14:paraId="2AC9A146">
            <w:pPr>
              <w:pStyle w:val="5"/>
              <w:keepNext/>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w:t>
            </w:r>
            <w:bookmarkEnd w:id="17"/>
            <w:r>
              <w:rPr>
                <w:rFonts w:hint="default" w:ascii="Times New Roman" w:hAnsi="Times New Roman" w:eastAsia="宋体" w:cs="Times New Roman"/>
                <w:b/>
                <w:bCs/>
                <w:color w:val="auto"/>
                <w:lang w:val="en-US" w:eastAsia="zh-CN"/>
              </w:rPr>
              <w:t>3-4</w:t>
            </w:r>
            <w:r>
              <w:rPr>
                <w:rFonts w:hint="default" w:ascii="Times New Roman" w:hAnsi="Times New Roman" w:eastAsia="宋体" w:cs="Times New Roman"/>
                <w:b/>
                <w:bCs/>
                <w:color w:val="auto"/>
              </w:rPr>
              <w:t xml:space="preserve">  大气质量及评价结果一览表</w:t>
            </w:r>
          </w:p>
          <w:tbl>
            <w:tblPr>
              <w:tblStyle w:val="11"/>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16"/>
              <w:gridCol w:w="2364"/>
              <w:gridCol w:w="1288"/>
              <w:gridCol w:w="1159"/>
              <w:gridCol w:w="1161"/>
              <w:gridCol w:w="840"/>
            </w:tblGrid>
            <w:tr w14:paraId="51FE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703" w:type="pct"/>
                  <w:vAlign w:val="center"/>
                </w:tcPr>
                <w:p w14:paraId="793A1D27">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监测因子</w:t>
                  </w:r>
                </w:p>
              </w:tc>
              <w:tc>
                <w:tcPr>
                  <w:tcW w:w="1491" w:type="pct"/>
                  <w:vAlign w:val="center"/>
                </w:tcPr>
                <w:p w14:paraId="743AE300">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年评价指标</w:t>
                  </w:r>
                </w:p>
              </w:tc>
              <w:tc>
                <w:tcPr>
                  <w:tcW w:w="812" w:type="pct"/>
                  <w:vAlign w:val="center"/>
                </w:tcPr>
                <w:p w14:paraId="73DE9E37">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现状浓度</w:t>
                  </w:r>
                </w:p>
                <w:p w14:paraId="4BC114A8">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(μg/m</w:t>
                  </w:r>
                  <w:r>
                    <w:rPr>
                      <w:rFonts w:hint="default" w:ascii="Times New Roman" w:hAnsi="Times New Roman" w:cs="Times New Roman"/>
                      <w:color w:val="auto"/>
                      <w:vertAlign w:val="superscript"/>
                    </w:rPr>
                    <w:t>3</w:t>
                  </w:r>
                  <w:r>
                    <w:rPr>
                      <w:rFonts w:hint="default" w:ascii="Times New Roman" w:hAnsi="Times New Roman" w:cs="Times New Roman"/>
                      <w:color w:val="auto"/>
                      <w:vertAlign w:val="superscript"/>
                      <w:lang w:eastAsia="zh-CN"/>
                    </w:rPr>
                    <w:t>)</w:t>
                  </w:r>
                </w:p>
              </w:tc>
              <w:tc>
                <w:tcPr>
                  <w:tcW w:w="730" w:type="pct"/>
                  <w:vAlign w:val="center"/>
                </w:tcPr>
                <w:p w14:paraId="408E4570">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标准值</w:t>
                  </w:r>
                </w:p>
                <w:p w14:paraId="7002EBC5">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(μg/m</w:t>
                  </w:r>
                  <w:r>
                    <w:rPr>
                      <w:rFonts w:hint="default" w:ascii="Times New Roman" w:hAnsi="Times New Roman" w:cs="Times New Roman"/>
                      <w:color w:val="auto"/>
                      <w:vertAlign w:val="superscript"/>
                    </w:rPr>
                    <w:t>3)</w:t>
                  </w:r>
                </w:p>
              </w:tc>
              <w:tc>
                <w:tcPr>
                  <w:tcW w:w="732" w:type="pct"/>
                  <w:vAlign w:val="center"/>
                </w:tcPr>
                <w:p w14:paraId="4B417AF1">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占标率</w:t>
                  </w:r>
                </w:p>
                <w:p w14:paraId="37900686">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w:t>
                  </w:r>
                </w:p>
              </w:tc>
              <w:tc>
                <w:tcPr>
                  <w:tcW w:w="529" w:type="pct"/>
                  <w:vAlign w:val="center"/>
                </w:tcPr>
                <w:p w14:paraId="2EF875EF">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达标</w:t>
                  </w:r>
                </w:p>
                <w:p w14:paraId="75DC1F2E">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情况</w:t>
                  </w:r>
                </w:p>
              </w:tc>
            </w:tr>
            <w:tr w14:paraId="58FE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703" w:type="pct"/>
                  <w:vAlign w:val="center"/>
                </w:tcPr>
                <w:p w14:paraId="154382BA">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SO</w:t>
                  </w:r>
                  <w:r>
                    <w:rPr>
                      <w:rFonts w:hint="default" w:ascii="Times New Roman" w:hAnsi="Times New Roman" w:cs="Times New Roman"/>
                      <w:color w:val="auto"/>
                      <w:vertAlign w:val="subscript"/>
                    </w:rPr>
                    <w:t>2</w:t>
                  </w:r>
                </w:p>
              </w:tc>
              <w:tc>
                <w:tcPr>
                  <w:tcW w:w="1491" w:type="pct"/>
                  <w:vAlign w:val="center"/>
                </w:tcPr>
                <w:p w14:paraId="6518459B">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年平均值</w:t>
                  </w:r>
                </w:p>
              </w:tc>
              <w:tc>
                <w:tcPr>
                  <w:tcW w:w="812" w:type="pct"/>
                  <w:vAlign w:val="center"/>
                </w:tcPr>
                <w:p w14:paraId="6389F68A">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7</w:t>
                  </w:r>
                </w:p>
              </w:tc>
              <w:tc>
                <w:tcPr>
                  <w:tcW w:w="730" w:type="pct"/>
                  <w:vAlign w:val="center"/>
                </w:tcPr>
                <w:p w14:paraId="7D59C8DD">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60</w:t>
                  </w:r>
                </w:p>
              </w:tc>
              <w:tc>
                <w:tcPr>
                  <w:tcW w:w="732" w:type="pct"/>
                  <w:vAlign w:val="center"/>
                </w:tcPr>
                <w:p w14:paraId="0CA34D41">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11.67</w:t>
                  </w:r>
                </w:p>
              </w:tc>
              <w:tc>
                <w:tcPr>
                  <w:tcW w:w="529" w:type="pct"/>
                  <w:vAlign w:val="center"/>
                </w:tcPr>
                <w:p w14:paraId="26254F76">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达标</w:t>
                  </w:r>
                </w:p>
              </w:tc>
            </w:tr>
            <w:tr w14:paraId="3F623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703" w:type="pct"/>
                  <w:vAlign w:val="center"/>
                </w:tcPr>
                <w:p w14:paraId="1A588435">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NO</w:t>
                  </w:r>
                  <w:r>
                    <w:rPr>
                      <w:rFonts w:hint="default" w:ascii="Times New Roman" w:hAnsi="Times New Roman" w:cs="Times New Roman"/>
                      <w:color w:val="auto"/>
                      <w:vertAlign w:val="subscript"/>
                    </w:rPr>
                    <w:t>2</w:t>
                  </w:r>
                </w:p>
              </w:tc>
              <w:tc>
                <w:tcPr>
                  <w:tcW w:w="1491" w:type="pct"/>
                  <w:vAlign w:val="center"/>
                </w:tcPr>
                <w:p w14:paraId="01139A14">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年平均值</w:t>
                  </w:r>
                </w:p>
              </w:tc>
              <w:tc>
                <w:tcPr>
                  <w:tcW w:w="812" w:type="pct"/>
                  <w:vAlign w:val="center"/>
                </w:tcPr>
                <w:p w14:paraId="55833743">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30</w:t>
                  </w:r>
                </w:p>
              </w:tc>
              <w:tc>
                <w:tcPr>
                  <w:tcW w:w="730" w:type="pct"/>
                  <w:vAlign w:val="center"/>
                </w:tcPr>
                <w:p w14:paraId="38E890B4">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40</w:t>
                  </w:r>
                </w:p>
              </w:tc>
              <w:tc>
                <w:tcPr>
                  <w:tcW w:w="732" w:type="pct"/>
                  <w:vAlign w:val="center"/>
                </w:tcPr>
                <w:p w14:paraId="07525A50">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75.00</w:t>
                  </w:r>
                </w:p>
              </w:tc>
              <w:tc>
                <w:tcPr>
                  <w:tcW w:w="529" w:type="pct"/>
                  <w:vAlign w:val="center"/>
                </w:tcPr>
                <w:p w14:paraId="23EC349A">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达标</w:t>
                  </w:r>
                </w:p>
              </w:tc>
            </w:tr>
            <w:tr w14:paraId="32093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703" w:type="pct"/>
                  <w:vAlign w:val="center"/>
                </w:tcPr>
                <w:p w14:paraId="089122D5">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PM</w:t>
                  </w:r>
                  <w:r>
                    <w:rPr>
                      <w:rFonts w:hint="default" w:ascii="Times New Roman" w:hAnsi="Times New Roman" w:cs="Times New Roman"/>
                      <w:color w:val="auto"/>
                      <w:vertAlign w:val="subscript"/>
                    </w:rPr>
                    <w:t>10</w:t>
                  </w:r>
                </w:p>
              </w:tc>
              <w:tc>
                <w:tcPr>
                  <w:tcW w:w="1491" w:type="pct"/>
                  <w:vAlign w:val="center"/>
                </w:tcPr>
                <w:p w14:paraId="596B6FC6">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年平均值</w:t>
                  </w:r>
                </w:p>
              </w:tc>
              <w:tc>
                <w:tcPr>
                  <w:tcW w:w="812" w:type="pct"/>
                  <w:vAlign w:val="center"/>
                </w:tcPr>
                <w:p w14:paraId="3D3EF983">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75</w:t>
                  </w:r>
                </w:p>
              </w:tc>
              <w:tc>
                <w:tcPr>
                  <w:tcW w:w="730" w:type="pct"/>
                  <w:vAlign w:val="center"/>
                </w:tcPr>
                <w:p w14:paraId="37866D94">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70</w:t>
                  </w:r>
                </w:p>
              </w:tc>
              <w:tc>
                <w:tcPr>
                  <w:tcW w:w="732" w:type="pct"/>
                  <w:vAlign w:val="center"/>
                </w:tcPr>
                <w:p w14:paraId="2D9DBE87">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107.14</w:t>
                  </w:r>
                </w:p>
              </w:tc>
              <w:tc>
                <w:tcPr>
                  <w:tcW w:w="529" w:type="pct"/>
                  <w:vAlign w:val="center"/>
                </w:tcPr>
                <w:p w14:paraId="513B203E">
                  <w:pPr>
                    <w:pStyle w:val="21"/>
                    <w:adjustRightInd w:val="0"/>
                    <w:snapToGrid w:val="0"/>
                    <w:rPr>
                      <w:rFonts w:hint="default" w:ascii="Times New Roman" w:hAnsi="Times New Roman" w:cs="Times New Roman"/>
                      <w:color w:val="auto"/>
                    </w:rPr>
                  </w:pPr>
                  <w:r>
                    <w:rPr>
                      <w:rFonts w:hint="default" w:ascii="Times New Roman" w:hAnsi="Times New Roman" w:cs="Times New Roman"/>
                      <w:b/>
                      <w:color w:val="auto"/>
                    </w:rPr>
                    <w:t>超标</w:t>
                  </w:r>
                </w:p>
              </w:tc>
            </w:tr>
            <w:tr w14:paraId="5CC03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703" w:type="pct"/>
                  <w:vAlign w:val="center"/>
                </w:tcPr>
                <w:p w14:paraId="00E864E3">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PM</w:t>
                  </w:r>
                  <w:r>
                    <w:rPr>
                      <w:rFonts w:hint="default" w:ascii="Times New Roman" w:hAnsi="Times New Roman" w:cs="Times New Roman"/>
                      <w:color w:val="auto"/>
                      <w:vertAlign w:val="subscript"/>
                    </w:rPr>
                    <w:t>2.5</w:t>
                  </w:r>
                </w:p>
              </w:tc>
              <w:tc>
                <w:tcPr>
                  <w:tcW w:w="1491" w:type="pct"/>
                  <w:vAlign w:val="center"/>
                </w:tcPr>
                <w:p w14:paraId="56F6033A">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年平均值</w:t>
                  </w:r>
                </w:p>
              </w:tc>
              <w:tc>
                <w:tcPr>
                  <w:tcW w:w="812" w:type="pct"/>
                  <w:vAlign w:val="center"/>
                </w:tcPr>
                <w:p w14:paraId="5F653FD7">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40</w:t>
                  </w:r>
                </w:p>
              </w:tc>
              <w:tc>
                <w:tcPr>
                  <w:tcW w:w="730" w:type="pct"/>
                  <w:vAlign w:val="center"/>
                </w:tcPr>
                <w:p w14:paraId="6EFE9ADE">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35</w:t>
                  </w:r>
                </w:p>
              </w:tc>
              <w:tc>
                <w:tcPr>
                  <w:tcW w:w="732" w:type="pct"/>
                  <w:vAlign w:val="center"/>
                </w:tcPr>
                <w:p w14:paraId="1E490A6D">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114.29</w:t>
                  </w:r>
                </w:p>
              </w:tc>
              <w:tc>
                <w:tcPr>
                  <w:tcW w:w="529" w:type="pct"/>
                  <w:vAlign w:val="center"/>
                </w:tcPr>
                <w:p w14:paraId="68FF6513">
                  <w:pPr>
                    <w:pStyle w:val="21"/>
                    <w:adjustRightInd w:val="0"/>
                    <w:snapToGrid w:val="0"/>
                    <w:rPr>
                      <w:rFonts w:hint="default" w:ascii="Times New Roman" w:hAnsi="Times New Roman" w:cs="Times New Roman"/>
                      <w:color w:val="auto"/>
                    </w:rPr>
                  </w:pPr>
                  <w:r>
                    <w:rPr>
                      <w:rFonts w:hint="default" w:ascii="Times New Roman" w:hAnsi="Times New Roman" w:cs="Times New Roman"/>
                      <w:b/>
                      <w:color w:val="auto"/>
                    </w:rPr>
                    <w:t>超标</w:t>
                  </w:r>
                </w:p>
              </w:tc>
            </w:tr>
            <w:tr w14:paraId="50E02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703" w:type="pct"/>
                  <w:vAlign w:val="center"/>
                </w:tcPr>
                <w:p w14:paraId="12F2BEB4">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CO</w:t>
                  </w:r>
                </w:p>
              </w:tc>
              <w:tc>
                <w:tcPr>
                  <w:tcW w:w="1491" w:type="pct"/>
                  <w:vAlign w:val="center"/>
                </w:tcPr>
                <w:p w14:paraId="649F35D9">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24小时平均第95百分位数</w:t>
                  </w:r>
                </w:p>
              </w:tc>
              <w:tc>
                <w:tcPr>
                  <w:tcW w:w="812" w:type="pct"/>
                  <w:vAlign w:val="center"/>
                </w:tcPr>
                <w:p w14:paraId="45BC388E">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0.8(mg/m</w:t>
                  </w:r>
                  <w:r>
                    <w:rPr>
                      <w:rFonts w:hint="default" w:ascii="Times New Roman" w:hAnsi="Times New Roman" w:cs="Times New Roman"/>
                      <w:color w:val="auto"/>
                      <w:vertAlign w:val="superscript"/>
                    </w:rPr>
                    <w:t>3)</w:t>
                  </w:r>
                </w:p>
              </w:tc>
              <w:tc>
                <w:tcPr>
                  <w:tcW w:w="730" w:type="pct"/>
                  <w:vAlign w:val="center"/>
                </w:tcPr>
                <w:p w14:paraId="178F89F0">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4(mg/m</w:t>
                  </w:r>
                  <w:r>
                    <w:rPr>
                      <w:rFonts w:hint="default" w:ascii="Times New Roman" w:hAnsi="Times New Roman" w:cs="Times New Roman"/>
                      <w:color w:val="auto"/>
                      <w:vertAlign w:val="superscript"/>
                    </w:rPr>
                    <w:t>3)</w:t>
                  </w:r>
                </w:p>
              </w:tc>
              <w:tc>
                <w:tcPr>
                  <w:tcW w:w="732" w:type="pct"/>
                  <w:vAlign w:val="center"/>
                </w:tcPr>
                <w:p w14:paraId="463F9E1D">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20.00</w:t>
                  </w:r>
                </w:p>
              </w:tc>
              <w:tc>
                <w:tcPr>
                  <w:tcW w:w="529" w:type="pct"/>
                  <w:vAlign w:val="center"/>
                </w:tcPr>
                <w:p w14:paraId="4D8B5BF5">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达标</w:t>
                  </w:r>
                </w:p>
              </w:tc>
            </w:tr>
            <w:tr w14:paraId="31BA5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703" w:type="pct"/>
                  <w:vAlign w:val="center"/>
                </w:tcPr>
                <w:p w14:paraId="0588DC51">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O</w:t>
                  </w:r>
                  <w:r>
                    <w:rPr>
                      <w:rFonts w:hint="default" w:ascii="Times New Roman" w:hAnsi="Times New Roman" w:cs="Times New Roman"/>
                      <w:color w:val="auto"/>
                      <w:vertAlign w:val="subscript"/>
                    </w:rPr>
                    <w:t>3</w:t>
                  </w:r>
                </w:p>
              </w:tc>
              <w:tc>
                <w:tcPr>
                  <w:tcW w:w="1491" w:type="pct"/>
                  <w:vAlign w:val="center"/>
                </w:tcPr>
                <w:p w14:paraId="70782D04">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最大8小时平均第90百分位数</w:t>
                  </w:r>
                </w:p>
              </w:tc>
              <w:tc>
                <w:tcPr>
                  <w:tcW w:w="812" w:type="pct"/>
                  <w:vAlign w:val="center"/>
                </w:tcPr>
                <w:p w14:paraId="36277B69">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92</w:t>
                  </w:r>
                </w:p>
              </w:tc>
              <w:tc>
                <w:tcPr>
                  <w:tcW w:w="730" w:type="pct"/>
                  <w:vAlign w:val="center"/>
                </w:tcPr>
                <w:p w14:paraId="50965F01">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160</w:t>
                  </w:r>
                </w:p>
              </w:tc>
              <w:tc>
                <w:tcPr>
                  <w:tcW w:w="732" w:type="pct"/>
                  <w:vAlign w:val="center"/>
                </w:tcPr>
                <w:p w14:paraId="169B3C63">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57.50</w:t>
                  </w:r>
                </w:p>
              </w:tc>
              <w:tc>
                <w:tcPr>
                  <w:tcW w:w="529" w:type="pct"/>
                  <w:vAlign w:val="center"/>
                </w:tcPr>
                <w:p w14:paraId="1CC72CBD">
                  <w:pPr>
                    <w:pStyle w:val="21"/>
                    <w:adjustRightInd w:val="0"/>
                    <w:snapToGrid w:val="0"/>
                    <w:rPr>
                      <w:rFonts w:hint="default" w:ascii="Times New Roman" w:hAnsi="Times New Roman" w:cs="Times New Roman"/>
                      <w:color w:val="auto"/>
                    </w:rPr>
                  </w:pPr>
                  <w:r>
                    <w:rPr>
                      <w:rFonts w:hint="default" w:ascii="Times New Roman" w:hAnsi="Times New Roman" w:cs="Times New Roman"/>
                      <w:color w:val="auto"/>
                    </w:rPr>
                    <w:t>达标</w:t>
                  </w:r>
                </w:p>
              </w:tc>
            </w:tr>
            <w:bookmarkEnd w:id="18"/>
          </w:tbl>
          <w:p w14:paraId="229244E2">
            <w:pPr>
              <w:pStyle w:val="16"/>
              <w:spacing w:before="38" w:line="356" w:lineRule="auto"/>
              <w:rPr>
                <w:rFonts w:hint="default" w:ascii="Times New Roman" w:hAnsi="Times New Roman" w:eastAsia="宋体" w:cs="Times New Roman"/>
                <w:b/>
                <w:bCs/>
                <w:color w:val="auto"/>
                <w:spacing w:val="-2"/>
                <w:sz w:val="24"/>
                <w:szCs w:val="24"/>
                <w:highlight w:val="none"/>
              </w:rPr>
            </w:pPr>
            <w:r>
              <w:rPr>
                <w:rFonts w:hint="default" w:ascii="Times New Roman" w:hAnsi="Times New Roman" w:cs="Times New Roman"/>
                <w:b/>
                <w:bCs/>
                <w:color w:val="auto"/>
                <w:spacing w:val="-2"/>
                <w:sz w:val="24"/>
                <w:szCs w:val="24"/>
                <w:highlight w:val="none"/>
                <w:lang w:val="en-US" w:eastAsia="zh-CN"/>
              </w:rPr>
              <w:t>3</w:t>
            </w:r>
            <w:r>
              <w:rPr>
                <w:rFonts w:hint="default" w:ascii="Times New Roman" w:hAnsi="Times New Roman" w:eastAsia="宋体" w:cs="Times New Roman"/>
                <w:b/>
                <w:bCs/>
                <w:color w:val="auto"/>
                <w:spacing w:val="-2"/>
                <w:sz w:val="24"/>
                <w:szCs w:val="24"/>
                <w:highlight w:val="none"/>
                <w:lang w:val="en-US" w:eastAsia="zh-CN"/>
              </w:rPr>
              <w:t>.</w:t>
            </w:r>
            <w:r>
              <w:rPr>
                <w:rFonts w:hint="default" w:ascii="Times New Roman" w:hAnsi="Times New Roman" w:eastAsia="宋体" w:cs="Times New Roman"/>
                <w:b/>
                <w:bCs/>
                <w:color w:val="auto"/>
                <w:spacing w:val="-2"/>
                <w:sz w:val="24"/>
                <w:szCs w:val="24"/>
                <w:highlight w:val="none"/>
              </w:rPr>
              <w:t>声环境质量现状</w:t>
            </w:r>
          </w:p>
          <w:p w14:paraId="18287AED">
            <w:pPr>
              <w:pStyle w:val="16"/>
              <w:spacing w:before="38" w:line="356" w:lineRule="auto"/>
              <w:ind w:firstLine="482"/>
              <w:jc w:val="both"/>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2"/>
                <w:sz w:val="24"/>
                <w:szCs w:val="24"/>
                <w:highlight w:val="none"/>
              </w:rPr>
              <w:t>根据《建设项目环境影响报告表编制技术指南（生态影响类）（试行）》本项目50m范围内无声环境保护目标，因此，本项目可不开展声环境质量现状监测</w:t>
            </w:r>
            <w:r>
              <w:rPr>
                <w:rFonts w:hint="default" w:ascii="Times New Roman" w:hAnsi="Times New Roman" w:cs="Times New Roman"/>
                <w:color w:val="auto"/>
                <w:spacing w:val="-2"/>
                <w:sz w:val="24"/>
                <w:szCs w:val="24"/>
                <w:highlight w:val="none"/>
                <w:lang w:val="en-US" w:eastAsia="zh-CN"/>
              </w:rPr>
              <w:t>评价</w:t>
            </w:r>
            <w:r>
              <w:rPr>
                <w:rFonts w:hint="default" w:ascii="Times New Roman" w:hAnsi="Times New Roman" w:eastAsia="宋体" w:cs="Times New Roman"/>
                <w:color w:val="auto"/>
                <w:spacing w:val="-2"/>
                <w:sz w:val="24"/>
                <w:szCs w:val="24"/>
                <w:highlight w:val="none"/>
              </w:rPr>
              <w:t>。</w:t>
            </w:r>
          </w:p>
          <w:p w14:paraId="2431F295">
            <w:pPr>
              <w:pStyle w:val="16"/>
              <w:spacing w:before="38" w:line="360" w:lineRule="auto"/>
              <w:rPr>
                <w:rFonts w:hint="default" w:ascii="Times New Roman" w:hAnsi="Times New Roman" w:eastAsia="宋体" w:cs="Times New Roman"/>
                <w:b/>
                <w:bCs/>
                <w:color w:val="auto"/>
                <w:spacing w:val="-2"/>
                <w:sz w:val="24"/>
                <w:szCs w:val="24"/>
                <w:highlight w:val="none"/>
              </w:rPr>
            </w:pPr>
            <w:r>
              <w:rPr>
                <w:rFonts w:hint="default" w:ascii="Times New Roman" w:hAnsi="Times New Roman" w:cs="Times New Roman"/>
                <w:b/>
                <w:bCs/>
                <w:color w:val="auto"/>
                <w:spacing w:val="-2"/>
                <w:sz w:val="24"/>
                <w:szCs w:val="24"/>
                <w:highlight w:val="none"/>
                <w:lang w:val="en-US" w:eastAsia="zh-CN"/>
              </w:rPr>
              <w:t>4</w:t>
            </w:r>
            <w:r>
              <w:rPr>
                <w:rFonts w:hint="default" w:ascii="Times New Roman" w:hAnsi="Times New Roman" w:eastAsia="宋体" w:cs="Times New Roman"/>
                <w:b/>
                <w:bCs/>
                <w:color w:val="auto"/>
                <w:spacing w:val="-2"/>
                <w:sz w:val="24"/>
                <w:szCs w:val="24"/>
                <w:highlight w:val="none"/>
                <w:lang w:val="en-US" w:eastAsia="zh-CN"/>
              </w:rPr>
              <w:t>.</w:t>
            </w:r>
            <w:r>
              <w:rPr>
                <w:rFonts w:hint="eastAsia" w:ascii="Times New Roman" w:hAnsi="Times New Roman" w:cs="Times New Roman"/>
                <w:b/>
                <w:bCs/>
                <w:color w:val="auto"/>
                <w:spacing w:val="-2"/>
                <w:sz w:val="24"/>
                <w:szCs w:val="24"/>
                <w:highlight w:val="none"/>
                <w:lang w:val="en-US" w:eastAsia="zh-CN"/>
              </w:rPr>
              <w:t>地表</w:t>
            </w:r>
            <w:r>
              <w:rPr>
                <w:rFonts w:hint="default" w:ascii="Times New Roman" w:hAnsi="Times New Roman" w:eastAsia="宋体" w:cs="Times New Roman"/>
                <w:b/>
                <w:bCs/>
                <w:color w:val="auto"/>
                <w:spacing w:val="-2"/>
                <w:sz w:val="24"/>
                <w:szCs w:val="24"/>
                <w:highlight w:val="none"/>
              </w:rPr>
              <w:t>水</w:t>
            </w:r>
            <w:r>
              <w:rPr>
                <w:rFonts w:hint="eastAsia" w:ascii="Times New Roman" w:hAnsi="Times New Roman" w:cs="Times New Roman"/>
                <w:b/>
                <w:bCs/>
                <w:color w:val="auto"/>
                <w:spacing w:val="-2"/>
                <w:sz w:val="24"/>
                <w:szCs w:val="24"/>
                <w:highlight w:val="none"/>
                <w:lang w:val="en-US" w:eastAsia="zh-CN"/>
              </w:rPr>
              <w:t>和地下水</w:t>
            </w:r>
            <w:r>
              <w:rPr>
                <w:rFonts w:hint="default" w:ascii="Times New Roman" w:hAnsi="Times New Roman" w:eastAsia="宋体" w:cs="Times New Roman"/>
                <w:b/>
                <w:bCs/>
                <w:color w:val="auto"/>
                <w:spacing w:val="-2"/>
                <w:sz w:val="24"/>
                <w:szCs w:val="24"/>
                <w:highlight w:val="none"/>
              </w:rPr>
              <w:t>环境质量现状</w:t>
            </w:r>
          </w:p>
          <w:p w14:paraId="3F5DF9DF">
            <w:pPr>
              <w:pStyle w:val="16"/>
              <w:spacing w:before="38" w:line="356" w:lineRule="auto"/>
              <w:ind w:firstLine="482"/>
              <w:jc w:val="both"/>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2"/>
                <w:sz w:val="24"/>
                <w:szCs w:val="24"/>
                <w:highlight w:val="none"/>
              </w:rPr>
              <w:t>本工程井下作业废水全部回收，采用专用废液收集罐收集后运至</w:t>
            </w:r>
            <w:r>
              <w:rPr>
                <w:rFonts w:hint="default" w:ascii="Times New Roman" w:hAnsi="Times New Roman" w:eastAsia="宋体" w:cs="Times New Roman"/>
                <w:color w:val="auto"/>
                <w:sz w:val="24"/>
                <w:szCs w:val="24"/>
                <w:highlight w:val="none"/>
              </w:rPr>
              <w:t>吉</w:t>
            </w:r>
            <w:r>
              <w:rPr>
                <w:rFonts w:hint="default" w:ascii="Times New Roman" w:hAnsi="Times New Roman" w:cs="Times New Roman"/>
                <w:color w:val="auto"/>
                <w:sz w:val="24"/>
                <w:szCs w:val="24"/>
                <w:highlight w:val="none"/>
                <w:lang w:val="en-US" w:eastAsia="zh-CN"/>
              </w:rPr>
              <w:t>康</w:t>
            </w:r>
            <w:r>
              <w:rPr>
                <w:rFonts w:hint="default" w:ascii="Times New Roman" w:hAnsi="Times New Roman" w:eastAsia="宋体" w:cs="Times New Roman"/>
                <w:color w:val="auto"/>
                <w:sz w:val="24"/>
                <w:szCs w:val="24"/>
                <w:highlight w:val="none"/>
              </w:rPr>
              <w:t>脱水站</w:t>
            </w:r>
            <w:r>
              <w:rPr>
                <w:rFonts w:hint="default" w:ascii="Times New Roman" w:hAnsi="Times New Roman" w:eastAsia="宋体" w:cs="Times New Roman"/>
                <w:color w:val="auto"/>
                <w:spacing w:val="-2"/>
                <w:sz w:val="24"/>
                <w:szCs w:val="24"/>
                <w:highlight w:val="none"/>
              </w:rPr>
              <w:t>处理</w:t>
            </w:r>
            <w:r>
              <w:rPr>
                <w:rFonts w:hint="eastAsia" w:ascii="Times New Roman" w:hAnsi="Times New Roman" w:cs="Times New Roman"/>
                <w:color w:val="auto"/>
                <w:spacing w:val="-2"/>
                <w:sz w:val="24"/>
                <w:szCs w:val="24"/>
                <w:highlight w:val="none"/>
                <w:lang w:val="en-US" w:eastAsia="zh-CN"/>
              </w:rPr>
              <w:t>后回注</w:t>
            </w:r>
            <w:r>
              <w:rPr>
                <w:rFonts w:hint="default" w:ascii="Times New Roman" w:hAnsi="Times New Roman" w:eastAsia="宋体" w:cs="Times New Roman"/>
                <w:color w:val="auto"/>
                <w:spacing w:val="-2"/>
                <w:sz w:val="24"/>
                <w:szCs w:val="24"/>
                <w:highlight w:val="none"/>
              </w:rPr>
              <w:t>；施工期生活污水</w:t>
            </w:r>
            <w:r>
              <w:rPr>
                <w:rFonts w:hint="eastAsia" w:ascii="Times New Roman" w:hAnsi="Times New Roman" w:cs="Times New Roman"/>
                <w:color w:val="auto"/>
                <w:spacing w:val="-2"/>
                <w:sz w:val="24"/>
                <w:szCs w:val="24"/>
                <w:highlight w:val="none"/>
                <w:lang w:val="en-US" w:eastAsia="zh-CN"/>
              </w:rPr>
              <w:t>由施工队</w:t>
            </w:r>
            <w:r>
              <w:rPr>
                <w:rFonts w:hint="default" w:ascii="Times New Roman" w:hAnsi="Times New Roman" w:eastAsia="宋体" w:cs="Times New Roman"/>
                <w:color w:val="auto"/>
                <w:spacing w:val="-2"/>
                <w:sz w:val="24"/>
                <w:szCs w:val="24"/>
                <w:highlight w:val="none"/>
              </w:rPr>
              <w:t>清运至吉木萨尔县污水处理厂处理，不排入地表水体，项目不与当地地表水发生水利联系，根据《环境影响评价技术导则</w:t>
            </w:r>
            <w:r>
              <w:rPr>
                <w:rFonts w:hint="default" w:ascii="Times New Roman" w:hAnsi="Times New Roman" w:cs="Times New Roman"/>
                <w:color w:val="auto"/>
                <w:spacing w:val="-2"/>
                <w:sz w:val="24"/>
                <w:szCs w:val="24"/>
                <w:highlight w:val="none"/>
                <w:lang w:val="en-US" w:eastAsia="zh-CN"/>
              </w:rPr>
              <w:t xml:space="preserve"> </w:t>
            </w:r>
            <w:r>
              <w:rPr>
                <w:rFonts w:hint="default" w:ascii="Times New Roman" w:hAnsi="Times New Roman" w:eastAsia="宋体" w:cs="Times New Roman"/>
                <w:color w:val="auto"/>
                <w:spacing w:val="-2"/>
                <w:sz w:val="24"/>
                <w:szCs w:val="24"/>
                <w:highlight w:val="none"/>
              </w:rPr>
              <w:t>地表水环境》（HJ2.3-2018），本工程地表水评价等级为三级B，评价只对依托污水处理设施可行性进行分析，不进行地表水环境质量现状评价。</w:t>
            </w:r>
          </w:p>
          <w:p w14:paraId="37D5482A">
            <w:pPr>
              <w:pStyle w:val="16"/>
              <w:spacing w:before="38" w:line="356" w:lineRule="auto"/>
              <w:ind w:firstLine="482"/>
              <w:jc w:val="both"/>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2"/>
                <w:sz w:val="24"/>
                <w:szCs w:val="24"/>
                <w:highlight w:val="none"/>
              </w:rPr>
              <w:t>本工程行业类别是矿产资源地质勘查（含油气资源勘探），按照《环境影响评价技术导则-地下水环境》（HJ610-2016）标准划分，本工程为地下水环境影响评价中Ⅳ类项目，Ⅳ类建设项目不开展地下水环境影响评价，因此不进行地下水现状评价。</w:t>
            </w:r>
          </w:p>
          <w:p w14:paraId="56904F34">
            <w:pPr>
              <w:pStyle w:val="16"/>
              <w:spacing w:before="38" w:line="356" w:lineRule="auto"/>
              <w:rPr>
                <w:rFonts w:hint="default" w:ascii="Times New Roman" w:hAnsi="Times New Roman" w:eastAsia="宋体" w:cs="Times New Roman"/>
                <w:b/>
                <w:bCs/>
                <w:color w:val="auto"/>
                <w:spacing w:val="-2"/>
                <w:sz w:val="24"/>
                <w:szCs w:val="24"/>
                <w:highlight w:val="none"/>
              </w:rPr>
            </w:pPr>
            <w:r>
              <w:rPr>
                <w:rFonts w:hint="default" w:ascii="Times New Roman" w:hAnsi="Times New Roman" w:cs="Times New Roman"/>
                <w:b/>
                <w:bCs/>
                <w:color w:val="auto"/>
                <w:spacing w:val="-2"/>
                <w:sz w:val="24"/>
                <w:szCs w:val="24"/>
                <w:highlight w:val="none"/>
                <w:lang w:val="en-US" w:eastAsia="zh-CN"/>
              </w:rPr>
              <w:t>5</w:t>
            </w:r>
            <w:r>
              <w:rPr>
                <w:rFonts w:hint="default" w:ascii="Times New Roman" w:hAnsi="Times New Roman" w:eastAsia="宋体" w:cs="Times New Roman"/>
                <w:b/>
                <w:bCs/>
                <w:color w:val="auto"/>
                <w:spacing w:val="-2"/>
                <w:sz w:val="24"/>
                <w:szCs w:val="24"/>
                <w:highlight w:val="none"/>
                <w:lang w:val="en-US" w:eastAsia="zh-CN"/>
              </w:rPr>
              <w:t>.</w:t>
            </w:r>
            <w:r>
              <w:rPr>
                <w:rFonts w:hint="default" w:ascii="Times New Roman" w:hAnsi="Times New Roman" w:eastAsia="宋体" w:cs="Times New Roman"/>
                <w:b/>
                <w:bCs/>
                <w:color w:val="auto"/>
                <w:spacing w:val="-2"/>
                <w:sz w:val="24"/>
                <w:szCs w:val="24"/>
                <w:highlight w:val="none"/>
              </w:rPr>
              <w:t>土壤环境质量现状</w:t>
            </w:r>
          </w:p>
          <w:p w14:paraId="7DBA2A55">
            <w:pPr>
              <w:pStyle w:val="16"/>
              <w:spacing w:before="38" w:line="356" w:lineRule="auto"/>
              <w:ind w:firstLine="482"/>
              <w:jc w:val="both"/>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2"/>
                <w:sz w:val="24"/>
                <w:szCs w:val="24"/>
                <w:highlight w:val="none"/>
              </w:rPr>
              <w:t>根据《环境影响评价技术导则</w:t>
            </w:r>
            <w:r>
              <w:rPr>
                <w:rFonts w:hint="default" w:ascii="Times New Roman" w:hAnsi="Times New Roman" w:cs="Times New Roman"/>
                <w:color w:val="auto"/>
                <w:spacing w:val="-2"/>
                <w:sz w:val="24"/>
                <w:szCs w:val="24"/>
                <w:highlight w:val="none"/>
                <w:lang w:val="en-US" w:eastAsia="zh-CN"/>
              </w:rPr>
              <w:t xml:space="preserve"> </w:t>
            </w:r>
            <w:r>
              <w:rPr>
                <w:rFonts w:hint="default" w:ascii="Times New Roman" w:hAnsi="Times New Roman" w:eastAsia="宋体" w:cs="Times New Roman"/>
                <w:color w:val="auto"/>
                <w:spacing w:val="-2"/>
                <w:sz w:val="24"/>
                <w:szCs w:val="24"/>
                <w:highlight w:val="none"/>
              </w:rPr>
              <w:t>土壤环境（试行）》（HJ964-2018）中4.2.2</w:t>
            </w:r>
            <w:r>
              <w:rPr>
                <w:rFonts w:hint="eastAsia"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根据行业特征、工艺特点或规模大小等将建设项目类别分为Ⅰ类、Ⅱ类、Ⅲ类、Ⅳ类，其中Ⅳ类建设项目可不展开土壤环境影响评价；自身为敏感目标的建设项目，可根据需要仅对土壤现状进行调查</w:t>
            </w:r>
            <w:r>
              <w:rPr>
                <w:rFonts w:hint="eastAsia"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，本项目属于附录A中的其他行业项目，即为Ⅳ类建设项目可不开展土壤环境影响评价，钻井期采用泥浆不落地、罐区进行防渗，本次环评未开展土壤现状调查。</w:t>
            </w:r>
          </w:p>
        </w:tc>
      </w:tr>
      <w:tr w14:paraId="5EC39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0" w:hRule="atLeast"/>
          <w:jc w:val="center"/>
        </w:trPr>
        <w:tc>
          <w:tcPr>
            <w:tcW w:w="991" w:type="dxa"/>
            <w:tcBorders>
              <w:left w:val="single" w:color="000000" w:sz="4" w:space="0"/>
            </w:tcBorders>
            <w:shd w:val="clear" w:color="auto" w:fill="auto"/>
            <w:vAlign w:val="center"/>
          </w:tcPr>
          <w:p w14:paraId="6EF34432">
            <w:pPr>
              <w:pStyle w:val="16"/>
              <w:spacing w:before="171" w:line="228" w:lineRule="auto"/>
              <w:ind w:left="30"/>
              <w:jc w:val="center"/>
              <w:rPr>
                <w:rFonts w:hint="default" w:ascii="Times New Roman" w:hAnsi="Times New Roman" w:eastAsia="宋体" w:cs="Times New Roman"/>
                <w:snapToGrid w:val="0"/>
                <w:color w:val="auto"/>
                <w:kern w:val="0"/>
                <w:sz w:val="20"/>
                <w:szCs w:val="20"/>
                <w:highlight w:val="none"/>
                <w:lang w:val="en-US" w:eastAsia="en-US" w:bidi="ar-SA"/>
              </w:rPr>
            </w:pPr>
            <w:r>
              <w:rPr>
                <w:rFonts w:hint="default" w:ascii="Times New Roman" w:hAnsi="Times New Roman" w:eastAsia="宋体" w:cs="Times New Roman"/>
                <w:color w:val="auto"/>
                <w:spacing w:val="14"/>
                <w:sz w:val="24"/>
                <w:szCs w:val="24"/>
                <w:highlight w:val="none"/>
              </w:rPr>
              <w:t>与项目有关的原有</w:t>
            </w:r>
            <w:r>
              <w:rPr>
                <w:rFonts w:hint="default" w:ascii="Times New Roman" w:hAnsi="Times New Roman" w:eastAsia="宋体" w:cs="Times New Roman"/>
                <w:color w:val="auto"/>
                <w:spacing w:val="15"/>
                <w:sz w:val="24"/>
                <w:szCs w:val="24"/>
                <w:highlight w:val="none"/>
              </w:rPr>
              <w:t>环境污染</w:t>
            </w:r>
            <w:r>
              <w:rPr>
                <w:rFonts w:hint="default" w:ascii="Times New Roman" w:hAnsi="Times New Roman" w:eastAsia="宋体" w:cs="Times New Roman"/>
                <w:color w:val="auto"/>
                <w:spacing w:val="14"/>
                <w:sz w:val="24"/>
                <w:szCs w:val="24"/>
                <w:highlight w:val="none"/>
              </w:rPr>
              <w:t>和生态破</w:t>
            </w:r>
            <w:r>
              <w:rPr>
                <w:rFonts w:hint="default" w:ascii="Times New Roman" w:hAnsi="Times New Roman" w:eastAsia="宋体" w:cs="Times New Roman"/>
                <w:color w:val="auto"/>
                <w:spacing w:val="13"/>
                <w:sz w:val="24"/>
                <w:szCs w:val="24"/>
                <w:highlight w:val="none"/>
              </w:rPr>
              <w:t>坏问题</w:t>
            </w:r>
          </w:p>
        </w:tc>
        <w:tc>
          <w:tcPr>
            <w:tcW w:w="8108" w:type="dxa"/>
            <w:tcBorders>
              <w:right w:val="single" w:color="000000" w:sz="4" w:space="0"/>
            </w:tcBorders>
            <w:shd w:val="clear" w:color="auto" w:fill="auto"/>
            <w:vAlign w:val="center"/>
          </w:tcPr>
          <w:p w14:paraId="33B9F60E">
            <w:pPr>
              <w:pStyle w:val="16"/>
              <w:spacing w:before="78" w:line="219" w:lineRule="auto"/>
              <w:jc w:val="center"/>
              <w:rPr>
                <w:rFonts w:hint="default" w:ascii="Times New Roman" w:hAnsi="Times New Roman" w:eastAsia="宋体" w:cs="Times New Roman"/>
                <w:snapToGrid w:val="0"/>
                <w:color w:val="auto"/>
                <w:kern w:val="0"/>
                <w:sz w:val="24"/>
                <w:szCs w:val="24"/>
                <w:highlight w:val="none"/>
                <w:lang w:val="en-US" w:eastAsia="en-US" w:bidi="ar-SA"/>
              </w:rPr>
            </w:pPr>
            <w:r>
              <w:rPr>
                <w:rFonts w:hint="default" w:ascii="Times New Roman" w:hAnsi="Times New Roman" w:eastAsia="宋体" w:cs="Times New Roman"/>
                <w:color w:val="auto"/>
                <w:spacing w:val="-1"/>
                <w:sz w:val="24"/>
                <w:szCs w:val="24"/>
                <w:highlight w:val="none"/>
              </w:rPr>
              <w:t>本项目为新建项目，不存在原有环境污染和生态破坏问题。</w:t>
            </w:r>
          </w:p>
        </w:tc>
      </w:tr>
      <w:tr w14:paraId="36FAC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8" w:hRule="atLeast"/>
          <w:jc w:val="center"/>
        </w:trPr>
        <w:tc>
          <w:tcPr>
            <w:tcW w:w="991" w:type="dxa"/>
            <w:tcBorders>
              <w:left w:val="single" w:color="000000" w:sz="4" w:space="0"/>
            </w:tcBorders>
            <w:shd w:val="clear" w:color="auto" w:fill="auto"/>
            <w:vAlign w:val="center"/>
          </w:tcPr>
          <w:p w14:paraId="5CEE5245">
            <w:pPr>
              <w:pStyle w:val="16"/>
              <w:spacing w:before="171" w:line="228" w:lineRule="auto"/>
              <w:ind w:left="30" w:leftChars="0"/>
              <w:jc w:val="center"/>
              <w:rPr>
                <w:rFonts w:hint="default" w:ascii="Times New Roman" w:hAnsi="Times New Roman" w:eastAsia="宋体" w:cs="Times New Roman"/>
                <w:snapToGrid w:val="0"/>
                <w:color w:val="auto"/>
                <w:spacing w:val="13"/>
                <w:kern w:val="0"/>
                <w:sz w:val="20"/>
                <w:szCs w:val="20"/>
                <w:highlight w:val="none"/>
                <w:lang w:val="en-US" w:eastAsia="en-US" w:bidi="ar-SA"/>
              </w:rPr>
            </w:pPr>
            <w:r>
              <w:rPr>
                <w:rFonts w:hint="default" w:ascii="Times New Roman" w:hAnsi="Times New Roman" w:eastAsia="宋体" w:cs="Times New Roman"/>
                <w:color w:val="auto"/>
                <w:spacing w:val="14"/>
                <w:sz w:val="24"/>
                <w:szCs w:val="24"/>
                <w:highlight w:val="none"/>
              </w:rPr>
              <w:t>生态环境保护目标</w:t>
            </w:r>
          </w:p>
        </w:tc>
        <w:tc>
          <w:tcPr>
            <w:tcW w:w="8108" w:type="dxa"/>
            <w:tcBorders>
              <w:right w:val="single" w:color="000000" w:sz="4" w:space="0"/>
            </w:tcBorders>
            <w:shd w:val="clear" w:color="auto" w:fill="auto"/>
            <w:vAlign w:val="top"/>
          </w:tcPr>
          <w:p w14:paraId="67C974B1">
            <w:pPr>
              <w:pStyle w:val="16"/>
              <w:spacing w:before="38" w:line="356" w:lineRule="auto"/>
              <w:jc w:val="both"/>
              <w:rPr>
                <w:rFonts w:hint="default" w:ascii="Times New Roman" w:hAnsi="Times New Roman" w:eastAsia="宋体" w:cs="Times New Roman"/>
                <w:b/>
                <w:bCs/>
                <w:color w:val="auto"/>
                <w:spacing w:val="-2"/>
                <w:sz w:val="24"/>
                <w:szCs w:val="24"/>
                <w:highlight w:val="none"/>
              </w:rPr>
            </w:pPr>
            <w:r>
              <w:rPr>
                <w:rFonts w:hint="default" w:ascii="Times New Roman" w:hAnsi="Times New Roman" w:eastAsia="宋体" w:cs="Times New Roman"/>
                <w:b/>
                <w:bCs/>
                <w:color w:val="auto"/>
                <w:spacing w:val="-2"/>
                <w:sz w:val="24"/>
                <w:szCs w:val="24"/>
                <w:highlight w:val="none"/>
              </w:rPr>
              <w:t>1</w:t>
            </w:r>
            <w:r>
              <w:rPr>
                <w:rFonts w:hint="default" w:ascii="Times New Roman" w:hAnsi="Times New Roman" w:eastAsia="宋体" w:cs="Times New Roman"/>
                <w:b/>
                <w:bCs/>
                <w:color w:val="auto"/>
                <w:spacing w:val="-2"/>
                <w:sz w:val="24"/>
                <w:szCs w:val="24"/>
                <w:highlight w:val="none"/>
                <w:lang w:val="en-US" w:eastAsia="zh-CN"/>
              </w:rPr>
              <w:t>.</w:t>
            </w:r>
            <w:r>
              <w:rPr>
                <w:rFonts w:hint="default" w:ascii="Times New Roman" w:hAnsi="Times New Roman" w:eastAsia="宋体" w:cs="Times New Roman"/>
                <w:b/>
                <w:bCs/>
                <w:color w:val="auto"/>
                <w:spacing w:val="-2"/>
                <w:sz w:val="24"/>
                <w:szCs w:val="24"/>
                <w:highlight w:val="none"/>
              </w:rPr>
              <w:t>环境保护目标</w:t>
            </w:r>
          </w:p>
          <w:p w14:paraId="35DFB7B8">
            <w:pPr>
              <w:pStyle w:val="16"/>
              <w:spacing w:before="38" w:line="356" w:lineRule="auto"/>
              <w:ind w:firstLine="482"/>
              <w:jc w:val="both"/>
              <w:rPr>
                <w:rFonts w:hint="eastAsia"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rPr>
              <w:t>参照《环境影响评价技术导则大气环境》（HJ2.2-2018）、《环境影响评价技术导则 声环境》（HJ2.4-2021）、《环境影响评价技术导则 土壤环境（试行）》（HJ964-2018）、《环境影响评价技术导则 生态影响》（HJ19-2022）、《环境影响评价技术导则</w:t>
            </w:r>
            <w:r>
              <w:rPr>
                <w:rFonts w:hint="eastAsia" w:ascii="Times New Roman" w:hAnsi="Times New Roman" w:cs="Times New Roman"/>
                <w:color w:val="auto"/>
                <w:spacing w:val="-2"/>
                <w:sz w:val="24"/>
                <w:szCs w:val="24"/>
                <w:highlight w:val="none"/>
                <w:lang w:val="en-US" w:eastAsia="zh-CN"/>
              </w:rPr>
              <w:t xml:space="preserve"> </w:t>
            </w:r>
            <w:r>
              <w:rPr>
                <w:rFonts w:hint="default" w:ascii="Times New Roman" w:hAnsi="Times New Roman" w:eastAsia="宋体" w:cs="Times New Roman"/>
                <w:color w:val="auto"/>
                <w:spacing w:val="-2"/>
                <w:sz w:val="24"/>
                <w:szCs w:val="24"/>
                <w:highlight w:val="none"/>
              </w:rPr>
              <w:t>地表水环境》（HJ2.3-2018）、《环境影响评价技术导则</w:t>
            </w:r>
            <w:r>
              <w:rPr>
                <w:rFonts w:hint="eastAsia" w:ascii="Times New Roman" w:hAnsi="Times New Roman" w:cs="Times New Roman"/>
                <w:color w:val="auto"/>
                <w:spacing w:val="-2"/>
                <w:sz w:val="24"/>
                <w:szCs w:val="24"/>
                <w:highlight w:val="none"/>
                <w:lang w:val="en-US" w:eastAsia="zh-CN"/>
              </w:rPr>
              <w:t xml:space="preserve"> </w:t>
            </w:r>
            <w:r>
              <w:rPr>
                <w:rFonts w:hint="default" w:ascii="Times New Roman" w:hAnsi="Times New Roman" w:eastAsia="宋体" w:cs="Times New Roman"/>
                <w:color w:val="auto"/>
                <w:spacing w:val="-2"/>
                <w:sz w:val="24"/>
                <w:szCs w:val="24"/>
                <w:highlight w:val="none"/>
              </w:rPr>
              <w:t>地下水环境》（HJ610-2016）、《建设项目环境风险评价技术导则》（HJ169-2018）、《环境影响评价技术导则</w:t>
            </w:r>
            <w:r>
              <w:rPr>
                <w:rFonts w:hint="eastAsia" w:ascii="Times New Roman" w:hAnsi="Times New Roman" w:cs="Times New Roman"/>
                <w:color w:val="auto"/>
                <w:spacing w:val="-2"/>
                <w:sz w:val="24"/>
                <w:szCs w:val="24"/>
                <w:highlight w:val="none"/>
                <w:lang w:val="en-US" w:eastAsia="zh-CN"/>
              </w:rPr>
              <w:t xml:space="preserve"> </w:t>
            </w:r>
            <w:r>
              <w:rPr>
                <w:rFonts w:hint="default" w:ascii="Times New Roman" w:hAnsi="Times New Roman" w:eastAsia="宋体" w:cs="Times New Roman"/>
                <w:color w:val="auto"/>
                <w:spacing w:val="-2"/>
                <w:sz w:val="24"/>
                <w:szCs w:val="24"/>
                <w:highlight w:val="none"/>
              </w:rPr>
              <w:t>陆地石油天然气开发建设项目》（HJ/T349-2023）等相关导则要求，本项目大气环境、地表水环境、地下水环境、土壤环境、环境风险均不设评价范围</w:t>
            </w:r>
            <w:r>
              <w:rPr>
                <w:rFonts w:hint="eastAsia" w:ascii="Times New Roman" w:hAnsi="Times New Roman" w:cs="Times New Roman"/>
                <w:color w:val="auto"/>
                <w:spacing w:val="-2"/>
                <w:sz w:val="24"/>
                <w:szCs w:val="24"/>
                <w:highlight w:val="none"/>
                <w:lang w:eastAsia="zh-CN"/>
              </w:rPr>
              <w:t>。</w:t>
            </w:r>
          </w:p>
          <w:p w14:paraId="23A84AE8">
            <w:pPr>
              <w:pStyle w:val="16"/>
              <w:spacing w:before="38" w:line="356" w:lineRule="auto"/>
              <w:ind w:firstLine="472" w:firstLineChars="200"/>
              <w:jc w:val="both"/>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2"/>
                <w:sz w:val="24"/>
                <w:szCs w:val="24"/>
                <w:highlight w:val="none"/>
              </w:rPr>
              <w:t>根据现场调查，项目周边50m范围内无自然保护区、风景名胜区、居住区、文化区、人群较集中的区域，周边50m范围内无声环境保护目标，项目占地范围内无地下水集中式饮用水水源和热水、矿泉水、温泉等特殊地下水资源。生态环境评价范围内的野生动植物保护要求为禁止随意踩踏碾压、砍伐，保护野生动植物生境不被破坏，禁止随意踩踏碾压野生植被，车辆</w:t>
            </w:r>
            <w:r>
              <w:rPr>
                <w:rFonts w:hint="eastAsia" w:ascii="Times New Roman" w:hAnsi="Times New Roman" w:cs="Times New Roman"/>
                <w:color w:val="auto"/>
                <w:spacing w:val="-2"/>
                <w:sz w:val="24"/>
                <w:szCs w:val="24"/>
                <w:highlight w:val="none"/>
                <w:lang w:eastAsia="zh-CN"/>
              </w:rPr>
              <w:t>行驶</w:t>
            </w:r>
            <w:r>
              <w:rPr>
                <w:rFonts w:hint="default" w:ascii="Times New Roman" w:hAnsi="Times New Roman" w:eastAsia="宋体" w:cs="Times New Roman"/>
                <w:color w:val="auto"/>
                <w:spacing w:val="-2"/>
                <w:sz w:val="24"/>
                <w:szCs w:val="24"/>
                <w:highlight w:val="none"/>
              </w:rPr>
              <w:t>及物料堆放等禁止占用周边的耕地。根据本项目特性和所在地环境特征，本项目环境保护目标具体情况见表3-</w:t>
            </w:r>
            <w:r>
              <w:rPr>
                <w:rFonts w:hint="default" w:ascii="Times New Roman" w:hAnsi="Times New Roman" w:cs="Times New Roman"/>
                <w:color w:val="auto"/>
                <w:spacing w:val="-2"/>
                <w:sz w:val="24"/>
                <w:szCs w:val="24"/>
                <w:highlight w:val="none"/>
                <w:lang w:val="en-US" w:eastAsia="zh-CN"/>
              </w:rPr>
              <w:t>5</w:t>
            </w:r>
            <w:r>
              <w:rPr>
                <w:rFonts w:hint="default" w:ascii="Times New Roman" w:hAnsi="Times New Roman" w:eastAsia="宋体" w:cs="Times New Roman"/>
                <w:color w:val="auto"/>
                <w:spacing w:val="-2"/>
                <w:sz w:val="24"/>
                <w:szCs w:val="24"/>
                <w:highlight w:val="none"/>
              </w:rPr>
              <w:t>。</w:t>
            </w:r>
          </w:p>
          <w:p w14:paraId="4E54ADBC">
            <w:pPr>
              <w:pStyle w:val="16"/>
              <w:spacing w:before="38" w:line="240" w:lineRule="auto"/>
              <w:jc w:val="center"/>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表3-</w:t>
            </w:r>
            <w:r>
              <w:rPr>
                <w:rFonts w:hint="default" w:ascii="Times New Roman" w:hAnsi="Times New Roman" w:cs="Times New Roman"/>
                <w:b/>
                <w:bCs/>
                <w:color w:val="auto"/>
                <w:spacing w:val="-2"/>
                <w:sz w:val="21"/>
                <w:szCs w:val="21"/>
                <w:highlight w:val="none"/>
                <w:lang w:val="en-US" w:eastAsia="zh-CN"/>
              </w:rPr>
              <w:t>5</w:t>
            </w:r>
            <w:r>
              <w:rPr>
                <w:rFonts w:hint="default" w:ascii="Times New Roman" w:hAnsi="Times New Roman" w:eastAsia="宋体" w:cs="Times New Roman"/>
                <w:b/>
                <w:bCs/>
                <w:color w:val="auto"/>
                <w:spacing w:val="-2"/>
                <w:sz w:val="21"/>
                <w:szCs w:val="21"/>
                <w:highlight w:val="none"/>
              </w:rPr>
              <w:t xml:space="preserve"> 主要环境敏感目标一览表</w:t>
            </w:r>
          </w:p>
          <w:tbl>
            <w:tblPr>
              <w:tblStyle w:val="11"/>
              <w:tblW w:w="79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27"/>
              <w:gridCol w:w="1255"/>
              <w:gridCol w:w="682"/>
              <w:gridCol w:w="4894"/>
            </w:tblGrid>
            <w:tr w14:paraId="3E70B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jc w:val="center"/>
              </w:trPr>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A65D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保护要素</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DBD95">
                  <w:pPr>
                    <w:keepNext w:val="0"/>
                    <w:keepLines w:val="0"/>
                    <w:widowControl/>
                    <w:suppressLineNumbers w:val="0"/>
                    <w:jc w:val="left"/>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保护对象</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9284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规模</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3575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保护级别</w:t>
                  </w:r>
                </w:p>
              </w:tc>
            </w:tr>
            <w:tr w14:paraId="272FD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 w:hRule="atLeast"/>
                <w:jc w:val="center"/>
              </w:trPr>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479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环境空气</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46815">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项目区周边</w:t>
                  </w:r>
                  <w:r>
                    <w:rPr>
                      <w:rFonts w:hint="eastAsia" w:ascii="Times New Roman" w:hAnsi="Times New Roman" w:eastAsia="宋体" w:cs="Times New Roman"/>
                      <w:i w:val="0"/>
                      <w:iCs w:val="0"/>
                      <w:snapToGrid w:val="0"/>
                      <w:color w:val="auto"/>
                      <w:kern w:val="0"/>
                      <w:sz w:val="21"/>
                      <w:szCs w:val="21"/>
                      <w:u w:val="none"/>
                      <w:lang w:val="en-US" w:eastAsia="zh-CN" w:bidi="ar"/>
                    </w:rPr>
                    <w:t>大</w:t>
                  </w:r>
                  <w:r>
                    <w:rPr>
                      <w:rFonts w:hint="default" w:ascii="Times New Roman" w:hAnsi="Times New Roman" w:eastAsia="宋体" w:cs="Times New Roman"/>
                      <w:i w:val="0"/>
                      <w:iCs w:val="0"/>
                      <w:snapToGrid w:val="0"/>
                      <w:color w:val="auto"/>
                      <w:kern w:val="0"/>
                      <w:sz w:val="21"/>
                      <w:szCs w:val="21"/>
                      <w:u w:val="none"/>
                      <w:lang w:val="en-US" w:eastAsia="zh-CN" w:bidi="ar"/>
                    </w:rPr>
                    <w:t>气环境</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AFC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33F45">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符合《环境空气质量标准》(GB3095-2012)的二级标准</w:t>
                  </w:r>
                </w:p>
              </w:tc>
            </w:tr>
            <w:tr w14:paraId="38968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 w:hRule="atLeast"/>
                <w:jc w:val="center"/>
              </w:trPr>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4D7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声环境</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30DE1">
                  <w:pPr>
                    <w:keepNext w:val="0"/>
                    <w:keepLines w:val="0"/>
                    <w:widowControl/>
                    <w:suppressLineNumbers w:val="0"/>
                    <w:ind w:firstLineChars="20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无</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1EC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119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《声环境质量标准》(GB3096—2008)2类标准。</w:t>
                  </w:r>
                </w:p>
              </w:tc>
            </w:tr>
            <w:tr w14:paraId="749C7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 w:hRule="atLeast"/>
                <w:jc w:val="center"/>
              </w:trPr>
              <w:tc>
                <w:tcPr>
                  <w:tcW w:w="11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C831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生态环境</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3C0D2">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荒漠植被、野生动物</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DD8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D4A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保护生境不被破坏，保护植被，禁止捕杀野生动物。</w:t>
                  </w:r>
                </w:p>
              </w:tc>
            </w:tr>
            <w:tr w14:paraId="3DF85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 w:hRule="atLeast"/>
                <w:jc w:val="center"/>
              </w:trPr>
              <w:tc>
                <w:tcPr>
                  <w:tcW w:w="11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68A19">
                  <w:pPr>
                    <w:jc w:val="center"/>
                    <w:rPr>
                      <w:rFonts w:hint="default" w:ascii="Times New Roman" w:hAnsi="Times New Roman" w:eastAsia="宋体" w:cs="Times New Roman"/>
                      <w:i w:val="0"/>
                      <w:iCs w:val="0"/>
                      <w:color w:val="auto"/>
                      <w:sz w:val="21"/>
                      <w:szCs w:val="21"/>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C9C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水土流失预防</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F66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B5C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保护项目区域生态系统完整性和稳定性，做好植被恢复与水土保持工作。</w:t>
                  </w:r>
                </w:p>
              </w:tc>
            </w:tr>
            <w:tr w14:paraId="16AC7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 w:hRule="atLeast"/>
                <w:jc w:val="center"/>
              </w:trPr>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C5A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水环境</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CD8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区域地下水</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DEA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w:t>
                  </w:r>
                </w:p>
              </w:tc>
              <w:tc>
                <w:tcPr>
                  <w:tcW w:w="4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2D2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确保地下水不受污染</w:t>
                  </w:r>
                </w:p>
              </w:tc>
            </w:tr>
          </w:tbl>
          <w:p w14:paraId="618BBADF">
            <w:pPr>
              <w:pStyle w:val="16"/>
              <w:spacing w:before="38" w:line="356" w:lineRule="auto"/>
              <w:jc w:val="both"/>
              <w:rPr>
                <w:rFonts w:hint="default" w:ascii="Times New Roman" w:hAnsi="Times New Roman" w:eastAsia="宋体" w:cs="Times New Roman"/>
                <w:b/>
                <w:bCs/>
                <w:color w:val="auto"/>
                <w:spacing w:val="-2"/>
                <w:sz w:val="24"/>
                <w:szCs w:val="24"/>
                <w:highlight w:val="none"/>
              </w:rPr>
            </w:pPr>
            <w:r>
              <w:rPr>
                <w:rFonts w:hint="default" w:ascii="Times New Roman" w:hAnsi="Times New Roman" w:eastAsia="宋体" w:cs="Times New Roman"/>
                <w:b/>
                <w:bCs/>
                <w:color w:val="auto"/>
                <w:spacing w:val="-2"/>
                <w:sz w:val="24"/>
                <w:szCs w:val="24"/>
                <w:highlight w:val="none"/>
              </w:rPr>
              <w:t>2</w:t>
            </w:r>
            <w:r>
              <w:rPr>
                <w:rFonts w:hint="default" w:ascii="Times New Roman" w:hAnsi="Times New Roman" w:eastAsia="宋体" w:cs="Times New Roman"/>
                <w:b/>
                <w:bCs/>
                <w:color w:val="auto"/>
                <w:spacing w:val="-2"/>
                <w:sz w:val="24"/>
                <w:szCs w:val="24"/>
                <w:highlight w:val="none"/>
                <w:lang w:val="en-US" w:eastAsia="zh-CN"/>
              </w:rPr>
              <w:t>.</w:t>
            </w:r>
            <w:r>
              <w:rPr>
                <w:rFonts w:hint="default" w:ascii="Times New Roman" w:hAnsi="Times New Roman" w:eastAsia="宋体" w:cs="Times New Roman"/>
                <w:b/>
                <w:bCs/>
                <w:color w:val="auto"/>
                <w:spacing w:val="-2"/>
                <w:sz w:val="24"/>
                <w:szCs w:val="24"/>
                <w:highlight w:val="none"/>
              </w:rPr>
              <w:t>保护要求</w:t>
            </w:r>
          </w:p>
          <w:p w14:paraId="700E0499">
            <w:pPr>
              <w:pStyle w:val="16"/>
              <w:spacing w:before="38" w:line="356" w:lineRule="auto"/>
              <w:ind w:firstLine="482"/>
              <w:jc w:val="both"/>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2"/>
                <w:sz w:val="24"/>
                <w:szCs w:val="24"/>
                <w:highlight w:val="none"/>
              </w:rPr>
              <w:t>（1）保护项目所在区域的空气质量，保持现有空气质量级别，不因本项目的建设降低环境空气质量；</w:t>
            </w:r>
          </w:p>
          <w:p w14:paraId="495FDC52">
            <w:pPr>
              <w:pStyle w:val="16"/>
              <w:spacing w:before="38" w:line="356" w:lineRule="auto"/>
              <w:ind w:firstLine="482"/>
              <w:jc w:val="both"/>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2"/>
                <w:sz w:val="24"/>
                <w:szCs w:val="24"/>
                <w:highlight w:val="none"/>
              </w:rPr>
              <w:t>（2）保护项目所在区域地下水质量保持在现有水平，不受本项目所排废水的影响；</w:t>
            </w:r>
          </w:p>
          <w:p w14:paraId="51CDA2AA">
            <w:pPr>
              <w:pStyle w:val="16"/>
              <w:spacing w:before="38" w:line="356" w:lineRule="auto"/>
              <w:ind w:firstLine="482"/>
              <w:jc w:val="both"/>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2"/>
                <w:sz w:val="24"/>
                <w:szCs w:val="24"/>
                <w:highlight w:val="none"/>
              </w:rPr>
              <w:t>（3）保护项目区声环境质量现状，符合《声环境质量标准》（GB3096-2008）的2类声环境功能限值；</w:t>
            </w:r>
          </w:p>
          <w:p w14:paraId="632AF6E5">
            <w:pPr>
              <w:pStyle w:val="16"/>
              <w:spacing w:before="38" w:line="356" w:lineRule="auto"/>
              <w:ind w:firstLine="482"/>
              <w:jc w:val="both"/>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2"/>
                <w:sz w:val="24"/>
                <w:szCs w:val="24"/>
                <w:highlight w:val="none"/>
              </w:rPr>
              <w:t>（4）生态环境保护目标：本工程需保护项目区生态环境，使项目的建成对项目区生态环境影响较小；</w:t>
            </w:r>
          </w:p>
          <w:p w14:paraId="7A1427D6">
            <w:pPr>
              <w:pStyle w:val="16"/>
              <w:spacing w:before="38" w:line="356" w:lineRule="auto"/>
              <w:ind w:firstLine="482"/>
              <w:jc w:val="both"/>
              <w:rPr>
                <w:rFonts w:hint="default" w:ascii="Times New Roman" w:hAnsi="Times New Roman" w:eastAsia="宋体" w:cs="Times New Roman"/>
                <w:b/>
                <w:bCs/>
                <w:snapToGrid w:val="0"/>
                <w:color w:val="auto"/>
                <w:spacing w:val="5"/>
                <w:kern w:val="0"/>
                <w:sz w:val="20"/>
                <w:szCs w:val="20"/>
                <w:highlight w:val="none"/>
                <w:lang w:val="en-US" w:eastAsia="en-US" w:bidi="ar-SA"/>
              </w:rPr>
            </w:pPr>
            <w:r>
              <w:rPr>
                <w:rFonts w:hint="default" w:ascii="Times New Roman" w:hAnsi="Times New Roman" w:eastAsia="宋体" w:cs="Times New Roman"/>
                <w:color w:val="auto"/>
                <w:spacing w:val="-2"/>
                <w:sz w:val="24"/>
                <w:szCs w:val="24"/>
                <w:highlight w:val="none"/>
              </w:rPr>
              <w:t>（5）土壤环境质量项目范围内按照《土壤环境质量建设用地土壤污染风险管控标准</w:t>
            </w:r>
            <w:r>
              <w:rPr>
                <w:rFonts w:hint="eastAsia" w:ascii="Times New Roman" w:hAnsi="Times New Roman" w:cs="Times New Roman"/>
                <w:color w:val="auto"/>
                <w:spacing w:val="-2"/>
                <w:sz w:val="24"/>
                <w:szCs w:val="24"/>
                <w:highlight w:val="none"/>
                <w:lang w:eastAsia="zh-CN"/>
              </w:rPr>
              <w:t>（试行）》</w:t>
            </w:r>
            <w:r>
              <w:rPr>
                <w:rFonts w:hint="default" w:ascii="Times New Roman" w:hAnsi="Times New Roman" w:eastAsia="宋体" w:cs="Times New Roman"/>
                <w:color w:val="auto"/>
                <w:spacing w:val="-2"/>
                <w:sz w:val="24"/>
                <w:szCs w:val="24"/>
                <w:highlight w:val="none"/>
              </w:rPr>
              <w:t>第二类用地筛选值标准执行</w:t>
            </w:r>
            <w:r>
              <w:rPr>
                <w:rFonts w:hint="default" w:ascii="Times New Roman" w:hAnsi="Times New Roman" w:cs="Times New Roman"/>
                <w:color w:val="auto"/>
                <w:spacing w:val="-2"/>
                <w:sz w:val="24"/>
                <w:szCs w:val="24"/>
                <w:highlight w:val="none"/>
                <w:lang w:eastAsia="zh-CN"/>
              </w:rPr>
              <w:t>。</w:t>
            </w:r>
          </w:p>
        </w:tc>
      </w:tr>
      <w:tr w14:paraId="3A70B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2" w:hRule="atLeast"/>
          <w:jc w:val="center"/>
        </w:trPr>
        <w:tc>
          <w:tcPr>
            <w:tcW w:w="991" w:type="dxa"/>
            <w:tcBorders>
              <w:left w:val="single" w:color="000000" w:sz="4" w:space="0"/>
              <w:bottom w:val="single" w:color="auto" w:sz="4" w:space="0"/>
            </w:tcBorders>
            <w:shd w:val="clear" w:color="auto" w:fill="auto"/>
            <w:vAlign w:val="center"/>
          </w:tcPr>
          <w:p w14:paraId="43375DE0">
            <w:pPr>
              <w:pStyle w:val="16"/>
              <w:spacing w:before="65" w:line="228" w:lineRule="auto"/>
              <w:jc w:val="center"/>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cs="Times New Roman"/>
                <w:snapToGrid w:val="0"/>
                <w:color w:val="auto"/>
                <w:kern w:val="0"/>
                <w:sz w:val="24"/>
                <w:szCs w:val="24"/>
                <w:highlight w:val="none"/>
                <w:lang w:val="en-US" w:eastAsia="zh-CN" w:bidi="ar-SA"/>
              </w:rPr>
              <w:t>评价标准</w:t>
            </w:r>
          </w:p>
        </w:tc>
        <w:tc>
          <w:tcPr>
            <w:tcW w:w="8108" w:type="dxa"/>
            <w:tcBorders>
              <w:bottom w:val="single" w:color="auto" w:sz="4" w:space="0"/>
              <w:right w:val="single" w:color="000000" w:sz="4" w:space="0"/>
            </w:tcBorders>
            <w:shd w:val="clear" w:color="auto" w:fill="auto"/>
            <w:vAlign w:val="center"/>
          </w:tcPr>
          <w:p w14:paraId="1FCC23A7">
            <w:pPr>
              <w:pStyle w:val="16"/>
              <w:keepNext w:val="0"/>
              <w:keepLines w:val="0"/>
              <w:pageBreakBefore w:val="0"/>
              <w:widowControl/>
              <w:kinsoku w:val="0"/>
              <w:wordWrap/>
              <w:overflowPunct/>
              <w:topLinePunct w:val="0"/>
              <w:autoSpaceDE w:val="0"/>
              <w:autoSpaceDN w:val="0"/>
              <w:bidi w:val="0"/>
              <w:adjustRightInd w:val="0"/>
              <w:snapToGrid w:val="0"/>
              <w:spacing w:line="360" w:lineRule="auto"/>
              <w:ind w:firstLine="422" w:firstLineChars="200"/>
              <w:jc w:val="both"/>
              <w:textAlignment w:val="baseline"/>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 xml:space="preserve"> </w:t>
            </w:r>
            <w:r>
              <w:rPr>
                <w:rFonts w:hint="eastAsia" w:ascii="Times New Roman" w:hAnsi="Times New Roman" w:eastAsia="宋体" w:cs="Times New Roman"/>
                <w:color w:val="auto"/>
                <w:spacing w:val="-2"/>
                <w:sz w:val="24"/>
                <w:szCs w:val="24"/>
                <w:highlight w:val="none"/>
                <w:lang w:val="en-US" w:eastAsia="zh-CN"/>
              </w:rPr>
              <w:t>项目施工期执行标准见表3-6。</w:t>
            </w:r>
          </w:p>
          <w:p w14:paraId="2A43CD0D">
            <w:pPr>
              <w:pStyle w:val="16"/>
              <w:spacing w:line="240" w:lineRule="auto"/>
              <w:jc w:val="center"/>
              <w:rPr>
                <w:rFonts w:hint="default" w:ascii="Times New Roman" w:hAnsi="Times New Roman" w:eastAsia="宋体" w:cs="Times New Roman"/>
                <w:color w:val="auto"/>
                <w:spacing w:val="-2"/>
                <w:sz w:val="24"/>
                <w:szCs w:val="24"/>
                <w:highlight w:val="none"/>
                <w:lang w:val="en-US" w:eastAsia="zh-CN"/>
              </w:rPr>
            </w:pPr>
            <w:r>
              <w:rPr>
                <w:rFonts w:hint="default" w:ascii="Times New Roman" w:hAnsi="Times New Roman" w:eastAsia="宋体" w:cs="Times New Roman"/>
                <w:b/>
                <w:bCs/>
                <w:color w:val="auto"/>
                <w:sz w:val="21"/>
                <w:szCs w:val="21"/>
                <w:highlight w:val="none"/>
              </w:rPr>
              <w:t>表3-</w:t>
            </w:r>
            <w:r>
              <w:rPr>
                <w:rFonts w:hint="default" w:ascii="Times New Roman" w:hAnsi="Times New Roman"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lang w:val="en-US" w:eastAsia="zh-CN"/>
              </w:rPr>
              <w:t>执行标准及限值</w:t>
            </w:r>
          </w:p>
          <w:tbl>
            <w:tblPr>
              <w:tblStyle w:val="15"/>
              <w:tblW w:w="793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9"/>
              <w:gridCol w:w="717"/>
              <w:gridCol w:w="758"/>
              <w:gridCol w:w="5865"/>
            </w:tblGrid>
            <w:tr w14:paraId="24540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2074" w:type="dxa"/>
                  <w:gridSpan w:val="3"/>
                  <w:vAlign w:val="center"/>
                </w:tcPr>
                <w:p w14:paraId="305CA7CA">
                  <w:pPr>
                    <w:pStyle w:val="16"/>
                    <w:spacing w:before="45" w:line="209" w:lineRule="auto"/>
                    <w:ind w:left="665"/>
                    <w:jc w:val="both"/>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7"/>
                      <w:sz w:val="21"/>
                      <w:szCs w:val="21"/>
                      <w:highlight w:val="none"/>
                    </w:rPr>
                    <w:t>环境要素</w:t>
                  </w:r>
                </w:p>
              </w:tc>
              <w:tc>
                <w:tcPr>
                  <w:tcW w:w="5865" w:type="dxa"/>
                  <w:tcBorders>
                    <w:right w:val="single" w:color="000000" w:sz="4" w:space="0"/>
                  </w:tcBorders>
                  <w:vAlign w:val="center"/>
                </w:tcPr>
                <w:p w14:paraId="06B39307">
                  <w:pPr>
                    <w:pStyle w:val="16"/>
                    <w:spacing w:before="45" w:line="209" w:lineRule="auto"/>
                    <w:ind w:left="2616"/>
                    <w:jc w:val="both"/>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7"/>
                      <w:sz w:val="21"/>
                      <w:szCs w:val="21"/>
                      <w:highlight w:val="none"/>
                    </w:rPr>
                    <w:t>执行标准</w:t>
                  </w:r>
                </w:p>
              </w:tc>
            </w:tr>
            <w:tr w14:paraId="04E76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restart"/>
                  <w:tcBorders>
                    <w:bottom w:val="nil"/>
                  </w:tcBorders>
                  <w:vAlign w:val="center"/>
                </w:tcPr>
                <w:p w14:paraId="58625DF9">
                  <w:pPr>
                    <w:pStyle w:val="16"/>
                    <w:spacing w:before="65"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环境质量标准</w:t>
                  </w:r>
                </w:p>
              </w:tc>
              <w:tc>
                <w:tcPr>
                  <w:tcW w:w="717" w:type="dxa"/>
                  <w:vAlign w:val="top"/>
                </w:tcPr>
                <w:p w14:paraId="15A9FF9C">
                  <w:pPr>
                    <w:pStyle w:val="16"/>
                    <w:spacing w:before="150" w:line="216" w:lineRule="auto"/>
                    <w:ind w:left="181"/>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大气环境</w:t>
                  </w:r>
                </w:p>
              </w:tc>
              <w:tc>
                <w:tcPr>
                  <w:tcW w:w="758" w:type="dxa"/>
                  <w:vAlign w:val="center"/>
                </w:tcPr>
                <w:p w14:paraId="675080BC">
                  <w:pPr>
                    <w:pStyle w:val="16"/>
                    <w:spacing w:before="65" w:line="227"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基本污染</w:t>
                  </w:r>
                  <w:r>
                    <w:rPr>
                      <w:rFonts w:hint="default" w:ascii="Times New Roman" w:hAnsi="Times New Roman" w:eastAsia="宋体" w:cs="Times New Roman"/>
                      <w:color w:val="auto"/>
                      <w:sz w:val="21"/>
                      <w:szCs w:val="21"/>
                      <w:highlight w:val="none"/>
                    </w:rPr>
                    <w:t>物</w:t>
                  </w:r>
                </w:p>
              </w:tc>
              <w:tc>
                <w:tcPr>
                  <w:tcW w:w="5865" w:type="dxa"/>
                  <w:tcBorders>
                    <w:right w:val="single" w:color="000000" w:sz="4" w:space="0"/>
                  </w:tcBorders>
                  <w:vAlign w:val="center"/>
                </w:tcPr>
                <w:p w14:paraId="1D97F79B">
                  <w:pPr>
                    <w:pStyle w:val="16"/>
                    <w:spacing w:before="65" w:line="221"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《环境空气质量标准》（GB3095-2012）二级（年平均值SO</w:t>
                  </w:r>
                  <w:r>
                    <w:rPr>
                      <w:rFonts w:hint="default" w:ascii="Times New Roman" w:hAnsi="Times New Roman" w:eastAsia="宋体" w:cs="Times New Roman"/>
                      <w:color w:val="auto"/>
                      <w:spacing w:val="-5"/>
                      <w:position w:val="-1"/>
                      <w:sz w:val="21"/>
                      <w:szCs w:val="21"/>
                      <w:highlight w:val="none"/>
                      <w:vertAlign w:val="subscript"/>
                    </w:rPr>
                    <w:t>2</w:t>
                  </w:r>
                  <w:r>
                    <w:rPr>
                      <w:rFonts w:hint="default" w:ascii="Times New Roman" w:hAnsi="Times New Roman" w:eastAsia="宋体" w:cs="Times New Roman"/>
                      <w:color w:val="auto"/>
                      <w:spacing w:val="-7"/>
                      <w:sz w:val="21"/>
                      <w:szCs w:val="21"/>
                      <w:highlight w:val="none"/>
                    </w:rPr>
                    <w:t>：60μg/m</w:t>
                  </w:r>
                  <w:r>
                    <w:rPr>
                      <w:rFonts w:hint="default" w:ascii="Times New Roman" w:hAnsi="Times New Roman" w:eastAsia="宋体" w:cs="Times New Roman"/>
                      <w:color w:val="auto"/>
                      <w:spacing w:val="-7"/>
                      <w:sz w:val="21"/>
                      <w:szCs w:val="21"/>
                      <w:highlight w:val="none"/>
                      <w:vertAlign w:val="superscript"/>
                      <w:lang w:val="en-US" w:eastAsia="zh-CN"/>
                    </w:rPr>
                    <w:t>3</w:t>
                  </w:r>
                  <w:r>
                    <w:rPr>
                      <w:rFonts w:hint="default" w:ascii="Times New Roman" w:hAnsi="Times New Roman" w:eastAsia="宋体" w:cs="Times New Roman"/>
                      <w:color w:val="auto"/>
                      <w:spacing w:val="2"/>
                      <w:sz w:val="21"/>
                      <w:szCs w:val="21"/>
                      <w:highlight w:val="none"/>
                    </w:rPr>
                    <w:t>、</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pacing w:val="2"/>
                      <w:position w:val="-1"/>
                      <w:sz w:val="21"/>
                      <w:szCs w:val="21"/>
                      <w:highlight w:val="none"/>
                      <w:vertAlign w:val="subscript"/>
                    </w:rPr>
                    <w:t>2</w:t>
                  </w:r>
                  <w:r>
                    <w:rPr>
                      <w:rFonts w:hint="default" w:ascii="Times New Roman" w:hAnsi="Times New Roman" w:eastAsia="宋体" w:cs="Times New Roman"/>
                      <w:color w:val="auto"/>
                      <w:spacing w:val="2"/>
                      <w:sz w:val="21"/>
                      <w:szCs w:val="21"/>
                      <w:highlight w:val="none"/>
                    </w:rPr>
                    <w:t>：40μg/m</w:t>
                  </w:r>
                  <w:r>
                    <w:rPr>
                      <w:rFonts w:hint="default" w:ascii="Times New Roman" w:hAnsi="Times New Roman" w:eastAsia="宋体" w:cs="Times New Roman"/>
                      <w:color w:val="auto"/>
                      <w:spacing w:val="2"/>
                      <w:sz w:val="21"/>
                      <w:szCs w:val="21"/>
                      <w:highlight w:val="none"/>
                      <w:vertAlign w:val="superscript"/>
                      <w:lang w:val="en-US" w:eastAsia="zh-CN"/>
                    </w:rPr>
                    <w:t>3</w:t>
                  </w:r>
                  <w:r>
                    <w:rPr>
                      <w:rFonts w:hint="default" w:ascii="Times New Roman" w:hAnsi="Times New Roman" w:eastAsia="宋体" w:cs="Times New Roman"/>
                      <w:color w:val="auto"/>
                      <w:spacing w:val="2"/>
                      <w:sz w:val="21"/>
                      <w:szCs w:val="21"/>
                      <w:highlight w:val="none"/>
                    </w:rPr>
                    <w:t>、</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pacing w:val="2"/>
                      <w:position w:val="-1"/>
                      <w:sz w:val="21"/>
                      <w:szCs w:val="21"/>
                      <w:highlight w:val="none"/>
                      <w:vertAlign w:val="subscript"/>
                    </w:rPr>
                    <w:t>10</w:t>
                  </w:r>
                  <w:r>
                    <w:rPr>
                      <w:rFonts w:hint="default" w:ascii="Times New Roman" w:hAnsi="Times New Roman" w:eastAsia="宋体" w:cs="Times New Roman"/>
                      <w:color w:val="auto"/>
                      <w:spacing w:val="2"/>
                      <w:sz w:val="21"/>
                      <w:szCs w:val="21"/>
                      <w:highlight w:val="none"/>
                    </w:rPr>
                    <w:t>：70μg/m</w:t>
                  </w:r>
                  <w:r>
                    <w:rPr>
                      <w:rFonts w:hint="default" w:ascii="Times New Roman" w:hAnsi="Times New Roman" w:eastAsia="宋体" w:cs="Times New Roman"/>
                      <w:color w:val="auto"/>
                      <w:spacing w:val="2"/>
                      <w:sz w:val="21"/>
                      <w:szCs w:val="21"/>
                      <w:highlight w:val="none"/>
                      <w:vertAlign w:val="superscript"/>
                      <w:lang w:val="en-US" w:eastAsia="zh-CN"/>
                    </w:rPr>
                    <w:t>3</w:t>
                  </w:r>
                  <w:r>
                    <w:rPr>
                      <w:rFonts w:hint="default" w:ascii="Times New Roman" w:hAnsi="Times New Roman" w:eastAsia="宋体" w:cs="Times New Roman"/>
                      <w:color w:val="auto"/>
                      <w:spacing w:val="2"/>
                      <w:sz w:val="21"/>
                      <w:szCs w:val="21"/>
                      <w:highlight w:val="none"/>
                    </w:rPr>
                    <w:t>、</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pacing w:val="2"/>
                      <w:position w:val="-1"/>
                      <w:sz w:val="21"/>
                      <w:szCs w:val="21"/>
                      <w:highlight w:val="none"/>
                      <w:vertAlign w:val="subscript"/>
                    </w:rPr>
                    <w:t>2.5</w:t>
                  </w:r>
                  <w:r>
                    <w:rPr>
                      <w:rFonts w:hint="default" w:ascii="Times New Roman" w:hAnsi="Times New Roman" w:eastAsia="宋体" w:cs="Times New Roman"/>
                      <w:color w:val="auto"/>
                      <w:spacing w:val="2"/>
                      <w:sz w:val="21"/>
                      <w:szCs w:val="21"/>
                      <w:highlight w:val="none"/>
                    </w:rPr>
                    <w:t>：35μg/m</w:t>
                  </w:r>
                  <w:r>
                    <w:rPr>
                      <w:rFonts w:hint="default" w:ascii="Times New Roman" w:hAnsi="Times New Roman" w:eastAsia="宋体" w:cs="Times New Roman"/>
                      <w:color w:val="auto"/>
                      <w:spacing w:val="2"/>
                      <w:sz w:val="21"/>
                      <w:szCs w:val="21"/>
                      <w:highlight w:val="none"/>
                      <w:vertAlign w:val="superscript"/>
                      <w:lang w:val="en-US" w:eastAsia="zh-CN"/>
                    </w:rPr>
                    <w:t>3</w:t>
                  </w:r>
                  <w:r>
                    <w:rPr>
                      <w:rFonts w:hint="default" w:ascii="Times New Roman" w:hAnsi="Times New Roman" w:eastAsia="宋体" w:cs="Times New Roman"/>
                      <w:color w:val="auto"/>
                      <w:spacing w:val="2"/>
                      <w:sz w:val="21"/>
                      <w:szCs w:val="21"/>
                      <w:highlight w:val="none"/>
                    </w:rPr>
                    <w:t>；O</w:t>
                  </w:r>
                  <w:r>
                    <w:rPr>
                      <w:rFonts w:hint="default" w:ascii="Times New Roman" w:hAnsi="Times New Roman" w:eastAsia="宋体" w:cs="Times New Roman"/>
                      <w:color w:val="auto"/>
                      <w:spacing w:val="2"/>
                      <w:position w:val="-1"/>
                      <w:sz w:val="21"/>
                      <w:szCs w:val="21"/>
                      <w:highlight w:val="none"/>
                      <w:vertAlign w:val="subscript"/>
                    </w:rPr>
                    <w:t>3</w:t>
                  </w:r>
                  <w:r>
                    <w:rPr>
                      <w:rFonts w:hint="default" w:ascii="Times New Roman" w:hAnsi="Times New Roman" w:eastAsia="宋体" w:cs="Times New Roman"/>
                      <w:color w:val="auto"/>
                      <w:spacing w:val="2"/>
                      <w:sz w:val="21"/>
                      <w:szCs w:val="21"/>
                      <w:highlight w:val="none"/>
                    </w:rPr>
                    <w:t>日最大</w:t>
                  </w:r>
                  <w:r>
                    <w:rPr>
                      <w:rFonts w:hint="default" w:ascii="Times New Roman" w:hAnsi="Times New Roman" w:eastAsia="宋体" w:cs="Times New Roman"/>
                      <w:color w:val="auto"/>
                      <w:spacing w:val="1"/>
                      <w:sz w:val="21"/>
                      <w:szCs w:val="21"/>
                      <w:highlight w:val="none"/>
                    </w:rPr>
                    <w:t>8h</w:t>
                  </w:r>
                  <w:r>
                    <w:rPr>
                      <w:rFonts w:hint="default" w:ascii="Times New Roman" w:hAnsi="Times New Roman" w:eastAsia="宋体" w:cs="Times New Roman"/>
                      <w:color w:val="auto"/>
                      <w:spacing w:val="6"/>
                      <w:sz w:val="21"/>
                      <w:szCs w:val="21"/>
                      <w:highlight w:val="none"/>
                    </w:rPr>
                    <w:t>平均值：160μg/m</w:t>
                  </w:r>
                  <w:r>
                    <w:rPr>
                      <w:rFonts w:hint="default" w:ascii="Times New Roman" w:hAnsi="Times New Roman" w:eastAsia="宋体" w:cs="Times New Roman"/>
                      <w:color w:val="auto"/>
                      <w:spacing w:val="2"/>
                      <w:sz w:val="21"/>
                      <w:szCs w:val="21"/>
                      <w:highlight w:val="none"/>
                      <w:vertAlign w:val="superscript"/>
                      <w:lang w:val="en-US" w:eastAsia="zh-CN"/>
                    </w:rPr>
                    <w:t>3</w:t>
                  </w:r>
                  <w:r>
                    <w:rPr>
                      <w:rFonts w:hint="default" w:ascii="Times New Roman" w:hAnsi="Times New Roman" w:eastAsia="宋体" w:cs="Times New Roman"/>
                      <w:color w:val="auto"/>
                      <w:spacing w:val="6"/>
                      <w:sz w:val="21"/>
                      <w:szCs w:val="21"/>
                      <w:highlight w:val="none"/>
                    </w:rPr>
                    <w:t>；</w:t>
                  </w:r>
                  <w:r>
                    <w:rPr>
                      <w:rFonts w:hint="default" w:ascii="Times New Roman" w:hAnsi="Times New Roman" w:eastAsia="宋体" w:cs="Times New Roman"/>
                      <w:color w:val="auto"/>
                      <w:sz w:val="21"/>
                      <w:szCs w:val="21"/>
                      <w:highlight w:val="none"/>
                    </w:rPr>
                    <w:t>CO</w:t>
                  </w:r>
                  <w:r>
                    <w:rPr>
                      <w:rFonts w:hint="default" w:ascii="Times New Roman" w:hAnsi="Times New Roman" w:eastAsia="宋体" w:cs="Times New Roman"/>
                      <w:color w:val="auto"/>
                      <w:spacing w:val="6"/>
                      <w:sz w:val="21"/>
                      <w:szCs w:val="21"/>
                      <w:highlight w:val="none"/>
                    </w:rPr>
                    <w:t>24h平均值：4</w:t>
                  </w: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pacing w:val="6"/>
                      <w:sz w:val="21"/>
                      <w:szCs w:val="21"/>
                      <w:highlight w:val="none"/>
                    </w:rPr>
                    <w:t>/m</w:t>
                  </w:r>
                  <w:r>
                    <w:rPr>
                      <w:rFonts w:hint="default" w:ascii="Times New Roman" w:hAnsi="Times New Roman" w:eastAsia="宋体" w:cs="Times New Roman"/>
                      <w:color w:val="auto"/>
                      <w:spacing w:val="2"/>
                      <w:sz w:val="21"/>
                      <w:szCs w:val="21"/>
                      <w:highlight w:val="none"/>
                      <w:vertAlign w:val="superscript"/>
                      <w:lang w:val="en-US" w:eastAsia="zh-CN"/>
                    </w:rPr>
                    <w:t>3</w:t>
                  </w:r>
                  <w:r>
                    <w:rPr>
                      <w:rFonts w:hint="default" w:ascii="Times New Roman" w:hAnsi="Times New Roman" w:eastAsia="宋体" w:cs="Times New Roman"/>
                      <w:color w:val="auto"/>
                      <w:spacing w:val="6"/>
                      <w:sz w:val="21"/>
                      <w:szCs w:val="21"/>
                      <w:highlight w:val="none"/>
                    </w:rPr>
                    <w:t>）</w:t>
                  </w:r>
                </w:p>
              </w:tc>
            </w:tr>
            <w:tr w14:paraId="6837C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continue"/>
                  <w:tcBorders>
                    <w:top w:val="nil"/>
                  </w:tcBorders>
                  <w:vAlign w:val="center"/>
                </w:tcPr>
                <w:p w14:paraId="358EF4BA">
                  <w:pPr>
                    <w:jc w:val="center"/>
                    <w:rPr>
                      <w:rFonts w:hint="default" w:ascii="Times New Roman" w:hAnsi="Times New Roman" w:eastAsia="宋体" w:cs="Times New Roman"/>
                      <w:color w:val="auto"/>
                      <w:sz w:val="21"/>
                      <w:szCs w:val="21"/>
                      <w:highlight w:val="none"/>
                    </w:rPr>
                  </w:pPr>
                </w:p>
              </w:tc>
              <w:tc>
                <w:tcPr>
                  <w:tcW w:w="717" w:type="dxa"/>
                  <w:textDirection w:val="tbRlV"/>
                  <w:vAlign w:val="top"/>
                </w:tcPr>
                <w:p w14:paraId="62AF3086">
                  <w:pPr>
                    <w:pStyle w:val="16"/>
                    <w:spacing w:before="150" w:line="216" w:lineRule="auto"/>
                    <w:ind w:left="55"/>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声环境</w:t>
                  </w:r>
                </w:p>
              </w:tc>
              <w:tc>
                <w:tcPr>
                  <w:tcW w:w="758" w:type="dxa"/>
                  <w:vAlign w:val="center"/>
                </w:tcPr>
                <w:p w14:paraId="750847CB">
                  <w:pPr>
                    <w:pStyle w:val="16"/>
                    <w:spacing w:before="65"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噪声</w:t>
                  </w:r>
                </w:p>
              </w:tc>
              <w:tc>
                <w:tcPr>
                  <w:tcW w:w="5865" w:type="dxa"/>
                  <w:tcBorders>
                    <w:right w:val="single" w:color="000000" w:sz="4" w:space="0"/>
                  </w:tcBorders>
                  <w:vAlign w:val="center"/>
                </w:tcPr>
                <w:p w14:paraId="11A5AA05">
                  <w:pPr>
                    <w:pStyle w:val="16"/>
                    <w:spacing w:before="192" w:line="228" w:lineRule="auto"/>
                    <w:ind w:left="65"/>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《声环境质量标准》（</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pacing w:val="8"/>
                      <w:sz w:val="21"/>
                      <w:szCs w:val="21"/>
                      <w:highlight w:val="none"/>
                    </w:rPr>
                    <w:t>3096-2008）2类（昼间：60</w:t>
                  </w:r>
                  <w:r>
                    <w:rPr>
                      <w:rFonts w:hint="default" w:ascii="Times New Roman" w:hAnsi="Times New Roman" w:eastAsia="宋体" w:cs="Times New Roman"/>
                      <w:color w:val="auto"/>
                      <w:sz w:val="21"/>
                      <w:szCs w:val="21"/>
                      <w:highlight w:val="none"/>
                    </w:rPr>
                    <w:t>dB</w:t>
                  </w:r>
                  <w:r>
                    <w:rPr>
                      <w:rFonts w:hint="default" w:ascii="Times New Roman" w:hAnsi="Times New Roman" w:eastAsia="宋体" w:cs="Times New Roman"/>
                      <w:color w:val="auto"/>
                      <w:spacing w:val="8"/>
                      <w:sz w:val="21"/>
                      <w:szCs w:val="21"/>
                      <w:highlight w:val="none"/>
                    </w:rPr>
                    <w:t>（A</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pacing w:val="8"/>
                      <w:sz w:val="21"/>
                      <w:szCs w:val="21"/>
                      <w:highlight w:val="none"/>
                    </w:rPr>
                    <w:t>夜间：50</w:t>
                  </w:r>
                  <w:r>
                    <w:rPr>
                      <w:rFonts w:hint="default" w:ascii="Times New Roman" w:hAnsi="Times New Roman" w:eastAsia="宋体" w:cs="Times New Roman"/>
                      <w:color w:val="auto"/>
                      <w:sz w:val="21"/>
                      <w:szCs w:val="21"/>
                      <w:highlight w:val="none"/>
                    </w:rPr>
                    <w:t>dB</w:t>
                  </w:r>
                  <w:r>
                    <w:rPr>
                      <w:rFonts w:hint="default" w:ascii="Times New Roman" w:hAnsi="Times New Roman" w:eastAsia="宋体" w:cs="Times New Roman"/>
                      <w:color w:val="auto"/>
                      <w:spacing w:val="8"/>
                      <w:sz w:val="21"/>
                      <w:szCs w:val="21"/>
                      <w:highlight w:val="none"/>
                    </w:rPr>
                    <w:t>（A</w:t>
                  </w:r>
                  <w:r>
                    <w:rPr>
                      <w:rFonts w:hint="default" w:ascii="Times New Roman" w:hAnsi="Times New Roman" w:eastAsia="宋体" w:cs="Times New Roman"/>
                      <w:color w:val="auto"/>
                      <w:sz w:val="21"/>
                      <w:szCs w:val="21"/>
                      <w:highlight w:val="none"/>
                    </w:rPr>
                    <w:t>））</w:t>
                  </w:r>
                </w:p>
              </w:tc>
            </w:tr>
            <w:tr w14:paraId="266B8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restart"/>
                  <w:tcBorders>
                    <w:bottom w:val="nil"/>
                  </w:tcBorders>
                  <w:vAlign w:val="center"/>
                </w:tcPr>
                <w:p w14:paraId="13A6E22A">
                  <w:pPr>
                    <w:pStyle w:val="16"/>
                    <w:spacing w:before="65"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污染</w:t>
                  </w:r>
                  <w:r>
                    <w:rPr>
                      <w:rFonts w:hint="default" w:ascii="Times New Roman" w:hAnsi="Times New Roman" w:eastAsia="宋体" w:cs="Times New Roman"/>
                      <w:color w:val="auto"/>
                      <w:spacing w:val="4"/>
                      <w:sz w:val="21"/>
                      <w:szCs w:val="21"/>
                      <w:highlight w:val="none"/>
                    </w:rPr>
                    <w:t>排放标准</w:t>
                  </w:r>
                </w:p>
              </w:tc>
              <w:tc>
                <w:tcPr>
                  <w:tcW w:w="717" w:type="dxa"/>
                  <w:vMerge w:val="restart"/>
                  <w:tcBorders>
                    <w:bottom w:val="nil"/>
                  </w:tcBorders>
                  <w:textDirection w:val="tbRlV"/>
                  <w:vAlign w:val="top"/>
                </w:tcPr>
                <w:p w14:paraId="2DB2E45F">
                  <w:pPr>
                    <w:pStyle w:val="16"/>
                    <w:spacing w:before="150" w:line="217"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废气</w:t>
                  </w:r>
                </w:p>
              </w:tc>
              <w:tc>
                <w:tcPr>
                  <w:tcW w:w="758" w:type="dxa"/>
                  <w:vAlign w:val="center"/>
                </w:tcPr>
                <w:p w14:paraId="5E127C3F">
                  <w:pPr>
                    <w:pStyle w:val="16"/>
                    <w:spacing w:before="183" w:line="228" w:lineRule="auto"/>
                    <w:ind w:left="8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燃烧烟气</w:t>
                  </w:r>
                </w:p>
              </w:tc>
              <w:tc>
                <w:tcPr>
                  <w:tcW w:w="5865" w:type="dxa"/>
                  <w:tcBorders>
                    <w:right w:val="single" w:color="000000" w:sz="4" w:space="0"/>
                  </w:tcBorders>
                  <w:vAlign w:val="center"/>
                </w:tcPr>
                <w:p w14:paraId="108069B8">
                  <w:pPr>
                    <w:pStyle w:val="16"/>
                    <w:spacing w:before="46" w:line="221" w:lineRule="auto"/>
                    <w:ind w:left="113"/>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《大气污染物综合排放标准》</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pacing w:val="8"/>
                      <w:sz w:val="21"/>
                      <w:szCs w:val="21"/>
                      <w:highlight w:val="none"/>
                    </w:rPr>
                    <w:t>16297-199</w:t>
                  </w:r>
                  <w:r>
                    <w:rPr>
                      <w:rFonts w:hint="eastAsia" w:ascii="Times New Roman" w:hAnsi="Times New Roman" w:cs="Times New Roman"/>
                      <w:color w:val="auto"/>
                      <w:spacing w:val="8"/>
                      <w:sz w:val="21"/>
                      <w:szCs w:val="21"/>
                      <w:highlight w:val="none"/>
                      <w:lang w:val="en-US" w:eastAsia="zh-CN"/>
                    </w:rPr>
                    <w:t>6</w:t>
                  </w:r>
                  <w:r>
                    <w:rPr>
                      <w:rFonts w:hint="eastAsia" w:ascii="Times New Roman" w:hAnsi="Times New Roman" w:cs="Times New Roman"/>
                      <w:color w:val="auto"/>
                      <w:spacing w:val="8"/>
                      <w:sz w:val="21"/>
                      <w:szCs w:val="21"/>
                      <w:highlight w:val="none"/>
                      <w:lang w:eastAsia="zh-CN"/>
                    </w:rPr>
                    <w:t>）</w:t>
                  </w:r>
                  <w:r>
                    <w:rPr>
                      <w:rFonts w:hint="default" w:ascii="Times New Roman" w:hAnsi="Times New Roman" w:eastAsia="宋体" w:cs="Times New Roman"/>
                      <w:color w:val="auto"/>
                      <w:spacing w:val="8"/>
                      <w:sz w:val="21"/>
                      <w:szCs w:val="21"/>
                      <w:highlight w:val="none"/>
                    </w:rPr>
                    <w:t>中</w:t>
                  </w:r>
                  <w:r>
                    <w:rPr>
                      <w:rFonts w:hint="default" w:ascii="Times New Roman" w:hAnsi="Times New Roman" w:cs="Times New Roman"/>
                      <w:color w:val="auto"/>
                      <w:spacing w:val="8"/>
                      <w:sz w:val="21"/>
                      <w:szCs w:val="21"/>
                      <w:highlight w:val="none"/>
                      <w:lang w:val="en-US" w:eastAsia="zh-CN"/>
                    </w:rPr>
                    <w:t>表2</w:t>
                  </w:r>
                  <w:r>
                    <w:rPr>
                      <w:rFonts w:hint="eastAsia" w:ascii="Times New Roman" w:hAnsi="Times New Roman" w:cs="Times New Roman"/>
                      <w:color w:val="auto"/>
                      <w:spacing w:val="8"/>
                      <w:sz w:val="21"/>
                      <w:szCs w:val="21"/>
                      <w:highlight w:val="none"/>
                      <w:lang w:val="en-US" w:eastAsia="zh-CN"/>
                    </w:rPr>
                    <w:t>中</w:t>
                  </w:r>
                  <w:r>
                    <w:rPr>
                      <w:rFonts w:hint="default" w:ascii="Times New Roman" w:hAnsi="Times New Roman" w:eastAsia="宋体" w:cs="Times New Roman"/>
                      <w:color w:val="auto"/>
                      <w:spacing w:val="8"/>
                      <w:sz w:val="21"/>
                      <w:szCs w:val="21"/>
                      <w:highlight w:val="none"/>
                    </w:rPr>
                    <w:t>的</w:t>
                  </w:r>
                  <w:r>
                    <w:rPr>
                      <w:rFonts w:hint="default" w:ascii="Times New Roman" w:hAnsi="Times New Roman" w:cs="Times New Roman"/>
                      <w:color w:val="auto"/>
                      <w:spacing w:val="8"/>
                      <w:sz w:val="21"/>
                      <w:szCs w:val="21"/>
                      <w:highlight w:val="none"/>
                      <w:lang w:val="en-US" w:eastAsia="zh-CN"/>
                    </w:rPr>
                    <w:t>无组织排放监控浓度限值</w:t>
                  </w:r>
                  <w:r>
                    <w:rPr>
                      <w:rFonts w:hint="default" w:ascii="Times New Roman" w:hAnsi="Times New Roman" w:eastAsia="宋体" w:cs="Times New Roman"/>
                      <w:color w:val="auto"/>
                      <w:spacing w:val="2"/>
                      <w:sz w:val="21"/>
                      <w:szCs w:val="21"/>
                      <w:highlight w:val="none"/>
                    </w:rPr>
                    <w:t>要求（</w:t>
                  </w: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pacing w:val="2"/>
                      <w:position w:val="-1"/>
                      <w:sz w:val="21"/>
                      <w:szCs w:val="21"/>
                      <w:highlight w:val="none"/>
                      <w:vertAlign w:val="subscript"/>
                    </w:rPr>
                    <w:t>2</w:t>
                  </w:r>
                  <w:r>
                    <w:rPr>
                      <w:rFonts w:hint="default" w:ascii="Times New Roman" w:hAnsi="Times New Roman" w:eastAsia="宋体" w:cs="Times New Roman"/>
                      <w:color w:val="auto"/>
                      <w:spacing w:val="2"/>
                      <w:sz w:val="21"/>
                      <w:szCs w:val="21"/>
                      <w:highlight w:val="none"/>
                    </w:rPr>
                    <w:t>：</w:t>
                  </w:r>
                  <w:r>
                    <w:rPr>
                      <w:rFonts w:hint="default" w:ascii="Times New Roman" w:hAnsi="Times New Roman" w:cs="Times New Roman"/>
                      <w:color w:val="auto"/>
                      <w:spacing w:val="2"/>
                      <w:sz w:val="21"/>
                      <w:szCs w:val="21"/>
                      <w:highlight w:val="none"/>
                      <w:lang w:val="en-US" w:eastAsia="zh-CN"/>
                    </w:rPr>
                    <w:t>0.4</w:t>
                  </w: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pacing w:val="2"/>
                      <w:sz w:val="21"/>
                      <w:szCs w:val="21"/>
                      <w:highlight w:val="none"/>
                    </w:rPr>
                    <w:t>/m</w:t>
                  </w:r>
                  <w:r>
                    <w:rPr>
                      <w:rFonts w:hint="default" w:ascii="Times New Roman" w:hAnsi="Times New Roman" w:eastAsia="宋体" w:cs="Times New Roman"/>
                      <w:color w:val="auto"/>
                      <w:spacing w:val="2"/>
                      <w:sz w:val="21"/>
                      <w:szCs w:val="21"/>
                      <w:highlight w:val="none"/>
                      <w:vertAlign w:val="superscript"/>
                      <w:lang w:val="en-US" w:eastAsia="zh-CN"/>
                    </w:rPr>
                    <w:t>3</w:t>
                  </w:r>
                  <w:r>
                    <w:rPr>
                      <w:rFonts w:hint="default" w:ascii="Times New Roman" w:hAnsi="Times New Roman" w:eastAsia="宋体" w:cs="Times New Roman"/>
                      <w:color w:val="auto"/>
                      <w:spacing w:val="2"/>
                      <w:sz w:val="21"/>
                      <w:szCs w:val="21"/>
                      <w:highlight w:val="none"/>
                    </w:rPr>
                    <w:t>、</w:t>
                  </w:r>
                  <w:r>
                    <w:rPr>
                      <w:rFonts w:hint="default" w:ascii="Times New Roman" w:hAnsi="Times New Roman" w:eastAsia="宋体" w:cs="Times New Roman"/>
                      <w:color w:val="auto"/>
                      <w:sz w:val="21"/>
                      <w:szCs w:val="21"/>
                      <w:highlight w:val="none"/>
                    </w:rPr>
                    <w:t>NOx</w:t>
                  </w:r>
                  <w:r>
                    <w:rPr>
                      <w:rFonts w:hint="default" w:ascii="Times New Roman" w:hAnsi="Times New Roman" w:eastAsia="宋体" w:cs="Times New Roman"/>
                      <w:color w:val="auto"/>
                      <w:spacing w:val="2"/>
                      <w:sz w:val="21"/>
                      <w:szCs w:val="21"/>
                      <w:highlight w:val="none"/>
                    </w:rPr>
                    <w:t>：</w:t>
                  </w:r>
                  <w:r>
                    <w:rPr>
                      <w:rFonts w:hint="default" w:ascii="Times New Roman" w:hAnsi="Times New Roman" w:cs="Times New Roman"/>
                      <w:color w:val="auto"/>
                      <w:spacing w:val="2"/>
                      <w:sz w:val="21"/>
                      <w:szCs w:val="21"/>
                      <w:highlight w:val="none"/>
                      <w:lang w:val="en-US" w:eastAsia="zh-CN"/>
                    </w:rPr>
                    <w:t>0.12</w:t>
                  </w: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pacing w:val="2"/>
                      <w:sz w:val="21"/>
                      <w:szCs w:val="21"/>
                      <w:highlight w:val="none"/>
                    </w:rPr>
                    <w:t>/m</w:t>
                  </w:r>
                  <w:r>
                    <w:rPr>
                      <w:rFonts w:hint="default" w:ascii="Times New Roman" w:hAnsi="Times New Roman" w:eastAsia="宋体" w:cs="Times New Roman"/>
                      <w:color w:val="auto"/>
                      <w:spacing w:val="2"/>
                      <w:sz w:val="21"/>
                      <w:szCs w:val="21"/>
                      <w:highlight w:val="none"/>
                      <w:vertAlign w:val="superscript"/>
                      <w:lang w:val="en-US" w:eastAsia="zh-CN"/>
                    </w:rPr>
                    <w:t>3</w:t>
                  </w:r>
                  <w:r>
                    <w:rPr>
                      <w:rFonts w:hint="default" w:ascii="Times New Roman" w:hAnsi="Times New Roman" w:eastAsia="宋体" w:cs="Times New Roman"/>
                      <w:color w:val="auto"/>
                      <w:spacing w:val="5"/>
                      <w:sz w:val="21"/>
                      <w:szCs w:val="21"/>
                      <w:highlight w:val="none"/>
                    </w:rPr>
                    <w:t>、颗粒物：</w:t>
                  </w:r>
                  <w:r>
                    <w:rPr>
                      <w:rFonts w:hint="default" w:ascii="Times New Roman" w:hAnsi="Times New Roman" w:cs="Times New Roman"/>
                      <w:color w:val="auto"/>
                      <w:spacing w:val="5"/>
                      <w:sz w:val="21"/>
                      <w:szCs w:val="21"/>
                      <w:highlight w:val="none"/>
                      <w:lang w:val="en-US" w:eastAsia="zh-CN"/>
                    </w:rPr>
                    <w:t>1.0</w:t>
                  </w: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pacing w:val="5"/>
                      <w:sz w:val="21"/>
                      <w:szCs w:val="21"/>
                      <w:highlight w:val="none"/>
                    </w:rPr>
                    <w:t>/m</w:t>
                  </w:r>
                  <w:r>
                    <w:rPr>
                      <w:rFonts w:hint="default" w:ascii="Times New Roman" w:hAnsi="Times New Roman" w:eastAsia="宋体" w:cs="Times New Roman"/>
                      <w:color w:val="auto"/>
                      <w:spacing w:val="2"/>
                      <w:sz w:val="21"/>
                      <w:szCs w:val="21"/>
                      <w:highlight w:val="none"/>
                      <w:vertAlign w:val="superscript"/>
                      <w:lang w:val="en-US" w:eastAsia="zh-CN"/>
                    </w:rPr>
                    <w:t>3</w:t>
                  </w:r>
                  <w:r>
                    <w:rPr>
                      <w:rFonts w:hint="default" w:ascii="Times New Roman" w:hAnsi="Times New Roman" w:eastAsia="宋体" w:cs="Times New Roman"/>
                      <w:color w:val="auto"/>
                      <w:spacing w:val="5"/>
                      <w:sz w:val="21"/>
                      <w:szCs w:val="21"/>
                      <w:highlight w:val="none"/>
                    </w:rPr>
                    <w:t>）</w:t>
                  </w:r>
                </w:p>
              </w:tc>
            </w:tr>
            <w:tr w14:paraId="35506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continue"/>
                  <w:tcBorders>
                    <w:top w:val="nil"/>
                    <w:bottom w:val="nil"/>
                  </w:tcBorders>
                  <w:vAlign w:val="center"/>
                </w:tcPr>
                <w:p w14:paraId="122E75F9">
                  <w:pPr>
                    <w:jc w:val="center"/>
                    <w:rPr>
                      <w:rFonts w:hint="default" w:ascii="Times New Roman" w:hAnsi="Times New Roman" w:eastAsia="宋体" w:cs="Times New Roman"/>
                      <w:color w:val="auto"/>
                      <w:sz w:val="21"/>
                      <w:szCs w:val="21"/>
                      <w:highlight w:val="none"/>
                    </w:rPr>
                  </w:pPr>
                </w:p>
              </w:tc>
              <w:tc>
                <w:tcPr>
                  <w:tcW w:w="717" w:type="dxa"/>
                  <w:vMerge w:val="continue"/>
                  <w:tcBorders>
                    <w:top w:val="nil"/>
                    <w:bottom w:val="nil"/>
                  </w:tcBorders>
                  <w:textDirection w:val="tbRlV"/>
                  <w:vAlign w:val="top"/>
                </w:tcPr>
                <w:p w14:paraId="5965F745">
                  <w:pPr>
                    <w:jc w:val="center"/>
                    <w:rPr>
                      <w:rFonts w:hint="default" w:ascii="Times New Roman" w:hAnsi="Times New Roman" w:eastAsia="宋体" w:cs="Times New Roman"/>
                      <w:color w:val="auto"/>
                      <w:sz w:val="21"/>
                      <w:szCs w:val="21"/>
                      <w:highlight w:val="none"/>
                    </w:rPr>
                  </w:pPr>
                </w:p>
              </w:tc>
              <w:tc>
                <w:tcPr>
                  <w:tcW w:w="758" w:type="dxa"/>
                  <w:vAlign w:val="center"/>
                </w:tcPr>
                <w:p w14:paraId="64F14472">
                  <w:pPr>
                    <w:pStyle w:val="16"/>
                    <w:spacing w:before="65" w:line="228"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施工扬尘</w:t>
                  </w:r>
                </w:p>
              </w:tc>
              <w:tc>
                <w:tcPr>
                  <w:tcW w:w="5865" w:type="dxa"/>
                  <w:tcBorders>
                    <w:right w:val="single" w:color="000000" w:sz="4" w:space="0"/>
                  </w:tcBorders>
                  <w:vAlign w:val="center"/>
                </w:tcPr>
                <w:p w14:paraId="571FCDA6">
                  <w:pPr>
                    <w:pStyle w:val="16"/>
                    <w:spacing w:before="65" w:line="228" w:lineRule="auto"/>
                    <w:jc w:val="left"/>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《大气污染物综合排放标准》（GB</w:t>
                  </w:r>
                  <w:r>
                    <w:rPr>
                      <w:rFonts w:hint="eastAsia" w:ascii="Times New Roman" w:hAnsi="Times New Roman" w:cs="Times New Roman"/>
                      <w:color w:val="auto"/>
                      <w:spacing w:val="6"/>
                      <w:sz w:val="21"/>
                      <w:szCs w:val="21"/>
                      <w:highlight w:val="none"/>
                      <w:lang w:val="en-US" w:eastAsia="zh-CN"/>
                    </w:rPr>
                    <w:t>16297</w:t>
                  </w:r>
                  <w:r>
                    <w:rPr>
                      <w:rFonts w:hint="default" w:ascii="Times New Roman" w:hAnsi="Times New Roman" w:eastAsia="宋体" w:cs="Times New Roman"/>
                      <w:color w:val="auto"/>
                      <w:spacing w:val="6"/>
                      <w:sz w:val="21"/>
                      <w:szCs w:val="21"/>
                      <w:highlight w:val="none"/>
                    </w:rPr>
                    <w:t>-1996）中表2其他无组织排放监控浓度限值要求（TSP：1.0mg/m</w:t>
                  </w:r>
                  <w:r>
                    <w:rPr>
                      <w:rFonts w:hint="default" w:ascii="Times New Roman" w:hAnsi="Times New Roman" w:eastAsia="宋体" w:cs="Times New Roman"/>
                      <w:color w:val="auto"/>
                      <w:spacing w:val="6"/>
                      <w:sz w:val="21"/>
                      <w:szCs w:val="21"/>
                      <w:highlight w:val="none"/>
                      <w:vertAlign w:val="superscript"/>
                      <w:lang w:val="en-US" w:eastAsia="zh-CN"/>
                    </w:rPr>
                    <w:t>3</w:t>
                  </w:r>
                  <w:r>
                    <w:rPr>
                      <w:rFonts w:hint="default" w:ascii="Times New Roman" w:hAnsi="Times New Roman" w:eastAsia="宋体" w:cs="Times New Roman"/>
                      <w:color w:val="auto"/>
                      <w:spacing w:val="6"/>
                      <w:sz w:val="21"/>
                      <w:szCs w:val="21"/>
                      <w:highlight w:val="none"/>
                    </w:rPr>
                    <w:t>）</w:t>
                  </w:r>
                </w:p>
              </w:tc>
            </w:tr>
            <w:tr w14:paraId="08442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continue"/>
                  <w:tcBorders>
                    <w:top w:val="nil"/>
                    <w:bottom w:val="nil"/>
                  </w:tcBorders>
                  <w:vAlign w:val="center"/>
                </w:tcPr>
                <w:p w14:paraId="672B818B">
                  <w:pPr>
                    <w:jc w:val="center"/>
                    <w:rPr>
                      <w:rFonts w:hint="default" w:ascii="Times New Roman" w:hAnsi="Times New Roman" w:eastAsia="宋体" w:cs="Times New Roman"/>
                      <w:color w:val="auto"/>
                      <w:sz w:val="21"/>
                      <w:szCs w:val="21"/>
                      <w:highlight w:val="none"/>
                    </w:rPr>
                  </w:pPr>
                </w:p>
              </w:tc>
              <w:tc>
                <w:tcPr>
                  <w:tcW w:w="717" w:type="dxa"/>
                  <w:vMerge w:val="continue"/>
                  <w:tcBorders>
                    <w:top w:val="nil"/>
                    <w:bottom w:val="nil"/>
                  </w:tcBorders>
                  <w:textDirection w:val="tbRlV"/>
                  <w:vAlign w:val="top"/>
                </w:tcPr>
                <w:p w14:paraId="0C4FDD64">
                  <w:pPr>
                    <w:jc w:val="center"/>
                    <w:rPr>
                      <w:rFonts w:hint="default" w:ascii="Times New Roman" w:hAnsi="Times New Roman" w:eastAsia="宋体" w:cs="Times New Roman"/>
                      <w:color w:val="auto"/>
                      <w:sz w:val="21"/>
                      <w:szCs w:val="21"/>
                      <w:highlight w:val="none"/>
                    </w:rPr>
                  </w:pPr>
                </w:p>
              </w:tc>
              <w:tc>
                <w:tcPr>
                  <w:tcW w:w="758" w:type="dxa"/>
                  <w:vAlign w:val="center"/>
                </w:tcPr>
                <w:p w14:paraId="180728B7">
                  <w:pPr>
                    <w:pStyle w:val="16"/>
                    <w:spacing w:before="180" w:line="228" w:lineRule="auto"/>
                    <w:ind w:left="9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非</w:t>
                  </w:r>
                  <w:r>
                    <w:rPr>
                      <w:rFonts w:hint="default" w:ascii="Times New Roman" w:hAnsi="Times New Roman" w:eastAsia="宋体" w:cs="Times New Roman"/>
                      <w:color w:val="auto"/>
                      <w:sz w:val="21"/>
                      <w:szCs w:val="21"/>
                      <w:highlight w:val="none"/>
                    </w:rPr>
                    <w:t>甲烷总烃</w:t>
                  </w:r>
                </w:p>
              </w:tc>
              <w:tc>
                <w:tcPr>
                  <w:tcW w:w="5865" w:type="dxa"/>
                  <w:tcBorders>
                    <w:right w:val="single" w:color="000000" w:sz="4" w:space="0"/>
                  </w:tcBorders>
                  <w:vAlign w:val="center"/>
                </w:tcPr>
                <w:p w14:paraId="778CE837">
                  <w:pPr>
                    <w:pStyle w:val="16"/>
                    <w:spacing w:before="180" w:line="227" w:lineRule="auto"/>
                    <w:ind w:left="65"/>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《陆上石油天然气开采工业大气污染物排放标准》（</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pacing w:val="3"/>
                      <w:sz w:val="21"/>
                      <w:szCs w:val="21"/>
                      <w:highlight w:val="none"/>
                    </w:rPr>
                    <w:t>39728</w:t>
                  </w:r>
                  <w:r>
                    <w:rPr>
                      <w:rFonts w:hint="default" w:ascii="Times New Roman" w:hAnsi="Times New Roman" w:eastAsia="宋体" w:cs="Times New Roman"/>
                      <w:color w:val="auto"/>
                      <w:spacing w:val="2"/>
                      <w:sz w:val="21"/>
                      <w:szCs w:val="21"/>
                      <w:highlight w:val="none"/>
                    </w:rPr>
                    <w:t>-2020</w:t>
                  </w:r>
                  <w:r>
                    <w:rPr>
                      <w:rFonts w:hint="default" w:ascii="Times New Roman" w:hAnsi="Times New Roman" w:eastAsia="宋体" w:cs="Times New Roman"/>
                      <w:color w:val="auto"/>
                      <w:spacing w:val="5"/>
                      <w:sz w:val="21"/>
                      <w:szCs w:val="21"/>
                      <w:highlight w:val="none"/>
                    </w:rPr>
                    <w:t>)（非甲烷总烃：4</w:t>
                  </w: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pacing w:val="5"/>
                      <w:sz w:val="21"/>
                      <w:szCs w:val="21"/>
                      <w:highlight w:val="none"/>
                    </w:rPr>
                    <w:t>/m</w:t>
                  </w:r>
                  <w:r>
                    <w:rPr>
                      <w:rFonts w:hint="default" w:ascii="Times New Roman" w:hAnsi="Times New Roman" w:cs="Times New Roman"/>
                      <w:color w:val="auto"/>
                      <w:spacing w:val="5"/>
                      <w:sz w:val="21"/>
                      <w:szCs w:val="21"/>
                      <w:highlight w:val="none"/>
                      <w:vertAlign w:val="superscript"/>
                      <w:lang w:val="en-US" w:eastAsia="zh-CN"/>
                    </w:rPr>
                    <w:t>3</w:t>
                  </w:r>
                  <w:r>
                    <w:rPr>
                      <w:rFonts w:hint="default" w:ascii="Times New Roman" w:hAnsi="Times New Roman" w:eastAsia="宋体" w:cs="Times New Roman"/>
                      <w:color w:val="auto"/>
                      <w:spacing w:val="5"/>
                      <w:sz w:val="21"/>
                      <w:szCs w:val="21"/>
                      <w:highlight w:val="none"/>
                    </w:rPr>
                    <w:t>）</w:t>
                  </w:r>
                </w:p>
              </w:tc>
            </w:tr>
            <w:tr w14:paraId="62767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continue"/>
                  <w:tcBorders>
                    <w:top w:val="nil"/>
                    <w:bottom w:val="nil"/>
                  </w:tcBorders>
                  <w:vAlign w:val="center"/>
                </w:tcPr>
                <w:p w14:paraId="6DFC13EA">
                  <w:pPr>
                    <w:jc w:val="center"/>
                    <w:rPr>
                      <w:rFonts w:hint="default" w:ascii="Times New Roman" w:hAnsi="Times New Roman" w:eastAsia="宋体" w:cs="Times New Roman"/>
                      <w:color w:val="auto"/>
                      <w:sz w:val="21"/>
                      <w:szCs w:val="21"/>
                      <w:highlight w:val="none"/>
                    </w:rPr>
                  </w:pPr>
                </w:p>
              </w:tc>
              <w:tc>
                <w:tcPr>
                  <w:tcW w:w="717" w:type="dxa"/>
                  <w:vMerge w:val="continue"/>
                  <w:tcBorders>
                    <w:top w:val="nil"/>
                  </w:tcBorders>
                  <w:textDirection w:val="tbRlV"/>
                  <w:vAlign w:val="top"/>
                </w:tcPr>
                <w:p w14:paraId="66E1EC9A">
                  <w:pPr>
                    <w:jc w:val="center"/>
                    <w:rPr>
                      <w:rFonts w:hint="default" w:ascii="Times New Roman" w:hAnsi="Times New Roman" w:eastAsia="宋体" w:cs="Times New Roman"/>
                      <w:color w:val="auto"/>
                      <w:sz w:val="21"/>
                      <w:szCs w:val="21"/>
                      <w:highlight w:val="none"/>
                    </w:rPr>
                  </w:pPr>
                </w:p>
              </w:tc>
              <w:tc>
                <w:tcPr>
                  <w:tcW w:w="758" w:type="dxa"/>
                  <w:vAlign w:val="center"/>
                </w:tcPr>
                <w:p w14:paraId="64430E2D">
                  <w:pPr>
                    <w:pStyle w:val="16"/>
                    <w:spacing w:before="65" w:line="228"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H</w:t>
                  </w:r>
                  <w:r>
                    <w:rPr>
                      <w:rFonts w:hint="default" w:ascii="Times New Roman" w:hAnsi="Times New Roman" w:eastAsia="宋体" w:cs="Times New Roman"/>
                      <w:color w:val="auto"/>
                      <w:spacing w:val="6"/>
                      <w:sz w:val="21"/>
                      <w:szCs w:val="21"/>
                      <w:highlight w:val="none"/>
                      <w:vertAlign w:val="subscript"/>
                    </w:rPr>
                    <w:t>2</w:t>
                  </w:r>
                  <w:r>
                    <w:rPr>
                      <w:rFonts w:hint="default" w:ascii="Times New Roman" w:hAnsi="Times New Roman" w:eastAsia="宋体" w:cs="Times New Roman"/>
                      <w:color w:val="auto"/>
                      <w:spacing w:val="6"/>
                      <w:sz w:val="21"/>
                      <w:szCs w:val="21"/>
                      <w:highlight w:val="none"/>
                    </w:rPr>
                    <w:t>S</w:t>
                  </w:r>
                </w:p>
              </w:tc>
              <w:tc>
                <w:tcPr>
                  <w:tcW w:w="5865" w:type="dxa"/>
                  <w:tcBorders>
                    <w:right w:val="single" w:color="000000" w:sz="4" w:space="0"/>
                  </w:tcBorders>
                  <w:vAlign w:val="center"/>
                </w:tcPr>
                <w:p w14:paraId="117C510B">
                  <w:pPr>
                    <w:pStyle w:val="16"/>
                    <w:spacing w:before="180" w:line="228" w:lineRule="auto"/>
                    <w:ind w:left="90"/>
                    <w:jc w:val="left"/>
                    <w:rPr>
                      <w:rFonts w:hint="default" w:ascii="Times New Roman" w:hAnsi="Times New Roman" w:eastAsia="宋体" w:cs="Times New Roman"/>
                      <w:color w:val="auto"/>
                      <w:spacing w:val="7"/>
                      <w:sz w:val="21"/>
                      <w:szCs w:val="21"/>
                      <w:highlight w:val="none"/>
                    </w:rPr>
                  </w:pPr>
                  <w:r>
                    <w:rPr>
                      <w:rFonts w:hint="default" w:ascii="Times New Roman" w:hAnsi="Times New Roman" w:eastAsia="宋体" w:cs="Times New Roman"/>
                      <w:color w:val="auto"/>
                      <w:spacing w:val="7"/>
                      <w:sz w:val="21"/>
                      <w:szCs w:val="21"/>
                      <w:highlight w:val="none"/>
                    </w:rPr>
                    <w:t>《恶臭污染物排放标准》（GB14554-93）中表1恶臭污染物厂界标准值二级新扩改建限值（H</w:t>
                  </w:r>
                  <w:r>
                    <w:rPr>
                      <w:rFonts w:hint="default" w:ascii="Times New Roman" w:hAnsi="Times New Roman" w:eastAsia="宋体" w:cs="Times New Roman"/>
                      <w:color w:val="auto"/>
                      <w:spacing w:val="7"/>
                      <w:sz w:val="21"/>
                      <w:szCs w:val="21"/>
                      <w:highlight w:val="none"/>
                      <w:vertAlign w:val="subscript"/>
                    </w:rPr>
                    <w:t>2</w:t>
                  </w:r>
                  <w:r>
                    <w:rPr>
                      <w:rFonts w:hint="default" w:ascii="Times New Roman" w:hAnsi="Times New Roman" w:eastAsia="宋体" w:cs="Times New Roman"/>
                      <w:color w:val="auto"/>
                      <w:spacing w:val="7"/>
                      <w:sz w:val="21"/>
                      <w:szCs w:val="21"/>
                      <w:highlight w:val="none"/>
                    </w:rPr>
                    <w:t>S厂界：0.06mg/m</w:t>
                  </w:r>
                  <w:r>
                    <w:rPr>
                      <w:rFonts w:hint="default" w:ascii="Times New Roman" w:hAnsi="Times New Roman" w:eastAsia="宋体" w:cs="Times New Roman"/>
                      <w:color w:val="auto"/>
                      <w:spacing w:val="7"/>
                      <w:sz w:val="21"/>
                      <w:szCs w:val="21"/>
                      <w:highlight w:val="none"/>
                      <w:vertAlign w:val="superscript"/>
                    </w:rPr>
                    <w:t>3</w:t>
                  </w:r>
                  <w:r>
                    <w:rPr>
                      <w:rFonts w:hint="default" w:ascii="Times New Roman" w:hAnsi="Times New Roman" w:eastAsia="宋体" w:cs="Times New Roman"/>
                      <w:color w:val="auto"/>
                      <w:spacing w:val="7"/>
                      <w:sz w:val="21"/>
                      <w:szCs w:val="21"/>
                      <w:highlight w:val="none"/>
                    </w:rPr>
                    <w:t>）</w:t>
                  </w:r>
                </w:p>
              </w:tc>
            </w:tr>
            <w:tr w14:paraId="54475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continue"/>
                  <w:tcBorders>
                    <w:top w:val="nil"/>
                  </w:tcBorders>
                  <w:vAlign w:val="center"/>
                </w:tcPr>
                <w:p w14:paraId="6CC47CA9">
                  <w:pPr>
                    <w:jc w:val="center"/>
                    <w:rPr>
                      <w:rFonts w:hint="default" w:ascii="Times New Roman" w:hAnsi="Times New Roman" w:eastAsia="宋体" w:cs="Times New Roman"/>
                      <w:color w:val="auto"/>
                      <w:sz w:val="21"/>
                      <w:szCs w:val="21"/>
                      <w:highlight w:val="none"/>
                    </w:rPr>
                  </w:pPr>
                </w:p>
              </w:tc>
              <w:tc>
                <w:tcPr>
                  <w:tcW w:w="717" w:type="dxa"/>
                  <w:textDirection w:val="tbRlV"/>
                  <w:vAlign w:val="top"/>
                </w:tcPr>
                <w:p w14:paraId="74182576">
                  <w:pPr>
                    <w:pStyle w:val="16"/>
                    <w:spacing w:before="149" w:line="213"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噪声</w:t>
                  </w:r>
                </w:p>
              </w:tc>
              <w:tc>
                <w:tcPr>
                  <w:tcW w:w="758" w:type="dxa"/>
                  <w:vAlign w:val="center"/>
                </w:tcPr>
                <w:p w14:paraId="33DF9E4D">
                  <w:pPr>
                    <w:pStyle w:val="16"/>
                    <w:spacing w:before="65" w:line="228"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施工期井场噪声</w:t>
                  </w:r>
                </w:p>
              </w:tc>
              <w:tc>
                <w:tcPr>
                  <w:tcW w:w="5865" w:type="dxa"/>
                  <w:tcBorders>
                    <w:right w:val="single" w:color="000000" w:sz="4" w:space="0"/>
                  </w:tcBorders>
                  <w:vAlign w:val="center"/>
                </w:tcPr>
                <w:p w14:paraId="1F56AEB1">
                  <w:pPr>
                    <w:pStyle w:val="16"/>
                    <w:spacing w:before="65" w:line="228" w:lineRule="auto"/>
                    <w:jc w:val="left"/>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《建筑施工场界环境噪声排放标准》（GB12523-2011）（昼间：70dB（A）、夜间：55dB（A））</w:t>
                  </w:r>
                </w:p>
              </w:tc>
            </w:tr>
            <w:tr w14:paraId="3F2CD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restart"/>
                  <w:tcBorders>
                    <w:bottom w:val="nil"/>
                  </w:tcBorders>
                  <w:vAlign w:val="center"/>
                </w:tcPr>
                <w:p w14:paraId="6FECB79D">
                  <w:pPr>
                    <w:pStyle w:val="16"/>
                    <w:spacing w:before="65"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污染</w:t>
                  </w:r>
                  <w:r>
                    <w:rPr>
                      <w:rFonts w:hint="default" w:ascii="Times New Roman" w:hAnsi="Times New Roman" w:eastAsia="宋体" w:cs="Times New Roman"/>
                      <w:color w:val="auto"/>
                      <w:spacing w:val="5"/>
                      <w:sz w:val="21"/>
                      <w:szCs w:val="21"/>
                      <w:highlight w:val="none"/>
                    </w:rPr>
                    <w:t>控制</w:t>
                  </w:r>
                  <w:r>
                    <w:rPr>
                      <w:rFonts w:hint="default" w:ascii="Times New Roman" w:hAnsi="Times New Roman" w:eastAsia="宋体" w:cs="Times New Roman"/>
                      <w:color w:val="auto"/>
                      <w:spacing w:val="4"/>
                      <w:sz w:val="21"/>
                      <w:szCs w:val="21"/>
                      <w:highlight w:val="none"/>
                    </w:rPr>
                    <w:t>标准</w:t>
                  </w:r>
                </w:p>
              </w:tc>
              <w:tc>
                <w:tcPr>
                  <w:tcW w:w="717" w:type="dxa"/>
                  <w:textDirection w:val="tbRlV"/>
                  <w:vAlign w:val="top"/>
                </w:tcPr>
                <w:p w14:paraId="3F76C14F">
                  <w:pPr>
                    <w:pStyle w:val="16"/>
                    <w:spacing w:before="138" w:line="217"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pacing w:val="8"/>
                      <w:sz w:val="21"/>
                      <w:szCs w:val="21"/>
                      <w:highlight w:val="none"/>
                      <w:lang w:val="en-US" w:eastAsia="zh-CN"/>
                    </w:rPr>
                    <w:t>一</w:t>
                  </w:r>
                  <w:r>
                    <w:rPr>
                      <w:rFonts w:hint="default" w:ascii="Times New Roman" w:hAnsi="Times New Roman" w:eastAsia="宋体" w:cs="Times New Roman"/>
                      <w:color w:val="auto"/>
                      <w:spacing w:val="8"/>
                      <w:sz w:val="21"/>
                      <w:szCs w:val="21"/>
                      <w:highlight w:val="none"/>
                    </w:rPr>
                    <w:t>般固废</w:t>
                  </w:r>
                </w:p>
              </w:tc>
              <w:tc>
                <w:tcPr>
                  <w:tcW w:w="758" w:type="dxa"/>
                  <w:vAlign w:val="center"/>
                </w:tcPr>
                <w:p w14:paraId="6E7BDB58">
                  <w:pPr>
                    <w:pStyle w:val="16"/>
                    <w:spacing w:before="65"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水基岩屑</w:t>
                  </w:r>
                </w:p>
              </w:tc>
              <w:tc>
                <w:tcPr>
                  <w:tcW w:w="5865" w:type="dxa"/>
                  <w:tcBorders>
                    <w:right w:val="single" w:color="000000" w:sz="4" w:space="0"/>
                  </w:tcBorders>
                  <w:vAlign w:val="center"/>
                </w:tcPr>
                <w:p w14:paraId="1B70873C">
                  <w:pPr>
                    <w:pStyle w:val="16"/>
                    <w:spacing w:before="65" w:line="228" w:lineRule="auto"/>
                    <w:jc w:val="left"/>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《一般工业固体废物贮存和填埋污染控制标准》（GB18599-2020)</w:t>
                  </w:r>
                </w:p>
              </w:tc>
            </w:tr>
            <w:tr w14:paraId="01FB6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continue"/>
                  <w:tcBorders>
                    <w:top w:val="nil"/>
                  </w:tcBorders>
                  <w:vAlign w:val="center"/>
                </w:tcPr>
                <w:p w14:paraId="1E737096">
                  <w:pPr>
                    <w:jc w:val="center"/>
                    <w:rPr>
                      <w:rFonts w:hint="default" w:ascii="Times New Roman" w:hAnsi="Times New Roman" w:eastAsia="宋体" w:cs="Times New Roman"/>
                      <w:color w:val="auto"/>
                      <w:sz w:val="21"/>
                      <w:szCs w:val="21"/>
                      <w:highlight w:val="none"/>
                    </w:rPr>
                  </w:pPr>
                </w:p>
              </w:tc>
              <w:tc>
                <w:tcPr>
                  <w:tcW w:w="717" w:type="dxa"/>
                  <w:textDirection w:val="tbRlV"/>
                  <w:vAlign w:val="top"/>
                </w:tcPr>
                <w:p w14:paraId="6F3C2A5F">
                  <w:pPr>
                    <w:pStyle w:val="16"/>
                    <w:spacing w:before="138" w:line="217" w:lineRule="auto"/>
                    <w:ind w:left="3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危险废物</w:t>
                  </w:r>
                </w:p>
              </w:tc>
              <w:tc>
                <w:tcPr>
                  <w:tcW w:w="758" w:type="dxa"/>
                  <w:vAlign w:val="center"/>
                </w:tcPr>
                <w:p w14:paraId="64989073">
                  <w:pPr>
                    <w:pStyle w:val="16"/>
                    <w:spacing w:before="168"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油基岩屑</w:t>
                  </w:r>
                  <w:r>
                    <w:rPr>
                      <w:rFonts w:hint="default" w:ascii="Times New Roman" w:hAnsi="Times New Roman" w:eastAsia="宋体" w:cs="Times New Roman"/>
                      <w:color w:val="auto"/>
                      <w:spacing w:val="3"/>
                      <w:sz w:val="21"/>
                      <w:szCs w:val="21"/>
                      <w:highlight w:val="none"/>
                    </w:rPr>
                    <w:t>、废防渗</w:t>
                  </w:r>
                  <w:r>
                    <w:rPr>
                      <w:rFonts w:hint="default" w:ascii="Times New Roman" w:hAnsi="Times New Roman" w:eastAsia="宋体" w:cs="Times New Roman"/>
                      <w:color w:val="auto"/>
                      <w:spacing w:val="4"/>
                      <w:sz w:val="21"/>
                      <w:szCs w:val="21"/>
                      <w:highlight w:val="none"/>
                    </w:rPr>
                    <w:t>材料</w:t>
                  </w:r>
                </w:p>
              </w:tc>
              <w:tc>
                <w:tcPr>
                  <w:tcW w:w="5865" w:type="dxa"/>
                  <w:tcBorders>
                    <w:right w:val="single" w:color="000000" w:sz="4" w:space="0"/>
                  </w:tcBorders>
                  <w:vAlign w:val="center"/>
                </w:tcPr>
                <w:p w14:paraId="48A8647B">
                  <w:pPr>
                    <w:pStyle w:val="16"/>
                    <w:spacing w:before="32" w:line="228" w:lineRule="auto"/>
                    <w:ind w:left="289" w:leftChars="35" w:hanging="216" w:hangingChars="1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《油气田钻井固体废弃物综合利用污染物控</w:t>
                  </w:r>
                  <w:r>
                    <w:rPr>
                      <w:rFonts w:hint="default" w:ascii="Times New Roman" w:hAnsi="Times New Roman" w:eastAsia="宋体" w:cs="Times New Roman"/>
                      <w:color w:val="auto"/>
                      <w:spacing w:val="2"/>
                      <w:sz w:val="21"/>
                      <w:szCs w:val="21"/>
                      <w:highlight w:val="none"/>
                    </w:rPr>
                    <w:t>制要求》（</w:t>
                  </w:r>
                  <w:r>
                    <w:rPr>
                      <w:rFonts w:hint="default" w:ascii="Times New Roman" w:hAnsi="Times New Roman" w:eastAsia="宋体" w:cs="Times New Roman"/>
                      <w:color w:val="auto"/>
                      <w:sz w:val="21"/>
                      <w:szCs w:val="21"/>
                      <w:highlight w:val="none"/>
                    </w:rPr>
                    <w:t>DB</w:t>
                  </w:r>
                  <w:r>
                    <w:rPr>
                      <w:rFonts w:hint="eastAsia" w:ascii="Times New Roman" w:hAnsi="Times New Roman" w:cs="Times New Roman"/>
                      <w:color w:val="auto"/>
                      <w:sz w:val="21"/>
                      <w:szCs w:val="21"/>
                      <w:highlight w:val="none"/>
                      <w:lang w:val="en-US" w:eastAsia="zh-CN"/>
                    </w:rPr>
                    <w:t xml:space="preserve"> 65/T 3997-2017</w:t>
                  </w:r>
                  <w:r>
                    <w:rPr>
                      <w:rFonts w:hint="default" w:ascii="Times New Roman" w:hAnsi="Times New Roman" w:eastAsia="宋体" w:cs="Times New Roman"/>
                      <w:color w:val="auto"/>
                      <w:spacing w:val="2"/>
                      <w:sz w:val="21"/>
                      <w:szCs w:val="21"/>
                      <w:highlight w:val="none"/>
                    </w:rPr>
                    <w:t>）</w:t>
                  </w:r>
                  <w:r>
                    <w:rPr>
                      <w:rFonts w:hint="default" w:ascii="Times New Roman" w:hAnsi="Times New Roman" w:eastAsia="宋体" w:cs="Times New Roman"/>
                      <w:color w:val="auto"/>
                      <w:spacing w:val="7"/>
                      <w:sz w:val="21"/>
                      <w:szCs w:val="21"/>
                      <w:highlight w:val="none"/>
                    </w:rPr>
                    <w:t>《危险废物贮存污染控制标准》（</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pacing w:val="7"/>
                      <w:sz w:val="21"/>
                      <w:szCs w:val="21"/>
                      <w:highlight w:val="none"/>
                    </w:rPr>
                    <w:t>18597-2023）</w:t>
                  </w:r>
                </w:p>
              </w:tc>
            </w:tr>
          </w:tbl>
          <w:p w14:paraId="075DA544">
            <w:pPr>
              <w:pStyle w:val="16"/>
              <w:spacing w:before="65" w:line="228" w:lineRule="auto"/>
              <w:jc w:val="both"/>
              <w:rPr>
                <w:rFonts w:hint="default" w:ascii="Times New Roman" w:hAnsi="Times New Roman" w:eastAsia="宋体" w:cs="Times New Roman"/>
                <w:color w:val="auto"/>
                <w:spacing w:val="-4"/>
                <w:sz w:val="24"/>
                <w:szCs w:val="24"/>
                <w:highlight w:val="none"/>
                <w:lang w:val="en-US" w:eastAsia="en-US"/>
              </w:rPr>
            </w:pPr>
          </w:p>
        </w:tc>
      </w:tr>
      <w:tr w14:paraId="31E47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7" w:hRule="atLeast"/>
          <w:jc w:val="center"/>
        </w:trPr>
        <w:tc>
          <w:tcPr>
            <w:tcW w:w="991" w:type="dxa"/>
            <w:tcBorders>
              <w:top w:val="single" w:color="auto" w:sz="4" w:space="0"/>
              <w:left w:val="single" w:color="auto" w:sz="4" w:space="0"/>
              <w:bottom w:val="single" w:color="auto" w:sz="4" w:space="0"/>
            </w:tcBorders>
            <w:shd w:val="clear" w:color="auto" w:fill="auto"/>
            <w:vAlign w:val="center"/>
          </w:tcPr>
          <w:p w14:paraId="0CB0BDB6">
            <w:pPr>
              <w:pStyle w:val="16"/>
              <w:spacing w:before="65" w:line="228" w:lineRule="auto"/>
              <w:jc w:val="center"/>
              <w:rPr>
                <w:rFonts w:hint="default" w:ascii="Times New Roman" w:hAnsi="Times New Roman" w:eastAsia="宋体" w:cs="Times New Roman"/>
                <w:snapToGrid w:val="0"/>
                <w:color w:val="auto"/>
                <w:kern w:val="0"/>
                <w:sz w:val="24"/>
                <w:szCs w:val="24"/>
                <w:highlight w:val="none"/>
                <w:lang w:val="en-US" w:eastAsia="en-US" w:bidi="ar-SA"/>
              </w:rPr>
            </w:pPr>
            <w:r>
              <w:rPr>
                <w:rFonts w:hint="default" w:ascii="Times New Roman" w:hAnsi="Times New Roman" w:eastAsia="宋体" w:cs="Times New Roman"/>
                <w:color w:val="auto"/>
                <w:spacing w:val="10"/>
                <w:sz w:val="24"/>
                <w:szCs w:val="24"/>
                <w:highlight w:val="none"/>
              </w:rPr>
              <w:t>其他</w:t>
            </w:r>
          </w:p>
        </w:tc>
        <w:tc>
          <w:tcPr>
            <w:tcW w:w="8108" w:type="dxa"/>
            <w:tcBorders>
              <w:top w:val="single" w:color="auto" w:sz="4" w:space="0"/>
              <w:bottom w:val="single" w:color="auto" w:sz="4" w:space="0"/>
              <w:right w:val="single" w:color="auto" w:sz="4" w:space="0"/>
            </w:tcBorders>
            <w:shd w:val="clear" w:color="auto" w:fill="auto"/>
            <w:vAlign w:val="center"/>
          </w:tcPr>
          <w:p w14:paraId="4A4583BB">
            <w:pPr>
              <w:pStyle w:val="16"/>
              <w:spacing w:before="65" w:line="228" w:lineRule="auto"/>
              <w:jc w:val="both"/>
              <w:rPr>
                <w:rFonts w:hint="default" w:ascii="Times New Roman" w:hAnsi="Times New Roman" w:eastAsia="宋体" w:cs="Times New Roman"/>
                <w:color w:val="auto"/>
                <w:spacing w:val="10"/>
                <w:sz w:val="24"/>
                <w:szCs w:val="24"/>
                <w:highlight w:val="none"/>
              </w:rPr>
            </w:pPr>
            <w:r>
              <w:rPr>
                <w:rFonts w:hint="default" w:ascii="Times New Roman" w:hAnsi="Times New Roman" w:eastAsia="宋体" w:cs="Times New Roman"/>
                <w:color w:val="auto"/>
                <w:spacing w:val="10"/>
                <w:sz w:val="24"/>
                <w:szCs w:val="24"/>
                <w:highlight w:val="none"/>
              </w:rPr>
              <w:t>本项目钻试周期短，污染物产生量少，钻试期结束后污染物停止排放，故不提出总量控制指标。</w:t>
            </w:r>
          </w:p>
          <w:p w14:paraId="4EE870F1">
            <w:pPr>
              <w:pStyle w:val="16"/>
              <w:spacing w:before="65" w:line="228" w:lineRule="auto"/>
              <w:jc w:val="both"/>
              <w:rPr>
                <w:rFonts w:hint="default" w:ascii="Times New Roman" w:hAnsi="Times New Roman" w:eastAsia="宋体" w:cs="Times New Roman"/>
                <w:color w:val="auto"/>
                <w:spacing w:val="10"/>
                <w:sz w:val="24"/>
                <w:szCs w:val="24"/>
                <w:highlight w:val="none"/>
              </w:rPr>
            </w:pPr>
          </w:p>
          <w:p w14:paraId="1C50516B">
            <w:pPr>
              <w:pStyle w:val="16"/>
              <w:spacing w:before="65" w:line="228" w:lineRule="auto"/>
              <w:jc w:val="both"/>
              <w:rPr>
                <w:rFonts w:hint="default" w:ascii="Times New Roman" w:hAnsi="Times New Roman" w:eastAsia="宋体" w:cs="Times New Roman"/>
                <w:color w:val="auto"/>
                <w:spacing w:val="10"/>
                <w:sz w:val="24"/>
                <w:szCs w:val="24"/>
                <w:highlight w:val="none"/>
              </w:rPr>
            </w:pPr>
          </w:p>
          <w:p w14:paraId="084E920B">
            <w:pPr>
              <w:pStyle w:val="16"/>
              <w:spacing w:before="65" w:line="228" w:lineRule="auto"/>
              <w:jc w:val="both"/>
              <w:rPr>
                <w:rFonts w:hint="default" w:ascii="Times New Roman" w:hAnsi="Times New Roman" w:eastAsia="宋体" w:cs="Times New Roman"/>
                <w:color w:val="auto"/>
                <w:spacing w:val="10"/>
                <w:sz w:val="24"/>
                <w:szCs w:val="24"/>
                <w:highlight w:val="none"/>
                <w:lang w:val="en-US" w:eastAsia="en-US"/>
              </w:rPr>
            </w:pPr>
          </w:p>
        </w:tc>
      </w:tr>
    </w:tbl>
    <w:p w14:paraId="7292C119">
      <w:pPr>
        <w:spacing w:before="101" w:line="360" w:lineRule="auto"/>
        <w:jc w:val="center"/>
        <w:outlineLvl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3"/>
          <w:sz w:val="30"/>
          <w:szCs w:val="30"/>
          <w:highlight w:val="none"/>
        </w:rPr>
        <w:br w:type="column"/>
      </w:r>
      <w:r>
        <w:rPr>
          <w:rFonts w:hint="default" w:ascii="Times New Roman" w:hAnsi="Times New Roman" w:eastAsia="宋体" w:cs="Times New Roman"/>
          <w:b/>
          <w:bCs/>
          <w:color w:val="auto"/>
          <w:spacing w:val="3"/>
          <w:sz w:val="30"/>
          <w:szCs w:val="30"/>
          <w:highlight w:val="none"/>
        </w:rPr>
        <w:t>四、生态环境影响分析</w:t>
      </w:r>
    </w:p>
    <w:tbl>
      <w:tblPr>
        <w:tblStyle w:val="12"/>
        <w:tblW w:w="8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8290"/>
      </w:tblGrid>
      <w:tr w14:paraId="14ED6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578" w:type="dxa"/>
            <w:vAlign w:val="center"/>
          </w:tcPr>
          <w:p w14:paraId="7AA2EA0F">
            <w:pPr>
              <w:widowControl w:val="0"/>
              <w:spacing w:line="360" w:lineRule="auto"/>
              <w:jc w:val="center"/>
              <w:rPr>
                <w:rFonts w:hint="default" w:ascii="Times New Roman" w:hAnsi="Times New Roman" w:eastAsia="宋体" w:cs="Times New Roman"/>
                <w:color w:val="auto"/>
                <w:sz w:val="24"/>
                <w:szCs w:val="24"/>
                <w:highlight w:val="none"/>
                <w:vertAlign w:val="baseline"/>
              </w:rPr>
            </w:pPr>
            <w:bookmarkStart w:id="19" w:name="OLE_LINK45"/>
            <w:r>
              <w:rPr>
                <w:rFonts w:hint="default" w:ascii="Times New Roman" w:hAnsi="Times New Roman" w:eastAsia="宋体" w:cs="Times New Roman"/>
                <w:b w:val="0"/>
                <w:bCs w:val="0"/>
                <w:color w:val="auto"/>
                <w:sz w:val="24"/>
                <w:szCs w:val="24"/>
                <w:highlight w:val="none"/>
              </w:rPr>
              <w:t>施工期生态环境影响分析</w:t>
            </w:r>
            <w:bookmarkEnd w:id="19"/>
          </w:p>
        </w:tc>
        <w:tc>
          <w:tcPr>
            <w:tcW w:w="8290" w:type="dxa"/>
          </w:tcPr>
          <w:p w14:paraId="39AEB62D">
            <w:pPr>
              <w:pStyle w:val="16"/>
              <w:widowControl w:val="0"/>
              <w:spacing w:before="39" w:line="360" w:lineRule="auto"/>
              <w:ind w:left="13"/>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6"/>
                <w:sz w:val="24"/>
                <w:szCs w:val="24"/>
                <w:highlight w:val="none"/>
              </w:rPr>
              <w:t>1</w:t>
            </w:r>
            <w:r>
              <w:rPr>
                <w:rFonts w:hint="default" w:ascii="Times New Roman" w:hAnsi="Times New Roman" w:eastAsia="宋体" w:cs="Times New Roman"/>
                <w:b/>
                <w:bCs/>
                <w:color w:val="auto"/>
                <w:spacing w:val="-34"/>
                <w:sz w:val="24"/>
                <w:szCs w:val="24"/>
                <w:highlight w:val="none"/>
                <w:lang w:val="en-US" w:eastAsia="zh-CN"/>
              </w:rPr>
              <w:t>.</w:t>
            </w:r>
            <w:r>
              <w:rPr>
                <w:rFonts w:hint="default" w:ascii="Times New Roman" w:hAnsi="Times New Roman" w:eastAsia="宋体" w:cs="Times New Roman"/>
                <w:b/>
                <w:bCs/>
                <w:color w:val="auto"/>
                <w:spacing w:val="-6"/>
                <w:sz w:val="24"/>
                <w:szCs w:val="24"/>
                <w:highlight w:val="none"/>
              </w:rPr>
              <w:t>生态环境影响分析</w:t>
            </w:r>
          </w:p>
          <w:p w14:paraId="60DEE5F5">
            <w:pPr>
              <w:pStyle w:val="16"/>
              <w:widowControl w:val="0"/>
              <w:spacing w:line="360" w:lineRule="auto"/>
              <w:ind w:left="11"/>
              <w:jc w:val="both"/>
              <w:rPr>
                <w:rFonts w:hint="default" w:ascii="Times New Roman" w:hAnsi="Times New Roman" w:eastAsia="宋体" w:cs="Times New Roman"/>
                <w:b/>
                <w:bCs/>
                <w:color w:val="auto"/>
                <w:spacing w:val="-3"/>
                <w:sz w:val="24"/>
                <w:szCs w:val="24"/>
                <w:highlight w:val="none"/>
              </w:rPr>
            </w:pPr>
            <w:r>
              <w:rPr>
                <w:rFonts w:hint="default" w:ascii="Times New Roman" w:hAnsi="Times New Roman" w:eastAsia="宋体" w:cs="Times New Roman"/>
                <w:b/>
                <w:bCs/>
                <w:color w:val="auto"/>
                <w:spacing w:val="-3"/>
                <w:sz w:val="24"/>
                <w:szCs w:val="24"/>
                <w:highlight w:val="none"/>
              </w:rPr>
              <w:t>1.1生态环境影响因素及类型</w:t>
            </w:r>
          </w:p>
          <w:p w14:paraId="76BE9CB7">
            <w:pPr>
              <w:pStyle w:val="16"/>
              <w:widowControl w:val="0"/>
              <w:spacing w:line="360" w:lineRule="auto"/>
              <w:ind w:left="11"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本项目道路施工过程中不可避免地会对周围生</w:t>
            </w:r>
            <w:r>
              <w:rPr>
                <w:rFonts w:hint="default" w:ascii="Times New Roman" w:hAnsi="Times New Roman" w:eastAsia="宋体" w:cs="Times New Roman"/>
                <w:color w:val="auto"/>
                <w:spacing w:val="-1"/>
                <w:sz w:val="24"/>
                <w:szCs w:val="24"/>
                <w:highlight w:val="none"/>
              </w:rPr>
              <w:t>态环境造成不同程度的污染</w:t>
            </w:r>
            <w:r>
              <w:rPr>
                <w:rFonts w:hint="default" w:ascii="Times New Roman" w:hAnsi="Times New Roman" w:eastAsia="宋体" w:cs="Times New Roman"/>
                <w:color w:val="auto"/>
                <w:spacing w:val="-3"/>
                <w:sz w:val="24"/>
                <w:szCs w:val="24"/>
                <w:highlight w:val="none"/>
              </w:rPr>
              <w:t>和破坏。</w:t>
            </w:r>
          </w:p>
          <w:p w14:paraId="070D5D6A">
            <w:pPr>
              <w:pStyle w:val="16"/>
              <w:widowControl w:val="0"/>
              <w:spacing w:before="1" w:line="360" w:lineRule="auto"/>
              <w:ind w:left="496"/>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（1）生态环境影响类型</w:t>
            </w:r>
          </w:p>
          <w:p w14:paraId="3A6CDBFC">
            <w:pPr>
              <w:pStyle w:val="16"/>
              <w:widowControl w:val="0"/>
              <w:spacing w:before="35" w:line="360" w:lineRule="auto"/>
              <w:ind w:left="5" w:right="4" w:firstLine="483" w:firstLineChars="205"/>
              <w:jc w:val="both"/>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2"/>
                <w:sz w:val="24"/>
                <w:szCs w:val="24"/>
                <w:highlight w:val="none"/>
              </w:rPr>
              <w:t>①占地对地表土壤、植被影响</w:t>
            </w:r>
          </w:p>
          <w:p w14:paraId="246C781A">
            <w:pPr>
              <w:pStyle w:val="16"/>
              <w:widowControl w:val="0"/>
              <w:spacing w:before="35" w:line="360" w:lineRule="auto"/>
              <w:ind w:left="5" w:right="4" w:firstLine="483" w:firstLineChars="205"/>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井场、道路施工占地范围内土壤翻出、植被清除，将破坏地表原有稳定砾石层，加剧风蚀，改变原有生态系统结构</w:t>
            </w:r>
            <w:r>
              <w:rPr>
                <w:rFonts w:hint="default" w:ascii="Times New Roman" w:hAnsi="Times New Roman" w:eastAsia="宋体" w:cs="Times New Roman"/>
                <w:color w:val="auto"/>
                <w:spacing w:val="-3"/>
                <w:sz w:val="24"/>
                <w:szCs w:val="24"/>
                <w:highlight w:val="none"/>
              </w:rPr>
              <w:t>和功能，属</w:t>
            </w:r>
            <w:r>
              <w:rPr>
                <w:rFonts w:hint="default" w:ascii="Times New Roman" w:hAnsi="Times New Roman" w:eastAsia="宋体" w:cs="Times New Roman"/>
                <w:color w:val="auto"/>
                <w:spacing w:val="-2"/>
                <w:sz w:val="24"/>
                <w:szCs w:val="24"/>
                <w:highlight w:val="none"/>
              </w:rPr>
              <w:t>暂时性影响。施工完成后，临时性占地和影响将消除，使被破坏的生态环境逐步恢复。评价井和产能井封井前井场将会在原来连续分布的生态环境中形成生态斑点，产生地表温度、水分等物理异常，以及干扰地面植被和野生动物繁殖、迁移</w:t>
            </w:r>
            <w:r>
              <w:rPr>
                <w:rFonts w:hint="default" w:ascii="Times New Roman" w:hAnsi="Times New Roman" w:eastAsia="宋体" w:cs="Times New Roman"/>
                <w:color w:val="auto"/>
                <w:spacing w:val="-1"/>
                <w:sz w:val="24"/>
                <w:szCs w:val="24"/>
                <w:highlight w:val="none"/>
              </w:rPr>
              <w:t>和栖息，长久影响生态环境的类型和结构。</w:t>
            </w:r>
          </w:p>
          <w:p w14:paraId="077EC734">
            <w:pPr>
              <w:pStyle w:val="16"/>
              <w:widowControl w:val="0"/>
              <w:spacing w:line="360" w:lineRule="auto"/>
              <w:ind w:left="482"/>
              <w:jc w:val="both"/>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②污染物排放对生态环境的影响</w:t>
            </w:r>
          </w:p>
          <w:p w14:paraId="475234F9">
            <w:pPr>
              <w:pStyle w:val="16"/>
              <w:widowControl w:val="0"/>
              <w:spacing w:line="360" w:lineRule="auto"/>
              <w:ind w:firstLine="472"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本工程主要污染源集中在钻井工程，其污染源分布广、排放源强小，污染因子简单，具有影响的全方位性、综合性的特点，其对生态环境影响的途径和程度</w:t>
            </w:r>
            <w:r>
              <w:rPr>
                <w:rFonts w:hint="default" w:ascii="Times New Roman" w:hAnsi="Times New Roman" w:eastAsia="宋体" w:cs="Times New Roman"/>
                <w:color w:val="auto"/>
                <w:sz w:val="24"/>
                <w:szCs w:val="24"/>
                <w:highlight w:val="none"/>
              </w:rPr>
              <w:t>取决于水环境、空气环境、声环境被污染的程度和</w:t>
            </w:r>
            <w:r>
              <w:rPr>
                <w:rFonts w:hint="default" w:ascii="Times New Roman" w:hAnsi="Times New Roman" w:eastAsia="宋体" w:cs="Times New Roman"/>
                <w:color w:val="auto"/>
                <w:spacing w:val="-1"/>
                <w:sz w:val="24"/>
                <w:szCs w:val="24"/>
                <w:highlight w:val="none"/>
              </w:rPr>
              <w:t>固废的产生量及处置方式。</w:t>
            </w:r>
          </w:p>
          <w:p w14:paraId="5ED0760D">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lang w:val="en-US" w:eastAsia="zh-CN"/>
              </w:rPr>
              <w:t>2</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生态环境影响因素</w:t>
            </w:r>
          </w:p>
          <w:p w14:paraId="227A2B17">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环境影响因素识别实际上是对主体的识别，包括主体工程和辅助工程。对于</w:t>
            </w:r>
            <w:r>
              <w:rPr>
                <w:rFonts w:hint="default" w:ascii="Times New Roman" w:hAnsi="Times New Roman" w:eastAsia="宋体" w:cs="Times New Roman"/>
                <w:color w:val="auto"/>
                <w:spacing w:val="-1"/>
                <w:sz w:val="24"/>
                <w:szCs w:val="24"/>
                <w:highlight w:val="none"/>
              </w:rPr>
              <w:t>本项目来讲，主要从钻井工程分析环境影响因素。</w:t>
            </w:r>
          </w:p>
          <w:p w14:paraId="613E6E96">
            <w:pPr>
              <w:pStyle w:val="16"/>
              <w:widowControl w:val="0"/>
              <w:spacing w:before="2" w:line="360" w:lineRule="auto"/>
              <w:ind w:left="3" w:right="4" w:firstLine="481"/>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本项目部署新井</w:t>
            </w:r>
            <w:r>
              <w:rPr>
                <w:rFonts w:hint="default" w:ascii="Times New Roman" w:hAnsi="Times New Roman"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口，井场的平整会产生土方的</w:t>
            </w:r>
            <w:r>
              <w:rPr>
                <w:rFonts w:hint="default" w:ascii="Times New Roman" w:hAnsi="Times New Roman" w:eastAsia="宋体" w:cs="Times New Roman"/>
                <w:color w:val="auto"/>
                <w:spacing w:val="-1"/>
                <w:sz w:val="24"/>
                <w:szCs w:val="24"/>
                <w:highlight w:val="none"/>
              </w:rPr>
              <w:t>扰动；钻井过程中废物的排</w:t>
            </w:r>
            <w:r>
              <w:rPr>
                <w:rFonts w:hint="default" w:ascii="Times New Roman" w:hAnsi="Times New Roman" w:eastAsia="宋体" w:cs="Times New Roman"/>
                <w:color w:val="auto"/>
                <w:spacing w:val="-2"/>
                <w:sz w:val="24"/>
                <w:szCs w:val="24"/>
                <w:highlight w:val="none"/>
              </w:rPr>
              <w:t>放、钻井机械的运输等施工活动均可对地表原生结构造成破坏，对生态环境带来不利影响。在井场选址过程中，应尽量选择动土作业量小的地段，场地平整所产生的土方随地势进行处置，尽可能填入低洼地带；采用钻井泥浆不落地技术；井场材料整齐堆放，严格管理，不得随地洒落，完井后全部回收外运；施工机械划定运行线路，不得随意开行便道，以减少对地表原生结构的破坏。各种措施的采</w:t>
            </w:r>
            <w:r>
              <w:rPr>
                <w:rFonts w:hint="default" w:ascii="Times New Roman" w:hAnsi="Times New Roman" w:eastAsia="宋体" w:cs="Times New Roman"/>
                <w:color w:val="auto"/>
                <w:spacing w:val="-1"/>
                <w:sz w:val="24"/>
                <w:szCs w:val="24"/>
                <w:highlight w:val="none"/>
              </w:rPr>
              <w:t>用，可有效减轻钻井过程对生态环境的影响。</w:t>
            </w:r>
          </w:p>
          <w:p w14:paraId="4AD24B52">
            <w:pPr>
              <w:pStyle w:val="16"/>
              <w:widowControl w:val="0"/>
              <w:spacing w:line="360" w:lineRule="auto"/>
              <w:ind w:left="11"/>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3"/>
                <w:sz w:val="24"/>
                <w:szCs w:val="24"/>
                <w:highlight w:val="none"/>
              </w:rPr>
              <w:t>1.2对植被的影响分析</w:t>
            </w:r>
          </w:p>
          <w:p w14:paraId="65DF5113">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lang w:val="en-US" w:eastAsia="zh-CN"/>
              </w:rPr>
              <w:t>1</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工程占地对植被的影响</w:t>
            </w:r>
          </w:p>
          <w:p w14:paraId="3CD3C1AE">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rPr>
              <w:t>工程占地包括井场、入场道路和施工营地等临时占地，对植被的影响主要表现</w:t>
            </w:r>
            <w:r>
              <w:rPr>
                <w:rFonts w:hint="default" w:ascii="Times New Roman" w:hAnsi="Times New Roman" w:eastAsia="宋体" w:cs="Times New Roman"/>
                <w:color w:val="auto"/>
                <w:spacing w:val="-2"/>
                <w:sz w:val="24"/>
                <w:szCs w:val="24"/>
                <w:highlight w:val="none"/>
                <w:lang w:eastAsia="zh-CN"/>
              </w:rPr>
              <w:t>在施工期，主要影响形式是对土地的占用以及施工阶段清场过程中对地表植被的清理及施工过程中地碾压。</w:t>
            </w:r>
          </w:p>
          <w:p w14:paraId="2E2D0DC0">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z w:val="24"/>
                <w:szCs w:val="24"/>
                <w:highlight w:val="red"/>
              </w:rPr>
            </w:pPr>
            <w:r>
              <w:rPr>
                <w:rFonts w:hint="default" w:ascii="Times New Roman" w:hAnsi="Times New Roman" w:eastAsia="宋体" w:cs="Times New Roman"/>
                <w:color w:val="auto"/>
                <w:spacing w:val="-2"/>
                <w:sz w:val="24"/>
                <w:szCs w:val="24"/>
                <w:highlight w:val="none"/>
                <w:lang w:eastAsia="zh-CN"/>
              </w:rPr>
              <w:t>在井场、道路施工过程中土地被扰动，地表植被基本被毁。施工结束后重新回到</w:t>
            </w:r>
            <w:r>
              <w:rPr>
                <w:rFonts w:hint="default" w:ascii="Times New Roman" w:hAnsi="Times New Roman" w:eastAsia="宋体" w:cs="Times New Roman"/>
                <w:color w:val="auto"/>
                <w:spacing w:val="-2"/>
                <w:sz w:val="24"/>
                <w:szCs w:val="24"/>
                <w:highlight w:val="none"/>
              </w:rPr>
              <w:t>原来的自然状态，但地表植被及地表结构却发生了变化。地表保护层被破坏后，其稳定性下降，防止水土流失的能力也随之下降。</w:t>
            </w:r>
          </w:p>
          <w:p w14:paraId="1BBCB84F">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（2）人类活动对植被的影响</w:t>
            </w:r>
          </w:p>
          <w:p w14:paraId="3833AFA6">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项目施工过程对植被的影响主要表现在人类和机械对植物的践踏、碾压和砍伐，使原生植被生境发生较大变化。区域单位面积上人口密度的增加将导致工程开发范围内及边缘区域地表土壤被践踏、自然植被减少。</w:t>
            </w:r>
          </w:p>
          <w:p w14:paraId="40F7D7F7">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评价区植被分布不均匀，覆盖度较低，人类活动对该区域天然植被产生的不良影响非常有限。</w:t>
            </w:r>
          </w:p>
          <w:p w14:paraId="5845993F">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（3）道路修建对植被的影响</w:t>
            </w:r>
          </w:p>
          <w:p w14:paraId="3BEDD059">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施工临时道路选线过程中，采取工程避让措施，尽量避开野生植物生长密集地带，最大限度减少对道路两侧植被生存环境的破坏。在道路修建过程中，主要影响是对土地的占用以及施工阶段清场过程中对地表植被的清理。施工完成后，由于区域内有冬季降雪，在融雪季节道路两侧有积水产生，有利于荒漠植被的自然恢复。</w:t>
            </w:r>
          </w:p>
          <w:p w14:paraId="6D709512">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由于项目地点远离城市干线，交通事故发生的概率极小，且造成的污染有限。相对于整个开发区域而言，事故均发生于一个较小的范围内，事故发生后及时清理事故污染，交通事故不会对整个区域植被产生明显不利影响。</w:t>
            </w:r>
          </w:p>
          <w:p w14:paraId="6BC6E824">
            <w:pPr>
              <w:pStyle w:val="16"/>
              <w:widowControl w:val="0"/>
              <w:numPr>
                <w:ilvl w:val="0"/>
                <w:numId w:val="0"/>
              </w:numPr>
              <w:spacing w:line="360" w:lineRule="auto"/>
              <w:jc w:val="both"/>
              <w:rPr>
                <w:rFonts w:hint="default" w:ascii="Times New Roman" w:hAnsi="Times New Roman" w:eastAsia="宋体" w:cs="Times New Roman"/>
                <w:b/>
                <w:bCs/>
                <w:color w:val="auto"/>
                <w:spacing w:val="-2"/>
                <w:sz w:val="24"/>
                <w:szCs w:val="24"/>
                <w:highlight w:val="none"/>
                <w:lang w:eastAsia="zh-CN"/>
              </w:rPr>
            </w:pPr>
            <w:r>
              <w:rPr>
                <w:rFonts w:hint="default" w:ascii="Times New Roman" w:hAnsi="Times New Roman" w:eastAsia="宋体" w:cs="Times New Roman"/>
                <w:b/>
                <w:bCs/>
                <w:color w:val="auto"/>
                <w:spacing w:val="-2"/>
                <w:sz w:val="24"/>
                <w:szCs w:val="24"/>
                <w:highlight w:val="none"/>
                <w:lang w:eastAsia="zh-CN"/>
              </w:rPr>
              <w:t>1.3对野生动物的影响分析</w:t>
            </w:r>
          </w:p>
          <w:p w14:paraId="09D13B05">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本项目施工对野生动物的生存环境、分布范围和种群数量的影响主要分为直接影响和间接影响两个方面。直接影响主要表现为建设项目的占地，使野生动物的原始生存环境被破坏或改变；间接影响主要表现为由于植被的减少或污染破坏而引起野生动物食物来源的减少。</w:t>
            </w:r>
          </w:p>
          <w:p w14:paraId="3016E812">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（1）施工期对野生动物的影响</w:t>
            </w:r>
          </w:p>
          <w:p w14:paraId="3E13B2B3">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井场建设、钻井过程中，由于机械设备的轰鸣惊扰，人群活动的增加，鸟类和哺乳类动物将远离施工现场，使区域内单位面积上的动物种群数量下降，但此类影响对爬行类和小型啮齿类动物的干扰不大。一些伴人型鸟类如麻雀、乌鸦等</w:t>
            </w:r>
            <w:r>
              <w:rPr>
                <w:rFonts w:hint="default"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lang w:eastAsia="zh-CN"/>
              </w:rPr>
              <w:t>一般在离作业区30m以外活动，待无噪声干扰时较常见于人类生活区附近。因此，随着钻井、试油各个过程的变化，该区域内野生动物的种类和数量将发生一定的变化，原有的戈壁荒漠型鸟类和哺乳类将逐渐避开人类活动的干扰迁至其他区域，而常见的伴人型野生动物种类有所增加。施工完成后，施工人员撤离作业区域，区域内的人为活动逐步减少，野生动物将逐步回归原有生境。</w:t>
            </w:r>
          </w:p>
          <w:p w14:paraId="60F81F42">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（2）事故对野生动物的影响</w:t>
            </w:r>
          </w:p>
          <w:p w14:paraId="44B07416">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发生事故时常常导致原油及天然气的泄出和渗漏，从而可能影响工程区域内的野生脊椎动物的生存环境。事故类型的不同，对野生动物的影响范围和程度也有所不同。当发生井喷事故时，井场周围200m-500m范围以内的各种小型脊椎动物会因躲避不及造成死亡，局部区域可能影响到的只是一些啮齿类动物、爬行动物和小型鸟类，对大中型动物不会造成影响。如果发生火灾事故，由于生态环境及空气环境的变化，短时间内会使事故周围动物的分布数量下降。</w:t>
            </w:r>
          </w:p>
          <w:p w14:paraId="191BF80E">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（3）对野生动物生活环境的影响</w:t>
            </w:r>
          </w:p>
          <w:p w14:paraId="4B80CF3A">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区域内各种野生动物经过长期的适应已形成较稳定的取食、饮水、栖息活动范围和分布，基本对野生动物的生境无影响。人为活动的干扰使得区域上空活动的鸟类相对于未干扰时有所减少，而使得局部地段二、三级营养结构中的爬行类（啮齿类）和昆虫类数量有所增加或活动频度增大。这些占地影响对地面活动的野生动物种类产生隔离作用，使原分布区内的种类向外扩散，而钻井作业结束后，随着人类活动和占地的减少，原有生境将逐步恢复，野生动物对新环境适应后其活动和分布范围亦将恢复。</w:t>
            </w:r>
          </w:p>
          <w:p w14:paraId="72D7D7EA">
            <w:pPr>
              <w:pStyle w:val="16"/>
              <w:widowControl w:val="0"/>
              <w:numPr>
                <w:ilvl w:val="0"/>
                <w:numId w:val="0"/>
              </w:numPr>
              <w:spacing w:line="360" w:lineRule="auto"/>
              <w:jc w:val="both"/>
              <w:rPr>
                <w:rFonts w:hint="eastAsia" w:ascii="Times New Roman" w:hAnsi="Times New Roman" w:cs="Times New Roman"/>
                <w:b/>
                <w:bCs/>
                <w:color w:val="auto"/>
                <w:spacing w:val="-2"/>
                <w:sz w:val="24"/>
                <w:szCs w:val="24"/>
                <w:highlight w:val="none"/>
                <w:lang w:val="en-US" w:eastAsia="zh-CN"/>
              </w:rPr>
            </w:pPr>
            <w:r>
              <w:rPr>
                <w:rFonts w:hint="eastAsia" w:ascii="Times New Roman" w:hAnsi="Times New Roman" w:cs="Times New Roman"/>
                <w:b/>
                <w:bCs/>
                <w:color w:val="auto"/>
                <w:spacing w:val="-2"/>
                <w:sz w:val="24"/>
                <w:szCs w:val="24"/>
                <w:highlight w:val="none"/>
                <w:lang w:val="en-US" w:eastAsia="zh-CN"/>
              </w:rPr>
              <w:t>1.4对农田的影响分析</w:t>
            </w:r>
          </w:p>
          <w:p w14:paraId="08D4E7EC">
            <w:pPr>
              <w:pStyle w:val="16"/>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firstLine="474" w:firstLineChars="200"/>
              <w:jc w:val="both"/>
              <w:textAlignment w:val="baseline"/>
              <w:rPr>
                <w:rFonts w:hint="default" w:ascii="Times New Roman" w:hAnsi="Times New Roman" w:cs="Times New Roman"/>
                <w:b/>
                <w:bCs/>
                <w:color w:val="auto"/>
                <w:spacing w:val="-2"/>
                <w:sz w:val="24"/>
                <w:szCs w:val="24"/>
                <w:highlight w:val="none"/>
                <w:lang w:val="en-US" w:eastAsia="zh-CN"/>
              </w:rPr>
            </w:pPr>
            <w:r>
              <w:rPr>
                <w:rFonts w:hint="eastAsia" w:ascii="Times New Roman" w:hAnsi="Times New Roman" w:cs="Times New Roman"/>
                <w:b/>
                <w:bCs/>
                <w:color w:val="auto"/>
                <w:spacing w:val="-2"/>
                <w:sz w:val="24"/>
                <w:szCs w:val="24"/>
                <w:highlight w:val="none"/>
                <w:lang w:val="en-US" w:eastAsia="zh-CN"/>
              </w:rPr>
              <w:t>项目勘探井临时占地占用农田，会对农作物造成直接损害，破坏农田植被，使农作物减产。</w:t>
            </w:r>
          </w:p>
          <w:p w14:paraId="28386F33">
            <w:pPr>
              <w:pStyle w:val="16"/>
              <w:widowControl w:val="0"/>
              <w:numPr>
                <w:ilvl w:val="0"/>
                <w:numId w:val="0"/>
              </w:numPr>
              <w:spacing w:line="360" w:lineRule="auto"/>
              <w:jc w:val="both"/>
              <w:rPr>
                <w:rFonts w:hint="eastAsia" w:ascii="Times New Roman" w:hAnsi="Times New Roman" w:cs="Times New Roman"/>
                <w:b/>
                <w:bCs/>
                <w:color w:val="auto"/>
                <w:spacing w:val="-2"/>
                <w:sz w:val="24"/>
                <w:szCs w:val="24"/>
                <w:highlight w:val="none"/>
                <w:lang w:val="en-US" w:eastAsia="zh-CN"/>
              </w:rPr>
            </w:pPr>
            <w:r>
              <w:rPr>
                <w:rFonts w:hint="eastAsia" w:ascii="Times New Roman" w:hAnsi="Times New Roman" w:cs="Times New Roman"/>
                <w:b/>
                <w:bCs/>
                <w:color w:val="auto"/>
                <w:spacing w:val="-2"/>
                <w:sz w:val="24"/>
                <w:szCs w:val="24"/>
                <w:highlight w:val="none"/>
                <w:lang w:val="en-US" w:eastAsia="zh-CN"/>
              </w:rPr>
              <w:t>1.5对林地的影响分析</w:t>
            </w:r>
          </w:p>
          <w:p w14:paraId="7252C7D0">
            <w:pPr>
              <w:pStyle w:val="16"/>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firstLine="474" w:firstLineChars="200"/>
              <w:jc w:val="both"/>
              <w:textAlignment w:val="baseline"/>
              <w:rPr>
                <w:rFonts w:hint="default" w:ascii="Times New Roman" w:hAnsi="Times New Roman" w:cs="Times New Roman"/>
                <w:b/>
                <w:bCs/>
                <w:color w:val="auto"/>
                <w:spacing w:val="-2"/>
                <w:sz w:val="24"/>
                <w:szCs w:val="24"/>
                <w:highlight w:val="none"/>
                <w:lang w:val="en-US" w:eastAsia="zh-CN"/>
              </w:rPr>
            </w:pPr>
            <w:r>
              <w:rPr>
                <w:rFonts w:hint="eastAsia" w:ascii="Times New Roman" w:hAnsi="Times New Roman" w:cs="Times New Roman"/>
                <w:b/>
                <w:bCs/>
                <w:color w:val="auto"/>
                <w:spacing w:val="-2"/>
                <w:sz w:val="24"/>
                <w:szCs w:val="24"/>
                <w:highlight w:val="none"/>
                <w:lang w:val="en-US" w:eastAsia="zh-CN"/>
              </w:rPr>
              <w:t>项目勘探井临时占地占用林地，会破坏林地植被和生物多样性，</w:t>
            </w:r>
          </w:p>
          <w:p w14:paraId="3E30DCC0">
            <w:pPr>
              <w:pStyle w:val="16"/>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firstLine="474" w:firstLineChars="200"/>
              <w:jc w:val="both"/>
              <w:textAlignment w:val="baseline"/>
              <w:rPr>
                <w:rFonts w:hint="default" w:ascii="Times New Roman" w:hAnsi="Times New Roman" w:cs="Times New Roman"/>
                <w:b/>
                <w:bCs/>
                <w:color w:val="auto"/>
                <w:spacing w:val="-2"/>
                <w:sz w:val="24"/>
                <w:szCs w:val="24"/>
                <w:highlight w:val="none"/>
                <w:lang w:val="en-US" w:eastAsia="zh-CN"/>
              </w:rPr>
            </w:pPr>
          </w:p>
          <w:p w14:paraId="1C1FD79F">
            <w:pPr>
              <w:pStyle w:val="16"/>
              <w:widowControl w:val="0"/>
              <w:numPr>
                <w:ilvl w:val="0"/>
                <w:numId w:val="0"/>
              </w:numPr>
              <w:spacing w:line="360" w:lineRule="auto"/>
              <w:jc w:val="both"/>
              <w:rPr>
                <w:rFonts w:hint="default" w:ascii="Times New Roman" w:hAnsi="Times New Roman" w:eastAsia="宋体" w:cs="Times New Roman"/>
                <w:b/>
                <w:bCs/>
                <w:color w:val="auto"/>
                <w:spacing w:val="-2"/>
                <w:sz w:val="24"/>
                <w:szCs w:val="24"/>
                <w:highlight w:val="none"/>
                <w:lang w:eastAsia="zh-CN"/>
              </w:rPr>
            </w:pPr>
            <w:r>
              <w:rPr>
                <w:rFonts w:hint="default" w:ascii="Times New Roman" w:hAnsi="Times New Roman" w:eastAsia="宋体" w:cs="Times New Roman"/>
                <w:b/>
                <w:bCs/>
                <w:color w:val="auto"/>
                <w:spacing w:val="-2"/>
                <w:sz w:val="24"/>
                <w:szCs w:val="24"/>
                <w:highlight w:val="none"/>
                <w:lang w:eastAsia="zh-CN"/>
              </w:rPr>
              <w:t>2</w:t>
            </w:r>
            <w:r>
              <w:rPr>
                <w:rFonts w:hint="default" w:ascii="Times New Roman" w:hAnsi="Times New Roman" w:eastAsia="宋体" w:cs="Times New Roman"/>
                <w:b/>
                <w:bCs/>
                <w:color w:val="auto"/>
                <w:spacing w:val="-2"/>
                <w:sz w:val="24"/>
                <w:szCs w:val="24"/>
                <w:highlight w:val="none"/>
                <w:lang w:val="en-US" w:eastAsia="zh-CN"/>
              </w:rPr>
              <w:t>.</w:t>
            </w:r>
            <w:r>
              <w:rPr>
                <w:rFonts w:hint="default" w:ascii="Times New Roman" w:hAnsi="Times New Roman" w:eastAsia="宋体" w:cs="Times New Roman"/>
                <w:b/>
                <w:bCs/>
                <w:color w:val="auto"/>
                <w:spacing w:val="-2"/>
                <w:sz w:val="24"/>
                <w:szCs w:val="24"/>
                <w:highlight w:val="none"/>
                <w:lang w:eastAsia="zh-CN"/>
              </w:rPr>
              <w:t>施工期土壤环境影响分析</w:t>
            </w:r>
          </w:p>
          <w:p w14:paraId="29B90D8A">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本项目属于</w:t>
            </w:r>
            <w:r>
              <w:rPr>
                <w:rFonts w:hint="eastAsia"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lang w:eastAsia="zh-CN"/>
              </w:rPr>
              <w:t>矿产资源地质勘查（含勘探活动和油气资源勘探）</w:t>
            </w:r>
            <w:r>
              <w:rPr>
                <w:rFonts w:hint="eastAsia" w:ascii="Times New Roman" w:hAnsi="Times New Roman" w:cs="Times New Roman"/>
                <w:color w:val="auto"/>
                <w:spacing w:val="-2"/>
                <w:sz w:val="24"/>
                <w:szCs w:val="24"/>
                <w:highlight w:val="none"/>
                <w:lang w:eastAsia="zh-CN"/>
              </w:rPr>
              <w:t>”</w:t>
            </w:r>
            <w:r>
              <w:rPr>
                <w:rFonts w:hint="default"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lang w:eastAsia="zh-CN"/>
              </w:rPr>
              <w:t>根据《环境影响评价技术导则</w:t>
            </w:r>
            <w:r>
              <w:rPr>
                <w:rFonts w:hint="default" w:ascii="Times New Roman" w:hAnsi="Times New Roman" w:eastAsia="宋体" w:cs="Times New Roman"/>
                <w:color w:val="auto"/>
                <w:spacing w:val="-2"/>
                <w:sz w:val="24"/>
                <w:szCs w:val="24"/>
                <w:highlight w:val="none"/>
                <w:lang w:val="en-US" w:eastAsia="zh-CN"/>
              </w:rPr>
              <w:t xml:space="preserve"> </w:t>
            </w:r>
            <w:r>
              <w:rPr>
                <w:rFonts w:hint="default" w:ascii="Times New Roman" w:hAnsi="Times New Roman" w:eastAsia="宋体" w:cs="Times New Roman"/>
                <w:color w:val="auto"/>
                <w:spacing w:val="-2"/>
                <w:sz w:val="24"/>
                <w:szCs w:val="24"/>
                <w:highlight w:val="none"/>
                <w:lang w:eastAsia="zh-CN"/>
              </w:rPr>
              <w:t>土壤环境（试行）》（HJ964-2018）附录A，本项目为Ⅳ类项目，可不开展土壤环境影响评价，本次环评仅做简单分析。</w:t>
            </w:r>
          </w:p>
          <w:p w14:paraId="77179F45">
            <w:pPr>
              <w:pStyle w:val="16"/>
              <w:widowControl w:val="0"/>
              <w:numPr>
                <w:ilvl w:val="0"/>
                <w:numId w:val="0"/>
              </w:numPr>
              <w:spacing w:line="360" w:lineRule="auto"/>
              <w:jc w:val="both"/>
              <w:rPr>
                <w:rFonts w:hint="default" w:ascii="Times New Roman" w:hAnsi="Times New Roman" w:eastAsia="宋体" w:cs="Times New Roman"/>
                <w:b/>
                <w:bCs/>
                <w:color w:val="auto"/>
                <w:spacing w:val="-2"/>
                <w:sz w:val="24"/>
                <w:szCs w:val="24"/>
                <w:highlight w:val="none"/>
                <w:lang w:eastAsia="zh-CN"/>
              </w:rPr>
            </w:pPr>
            <w:r>
              <w:rPr>
                <w:rFonts w:hint="default" w:ascii="Times New Roman" w:hAnsi="Times New Roman" w:eastAsia="宋体" w:cs="Times New Roman"/>
                <w:b/>
                <w:bCs/>
                <w:color w:val="auto"/>
                <w:spacing w:val="-2"/>
                <w:sz w:val="24"/>
                <w:szCs w:val="24"/>
                <w:highlight w:val="none"/>
                <w:lang w:eastAsia="zh-CN"/>
              </w:rPr>
              <w:t>2.</w:t>
            </w:r>
            <w:r>
              <w:rPr>
                <w:rFonts w:hint="default" w:ascii="Times New Roman" w:hAnsi="Times New Roman" w:cs="Times New Roman"/>
                <w:b/>
                <w:bCs/>
                <w:color w:val="auto"/>
                <w:spacing w:val="-2"/>
                <w:sz w:val="24"/>
                <w:szCs w:val="24"/>
                <w:highlight w:val="none"/>
                <w:lang w:val="en-US" w:eastAsia="zh-CN"/>
              </w:rPr>
              <w:t>1</w:t>
            </w:r>
            <w:r>
              <w:rPr>
                <w:rFonts w:hint="default" w:ascii="Times New Roman" w:hAnsi="Times New Roman" w:eastAsia="宋体" w:cs="Times New Roman"/>
                <w:b/>
                <w:bCs/>
                <w:color w:val="auto"/>
                <w:spacing w:val="-2"/>
                <w:sz w:val="24"/>
                <w:szCs w:val="24"/>
                <w:highlight w:val="none"/>
                <w:lang w:eastAsia="zh-CN"/>
              </w:rPr>
              <w:t>工程占地影响分析</w:t>
            </w:r>
          </w:p>
          <w:p w14:paraId="4CB7D2C6">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本项目占地主要为井场及临时道路，占地类型为</w:t>
            </w:r>
            <w:r>
              <w:rPr>
                <w:rFonts w:hint="eastAsia" w:ascii="Times New Roman" w:hAnsi="Times New Roman" w:cs="Times New Roman"/>
                <w:color w:val="auto"/>
                <w:spacing w:val="-2"/>
                <w:sz w:val="24"/>
                <w:szCs w:val="24"/>
                <w:highlight w:val="none"/>
                <w:lang w:val="en-US" w:eastAsia="zh-CN"/>
              </w:rPr>
              <w:t>水浇地、内陆滩涂、其他林地</w:t>
            </w:r>
            <w:r>
              <w:rPr>
                <w:rFonts w:hint="default" w:ascii="Times New Roman" w:hAnsi="Times New Roman" w:eastAsia="宋体" w:cs="Times New Roman"/>
                <w:color w:val="auto"/>
                <w:spacing w:val="-2"/>
                <w:sz w:val="24"/>
                <w:szCs w:val="24"/>
                <w:highlight w:val="none"/>
                <w:lang w:val="en-US" w:eastAsia="zh-CN"/>
              </w:rPr>
              <w:t>（具体见表2-</w:t>
            </w:r>
            <w:r>
              <w:rPr>
                <w:rFonts w:hint="default" w:ascii="Times New Roman" w:hAnsi="Times New Roman" w:cs="Times New Roman"/>
                <w:color w:val="auto"/>
                <w:spacing w:val="-2"/>
                <w:sz w:val="24"/>
                <w:szCs w:val="24"/>
                <w:highlight w:val="none"/>
                <w:lang w:val="en-US" w:eastAsia="zh-CN"/>
              </w:rPr>
              <w:t>3</w:t>
            </w:r>
            <w:r>
              <w:rPr>
                <w:rFonts w:hint="default" w:ascii="Times New Roman" w:hAnsi="Times New Roman" w:eastAsia="宋体" w:cs="Times New Roman"/>
                <w:color w:val="auto"/>
                <w:spacing w:val="-2"/>
                <w:sz w:val="24"/>
                <w:szCs w:val="24"/>
                <w:highlight w:val="none"/>
                <w:lang w:val="en-US" w:eastAsia="zh-CN"/>
              </w:rPr>
              <w:t>）</w:t>
            </w:r>
            <w:r>
              <w:rPr>
                <w:rFonts w:hint="default" w:ascii="Times New Roman" w:hAnsi="Times New Roman" w:eastAsia="宋体" w:cs="Times New Roman"/>
                <w:color w:val="auto"/>
                <w:spacing w:val="-2"/>
                <w:sz w:val="24"/>
                <w:szCs w:val="24"/>
                <w:highlight w:val="none"/>
                <w:lang w:eastAsia="zh-CN"/>
              </w:rPr>
              <w:t>，大都为临时占地。最主要的危害是破坏了地表结构，增加了土壤风蚀量和沙漠化的可能性。在进行井场施工时，将对作业范围内的土壤表层进行干扰和破坏，土壤表层结构（包括紧实度）、肥力将受到影响，土壤易受到侵蚀。当施工结束后，人为活动的范围缩小，将使受到破坏的地表逐渐得到恢复，风蚀和荒漠化影响将随着天然植被的恢复逐渐得到控制。</w:t>
            </w:r>
          </w:p>
          <w:p w14:paraId="52457241">
            <w:pPr>
              <w:pStyle w:val="16"/>
              <w:widowControl w:val="0"/>
              <w:numPr>
                <w:ilvl w:val="0"/>
                <w:numId w:val="0"/>
              </w:numPr>
              <w:spacing w:line="360" w:lineRule="auto"/>
              <w:jc w:val="both"/>
              <w:rPr>
                <w:rFonts w:hint="default" w:ascii="Times New Roman" w:hAnsi="Times New Roman" w:eastAsia="宋体" w:cs="Times New Roman"/>
                <w:b/>
                <w:bCs/>
                <w:color w:val="auto"/>
                <w:spacing w:val="-2"/>
                <w:sz w:val="24"/>
                <w:szCs w:val="24"/>
                <w:highlight w:val="none"/>
                <w:lang w:eastAsia="zh-CN"/>
              </w:rPr>
            </w:pPr>
            <w:r>
              <w:rPr>
                <w:rFonts w:hint="default" w:ascii="Times New Roman" w:hAnsi="Times New Roman" w:eastAsia="宋体" w:cs="Times New Roman"/>
                <w:b/>
                <w:bCs/>
                <w:color w:val="auto"/>
                <w:spacing w:val="-2"/>
                <w:sz w:val="24"/>
                <w:szCs w:val="24"/>
                <w:highlight w:val="none"/>
                <w:lang w:eastAsia="zh-CN"/>
              </w:rPr>
              <w:t>2.</w:t>
            </w:r>
            <w:r>
              <w:rPr>
                <w:rFonts w:hint="default" w:ascii="Times New Roman" w:hAnsi="Times New Roman" w:cs="Times New Roman"/>
                <w:b/>
                <w:bCs/>
                <w:color w:val="auto"/>
                <w:spacing w:val="-2"/>
                <w:sz w:val="24"/>
                <w:szCs w:val="24"/>
                <w:highlight w:val="none"/>
                <w:lang w:val="en-US" w:eastAsia="zh-CN"/>
              </w:rPr>
              <w:t>2</w:t>
            </w:r>
            <w:r>
              <w:rPr>
                <w:rFonts w:hint="default" w:ascii="Times New Roman" w:hAnsi="Times New Roman" w:eastAsia="宋体" w:cs="Times New Roman"/>
                <w:b/>
                <w:bCs/>
                <w:color w:val="auto"/>
                <w:spacing w:val="-2"/>
                <w:sz w:val="24"/>
                <w:szCs w:val="24"/>
                <w:highlight w:val="none"/>
                <w:lang w:eastAsia="zh-CN"/>
              </w:rPr>
              <w:t>固体废物对土壤环境的影响</w:t>
            </w:r>
          </w:p>
          <w:p w14:paraId="3D597FFF">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在钻井过程中会产生钻井泥浆和岩屑，本项目采用泥浆不落地技术，可以有效减缓钻井泥浆、岩屑对土壤的影响范围和程度。</w:t>
            </w:r>
          </w:p>
          <w:p w14:paraId="61967B5C">
            <w:pPr>
              <w:pStyle w:val="16"/>
              <w:widowControl w:val="0"/>
              <w:numPr>
                <w:ilvl w:val="0"/>
                <w:numId w:val="0"/>
              </w:numPr>
              <w:spacing w:line="360" w:lineRule="auto"/>
              <w:jc w:val="both"/>
              <w:rPr>
                <w:rFonts w:hint="default" w:ascii="Times New Roman" w:hAnsi="Times New Roman" w:eastAsia="宋体" w:cs="Times New Roman"/>
                <w:b/>
                <w:bCs/>
                <w:color w:val="auto"/>
                <w:spacing w:val="-2"/>
                <w:sz w:val="24"/>
                <w:szCs w:val="24"/>
                <w:highlight w:val="none"/>
                <w:lang w:eastAsia="zh-CN"/>
              </w:rPr>
            </w:pPr>
            <w:r>
              <w:rPr>
                <w:rFonts w:hint="default" w:ascii="Times New Roman" w:hAnsi="Times New Roman" w:eastAsia="宋体" w:cs="Times New Roman"/>
                <w:b/>
                <w:bCs/>
                <w:color w:val="auto"/>
                <w:spacing w:val="-2"/>
                <w:sz w:val="24"/>
                <w:szCs w:val="24"/>
                <w:highlight w:val="none"/>
                <w:lang w:eastAsia="zh-CN"/>
              </w:rPr>
              <w:t>2.</w:t>
            </w:r>
            <w:r>
              <w:rPr>
                <w:rFonts w:hint="default" w:ascii="Times New Roman" w:hAnsi="Times New Roman" w:cs="Times New Roman"/>
                <w:b/>
                <w:bCs/>
                <w:color w:val="auto"/>
                <w:spacing w:val="-2"/>
                <w:sz w:val="24"/>
                <w:szCs w:val="24"/>
                <w:highlight w:val="none"/>
                <w:lang w:val="en-US" w:eastAsia="zh-CN"/>
              </w:rPr>
              <w:t>3</w:t>
            </w:r>
            <w:r>
              <w:rPr>
                <w:rFonts w:hint="default" w:ascii="Times New Roman" w:hAnsi="Times New Roman" w:eastAsia="宋体" w:cs="Times New Roman"/>
                <w:b/>
                <w:bCs/>
                <w:color w:val="auto"/>
                <w:spacing w:val="-2"/>
                <w:sz w:val="24"/>
                <w:szCs w:val="24"/>
                <w:highlight w:val="none"/>
                <w:lang w:eastAsia="zh-CN"/>
              </w:rPr>
              <w:t>事故状态下对土壤环境的影响</w:t>
            </w:r>
          </w:p>
          <w:p w14:paraId="6E178325">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井喷是油田开发过程中的意外事故，钻井和井下作业中均可能发生井喷。一次井喷可抛洒大量的天然气和原油，其中的轻组分挥发，而重组分油对土壤有一定的影响。井喷会造成大量原油覆盖在土壤表层，使土壤表层的土壤透气性下降</w:t>
            </w:r>
            <w:r>
              <w:rPr>
                <w:rFonts w:hint="eastAsia"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lang w:eastAsia="zh-CN"/>
              </w:rPr>
              <w:t>理化性状发生变化，对影响范围内的土壤表层造成严重的污染。</w:t>
            </w:r>
          </w:p>
          <w:p w14:paraId="3F18D7F8">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井喷持续时间越长，对土壤造成的污染越严重。但根据已有的相关资料，井喷事故主要影响事故区域内的表层土壤。</w:t>
            </w:r>
          </w:p>
          <w:p w14:paraId="4CF78663">
            <w:pPr>
              <w:pStyle w:val="16"/>
              <w:widowControl w:val="0"/>
              <w:spacing w:line="360" w:lineRule="auto"/>
              <w:ind w:left="1"/>
              <w:jc w:val="both"/>
              <w:rPr>
                <w:rFonts w:hint="default" w:ascii="Times New Roman" w:hAnsi="Times New Roman" w:eastAsia="宋体" w:cs="Times New Roman"/>
                <w:b/>
                <w:bCs/>
                <w:color w:val="auto"/>
                <w:spacing w:val="-2"/>
                <w:sz w:val="24"/>
                <w:szCs w:val="24"/>
                <w:highlight w:val="none"/>
              </w:rPr>
            </w:pPr>
            <w:r>
              <w:rPr>
                <w:rFonts w:hint="default" w:ascii="Times New Roman" w:hAnsi="Times New Roman" w:eastAsia="宋体" w:cs="Times New Roman"/>
                <w:b/>
                <w:bCs/>
                <w:color w:val="auto"/>
                <w:spacing w:val="-2"/>
                <w:sz w:val="24"/>
                <w:szCs w:val="24"/>
                <w:highlight w:val="none"/>
              </w:rPr>
              <w:t>2.</w:t>
            </w:r>
            <w:r>
              <w:rPr>
                <w:rFonts w:hint="default" w:ascii="Times New Roman" w:hAnsi="Times New Roman" w:cs="Times New Roman"/>
                <w:b/>
                <w:bCs/>
                <w:color w:val="auto"/>
                <w:spacing w:val="-2"/>
                <w:sz w:val="24"/>
                <w:szCs w:val="24"/>
                <w:highlight w:val="none"/>
                <w:lang w:val="en-US" w:eastAsia="zh-CN"/>
              </w:rPr>
              <w:t>4</w:t>
            </w:r>
            <w:r>
              <w:rPr>
                <w:rFonts w:hint="default" w:ascii="Times New Roman" w:hAnsi="Times New Roman" w:eastAsia="宋体" w:cs="Times New Roman"/>
                <w:b/>
                <w:bCs/>
                <w:color w:val="auto"/>
                <w:spacing w:val="-2"/>
                <w:sz w:val="24"/>
                <w:szCs w:val="24"/>
                <w:highlight w:val="none"/>
              </w:rPr>
              <w:t>水土流失影响分析</w:t>
            </w:r>
          </w:p>
          <w:p w14:paraId="1451AB2B">
            <w:pPr>
              <w:pStyle w:val="16"/>
              <w:widowControl w:val="0"/>
              <w:numPr>
                <w:ilvl w:val="0"/>
                <w:numId w:val="0"/>
              </w:numPr>
              <w:spacing w:line="360" w:lineRule="auto"/>
              <w:ind w:firstLine="472" w:firstLineChars="200"/>
              <w:jc w:val="both"/>
              <w:rPr>
                <w:rFonts w:hint="default" w:ascii="Times New Roman" w:hAnsi="Times New Roman" w:cs="Times New Roman"/>
                <w:b w:val="0"/>
                <w:bCs w:val="0"/>
                <w:color w:val="auto"/>
                <w:spacing w:val="-2"/>
                <w:sz w:val="24"/>
                <w:szCs w:val="24"/>
                <w:highlight w:val="none"/>
                <w:lang w:val="en-US" w:eastAsia="zh-CN"/>
              </w:rPr>
            </w:pPr>
            <w:r>
              <w:rPr>
                <w:rFonts w:hint="default" w:ascii="Times New Roman" w:hAnsi="Times New Roman" w:cs="Times New Roman"/>
                <w:b w:val="0"/>
                <w:bCs w:val="0"/>
                <w:color w:val="auto"/>
                <w:spacing w:val="-2"/>
                <w:sz w:val="24"/>
                <w:szCs w:val="24"/>
                <w:highlight w:val="none"/>
                <w:lang w:val="en-US" w:eastAsia="zh-CN"/>
              </w:rPr>
              <w:t>油田工程建设对当地水土流失影响的方式包括扰动、损坏、开挖、破坏原地貌、地表土壤结构及植被。工程施工及占地呈面状、线状分布，施工期间，井场占地、临时道路、机械作业人员活动等都会加剧水土流失。油田开发过程中加剧水土流失的不良影响主要表现在以下几个方面：</w:t>
            </w:r>
          </w:p>
          <w:p w14:paraId="2FF2E5EE">
            <w:pPr>
              <w:pStyle w:val="16"/>
              <w:widowControl w:val="0"/>
              <w:numPr>
                <w:ilvl w:val="0"/>
                <w:numId w:val="0"/>
              </w:numPr>
              <w:spacing w:line="360" w:lineRule="auto"/>
              <w:ind w:firstLine="472" w:firstLineChars="200"/>
              <w:jc w:val="both"/>
              <w:rPr>
                <w:rFonts w:hint="default" w:ascii="Times New Roman" w:hAnsi="Times New Roman" w:cs="Times New Roman"/>
                <w:b w:val="0"/>
                <w:bCs w:val="0"/>
                <w:color w:val="auto"/>
                <w:spacing w:val="-2"/>
                <w:sz w:val="24"/>
                <w:szCs w:val="24"/>
                <w:highlight w:val="none"/>
                <w:lang w:val="en-US" w:eastAsia="zh-CN"/>
              </w:rPr>
            </w:pPr>
            <w:r>
              <w:rPr>
                <w:rFonts w:hint="default" w:ascii="Times New Roman" w:hAnsi="Times New Roman" w:cs="Times New Roman"/>
                <w:b w:val="0"/>
                <w:bCs w:val="0"/>
                <w:color w:val="auto"/>
                <w:spacing w:val="-2"/>
                <w:sz w:val="24"/>
                <w:szCs w:val="24"/>
                <w:highlight w:val="none"/>
                <w:lang w:val="en-US" w:eastAsia="zh-CN"/>
              </w:rPr>
              <w:t>（1）施工车辆对地表的大面积碾压，使所经过地段的植被和地表结构遭</w:t>
            </w:r>
          </w:p>
          <w:p w14:paraId="68B893D1">
            <w:pPr>
              <w:pStyle w:val="16"/>
              <w:widowControl w:val="0"/>
              <w:numPr>
                <w:ilvl w:val="0"/>
                <w:numId w:val="0"/>
              </w:numPr>
              <w:spacing w:line="360" w:lineRule="auto"/>
              <w:jc w:val="both"/>
              <w:rPr>
                <w:rFonts w:hint="default" w:ascii="Times New Roman" w:hAnsi="Times New Roman" w:cs="Times New Roman"/>
                <w:b w:val="0"/>
                <w:bCs w:val="0"/>
                <w:color w:val="auto"/>
                <w:spacing w:val="-2"/>
                <w:sz w:val="24"/>
                <w:szCs w:val="24"/>
                <w:highlight w:val="none"/>
                <w:lang w:val="en-US" w:eastAsia="zh-CN"/>
              </w:rPr>
            </w:pPr>
            <w:r>
              <w:rPr>
                <w:rFonts w:hint="default" w:ascii="Times New Roman" w:hAnsi="Times New Roman" w:cs="Times New Roman"/>
                <w:b w:val="0"/>
                <w:bCs w:val="0"/>
                <w:color w:val="auto"/>
                <w:spacing w:val="-2"/>
                <w:sz w:val="24"/>
                <w:szCs w:val="24"/>
                <w:highlight w:val="none"/>
                <w:lang w:val="en-US" w:eastAsia="zh-CN"/>
              </w:rPr>
              <w:t>到不同程度的破坏，使荒漠化的过程加剧。</w:t>
            </w:r>
          </w:p>
          <w:p w14:paraId="36AD91FA">
            <w:pPr>
              <w:pStyle w:val="16"/>
              <w:widowControl w:val="0"/>
              <w:numPr>
                <w:ilvl w:val="0"/>
                <w:numId w:val="0"/>
              </w:numPr>
              <w:spacing w:line="360" w:lineRule="auto"/>
              <w:ind w:firstLine="472" w:firstLineChars="200"/>
              <w:jc w:val="both"/>
              <w:rPr>
                <w:rFonts w:hint="default" w:ascii="Times New Roman" w:hAnsi="Times New Roman" w:cs="Times New Roman"/>
                <w:b w:val="0"/>
                <w:bCs w:val="0"/>
                <w:color w:val="auto"/>
                <w:spacing w:val="-2"/>
                <w:sz w:val="24"/>
                <w:szCs w:val="24"/>
                <w:highlight w:val="none"/>
                <w:lang w:val="en-US" w:eastAsia="zh-CN"/>
              </w:rPr>
            </w:pPr>
            <w:r>
              <w:rPr>
                <w:rFonts w:hint="default" w:ascii="Times New Roman" w:hAnsi="Times New Roman" w:cs="Times New Roman"/>
                <w:b w:val="0"/>
                <w:bCs w:val="0"/>
                <w:color w:val="auto"/>
                <w:spacing w:val="-2"/>
                <w:sz w:val="24"/>
                <w:szCs w:val="24"/>
                <w:highlight w:val="none"/>
                <w:lang w:val="en-US" w:eastAsia="zh-CN"/>
              </w:rPr>
              <w:t>（2）在井场开钻及临时设施搭建中，最直接而且易引起水土流失的是施</w:t>
            </w:r>
          </w:p>
          <w:p w14:paraId="3335E031">
            <w:pPr>
              <w:pStyle w:val="16"/>
              <w:widowControl w:val="0"/>
              <w:numPr>
                <w:ilvl w:val="0"/>
                <w:numId w:val="0"/>
              </w:numPr>
              <w:spacing w:line="360" w:lineRule="auto"/>
              <w:jc w:val="both"/>
              <w:rPr>
                <w:rFonts w:hint="default" w:ascii="Times New Roman" w:hAnsi="Times New Roman" w:cs="Times New Roman"/>
                <w:b w:val="0"/>
                <w:bCs w:val="0"/>
                <w:color w:val="auto"/>
                <w:spacing w:val="-2"/>
                <w:sz w:val="24"/>
                <w:szCs w:val="24"/>
                <w:highlight w:val="none"/>
                <w:lang w:val="en-US" w:eastAsia="zh-CN"/>
              </w:rPr>
            </w:pPr>
            <w:r>
              <w:rPr>
                <w:rFonts w:hint="default" w:ascii="Times New Roman" w:hAnsi="Times New Roman" w:cs="Times New Roman"/>
                <w:b w:val="0"/>
                <w:bCs w:val="0"/>
                <w:color w:val="auto"/>
                <w:spacing w:val="-2"/>
                <w:sz w:val="24"/>
                <w:szCs w:val="24"/>
                <w:highlight w:val="none"/>
                <w:lang w:val="en-US" w:eastAsia="zh-CN"/>
              </w:rPr>
              <w:t>工过程中使影响范围内的地表保护层变得松散，增加风蚀量。对于本项目油田的开发建设来讲，地面构筑物建设的内容主要包括井场、道路的敷设及配套工程等。临时占地范围内的土壤地表表层遭到破坏，下层的粉细物质暴露在地层表面，在风力的作用下，风蚀量会明显加大，这种影响在短时间内不会完全恢复。但随着时间的推移，风蚀量会随着地表新保护层的逐渐形成而减弱。</w:t>
            </w:r>
          </w:p>
          <w:p w14:paraId="446BB836">
            <w:pPr>
              <w:pStyle w:val="16"/>
              <w:widowControl w:val="0"/>
              <w:numPr>
                <w:ilvl w:val="0"/>
                <w:numId w:val="0"/>
              </w:numPr>
              <w:spacing w:line="360" w:lineRule="auto"/>
              <w:ind w:firstLine="472" w:firstLineChars="200"/>
              <w:jc w:val="both"/>
              <w:rPr>
                <w:rFonts w:hint="default" w:ascii="Times New Roman" w:hAnsi="Times New Roman" w:cs="Times New Roman"/>
                <w:b w:val="0"/>
                <w:bCs w:val="0"/>
                <w:color w:val="auto"/>
                <w:spacing w:val="-2"/>
                <w:sz w:val="24"/>
                <w:szCs w:val="24"/>
                <w:highlight w:val="none"/>
                <w:lang w:val="en-US" w:eastAsia="zh-CN"/>
              </w:rPr>
            </w:pPr>
            <w:r>
              <w:rPr>
                <w:rFonts w:hint="default" w:ascii="Times New Roman" w:hAnsi="Times New Roman" w:cs="Times New Roman"/>
                <w:b w:val="0"/>
                <w:bCs w:val="0"/>
                <w:color w:val="auto"/>
                <w:spacing w:val="-2"/>
                <w:sz w:val="24"/>
                <w:szCs w:val="24"/>
                <w:highlight w:val="none"/>
                <w:lang w:val="en-US" w:eastAsia="zh-CN"/>
              </w:rPr>
              <w:t>（3）油田道路建设可能引起水土流失的因素较多，如破坏地表结构、砍伐植被、挖取土方等。带来的环境问题是使具有稳定结皮的地表结构被破坏，使其失去原有稳定性，引发流沙的重新分布。如遇起沙风，地表在没有保护的状态下极易被吹蚀，从而引起水土流失。道路施工期间的水土流失影响主要在于动土引起的风沙影响，风沙影响的范围主要集中于油田区域内。施工期结束后，路面风沙影响即告结束，但此时路边作业带的影响还将持续几年，呈逐渐衰减趋势。施工期内，管沟边堆起一道临时土垄，在大风状态下易发生风力侵蚀，即使在堆土回填后风蚀量会有所减少，但地表仍为疏松地带，需要一个较长的恢复阶段。</w:t>
            </w:r>
          </w:p>
          <w:p w14:paraId="41A499AC">
            <w:pPr>
              <w:pStyle w:val="16"/>
              <w:widowControl w:val="0"/>
              <w:numPr>
                <w:ilvl w:val="0"/>
                <w:numId w:val="0"/>
              </w:numPr>
              <w:spacing w:line="360" w:lineRule="auto"/>
              <w:ind w:firstLine="472" w:firstLineChars="200"/>
              <w:jc w:val="both"/>
              <w:rPr>
                <w:rFonts w:hint="default" w:ascii="Times New Roman" w:hAnsi="Times New Roman" w:cs="Times New Roman"/>
                <w:b w:val="0"/>
                <w:bCs w:val="0"/>
                <w:color w:val="auto"/>
                <w:spacing w:val="-2"/>
                <w:sz w:val="24"/>
                <w:szCs w:val="24"/>
                <w:highlight w:val="none"/>
                <w:lang w:val="en-US" w:eastAsia="zh-CN"/>
              </w:rPr>
            </w:pPr>
            <w:r>
              <w:rPr>
                <w:rFonts w:hint="default" w:ascii="Times New Roman" w:hAnsi="Times New Roman" w:cs="Times New Roman"/>
                <w:b w:val="0"/>
                <w:bCs w:val="0"/>
                <w:color w:val="auto"/>
                <w:spacing w:val="-2"/>
                <w:sz w:val="24"/>
                <w:szCs w:val="24"/>
                <w:highlight w:val="none"/>
                <w:lang w:val="en-US" w:eastAsia="zh-CN"/>
              </w:rPr>
              <w:t>本项目所在区域属于“天山北坡国家级水土流失重点预防区”，施工期会使施工范围内的土体结构遭到破坏、野生植被会受到严重破坏甚至被彻底清除，若遇到大风天气施工，则可能导致风蚀作用加剧；钻试结束后，由于井场、进场道路和生活营地等土壤结构、自然植被的恢复还需要一定时间，区域水土流失还将继续发生。但随着时间的延长、土壤结构的变化以及地表植被的恢复，水土流失的程度会慢慢减轻。</w:t>
            </w:r>
          </w:p>
          <w:p w14:paraId="65DE13D3">
            <w:pPr>
              <w:pStyle w:val="16"/>
              <w:widowControl w:val="0"/>
              <w:numPr>
                <w:ilvl w:val="0"/>
                <w:numId w:val="0"/>
              </w:numPr>
              <w:spacing w:line="360" w:lineRule="auto"/>
              <w:jc w:val="both"/>
              <w:rPr>
                <w:rFonts w:hint="default" w:ascii="Times New Roman" w:hAnsi="Times New Roman" w:cs="Times New Roman"/>
                <w:b/>
                <w:bCs/>
                <w:color w:val="auto"/>
                <w:spacing w:val="-2"/>
                <w:sz w:val="24"/>
                <w:szCs w:val="24"/>
                <w:highlight w:val="none"/>
                <w:lang w:val="en-US" w:eastAsia="zh-CN"/>
              </w:rPr>
            </w:pPr>
            <w:r>
              <w:rPr>
                <w:rFonts w:hint="default" w:ascii="Times New Roman" w:hAnsi="Times New Roman" w:cs="Times New Roman"/>
                <w:b/>
                <w:bCs/>
                <w:color w:val="auto"/>
                <w:spacing w:val="-2"/>
                <w:sz w:val="24"/>
                <w:szCs w:val="24"/>
                <w:highlight w:val="none"/>
                <w:lang w:val="en-US" w:eastAsia="zh-CN"/>
              </w:rPr>
              <w:t>2.5土地沙化影响分析</w:t>
            </w:r>
          </w:p>
          <w:p w14:paraId="188E16FD">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项目区钻井工程实施中，会使施工带范围内的土体结构遭到破坏，其范围内的植被也会受到严重破坏甚至被彻底清除，导致风沙作用加剧，主要表现为：</w:t>
            </w:r>
          </w:p>
          <w:p w14:paraId="600BB4AC">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（1）土壤粗粒化</w:t>
            </w:r>
          </w:p>
          <w:p w14:paraId="03556805">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在土壤沙化过程中，当风力作用地表产生风蚀时，便产生风蚀作用，细粒物质被带走，粗粒物质大部分原地保留下来，从而使土壤颗粒变粗，将未沙化的原始土壤和</w:t>
            </w:r>
            <w:r>
              <w:rPr>
                <w:rFonts w:hint="eastAsia"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lang w:eastAsia="zh-CN"/>
              </w:rPr>
              <w:t>就地起沙</w:t>
            </w:r>
            <w:r>
              <w:rPr>
                <w:rFonts w:hint="eastAsia"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lang w:eastAsia="zh-CN"/>
              </w:rPr>
              <w:t>形成的风沙土颗粒粒级加以比较，沙化后的风沙土较之原始土壤粗砂和细砂粒显著增加，而粉砂和粘粒粒级减少。</w:t>
            </w:r>
          </w:p>
          <w:p w14:paraId="74F84D13">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（2）土壤贫瘠及含盐量变化</w:t>
            </w:r>
          </w:p>
          <w:p w14:paraId="3E2B3EE9">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沙化引起土壤贫瘠化的原因，一是积累土壤有机质的表层被风吹蚀；二是在风沙化发展过程中，土壤干旱并在高温影响下，有机物质矿化加强，使原来积累的有机物大量分解；三是土壤粗粒化结果。从未沙化原始土壤与沙化地段土壤肥力对比看，土壤有机质和全氮含量随沙漠化增加有所降低，特别是土壤有机质随沙化强度的变化十分明显。磷素和钾素随沙化程度增加，含量无明显差异。土壤中的易溶性盐分是随土壤水分发生移动的，并随着土壤水分蒸发而在地表聚积。由于沙土毛管上升高度低，因此，通过毛管上升水流到达地表而产生的积盐很微弱，另外在土壤受到风蚀沙化时，表土层的盐分有的被吹蚀，有的和含盐轻的底土层发生混合，因而也降低了风沙土壤的盐分含量，据邻近油田的调查结果表明，随沙化增强，盐分含量降低。</w:t>
            </w:r>
          </w:p>
          <w:p w14:paraId="22F77CE8">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（3）对区域沙化土地的影响分析</w:t>
            </w:r>
          </w:p>
          <w:p w14:paraId="4D51F375">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本项目施工期临时占地将会破坏项目占地范围内的土壤表层稳定砾幕和地表荒漠植被，项目所在区域具有多风、降水量偏低等气候特征，地表稳定结皮被破坏后，在大风天气条件下，项目施工会使占地范围内的土地就地起沙，局部形成沙化土地。</w:t>
            </w:r>
          </w:p>
          <w:p w14:paraId="02719211">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但是由于项目占地范围较小，施工结束后对临时占地范围内场地进行平整和清理，尽量利用井场施工时产生的表层弃土对临时占地进行覆盖，采用自然恢复的方式对区域植被进行恢复。</w:t>
            </w:r>
          </w:p>
          <w:p w14:paraId="0FE53994">
            <w:pPr>
              <w:pStyle w:val="16"/>
              <w:widowControl w:val="0"/>
              <w:numPr>
                <w:ilvl w:val="0"/>
                <w:numId w:val="0"/>
              </w:numPr>
              <w:spacing w:line="360" w:lineRule="auto"/>
              <w:ind w:firstLine="472" w:firstLineChars="200"/>
              <w:jc w:val="both"/>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综上所述，本项目对项目所在区域土地沙化影响不大。</w:t>
            </w:r>
          </w:p>
          <w:p w14:paraId="37736FBA">
            <w:pPr>
              <w:pStyle w:val="20"/>
              <w:widowControl w:val="0"/>
              <w:spacing w:line="360" w:lineRule="auto"/>
              <w:ind w:left="0" w:leftChars="0" w:firstLine="0" w:firstLineChars="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3</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大气环境影响分析</w:t>
            </w:r>
          </w:p>
          <w:p w14:paraId="1110F2E4">
            <w:pPr>
              <w:widowControl w:val="0"/>
              <w:spacing w:line="360" w:lineRule="auto"/>
              <w:ind w:firstLine="480"/>
              <w:jc w:val="both"/>
              <w:rPr>
                <w:rFonts w:hint="default" w:ascii="Times New Roman" w:hAnsi="Times New Roman" w:eastAsia="宋体" w:cs="Times New Roman"/>
                <w:color w:val="auto"/>
                <w:sz w:val="24"/>
                <w:szCs w:val="24"/>
                <w:highlight w:val="none"/>
              </w:rPr>
            </w:pPr>
            <w:bookmarkStart w:id="20" w:name="_Hlk136794460"/>
            <w:r>
              <w:rPr>
                <w:rFonts w:hint="default" w:ascii="Times New Roman" w:hAnsi="Times New Roman" w:eastAsia="宋体" w:cs="Times New Roman"/>
                <w:color w:val="auto"/>
                <w:sz w:val="24"/>
                <w:szCs w:val="24"/>
                <w:highlight w:val="none"/>
              </w:rPr>
              <w:t>废气主要为柴油机、发电机燃料燃烧烟气、施工机械及施工车辆尾气、施工扬尘、伴生气放空产生的燃烧烟气、试油期间采出液储存及装车过程中无组织逸散的废气、柴油储存卸车无组织废气和钻井岩屑暂存</w:t>
            </w:r>
            <w:r>
              <w:rPr>
                <w:rFonts w:hint="eastAsia" w:ascii="Times New Roman" w:hAnsi="Times New Roman" w:eastAsia="宋体" w:cs="Times New Roman"/>
                <w:color w:val="auto"/>
                <w:sz w:val="24"/>
                <w:szCs w:val="24"/>
                <w:highlight w:val="none"/>
                <w:lang w:val="en-US" w:eastAsia="zh-CN"/>
              </w:rPr>
              <w:t>和</w:t>
            </w:r>
            <w:r>
              <w:rPr>
                <w:rFonts w:ascii="宋体" w:hAnsi="宋体" w:eastAsia="宋体" w:cs="宋体"/>
                <w:color w:val="auto"/>
                <w:spacing w:val="1"/>
                <w:sz w:val="24"/>
                <w:szCs w:val="24"/>
              </w:rPr>
              <w:t>道路工程等</w:t>
            </w:r>
            <w:r>
              <w:rPr>
                <w:rFonts w:ascii="宋体" w:hAnsi="宋体" w:eastAsia="宋体" w:cs="宋体"/>
                <w:color w:val="auto"/>
                <w:spacing w:val="-3"/>
                <w:sz w:val="24"/>
                <w:szCs w:val="24"/>
              </w:rPr>
              <w:t>在施工作业过程中产生的扬尘</w:t>
            </w:r>
            <w:r>
              <w:rPr>
                <w:rFonts w:hint="eastAsia" w:ascii="宋体" w:hAnsi="宋体" w:eastAsia="宋体" w:cs="宋体"/>
                <w:color w:val="auto"/>
                <w:spacing w:val="-3"/>
                <w:sz w:val="24"/>
                <w:szCs w:val="24"/>
                <w:lang w:val="en-US" w:eastAsia="zh-CN"/>
              </w:rPr>
              <w:t>等</w:t>
            </w:r>
            <w:r>
              <w:rPr>
                <w:rFonts w:hint="default" w:ascii="Times New Roman" w:hAnsi="Times New Roman" w:eastAsia="宋体" w:cs="Times New Roman"/>
                <w:color w:val="auto"/>
                <w:sz w:val="24"/>
                <w:szCs w:val="24"/>
                <w:highlight w:val="none"/>
              </w:rPr>
              <w:t>。</w:t>
            </w:r>
          </w:p>
          <w:p w14:paraId="11CBDAC7">
            <w:pPr>
              <w:widowControl w:val="0"/>
              <w:spacing w:line="360" w:lineRule="auto"/>
              <w:ind w:firstLine="48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（1）柴油机、发电机燃料燃烧烟气</w:t>
            </w:r>
          </w:p>
          <w:p w14:paraId="469A3C52">
            <w:pPr>
              <w:widowControl w:val="0"/>
              <w:spacing w:line="360" w:lineRule="auto"/>
              <w:ind w:firstLine="48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w:t>
            </w:r>
            <w:r>
              <w:rPr>
                <w:rFonts w:hint="default" w:ascii="Times New Roman" w:hAnsi="Times New Roman" w:eastAsia="宋体" w:cs="Times New Roman"/>
                <w:color w:val="auto"/>
                <w:sz w:val="24"/>
                <w:szCs w:val="24"/>
                <w:highlight w:val="none"/>
                <w:lang w:eastAsia="zh-CN"/>
              </w:rPr>
              <w:t>各</w:t>
            </w:r>
            <w:r>
              <w:rPr>
                <w:rFonts w:hint="default" w:ascii="Times New Roman" w:hAnsi="Times New Roman" w:eastAsia="宋体" w:cs="Times New Roman"/>
                <w:color w:val="auto"/>
                <w:sz w:val="24"/>
                <w:szCs w:val="24"/>
                <w:highlight w:val="none"/>
              </w:rPr>
              <w:t>井场动力系统设</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台柴油机和</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台柴油发电机，为钻机及井场提供动力、电力和照明，柴油机、发电机工作时消耗的燃料主要为柴油。柴油燃烧后会产生烟气，以无组织形式逸散，烟气中主要污染物为二氧化硫、氮氧化物及总烃等。根据《非道路移动机械用柴油机排气污染物排放限值及测量方法(中国第三、四阶段)》(GB 20891-2014)及修改单，柴油发电机（第四阶段）CO产生系数为3.5g/kWh，HC产生系数为0.4g/kWh，NOx产生系数为0.67g/kWh，PM产生系数为0.1g/kWh</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上述柴油机和</w:t>
            </w:r>
            <w:r>
              <w:rPr>
                <w:rFonts w:hint="default" w:ascii="Times New Roman" w:hAnsi="Times New Roman" w:eastAsia="宋体" w:cs="Times New Roman"/>
                <w:color w:val="auto"/>
                <w:sz w:val="24"/>
                <w:szCs w:val="24"/>
                <w:highlight w:val="none"/>
              </w:rPr>
              <w:t>柴油发电机</w:t>
            </w:r>
            <w:r>
              <w:rPr>
                <w:rFonts w:hint="eastAsia" w:ascii="Times New Roman" w:hAnsi="Times New Roman" w:eastAsia="宋体" w:cs="Times New Roman"/>
                <w:color w:val="auto"/>
                <w:sz w:val="24"/>
                <w:szCs w:val="24"/>
                <w:highlight w:val="none"/>
                <w:lang w:val="en-US" w:eastAsia="zh-CN"/>
              </w:rPr>
              <w:t>功率共计3984</w:t>
            </w:r>
            <w:r>
              <w:rPr>
                <w:rFonts w:hint="default" w:ascii="Times New Roman" w:hAnsi="Times New Roman" w:eastAsia="宋体" w:cs="Times New Roman"/>
                <w:color w:val="auto"/>
                <w:sz w:val="24"/>
                <w:szCs w:val="24"/>
                <w:highlight w:val="none"/>
              </w:rPr>
              <w:t>kWh。则备用柴油发电机运行产生污染物CO</w:t>
            </w:r>
            <w:r>
              <w:rPr>
                <w:rFonts w:hint="eastAsia" w:ascii="Times New Roman" w:hAnsi="Times New Roman" w:eastAsia="宋体" w:cs="Times New Roman"/>
                <w:color w:val="auto"/>
                <w:sz w:val="24"/>
                <w:szCs w:val="24"/>
                <w:highlight w:val="none"/>
                <w:lang w:val="en-US" w:eastAsia="zh-CN"/>
              </w:rPr>
              <w:t>13.94</w:t>
            </w:r>
            <w:r>
              <w:rPr>
                <w:rFonts w:hint="default" w:ascii="Times New Roman" w:hAnsi="Times New Roman" w:eastAsia="宋体" w:cs="Times New Roman"/>
                <w:color w:val="auto"/>
                <w:sz w:val="24"/>
                <w:szCs w:val="24"/>
                <w:highlight w:val="none"/>
              </w:rPr>
              <w:t>kg/a，HC</w:t>
            </w:r>
            <w:r>
              <w:rPr>
                <w:rFonts w:hint="eastAsia" w:ascii="Times New Roman" w:hAnsi="Times New Roman" w:eastAsia="宋体" w:cs="Times New Roman"/>
                <w:color w:val="auto"/>
                <w:sz w:val="24"/>
                <w:szCs w:val="24"/>
                <w:highlight w:val="none"/>
                <w:lang w:val="en-US" w:eastAsia="zh-CN"/>
              </w:rPr>
              <w:t>1.59</w:t>
            </w:r>
            <w:r>
              <w:rPr>
                <w:rFonts w:hint="default" w:ascii="Times New Roman" w:hAnsi="Times New Roman" w:eastAsia="宋体" w:cs="Times New Roman"/>
                <w:color w:val="auto"/>
                <w:sz w:val="24"/>
                <w:szCs w:val="24"/>
                <w:highlight w:val="none"/>
              </w:rPr>
              <w:t>kg/a，PM</w:t>
            </w:r>
            <w:r>
              <w:rPr>
                <w:rFonts w:hint="eastAsia" w:ascii="Times New Roman" w:hAnsi="Times New Roman" w:eastAsia="宋体" w:cs="Times New Roman"/>
                <w:color w:val="auto"/>
                <w:sz w:val="24"/>
                <w:szCs w:val="24"/>
                <w:highlight w:val="none"/>
                <w:lang w:val="en-US" w:eastAsia="zh-CN"/>
              </w:rPr>
              <w:t>0.40</w:t>
            </w:r>
            <w:r>
              <w:rPr>
                <w:rFonts w:hint="default" w:ascii="Times New Roman" w:hAnsi="Times New Roman" w:eastAsia="宋体" w:cs="Times New Roman"/>
                <w:color w:val="auto"/>
                <w:sz w:val="24"/>
                <w:szCs w:val="24"/>
                <w:highlight w:val="none"/>
              </w:rPr>
              <w:t>kg/a。</w:t>
            </w:r>
          </w:p>
          <w:p w14:paraId="43604BF0">
            <w:pPr>
              <w:widowControl w:val="0"/>
              <w:spacing w:line="360" w:lineRule="auto"/>
              <w:ind w:firstLine="48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项目区地域空旷，周围扩散条件良好，且废气随施工的结束而消失。因此，对区域大气环境影响不大。</w:t>
            </w:r>
          </w:p>
          <w:p w14:paraId="382C96C1">
            <w:pPr>
              <w:widowControl w:val="0"/>
              <w:spacing w:line="360" w:lineRule="auto"/>
              <w:ind w:firstLine="48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（2）施工机械及施工车辆尾气</w:t>
            </w:r>
          </w:p>
          <w:p w14:paraId="15FB94E7">
            <w:pPr>
              <w:widowControl w:val="0"/>
              <w:spacing w:line="360" w:lineRule="auto"/>
              <w:ind w:firstLine="48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机械及施工车辆运行过程中会产生一定的尾气，对周围大气环境产生一定的影响；各类施工机械及施工车辆均采用符合国家标准的油品，定期对施工机械及车辆检维修并加强保养，保证施工机械及车辆正常运行，且废气随着施工期的结束而消失，不会对周围大气环境产生不利影响。</w:t>
            </w:r>
          </w:p>
          <w:p w14:paraId="4C4204A1">
            <w:pPr>
              <w:widowControl w:val="0"/>
              <w:spacing w:line="360" w:lineRule="auto"/>
              <w:ind w:firstLine="48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（3）施工扬尘</w:t>
            </w:r>
          </w:p>
          <w:p w14:paraId="3D3681DB">
            <w:pPr>
              <w:widowControl w:val="0"/>
              <w:spacing w:line="360" w:lineRule="auto"/>
              <w:ind w:firstLine="48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井场平整、探临道路、生活营地等建设及施工运输车辆会产生扬尘，对周围大气环境产生一定的影响；施工期加强管理、对易起尘物料进行遮盖、车辆低速慢行等措施，且扬尘随着施工期的结束而消失，不会对周围大气环境产生不利影响。</w:t>
            </w:r>
          </w:p>
          <w:p w14:paraId="0DB364E3">
            <w:pPr>
              <w:widowControl w:val="0"/>
              <w:spacing w:line="360" w:lineRule="auto"/>
              <w:ind w:firstLine="48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（4）伴生气燃烧烟气</w:t>
            </w:r>
          </w:p>
          <w:p w14:paraId="0E9C12F4">
            <w:pPr>
              <w:widowControl w:val="0"/>
              <w:spacing w:line="360" w:lineRule="auto"/>
              <w:ind w:firstLine="48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rPr>
              <w:t>本项目为矿产资源地质勘探项目，目的是为了获取地层油气藏参数，以期新的油气藏发现，钻井和试油</w:t>
            </w:r>
            <w:r>
              <w:rPr>
                <w:rFonts w:hint="default" w:ascii="Times New Roman" w:hAnsi="Times New Roman" w:eastAsia="宋体" w:cs="Times New Roman"/>
                <w:bCs/>
                <w:color w:val="auto"/>
                <w:sz w:val="24"/>
                <w:szCs w:val="24"/>
                <w:highlight w:val="none"/>
                <w:lang w:eastAsia="zh-CN"/>
              </w:rPr>
              <w:t>（储层改造）</w:t>
            </w:r>
            <w:r>
              <w:rPr>
                <w:rFonts w:hint="default" w:ascii="Times New Roman" w:hAnsi="Times New Roman" w:eastAsia="宋体" w:cs="Times New Roman"/>
                <w:bCs/>
                <w:color w:val="auto"/>
                <w:sz w:val="24"/>
                <w:szCs w:val="24"/>
                <w:highlight w:val="none"/>
              </w:rPr>
              <w:t>过程中可能会出现油层伴生气排出地面的情况。伴生气通过气液分离器进行分离，并经排气管线燃放。</w:t>
            </w:r>
            <w:r>
              <w:rPr>
                <w:rFonts w:hint="default" w:ascii="Times New Roman" w:hAnsi="Times New Roman" w:eastAsia="宋体" w:cs="Times New Roman"/>
                <w:color w:val="auto"/>
                <w:sz w:val="24"/>
                <w:szCs w:val="24"/>
                <w:highlight w:val="none"/>
              </w:rPr>
              <w:t>试油期产生的伴生气产量不稳定，不具备回收利用条件，通过排气管线充分燃烧后放空，燃烧烟气的主要污染物为二氧化硫、氮氧化物和颗粒物</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上述污染物排放量的计算参照同类型项目运行的经验值</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i w:val="0"/>
                <w:iCs w:val="0"/>
                <w:caps w:val="0"/>
                <w:color w:val="auto"/>
                <w:spacing w:val="0"/>
                <w:sz w:val="24"/>
                <w:szCs w:val="24"/>
                <w:shd w:val="clear" w:fill="FFFFFF"/>
              </w:rPr>
              <w:t>SO₂</w:t>
            </w:r>
            <w:r>
              <w:rPr>
                <w:rFonts w:hint="default" w:ascii="Times New Roman" w:hAnsi="Times New Roman" w:eastAsia="宋体" w:cs="Times New Roman"/>
                <w:i w:val="0"/>
                <w:iCs w:val="0"/>
                <w:caps w:val="0"/>
                <w:color w:val="auto"/>
                <w:spacing w:val="0"/>
                <w:sz w:val="24"/>
                <w:szCs w:val="24"/>
                <w:shd w:val="clear" w:fill="FFFFFF"/>
                <w:lang w:val="en-US" w:eastAsia="zh-CN"/>
              </w:rPr>
              <w:t>排放量为</w:t>
            </w:r>
            <w:r>
              <w:rPr>
                <w:rFonts w:hint="default" w:ascii="Times New Roman" w:hAnsi="Times New Roman" w:eastAsia="宋体" w:cs="Times New Roman"/>
                <w:i w:val="0"/>
                <w:iCs w:val="0"/>
                <w:caps w:val="0"/>
                <w:color w:val="auto"/>
                <w:spacing w:val="0"/>
                <w:sz w:val="24"/>
                <w:szCs w:val="24"/>
                <w:shd w:val="clear" w:fill="FFFFFF"/>
              </w:rPr>
              <w:t>2×S燃 ×0.8</w:t>
            </w:r>
            <w:r>
              <w:rPr>
                <w:rFonts w:hint="default"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宋体" w:cs="Times New Roman"/>
                <w:i w:val="0"/>
                <w:iCs w:val="0"/>
                <w:caps w:val="0"/>
                <w:color w:val="auto"/>
                <w:spacing w:val="0"/>
                <w:sz w:val="24"/>
                <w:szCs w:val="24"/>
                <w:shd w:val="clear" w:fill="FFFFFF"/>
                <w:lang w:val="en-US" w:eastAsia="zh-CN"/>
              </w:rPr>
              <w:t>氮氧化物排放量为</w:t>
            </w:r>
            <w:r>
              <w:rPr>
                <w:rFonts w:hint="default" w:ascii="Times New Roman" w:hAnsi="Times New Roman" w:eastAsia="宋体" w:cs="Times New Roman"/>
                <w:i w:val="0"/>
                <w:iCs w:val="0"/>
                <w:caps w:val="0"/>
                <w:color w:val="auto"/>
                <w:spacing w:val="0"/>
                <w:sz w:val="24"/>
                <w:szCs w:val="24"/>
                <w:shd w:val="clear" w:fill="FFFFFF"/>
              </w:rPr>
              <w:t>0.12kg/</w:t>
            </w:r>
            <w:r>
              <w:rPr>
                <w:rFonts w:hint="eastAsia" w:ascii="Times New Roman" w:hAnsi="Times New Roman" w:eastAsia="宋体" w:cs="Times New Roman"/>
                <w:i w:val="0"/>
                <w:iCs w:val="0"/>
                <w:caps w:val="0"/>
                <w:color w:val="auto"/>
                <w:spacing w:val="0"/>
                <w:sz w:val="24"/>
                <w:szCs w:val="24"/>
                <w:shd w:val="clear" w:fill="FFFFFF"/>
                <w:lang w:val="en-US" w:eastAsia="zh-CN"/>
              </w:rPr>
              <w:t>t</w:t>
            </w:r>
            <w:r>
              <w:rPr>
                <w:rFonts w:hint="default" w:ascii="Times New Roman" w:hAnsi="Times New Roman" w:eastAsia="宋体" w:cs="Times New Roman"/>
                <w:i w:val="0"/>
                <w:iCs w:val="0"/>
                <w:caps w:val="0"/>
                <w:color w:val="auto"/>
                <w:spacing w:val="0"/>
                <w:sz w:val="24"/>
                <w:szCs w:val="24"/>
                <w:shd w:val="clear" w:fill="FFFFFF"/>
                <w:lang w:val="en-US" w:eastAsia="zh-CN"/>
              </w:rPr>
              <w:t>燃料，颗粒物排放量为</w:t>
            </w:r>
            <w:r>
              <w:rPr>
                <w:rFonts w:hint="default" w:ascii="Times New Roman" w:hAnsi="Times New Roman" w:eastAsia="宋体" w:cs="Times New Roman"/>
                <w:i w:val="0"/>
                <w:iCs w:val="0"/>
                <w:caps w:val="0"/>
                <w:color w:val="auto"/>
                <w:spacing w:val="0"/>
                <w:sz w:val="24"/>
                <w:szCs w:val="24"/>
                <w:shd w:val="clear" w:fill="FFFFFF"/>
              </w:rPr>
              <w:t>0.005kg/</w:t>
            </w:r>
            <w:r>
              <w:rPr>
                <w:rFonts w:hint="eastAsia" w:ascii="Times New Roman" w:hAnsi="Times New Roman" w:eastAsia="宋体" w:cs="Times New Roman"/>
                <w:i w:val="0"/>
                <w:iCs w:val="0"/>
                <w:caps w:val="0"/>
                <w:color w:val="auto"/>
                <w:spacing w:val="0"/>
                <w:sz w:val="24"/>
                <w:szCs w:val="24"/>
                <w:shd w:val="clear" w:fill="FFFFFF"/>
                <w:lang w:val="en-US" w:eastAsia="zh-CN"/>
              </w:rPr>
              <w:t>t</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，根据建设单位提供资料项目压裂期使用柴油，使用量为1200t，则</w:t>
            </w:r>
            <w:r>
              <w:rPr>
                <w:rFonts w:hint="default" w:ascii="Times New Roman" w:hAnsi="Times New Roman" w:eastAsia="宋体" w:cs="Times New Roman"/>
                <w:color w:val="auto"/>
                <w:sz w:val="24"/>
                <w:szCs w:val="24"/>
                <w:highlight w:val="none"/>
              </w:rPr>
              <w:t>二氧化硫</w:t>
            </w:r>
            <w:r>
              <w:rPr>
                <w:rFonts w:hint="eastAsia" w:ascii="Times New Roman" w:hAnsi="Times New Roman" w:eastAsia="宋体" w:cs="Times New Roman"/>
                <w:color w:val="auto"/>
                <w:sz w:val="24"/>
                <w:szCs w:val="24"/>
                <w:highlight w:val="none"/>
                <w:lang w:val="en-US" w:eastAsia="zh-CN"/>
              </w:rPr>
              <w:t>排放量为</w:t>
            </w:r>
            <w:r>
              <w:rPr>
                <w:rFonts w:hint="eastAsia" w:ascii="Times New Roman" w:hAnsi="Times New Roman" w:eastAsia="宋体" w:cs="Times New Roman"/>
                <w:i w:val="0"/>
                <w:iCs w:val="0"/>
                <w:caps w:val="0"/>
                <w:color w:val="auto"/>
                <w:spacing w:val="0"/>
                <w:sz w:val="24"/>
                <w:szCs w:val="24"/>
                <w:shd w:val="clear" w:fill="FFFFFF"/>
                <w:lang w:val="en-US" w:eastAsia="zh-CN"/>
              </w:rPr>
              <w:t>1.92t</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i w:val="0"/>
                <w:iCs w:val="0"/>
                <w:caps w:val="0"/>
                <w:color w:val="auto"/>
                <w:spacing w:val="0"/>
                <w:sz w:val="24"/>
                <w:szCs w:val="24"/>
                <w:shd w:val="clear" w:fill="FFFFFF"/>
                <w:lang w:val="en-US" w:eastAsia="zh-CN"/>
              </w:rPr>
              <w:t>氮氧化物排放量</w:t>
            </w:r>
            <w:r>
              <w:rPr>
                <w:rFonts w:hint="eastAsia" w:ascii="Times New Roman" w:hAnsi="Times New Roman" w:eastAsia="宋体" w:cs="Times New Roman"/>
                <w:i w:val="0"/>
                <w:iCs w:val="0"/>
                <w:caps w:val="0"/>
                <w:color w:val="auto"/>
                <w:spacing w:val="0"/>
                <w:sz w:val="24"/>
                <w:szCs w:val="24"/>
                <w:shd w:val="clear" w:fill="FFFFFF"/>
                <w:lang w:val="en-US" w:eastAsia="zh-CN"/>
              </w:rPr>
              <w:t>为0.14</w:t>
            </w:r>
            <w:r>
              <w:rPr>
                <w:rFonts w:hint="eastAsia" w:ascii="Times New Roman" w:hAnsi="Times New Roman" w:eastAsia="宋体" w:cs="Times New Roman"/>
                <w:color w:val="auto"/>
                <w:sz w:val="24"/>
                <w:szCs w:val="24"/>
                <w:highlight w:val="none"/>
                <w:lang w:val="en-US" w:eastAsia="zh-CN"/>
              </w:rPr>
              <w:t>t</w:t>
            </w:r>
            <w:r>
              <w:rPr>
                <w:rFonts w:hint="eastAsia" w:ascii="Times New Roman" w:hAnsi="Times New Roman" w:eastAsia="宋体" w:cs="Times New Roman"/>
                <w:i w:val="0"/>
                <w:iCs w:val="0"/>
                <w:caps w:val="0"/>
                <w:color w:val="auto"/>
                <w:spacing w:val="0"/>
                <w:sz w:val="24"/>
                <w:szCs w:val="24"/>
                <w:shd w:val="clear" w:fill="FFFFFF"/>
                <w:lang w:val="en-US" w:eastAsia="zh-CN"/>
              </w:rPr>
              <w:t>，</w:t>
            </w:r>
            <w:r>
              <w:rPr>
                <w:rFonts w:hint="default" w:ascii="Times New Roman" w:hAnsi="Times New Roman" w:eastAsia="宋体" w:cs="Times New Roman"/>
                <w:i w:val="0"/>
                <w:iCs w:val="0"/>
                <w:caps w:val="0"/>
                <w:color w:val="auto"/>
                <w:spacing w:val="0"/>
                <w:sz w:val="24"/>
                <w:szCs w:val="24"/>
                <w:shd w:val="clear" w:fill="FFFFFF"/>
                <w:lang w:val="en-US" w:eastAsia="zh-CN"/>
              </w:rPr>
              <w:t>颗粒物排放量为</w:t>
            </w:r>
            <w:r>
              <w:rPr>
                <w:rFonts w:hint="eastAsia" w:ascii="Times New Roman" w:hAnsi="Times New Roman" w:eastAsia="宋体" w:cs="Times New Roman"/>
                <w:i w:val="0"/>
                <w:iCs w:val="0"/>
                <w:caps w:val="0"/>
                <w:color w:val="auto"/>
                <w:spacing w:val="0"/>
                <w:sz w:val="24"/>
                <w:szCs w:val="24"/>
                <w:shd w:val="clear" w:fill="FFFFFF"/>
                <w:lang w:val="en-US" w:eastAsia="zh-CN"/>
              </w:rPr>
              <w:t>0.006t，上述</w:t>
            </w:r>
            <w:r>
              <w:rPr>
                <w:rFonts w:hint="default" w:ascii="Times New Roman" w:hAnsi="Times New Roman" w:eastAsia="宋体" w:cs="Times New Roman"/>
                <w:color w:val="auto"/>
                <w:sz w:val="24"/>
                <w:szCs w:val="24"/>
                <w:highlight w:val="none"/>
              </w:rPr>
              <w:t>污染物</w:t>
            </w:r>
            <w:r>
              <w:rPr>
                <w:rFonts w:hint="eastAsia" w:ascii="Times New Roman" w:hAnsi="Times New Roman" w:eastAsia="宋体" w:cs="Times New Roman"/>
                <w:color w:val="auto"/>
                <w:sz w:val="24"/>
                <w:szCs w:val="24"/>
                <w:highlight w:val="none"/>
                <w:lang w:val="en-US" w:eastAsia="zh-CN"/>
              </w:rPr>
              <w:t>排放浓度</w:t>
            </w:r>
            <w:r>
              <w:rPr>
                <w:rFonts w:hint="default" w:ascii="Times New Roman" w:hAnsi="Times New Roman" w:eastAsia="宋体" w:cs="Times New Roman"/>
                <w:color w:val="auto"/>
                <w:sz w:val="24"/>
                <w:szCs w:val="24"/>
                <w:highlight w:val="none"/>
              </w:rPr>
              <w:t>应满足《大气污染物综合排放标准》（GB16297-1996）</w:t>
            </w:r>
            <w:r>
              <w:rPr>
                <w:rFonts w:hint="eastAsia" w:ascii="Times New Roman" w:hAnsi="Times New Roman" w:eastAsia="宋体" w:cs="Times New Roman"/>
                <w:color w:val="auto"/>
                <w:sz w:val="24"/>
                <w:szCs w:val="24"/>
                <w:highlight w:val="none"/>
                <w:lang w:val="en-US" w:eastAsia="zh-CN"/>
              </w:rPr>
              <w:t>中的</w:t>
            </w:r>
            <w:r>
              <w:rPr>
                <w:rFonts w:hint="default" w:ascii="Times New Roman" w:hAnsi="Times New Roman" w:eastAsia="宋体" w:cs="Times New Roman"/>
                <w:color w:val="auto"/>
                <w:sz w:val="24"/>
                <w:szCs w:val="24"/>
                <w:highlight w:val="none"/>
              </w:rPr>
              <w:t>相关要求。由于勘探前油藏情况未明，伴生气产生量无法确定，伴生气放空燃烧属短期排放且产生量较少，本评价不对伴生气燃烧排放的NOx和颗粒物进行量化分析</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由于燃烧烟气属于阶段性排放，且随着试油结束而停止产生</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井场周边无集中居民区，地域空旷、扩散条件良好，不会对周围大气环境产生明显不利影响。</w:t>
            </w:r>
          </w:p>
          <w:p w14:paraId="651F39B3">
            <w:pPr>
              <w:widowControl w:val="0"/>
              <w:spacing w:line="360" w:lineRule="auto"/>
              <w:ind w:firstLine="48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（5）采出液储存及装车过程的无组织废气</w:t>
            </w:r>
          </w:p>
          <w:p w14:paraId="443C3C44">
            <w:pPr>
              <w:widowControl w:val="0"/>
              <w:spacing w:line="360" w:lineRule="auto"/>
              <w:ind w:firstLine="48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试油期产生的采出液暂存于地面储罐，由罐车定期拉运至吉</w:t>
            </w:r>
            <w:r>
              <w:rPr>
                <w:rFonts w:hint="default" w:ascii="Times New Roman" w:hAnsi="Times New Roman" w:cs="Times New Roman"/>
                <w:color w:val="auto"/>
                <w:sz w:val="24"/>
                <w:szCs w:val="24"/>
                <w:highlight w:val="none"/>
                <w:lang w:val="en-US" w:eastAsia="zh-CN"/>
              </w:rPr>
              <w:t>康</w:t>
            </w:r>
            <w:r>
              <w:rPr>
                <w:rFonts w:hint="default" w:ascii="Times New Roman" w:hAnsi="Times New Roman" w:eastAsia="宋体" w:cs="Times New Roman"/>
                <w:color w:val="auto"/>
                <w:sz w:val="24"/>
                <w:szCs w:val="24"/>
                <w:highlight w:val="none"/>
              </w:rPr>
              <w:t>脱水站处理，采出液在储存及装车过程中会产生无组织挥发烃类（以非甲烷总烃计）和硫化氢。本项目主要为探明区域油藏含油气性及规模，试油过程不确定性大，试油阶段采出液产生情况无法确定，且采出液装载仅在试油期进行，随试油期结束而停止产生；项目周边地域空旷、扩散条件良好；试油期采出液储存及装车过程产生的无组织非甲烷总烃应符合《陆上石油天然气开采工业大气污染物排放标准》（GB39728-2020）中相关标准限值要求，硫化氢排放浓度应满足《恶臭污染物排放标准》（GB14554-93）表1二级新改扩建浓度要求，不会对区域环境产生较大影响。</w:t>
            </w:r>
          </w:p>
          <w:p w14:paraId="69B49527">
            <w:pPr>
              <w:widowControl w:val="0"/>
              <w:spacing w:line="360" w:lineRule="auto"/>
              <w:ind w:firstLine="48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（6）柴油卸车及储存无组织废气</w:t>
            </w:r>
          </w:p>
          <w:p w14:paraId="78A1B5EA">
            <w:pPr>
              <w:widowControl w:val="0"/>
              <w:spacing w:line="360" w:lineRule="auto"/>
              <w:ind w:firstLine="48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井场设1座柴油罐，为固定顶罐，外购柴油由罐车拉运至井场后暂存于储罐内，最大贮存量约20t。柴油卸车及临时贮存时会产生一定的无组织挥发性废气，由于柴油周转量较小，真实蒸气压较低，挥发性低，由柴油卸车及储罐临时储存产生的挥发性废气量较小，不会对周围大气环境产生明显不利影响。对比新疆油田其他类似钻井井场，井场场界外非甲烷总烃的浓度低于《陆上石油天然气开采工业大气污染物排放标准》（GB39728-2020）周界外无组织排放浓度限值4.0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的要求。</w:t>
            </w:r>
          </w:p>
          <w:p w14:paraId="78648B7B">
            <w:pPr>
              <w:widowControl w:val="0"/>
              <w:spacing w:line="360" w:lineRule="auto"/>
              <w:ind w:firstLine="48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（7）钻井岩屑暂存扬尘</w:t>
            </w:r>
          </w:p>
          <w:p w14:paraId="1602BB18">
            <w:pPr>
              <w:widowControl w:val="0"/>
              <w:spacing w:line="360" w:lineRule="auto"/>
              <w:ind w:firstLine="48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钻井过程中产生的水基钻井岩屑和油基钻井岩屑均在井场设置的岩屑罐中暂存，采取防渗、防雨及封闭措施。根据设计资料，岩屑含水率较高，整体产量有限，水基岩屑粒径细、湿度大，自然扬尘能力弱；油基岩屑因含油亦</w:t>
            </w:r>
            <w:r>
              <w:rPr>
                <w:rFonts w:hint="eastAsia" w:ascii="Times New Roman" w:hAnsi="Times New Roman" w:eastAsia="宋体" w:cs="Times New Roman"/>
                <w:color w:val="auto"/>
                <w:sz w:val="24"/>
                <w:szCs w:val="24"/>
                <w:highlight w:val="none"/>
                <w:lang w:eastAsia="zh-CN"/>
              </w:rPr>
              <w:t>具有</w:t>
            </w:r>
            <w:r>
              <w:rPr>
                <w:rFonts w:hint="default" w:ascii="Times New Roman" w:hAnsi="Times New Roman" w:eastAsia="宋体" w:cs="Times New Roman"/>
                <w:color w:val="auto"/>
                <w:sz w:val="24"/>
                <w:szCs w:val="24"/>
                <w:highlight w:val="none"/>
              </w:rPr>
              <w:t>一定湿度，流动性较差，亦不易扬尘。</w:t>
            </w:r>
          </w:p>
          <w:p w14:paraId="50B436E6">
            <w:pPr>
              <w:widowControl w:val="0"/>
              <w:spacing w:line="360" w:lineRule="auto"/>
              <w:ind w:firstLine="48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各井场在岩屑暂存过程中配套实施洒水、加盖、密闭转运等抑尘措施，并确保及时清运至指定处置单位处理。因此，钻井岩屑暂存期间的扬尘产生量较小，作用时间短、空间影响范围有限。整体来看，钻井岩屑暂存对项目周边大气环境的影响较轻微，不会造成明显不利影响。对比新疆油田其他类似钻井井场，井场场界外非甲烷总烃的浓度低于《陆上石油天然气开采工业大气污染物排放标准》（GB39728-2020）周界外无组织排放浓度限值4.0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的要求。</w:t>
            </w:r>
          </w:p>
          <w:p w14:paraId="072FE34A">
            <w:pPr>
              <w:widowControl w:val="0"/>
              <w:numPr>
                <w:ilvl w:val="0"/>
                <w:numId w:val="0"/>
              </w:num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试油过程中伴生气中可能含有少量的硫化氢</w:t>
            </w:r>
          </w:p>
          <w:p w14:paraId="1AD48A9F">
            <w:pPr>
              <w:widowControl w:val="0"/>
              <w:numPr>
                <w:ilvl w:val="0"/>
                <w:numId w:val="0"/>
              </w:numPr>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为油气矿产资源勘查，不确定油气藏中是否含硫化氢，按不利因素考虑，在试油过程中伴生气中可能含有少量的硫化氢，试油过程中可能通过阀门、法兰等连接件有少量的硫化氢逸散，井场配备有硫化氢监测仪，试油过程中伴生气主要通过排气管线燃烧放空，项目周围无大气环境保护目标，且地域空旷、扩散条件较好，不会对周围环境产生不利影响。</w:t>
            </w:r>
          </w:p>
          <w:p w14:paraId="6E78F5F9">
            <w:pPr>
              <w:widowControl w:val="0"/>
              <w:spacing w:line="360" w:lineRule="auto"/>
              <w:ind w:firstLine="48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综上所述，施工期间产生的废气对大气环境影响不大。</w:t>
            </w:r>
          </w:p>
          <w:bookmarkEnd w:id="20"/>
          <w:p w14:paraId="1F103FE4">
            <w:pPr>
              <w:pStyle w:val="16"/>
              <w:widowControl w:val="0"/>
              <w:spacing w:before="1" w:line="360" w:lineRule="auto"/>
              <w:ind w:left="2"/>
              <w:jc w:val="both"/>
              <w:rPr>
                <w:rFonts w:hint="default" w:ascii="Times New Roman" w:hAnsi="Times New Roman" w:eastAsia="宋体" w:cs="Times New Roman"/>
                <w:b/>
                <w:bCs/>
                <w:snapToGrid w:val="0"/>
                <w:color w:val="auto"/>
                <w:kern w:val="0"/>
                <w:sz w:val="24"/>
                <w:szCs w:val="24"/>
                <w:highlight w:val="none"/>
                <w:lang w:val="en-US" w:eastAsia="en-US" w:bidi="ar-SA"/>
              </w:rPr>
            </w:pPr>
            <w:r>
              <w:rPr>
                <w:rFonts w:hint="default" w:ascii="Times New Roman" w:hAnsi="Times New Roman" w:eastAsia="宋体" w:cs="Times New Roman"/>
                <w:b/>
                <w:bCs/>
                <w:color w:val="auto"/>
                <w:spacing w:val="-5"/>
                <w:sz w:val="24"/>
                <w:szCs w:val="24"/>
                <w:highlight w:val="none"/>
              </w:rPr>
              <w:t>4</w:t>
            </w:r>
            <w:r>
              <w:rPr>
                <w:rFonts w:hint="default" w:ascii="Times New Roman" w:hAnsi="Times New Roman" w:eastAsia="宋体" w:cs="Times New Roman"/>
                <w:b/>
                <w:bCs/>
                <w:snapToGrid w:val="0"/>
                <w:color w:val="auto"/>
                <w:kern w:val="0"/>
                <w:sz w:val="24"/>
                <w:szCs w:val="24"/>
                <w:highlight w:val="none"/>
                <w:lang w:val="en-US" w:eastAsia="zh-CN" w:bidi="ar-SA"/>
              </w:rPr>
              <w:t>.</w:t>
            </w:r>
            <w:r>
              <w:rPr>
                <w:rFonts w:hint="default" w:ascii="Times New Roman" w:hAnsi="Times New Roman" w:eastAsia="宋体" w:cs="Times New Roman"/>
                <w:b/>
                <w:bCs/>
                <w:snapToGrid w:val="0"/>
                <w:color w:val="auto"/>
                <w:kern w:val="0"/>
                <w:sz w:val="24"/>
                <w:szCs w:val="24"/>
                <w:highlight w:val="none"/>
                <w:lang w:val="en-US" w:eastAsia="en-US" w:bidi="ar-SA"/>
              </w:rPr>
              <w:t>施工期水环境影响分析</w:t>
            </w:r>
          </w:p>
          <w:p w14:paraId="7B0C5C30">
            <w:pPr>
              <w:pStyle w:val="16"/>
              <w:widowControl w:val="0"/>
              <w:spacing w:before="1" w:line="360" w:lineRule="auto"/>
              <w:jc w:val="both"/>
              <w:rPr>
                <w:rFonts w:hint="default" w:ascii="Times New Roman" w:hAnsi="Times New Roman" w:eastAsia="宋体" w:cs="Times New Roman"/>
                <w:b/>
                <w:bCs/>
                <w:snapToGrid w:val="0"/>
                <w:color w:val="auto"/>
                <w:kern w:val="0"/>
                <w:sz w:val="24"/>
                <w:szCs w:val="24"/>
                <w:highlight w:val="none"/>
                <w:lang w:val="en-US" w:eastAsia="en-US" w:bidi="ar-SA"/>
              </w:rPr>
            </w:pPr>
            <w:r>
              <w:rPr>
                <w:rFonts w:hint="default" w:ascii="Times New Roman" w:hAnsi="Times New Roman" w:eastAsia="宋体" w:cs="Times New Roman"/>
                <w:b/>
                <w:bCs/>
                <w:snapToGrid w:val="0"/>
                <w:color w:val="auto"/>
                <w:kern w:val="0"/>
                <w:sz w:val="24"/>
                <w:szCs w:val="24"/>
                <w:highlight w:val="none"/>
                <w:lang w:val="en-US" w:eastAsia="en-US" w:bidi="ar-SA"/>
              </w:rPr>
              <w:t>4.1井下作业废水（洗井废水）和压裂返排液</w:t>
            </w:r>
          </w:p>
          <w:p w14:paraId="00B435CD">
            <w:pPr>
              <w:pStyle w:val="16"/>
              <w:widowControl w:val="0"/>
              <w:spacing w:before="36" w:line="360" w:lineRule="auto"/>
              <w:ind w:left="5" w:firstLine="480" w:firstLineChars="200"/>
              <w:jc w:val="both"/>
              <w:rPr>
                <w:rFonts w:hint="default" w:ascii="Times New Roman" w:hAnsi="Times New Roman" w:eastAsia="宋体" w:cs="Times New Roman"/>
                <w:b/>
                <w:bCs/>
                <w:color w:val="auto"/>
                <w:spacing w:val="-3"/>
                <w:sz w:val="24"/>
                <w:szCs w:val="24"/>
                <w:highlight w:val="none"/>
              </w:rPr>
            </w:pPr>
            <w:r>
              <w:rPr>
                <w:rFonts w:hint="default" w:ascii="Times New Roman" w:hAnsi="Times New Roman" w:eastAsia="宋体" w:cs="Times New Roman"/>
                <w:snapToGrid w:val="0"/>
                <w:color w:val="auto"/>
                <w:kern w:val="0"/>
                <w:sz w:val="24"/>
                <w:szCs w:val="24"/>
                <w:highlight w:val="none"/>
                <w:lang w:val="en-US" w:eastAsia="en-US" w:bidi="ar-SA"/>
              </w:rPr>
              <w:t>试油废水主要包括井下作</w:t>
            </w:r>
            <w:r>
              <w:rPr>
                <w:rFonts w:hint="default" w:ascii="Times New Roman" w:hAnsi="Times New Roman" w:eastAsia="宋体" w:cs="Times New Roman"/>
                <w:color w:val="auto"/>
                <w:spacing w:val="-2"/>
                <w:sz w:val="24"/>
                <w:szCs w:val="24"/>
                <w:highlight w:val="none"/>
              </w:rPr>
              <w:t>业废水和压裂返排液，</w:t>
            </w:r>
            <w:r>
              <w:rPr>
                <w:rFonts w:hint="eastAsia" w:ascii="Times New Roman" w:hAnsi="Times New Roman" w:cs="Times New Roman"/>
                <w:color w:val="auto"/>
                <w:spacing w:val="-2"/>
                <w:sz w:val="24"/>
                <w:szCs w:val="24"/>
                <w:highlight w:val="none"/>
                <w:lang w:val="en-US" w:eastAsia="zh-CN"/>
              </w:rPr>
              <w:t>根据项目水平衡章节可知，</w:t>
            </w:r>
            <w:r>
              <w:rPr>
                <w:rFonts w:hint="default" w:ascii="Times New Roman" w:hAnsi="Times New Roman" w:eastAsia="宋体" w:cs="Times New Roman"/>
                <w:color w:val="auto"/>
                <w:spacing w:val="-3"/>
                <w:sz w:val="24"/>
                <w:szCs w:val="24"/>
                <w:highlight w:val="none"/>
              </w:rPr>
              <w:t>废压裂液产生量为</w:t>
            </w:r>
            <w:r>
              <w:rPr>
                <w:rFonts w:hint="default" w:ascii="Times New Roman" w:hAnsi="Times New Roman" w:cs="Times New Roman"/>
                <w:color w:val="auto"/>
                <w:spacing w:val="-3"/>
                <w:sz w:val="24"/>
                <w:szCs w:val="24"/>
                <w:highlight w:val="none"/>
                <w:lang w:val="en-US" w:eastAsia="zh-CN"/>
              </w:rPr>
              <w:t>3064.2</w:t>
            </w:r>
            <w:r>
              <w:rPr>
                <w:rFonts w:hint="default" w:ascii="Times New Roman" w:hAnsi="Times New Roman" w:eastAsia="宋体" w:cs="Times New Roman"/>
                <w:color w:val="auto"/>
                <w:spacing w:val="-3"/>
                <w:sz w:val="24"/>
                <w:szCs w:val="24"/>
                <w:highlight w:val="none"/>
              </w:rPr>
              <w:t>m</w:t>
            </w:r>
            <w:r>
              <w:rPr>
                <w:rFonts w:hint="default" w:ascii="Times New Roman" w:hAnsi="Times New Roman" w:eastAsia="宋体" w:cs="Times New Roman"/>
                <w:color w:val="auto"/>
                <w:spacing w:val="-3"/>
                <w:sz w:val="24"/>
                <w:szCs w:val="24"/>
                <w:highlight w:val="none"/>
                <w:vertAlign w:val="superscript"/>
                <w:lang w:val="en-US" w:eastAsia="zh-CN"/>
              </w:rPr>
              <w:t>3</w:t>
            </w:r>
            <w:r>
              <w:rPr>
                <w:rFonts w:hint="default" w:ascii="Times New Roman" w:hAnsi="Times New Roman" w:eastAsia="宋体" w:cs="Times New Roman"/>
                <w:color w:val="auto"/>
                <w:spacing w:val="-3"/>
                <w:sz w:val="24"/>
                <w:szCs w:val="24"/>
                <w:highlight w:val="none"/>
              </w:rPr>
              <w:t>，洗井废</w:t>
            </w:r>
            <w:r>
              <w:rPr>
                <w:rFonts w:hint="default" w:ascii="Times New Roman" w:hAnsi="Times New Roman" w:eastAsia="宋体" w:cs="Times New Roman"/>
                <w:color w:val="auto"/>
                <w:spacing w:val="-1"/>
                <w:sz w:val="24"/>
                <w:szCs w:val="24"/>
                <w:highlight w:val="none"/>
              </w:rPr>
              <w:t>水产生量为</w:t>
            </w:r>
            <w:r>
              <w:rPr>
                <w:rFonts w:hint="default" w:ascii="Times New Roman" w:hAnsi="Times New Roman" w:cs="Times New Roman"/>
                <w:color w:val="auto"/>
                <w:sz w:val="24"/>
                <w:szCs w:val="24"/>
                <w:highlight w:val="none"/>
                <w:lang w:val="en-US" w:eastAsia="zh-CN" w:bidi="ar"/>
              </w:rPr>
              <w:t>542.6</w:t>
            </w:r>
            <w:r>
              <w:rPr>
                <w:rFonts w:hint="default" w:ascii="Times New Roman" w:hAnsi="Times New Roman" w:eastAsia="宋体" w:cs="Times New Roman"/>
                <w:color w:val="auto"/>
                <w:spacing w:val="-1"/>
                <w:sz w:val="24"/>
                <w:szCs w:val="24"/>
                <w:highlight w:val="none"/>
              </w:rPr>
              <w:t>t，主要污染物为悬浮物和石油类；洗井废水和压裂返排液均排</w:t>
            </w:r>
            <w:r>
              <w:rPr>
                <w:rFonts w:hint="default" w:ascii="Times New Roman" w:hAnsi="Times New Roman" w:eastAsia="宋体" w:cs="Times New Roman"/>
                <w:color w:val="auto"/>
                <w:spacing w:val="-2"/>
                <w:sz w:val="24"/>
                <w:szCs w:val="24"/>
                <w:highlight w:val="none"/>
              </w:rPr>
              <w:t>至</w:t>
            </w:r>
            <w:r>
              <w:rPr>
                <w:rFonts w:hint="eastAsia" w:ascii="Times New Roman" w:hAnsi="Times New Roman" w:cs="Times New Roman"/>
                <w:color w:val="auto"/>
                <w:spacing w:val="-2"/>
                <w:sz w:val="24"/>
                <w:szCs w:val="24"/>
                <w:highlight w:val="none"/>
                <w:lang w:val="en-US" w:eastAsia="zh-CN"/>
              </w:rPr>
              <w:t>钻试场</w:t>
            </w:r>
            <w:r>
              <w:rPr>
                <w:rFonts w:hint="default" w:ascii="Times New Roman" w:hAnsi="Times New Roman" w:eastAsia="宋体" w:cs="Times New Roman"/>
                <w:color w:val="auto"/>
                <w:spacing w:val="-2"/>
                <w:sz w:val="24"/>
                <w:szCs w:val="24"/>
                <w:highlight w:val="none"/>
              </w:rPr>
              <w:t>专用储罐储存，最终由密闭罐车拉运至</w:t>
            </w:r>
            <w:r>
              <w:rPr>
                <w:rFonts w:hint="default" w:ascii="Times New Roman" w:hAnsi="Times New Roman" w:eastAsia="宋体" w:cs="Times New Roman"/>
                <w:color w:val="auto"/>
                <w:sz w:val="24"/>
                <w:szCs w:val="24"/>
                <w:highlight w:val="none"/>
              </w:rPr>
              <w:t>吉</w:t>
            </w:r>
            <w:r>
              <w:rPr>
                <w:rFonts w:hint="default" w:ascii="Times New Roman" w:hAnsi="Times New Roman" w:cs="Times New Roman"/>
                <w:color w:val="auto"/>
                <w:sz w:val="24"/>
                <w:szCs w:val="24"/>
                <w:highlight w:val="none"/>
                <w:lang w:val="en-US" w:eastAsia="zh-CN"/>
              </w:rPr>
              <w:t>康</w:t>
            </w:r>
            <w:r>
              <w:rPr>
                <w:rFonts w:hint="default" w:ascii="Times New Roman" w:hAnsi="Times New Roman" w:eastAsia="宋体" w:cs="Times New Roman"/>
                <w:color w:val="auto"/>
                <w:sz w:val="24"/>
                <w:szCs w:val="24"/>
                <w:highlight w:val="none"/>
              </w:rPr>
              <w:t>脱水站</w:t>
            </w:r>
            <w:r>
              <w:rPr>
                <w:rFonts w:hint="default" w:ascii="Times New Roman" w:hAnsi="Times New Roman" w:eastAsia="宋体" w:cs="Times New Roman"/>
                <w:color w:val="auto"/>
                <w:spacing w:val="-2"/>
                <w:sz w:val="24"/>
                <w:szCs w:val="24"/>
                <w:highlight w:val="none"/>
              </w:rPr>
              <w:t>采出水处</w:t>
            </w:r>
            <w:r>
              <w:rPr>
                <w:rFonts w:hint="default" w:ascii="Times New Roman" w:hAnsi="Times New Roman" w:eastAsia="宋体" w:cs="Times New Roman"/>
                <w:color w:val="auto"/>
                <w:spacing w:val="-3"/>
                <w:sz w:val="24"/>
                <w:szCs w:val="24"/>
                <w:highlight w:val="none"/>
              </w:rPr>
              <w:t>理系统处理</w:t>
            </w:r>
            <w:r>
              <w:rPr>
                <w:rFonts w:hint="eastAsia" w:ascii="Times New Roman" w:hAnsi="Times New Roman" w:cs="Times New Roman"/>
                <w:color w:val="auto"/>
                <w:spacing w:val="-3"/>
                <w:sz w:val="24"/>
                <w:szCs w:val="24"/>
                <w:highlight w:val="none"/>
                <w:lang w:val="en-US" w:eastAsia="zh-CN"/>
              </w:rPr>
              <w:t>后全部回注，不外排，</w:t>
            </w:r>
            <w:r>
              <w:rPr>
                <w:rFonts w:hint="default" w:ascii="Times New Roman" w:hAnsi="Times New Roman" w:eastAsia="宋体" w:cs="Times New Roman"/>
                <w:color w:val="auto"/>
                <w:sz w:val="24"/>
                <w:szCs w:val="24"/>
                <w:highlight w:val="none"/>
                <w:lang w:val="en-US" w:eastAsia="en-US" w:bidi="ar"/>
              </w:rPr>
              <w:t>底泥</w:t>
            </w:r>
            <w:r>
              <w:rPr>
                <w:rFonts w:hint="eastAsia" w:ascii="Times New Roman" w:hAnsi="Times New Roman" w:eastAsia="宋体" w:cs="Times New Roman"/>
                <w:color w:val="auto"/>
                <w:sz w:val="24"/>
                <w:szCs w:val="24"/>
                <w:highlight w:val="none"/>
                <w:lang w:val="en-US" w:eastAsia="zh-CN" w:bidi="ar"/>
              </w:rPr>
              <w:t>依托</w:t>
            </w:r>
            <w:r>
              <w:rPr>
                <w:rFonts w:hint="default" w:ascii="Times New Roman" w:hAnsi="Times New Roman" w:eastAsia="宋体" w:cs="Times New Roman"/>
                <w:color w:val="auto"/>
                <w:sz w:val="24"/>
                <w:szCs w:val="24"/>
                <w:highlight w:val="none"/>
                <w:lang w:val="en-US" w:eastAsia="en-US" w:bidi="ar"/>
              </w:rPr>
              <w:t>吉</w:t>
            </w:r>
            <w:r>
              <w:rPr>
                <w:rFonts w:hint="default" w:ascii="Times New Roman" w:hAnsi="Times New Roman" w:eastAsia="宋体" w:cs="Times New Roman"/>
                <w:color w:val="auto"/>
                <w:sz w:val="24"/>
                <w:szCs w:val="24"/>
                <w:highlight w:val="none"/>
                <w:lang w:val="en-US" w:eastAsia="zh-CN" w:bidi="ar"/>
              </w:rPr>
              <w:t>康脱水</w:t>
            </w:r>
            <w:r>
              <w:rPr>
                <w:rFonts w:hint="default" w:ascii="Times New Roman" w:hAnsi="Times New Roman" w:eastAsia="宋体" w:cs="Times New Roman"/>
                <w:color w:val="auto"/>
                <w:sz w:val="24"/>
                <w:szCs w:val="24"/>
                <w:highlight w:val="none"/>
                <w:lang w:val="en-US" w:eastAsia="en-US" w:bidi="ar"/>
              </w:rPr>
              <w:t>站</w:t>
            </w:r>
            <w:r>
              <w:rPr>
                <w:rFonts w:hint="eastAsia" w:ascii="Times New Roman" w:hAnsi="Times New Roman" w:eastAsia="宋体" w:cs="Times New Roman"/>
                <w:color w:val="auto"/>
                <w:sz w:val="24"/>
                <w:szCs w:val="24"/>
                <w:highlight w:val="none"/>
                <w:lang w:val="en-US" w:eastAsia="zh-CN" w:bidi="ar"/>
              </w:rPr>
              <w:t>污泥罐暂存</w:t>
            </w:r>
            <w:r>
              <w:rPr>
                <w:rFonts w:hint="default" w:ascii="Times New Roman" w:hAnsi="Times New Roman" w:eastAsia="宋体" w:cs="Times New Roman"/>
                <w:color w:val="auto"/>
                <w:sz w:val="24"/>
                <w:szCs w:val="24"/>
                <w:highlight w:val="none"/>
                <w:lang w:val="en-US" w:eastAsia="en-US" w:bidi="ar"/>
              </w:rPr>
              <w:t>，</w:t>
            </w:r>
            <w:r>
              <w:rPr>
                <w:rFonts w:hint="eastAsia" w:ascii="Times New Roman" w:hAnsi="Times New Roman" w:eastAsia="宋体" w:cs="Times New Roman"/>
                <w:color w:val="auto"/>
                <w:sz w:val="24"/>
                <w:szCs w:val="24"/>
                <w:highlight w:val="none"/>
                <w:lang w:val="en-US" w:eastAsia="zh-CN" w:bidi="ar"/>
              </w:rPr>
              <w:t>定期</w:t>
            </w:r>
            <w:r>
              <w:rPr>
                <w:rFonts w:hint="default" w:ascii="Times New Roman" w:hAnsi="Times New Roman" w:eastAsia="宋体" w:cs="Times New Roman"/>
                <w:color w:val="auto"/>
                <w:sz w:val="24"/>
                <w:szCs w:val="24"/>
                <w:highlight w:val="none"/>
                <w:lang w:val="en-US" w:eastAsia="en-US" w:bidi="ar"/>
              </w:rPr>
              <w:t>交由新疆中建环能北庭环保科技有限公司进行无害化处置</w:t>
            </w:r>
            <w:r>
              <w:rPr>
                <w:rFonts w:hint="default" w:ascii="Times New Roman" w:hAnsi="Times New Roman" w:eastAsia="宋体" w:cs="Times New Roman"/>
                <w:color w:val="auto"/>
                <w:sz w:val="24"/>
                <w:szCs w:val="24"/>
                <w:highlight w:val="none"/>
                <w:lang w:val="en-US" w:eastAsia="zh-CN" w:bidi="ar"/>
              </w:rPr>
              <w:t>。</w:t>
            </w:r>
          </w:p>
          <w:p w14:paraId="2A242404">
            <w:pPr>
              <w:pStyle w:val="16"/>
              <w:widowControl w:val="0"/>
              <w:spacing w:line="219"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3"/>
                <w:sz w:val="24"/>
                <w:szCs w:val="24"/>
                <w:highlight w:val="none"/>
              </w:rPr>
              <w:t>4.</w:t>
            </w:r>
            <w:r>
              <w:rPr>
                <w:rFonts w:hint="default" w:ascii="Times New Roman" w:hAnsi="Times New Roman" w:cs="Times New Roman"/>
                <w:b/>
                <w:bCs/>
                <w:color w:val="auto"/>
                <w:spacing w:val="-3"/>
                <w:sz w:val="24"/>
                <w:szCs w:val="24"/>
                <w:highlight w:val="none"/>
                <w:lang w:val="en-US" w:eastAsia="zh-CN"/>
              </w:rPr>
              <w:t>3</w:t>
            </w:r>
            <w:r>
              <w:rPr>
                <w:rFonts w:hint="default" w:ascii="Times New Roman" w:hAnsi="Times New Roman" w:eastAsia="宋体" w:cs="Times New Roman"/>
                <w:b/>
                <w:bCs/>
                <w:color w:val="auto"/>
                <w:spacing w:val="-3"/>
                <w:sz w:val="24"/>
                <w:szCs w:val="24"/>
                <w:highlight w:val="none"/>
              </w:rPr>
              <w:t>生活污水</w:t>
            </w:r>
          </w:p>
          <w:p w14:paraId="67AD396B">
            <w:pPr>
              <w:pStyle w:val="16"/>
              <w:widowControl w:val="0"/>
              <w:spacing w:before="182" w:line="359" w:lineRule="auto"/>
              <w:ind w:left="5" w:right="4" w:firstLine="477"/>
              <w:jc w:val="both"/>
              <w:rPr>
                <w:rFonts w:hint="default" w:ascii="Times New Roman" w:hAnsi="Times New Roman" w:eastAsia="宋体" w:cs="Times New Roman"/>
                <w:color w:val="auto"/>
                <w:spacing w:val="-2"/>
                <w:sz w:val="24"/>
                <w:szCs w:val="24"/>
                <w:highlight w:val="none"/>
              </w:rPr>
            </w:pPr>
            <w:r>
              <w:rPr>
                <w:rFonts w:hint="default" w:ascii="Times New Roman" w:hAnsi="Times New Roman" w:cs="Times New Roman"/>
                <w:color w:val="auto"/>
                <w:spacing w:val="-2"/>
                <w:sz w:val="24"/>
                <w:szCs w:val="24"/>
                <w:highlight w:val="none"/>
                <w:lang w:val="en-US" w:eastAsia="zh-CN"/>
              </w:rPr>
              <w:t>本项目</w:t>
            </w:r>
            <w:r>
              <w:rPr>
                <w:rFonts w:hint="default" w:ascii="Times New Roman" w:hAnsi="Times New Roman" w:eastAsia="宋体" w:cs="Times New Roman"/>
                <w:color w:val="auto"/>
                <w:spacing w:val="-2"/>
                <w:sz w:val="24"/>
                <w:szCs w:val="24"/>
                <w:highlight w:val="none"/>
              </w:rPr>
              <w:t>生活污水产生量约为</w:t>
            </w:r>
            <w:r>
              <w:rPr>
                <w:rFonts w:hint="eastAsia" w:ascii="Times New Roman" w:hAnsi="Times New Roman" w:cs="Times New Roman"/>
                <w:color w:val="auto"/>
                <w:spacing w:val="-2"/>
                <w:sz w:val="24"/>
                <w:szCs w:val="24"/>
                <w:highlight w:val="none"/>
                <w:lang w:val="en-US" w:eastAsia="zh-CN"/>
              </w:rPr>
              <w:t>840</w:t>
            </w:r>
            <w:r>
              <w:rPr>
                <w:rFonts w:hint="default" w:ascii="Times New Roman" w:hAnsi="Times New Roman" w:eastAsia="宋体" w:cs="Times New Roman"/>
                <w:color w:val="auto"/>
                <w:spacing w:val="-2"/>
                <w:sz w:val="24"/>
                <w:szCs w:val="24"/>
                <w:highlight w:val="none"/>
              </w:rPr>
              <w:t>m</w:t>
            </w:r>
            <w:r>
              <w:rPr>
                <w:rFonts w:hint="default" w:ascii="Times New Roman" w:hAnsi="Times New Roman" w:eastAsia="宋体" w:cs="Times New Roman"/>
                <w:color w:val="auto"/>
                <w:spacing w:val="-2"/>
                <w:sz w:val="24"/>
                <w:szCs w:val="24"/>
                <w:highlight w:val="none"/>
                <w:vertAlign w:val="superscript"/>
              </w:rPr>
              <w:t>3</w:t>
            </w:r>
            <w:r>
              <w:rPr>
                <w:rFonts w:hint="default" w:ascii="Times New Roman" w:hAnsi="Times New Roman" w:eastAsia="宋体" w:cs="Times New Roman"/>
                <w:color w:val="auto"/>
                <w:spacing w:val="-2"/>
                <w:sz w:val="24"/>
                <w:szCs w:val="24"/>
                <w:highlight w:val="none"/>
              </w:rPr>
              <w:t>。施工工人产生的生活污水水质与居民生活污水相似，主要污染物浓度分别为化学需氧量（COD）350mg/L、氨氮（NH</w:t>
            </w:r>
            <w:r>
              <w:rPr>
                <w:rFonts w:hint="default" w:ascii="Times New Roman" w:hAnsi="Times New Roman" w:eastAsia="宋体" w:cs="Times New Roman"/>
                <w:color w:val="auto"/>
                <w:spacing w:val="-2"/>
                <w:sz w:val="24"/>
                <w:szCs w:val="24"/>
                <w:highlight w:val="none"/>
                <w:vertAlign w:val="subscript"/>
              </w:rPr>
              <w:t>3</w:t>
            </w:r>
            <w:r>
              <w:rPr>
                <w:rFonts w:hint="default" w:ascii="Times New Roman" w:hAnsi="Times New Roman" w:eastAsia="宋体" w:cs="Times New Roman"/>
                <w:color w:val="auto"/>
                <w:spacing w:val="-2"/>
                <w:sz w:val="24"/>
                <w:szCs w:val="24"/>
                <w:highlight w:val="none"/>
              </w:rPr>
              <w:t>-N）30mg/L、悬浮物（SS）200mg/L，则污染物产生量COD：0.</w:t>
            </w:r>
            <w:r>
              <w:rPr>
                <w:rFonts w:hint="default" w:ascii="Times New Roman" w:hAnsi="Times New Roman" w:cs="Times New Roman"/>
                <w:color w:val="auto"/>
                <w:spacing w:val="-2"/>
                <w:sz w:val="24"/>
                <w:szCs w:val="24"/>
                <w:highlight w:val="none"/>
                <w:lang w:val="en-US" w:eastAsia="zh-CN"/>
              </w:rPr>
              <w:t>882</w:t>
            </w:r>
            <w:r>
              <w:rPr>
                <w:rFonts w:hint="default" w:ascii="Times New Roman" w:hAnsi="Times New Roman" w:eastAsia="宋体" w:cs="Times New Roman"/>
                <w:color w:val="auto"/>
                <w:spacing w:val="-2"/>
                <w:sz w:val="24"/>
                <w:szCs w:val="24"/>
                <w:highlight w:val="none"/>
              </w:rPr>
              <w:t>t、NH</w:t>
            </w:r>
            <w:r>
              <w:rPr>
                <w:rFonts w:hint="default" w:ascii="Times New Roman" w:hAnsi="Times New Roman" w:eastAsia="宋体" w:cs="Times New Roman"/>
                <w:color w:val="auto"/>
                <w:spacing w:val="-2"/>
                <w:sz w:val="24"/>
                <w:szCs w:val="24"/>
                <w:highlight w:val="none"/>
                <w:vertAlign w:val="subscript"/>
              </w:rPr>
              <w:t>3</w:t>
            </w:r>
            <w:r>
              <w:rPr>
                <w:rFonts w:hint="default" w:ascii="Times New Roman" w:hAnsi="Times New Roman" w:eastAsia="宋体" w:cs="Times New Roman"/>
                <w:color w:val="auto"/>
                <w:spacing w:val="-2"/>
                <w:sz w:val="24"/>
                <w:szCs w:val="24"/>
                <w:highlight w:val="none"/>
              </w:rPr>
              <w:t>-N：0.0</w:t>
            </w:r>
            <w:r>
              <w:rPr>
                <w:rFonts w:hint="default" w:ascii="Times New Roman" w:hAnsi="Times New Roman" w:cs="Times New Roman"/>
                <w:color w:val="auto"/>
                <w:spacing w:val="-2"/>
                <w:sz w:val="24"/>
                <w:szCs w:val="24"/>
                <w:highlight w:val="none"/>
                <w:lang w:val="en-US" w:eastAsia="zh-CN"/>
              </w:rPr>
              <w:t>76</w:t>
            </w:r>
            <w:r>
              <w:rPr>
                <w:rFonts w:hint="default" w:ascii="Times New Roman" w:hAnsi="Times New Roman" w:eastAsia="宋体" w:cs="Times New Roman"/>
                <w:color w:val="auto"/>
                <w:spacing w:val="-2"/>
                <w:sz w:val="24"/>
                <w:szCs w:val="24"/>
                <w:highlight w:val="none"/>
              </w:rPr>
              <w:t>t、SS：0.</w:t>
            </w:r>
            <w:r>
              <w:rPr>
                <w:rFonts w:hint="default" w:ascii="Times New Roman" w:hAnsi="Times New Roman" w:cs="Times New Roman"/>
                <w:color w:val="auto"/>
                <w:spacing w:val="-2"/>
                <w:sz w:val="24"/>
                <w:szCs w:val="24"/>
                <w:highlight w:val="none"/>
                <w:lang w:val="en-US" w:eastAsia="zh-CN"/>
              </w:rPr>
              <w:t>504</w:t>
            </w:r>
            <w:r>
              <w:rPr>
                <w:rFonts w:hint="default" w:ascii="Times New Roman" w:hAnsi="Times New Roman" w:eastAsia="宋体" w:cs="Times New Roman"/>
                <w:color w:val="auto"/>
                <w:spacing w:val="-2"/>
                <w:sz w:val="24"/>
                <w:szCs w:val="24"/>
                <w:highlight w:val="none"/>
              </w:rPr>
              <w:t>t。</w:t>
            </w:r>
          </w:p>
          <w:p w14:paraId="012C3D5A">
            <w:pPr>
              <w:pStyle w:val="16"/>
              <w:widowControl w:val="0"/>
              <w:spacing w:before="36" w:line="360" w:lineRule="auto"/>
              <w:ind w:left="6" w:firstLine="472" w:firstLineChars="200"/>
              <w:jc w:val="both"/>
              <w:rPr>
                <w:rFonts w:hint="default" w:ascii="Times New Roman" w:hAnsi="Times New Roman" w:eastAsia="宋体" w:cs="Times New Roman"/>
                <w:color w:val="auto"/>
                <w:spacing w:val="-1"/>
                <w:sz w:val="24"/>
                <w:szCs w:val="24"/>
                <w:highlight w:val="none"/>
              </w:rPr>
            </w:pPr>
            <w:r>
              <w:rPr>
                <w:rFonts w:hint="default" w:ascii="Times New Roman" w:hAnsi="Times New Roman" w:cs="Times New Roman"/>
                <w:color w:val="auto"/>
                <w:spacing w:val="-2"/>
                <w:sz w:val="24"/>
                <w:szCs w:val="24"/>
                <w:highlight w:val="none"/>
                <w:lang w:val="en-US" w:eastAsia="zh-CN"/>
              </w:rPr>
              <w:t>各</w:t>
            </w:r>
            <w:r>
              <w:rPr>
                <w:rFonts w:hint="eastAsia" w:ascii="Times New Roman" w:hAnsi="Times New Roman" w:cs="Times New Roman"/>
                <w:color w:val="auto"/>
                <w:spacing w:val="-2"/>
                <w:sz w:val="24"/>
                <w:szCs w:val="24"/>
                <w:highlight w:val="none"/>
                <w:lang w:val="en-US" w:eastAsia="zh-CN"/>
              </w:rPr>
              <w:t>钻试场</w:t>
            </w:r>
            <w:r>
              <w:rPr>
                <w:rFonts w:hint="default" w:ascii="Times New Roman" w:hAnsi="Times New Roman" w:eastAsia="宋体" w:cs="Times New Roman"/>
                <w:color w:val="auto"/>
                <w:spacing w:val="-2"/>
                <w:sz w:val="24"/>
                <w:szCs w:val="24"/>
                <w:highlight w:val="none"/>
              </w:rPr>
              <w:t>生活营地内设置1座临时</w:t>
            </w:r>
            <w:r>
              <w:rPr>
                <w:rFonts w:hint="eastAsia" w:ascii="Times New Roman" w:hAnsi="Times New Roman" w:cs="Times New Roman"/>
                <w:color w:val="auto"/>
                <w:spacing w:val="-2"/>
                <w:sz w:val="24"/>
                <w:szCs w:val="24"/>
                <w:highlight w:val="none"/>
                <w:lang w:val="en-US" w:eastAsia="zh-CN"/>
              </w:rPr>
              <w:t>硬化</w:t>
            </w:r>
            <w:r>
              <w:rPr>
                <w:rFonts w:hint="default" w:ascii="Times New Roman" w:hAnsi="Times New Roman" w:eastAsia="宋体" w:cs="Times New Roman"/>
                <w:color w:val="auto"/>
                <w:spacing w:val="-2"/>
                <w:sz w:val="24"/>
                <w:szCs w:val="24"/>
                <w:highlight w:val="none"/>
              </w:rPr>
              <w:t>防渗收集池（容积约</w:t>
            </w:r>
            <w:r>
              <w:rPr>
                <w:rFonts w:hint="default" w:ascii="Times New Roman" w:hAnsi="Times New Roman" w:eastAsia="宋体" w:cs="Times New Roman"/>
                <w:color w:val="auto"/>
                <w:spacing w:val="-2"/>
                <w:sz w:val="24"/>
                <w:szCs w:val="24"/>
                <w:highlight w:val="none"/>
                <w:lang w:val="en-US" w:eastAsia="zh-CN"/>
              </w:rPr>
              <w:t>45</w:t>
            </w:r>
            <w:r>
              <w:rPr>
                <w:rFonts w:hint="default" w:ascii="Times New Roman" w:hAnsi="Times New Roman" w:eastAsia="宋体" w:cs="Times New Roman"/>
                <w:color w:val="auto"/>
                <w:spacing w:val="-2"/>
                <w:sz w:val="24"/>
                <w:szCs w:val="24"/>
                <w:highlight w:val="none"/>
              </w:rPr>
              <w:t>m</w:t>
            </w:r>
            <w:r>
              <w:rPr>
                <w:rFonts w:hint="default" w:ascii="Times New Roman" w:hAnsi="Times New Roman" w:eastAsia="宋体" w:cs="Times New Roman"/>
                <w:color w:val="auto"/>
                <w:spacing w:val="-2"/>
                <w:position w:val="8"/>
                <w:sz w:val="15"/>
                <w:szCs w:val="15"/>
                <w:highlight w:val="none"/>
              </w:rPr>
              <w:t>3</w:t>
            </w:r>
            <w:r>
              <w:rPr>
                <w:rFonts w:hint="default" w:ascii="Times New Roman" w:hAnsi="Times New Roman" w:eastAsia="宋体" w:cs="Times New Roman"/>
                <w:color w:val="auto"/>
                <w:spacing w:val="-11"/>
                <w:sz w:val="24"/>
                <w:szCs w:val="24"/>
                <w:highlight w:val="none"/>
              </w:rPr>
              <w:t>），</w:t>
            </w:r>
            <w:r>
              <w:rPr>
                <w:rFonts w:hint="default" w:ascii="Times New Roman" w:hAnsi="Times New Roman" w:eastAsia="宋体" w:cs="Times New Roman"/>
                <w:color w:val="auto"/>
                <w:spacing w:val="-2"/>
                <w:sz w:val="24"/>
                <w:szCs w:val="24"/>
                <w:highlight w:val="none"/>
              </w:rPr>
              <w:t>开挖后采用HDPE防渗膜铺垫防渗。该</w:t>
            </w:r>
            <w:r>
              <w:rPr>
                <w:rFonts w:hint="eastAsia" w:ascii="Times New Roman" w:hAnsi="Times New Roman" w:cs="Times New Roman"/>
                <w:color w:val="auto"/>
                <w:spacing w:val="-2"/>
                <w:sz w:val="24"/>
                <w:szCs w:val="24"/>
                <w:highlight w:val="none"/>
                <w:lang w:val="en-US" w:eastAsia="zh-CN"/>
              </w:rPr>
              <w:t>硬化</w:t>
            </w:r>
            <w:r>
              <w:rPr>
                <w:rFonts w:hint="default" w:ascii="Times New Roman" w:hAnsi="Times New Roman" w:eastAsia="宋体" w:cs="Times New Roman"/>
                <w:color w:val="auto"/>
                <w:spacing w:val="-2"/>
                <w:sz w:val="24"/>
                <w:szCs w:val="24"/>
                <w:highlight w:val="none"/>
              </w:rPr>
              <w:t>防渗收集池用于收集和暂</w:t>
            </w:r>
            <w:r>
              <w:rPr>
                <w:rFonts w:hint="default" w:ascii="Times New Roman" w:hAnsi="Times New Roman" w:eastAsia="宋体" w:cs="Times New Roman"/>
                <w:color w:val="auto"/>
                <w:spacing w:val="-3"/>
                <w:sz w:val="24"/>
                <w:szCs w:val="24"/>
                <w:highlight w:val="none"/>
              </w:rPr>
              <w:t>存生活</w:t>
            </w:r>
            <w:r>
              <w:rPr>
                <w:rFonts w:hint="default" w:ascii="Times New Roman" w:hAnsi="Times New Roman" w:eastAsia="宋体" w:cs="Times New Roman"/>
                <w:color w:val="auto"/>
                <w:spacing w:val="-1"/>
                <w:sz w:val="24"/>
                <w:szCs w:val="24"/>
                <w:highlight w:val="none"/>
              </w:rPr>
              <w:t>污水，定期由</w:t>
            </w:r>
            <w:r>
              <w:rPr>
                <w:rFonts w:hint="eastAsia" w:ascii="Times New Roman" w:hAnsi="Times New Roman" w:cs="Times New Roman"/>
                <w:color w:val="auto"/>
                <w:spacing w:val="-1"/>
                <w:sz w:val="24"/>
                <w:szCs w:val="24"/>
                <w:highlight w:val="none"/>
                <w:lang w:val="en-US" w:eastAsia="zh-CN"/>
              </w:rPr>
              <w:t>施工队采用</w:t>
            </w:r>
            <w:r>
              <w:rPr>
                <w:rFonts w:hint="default" w:ascii="Times New Roman" w:hAnsi="Times New Roman" w:eastAsia="宋体" w:cs="Times New Roman"/>
                <w:color w:val="auto"/>
                <w:spacing w:val="-1"/>
                <w:sz w:val="24"/>
                <w:szCs w:val="24"/>
                <w:highlight w:val="none"/>
              </w:rPr>
              <w:t>吸污车清运至吉木萨尔县污水处理厂处理。</w:t>
            </w:r>
          </w:p>
          <w:p w14:paraId="7086B0E5">
            <w:pPr>
              <w:pStyle w:val="16"/>
              <w:widowControl w:val="0"/>
              <w:spacing w:before="36" w:line="360" w:lineRule="auto"/>
              <w:jc w:val="both"/>
              <w:rPr>
                <w:rFonts w:hint="default" w:ascii="Times New Roman" w:hAnsi="Times New Roman" w:eastAsia="宋体" w:cs="Times New Roman"/>
                <w:b/>
                <w:bCs/>
                <w:color w:val="auto"/>
                <w:spacing w:val="-2"/>
                <w:sz w:val="24"/>
                <w:szCs w:val="24"/>
                <w:highlight w:val="none"/>
              </w:rPr>
            </w:pPr>
            <w:r>
              <w:rPr>
                <w:rFonts w:hint="default" w:ascii="Times New Roman" w:hAnsi="Times New Roman" w:eastAsia="宋体" w:cs="Times New Roman"/>
                <w:b/>
                <w:bCs/>
                <w:color w:val="auto"/>
                <w:spacing w:val="-2"/>
                <w:sz w:val="24"/>
                <w:szCs w:val="24"/>
                <w:highlight w:val="none"/>
              </w:rPr>
              <w:t>4.</w:t>
            </w:r>
            <w:r>
              <w:rPr>
                <w:rFonts w:hint="default" w:ascii="Times New Roman" w:hAnsi="Times New Roman" w:cs="Times New Roman"/>
                <w:b/>
                <w:bCs/>
                <w:color w:val="auto"/>
                <w:spacing w:val="-2"/>
                <w:sz w:val="24"/>
                <w:szCs w:val="24"/>
                <w:highlight w:val="none"/>
                <w:lang w:val="en-US" w:eastAsia="zh-CN"/>
              </w:rPr>
              <w:t>4</w:t>
            </w:r>
            <w:r>
              <w:rPr>
                <w:rFonts w:hint="default" w:ascii="Times New Roman" w:hAnsi="Times New Roman" w:eastAsia="宋体" w:cs="Times New Roman"/>
                <w:b/>
                <w:bCs/>
                <w:color w:val="auto"/>
                <w:spacing w:val="-2"/>
                <w:sz w:val="24"/>
                <w:szCs w:val="24"/>
                <w:highlight w:val="none"/>
              </w:rPr>
              <w:t>对地下水影响分析</w:t>
            </w:r>
          </w:p>
          <w:p w14:paraId="11A10AEE">
            <w:pPr>
              <w:pStyle w:val="16"/>
              <w:widowControl w:val="0"/>
              <w:spacing w:before="36" w:line="360" w:lineRule="auto"/>
              <w:ind w:firstLine="472"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项目区含水层埋深在50m～150m，一开表层套管的下土深度</w:t>
            </w:r>
            <w:r>
              <w:rPr>
                <w:rFonts w:hint="default" w:ascii="Times New Roman" w:hAnsi="Times New Roman" w:cs="Times New Roman"/>
                <w:color w:val="auto"/>
                <w:spacing w:val="3"/>
                <w:sz w:val="24"/>
                <w:szCs w:val="24"/>
                <w:highlight w:val="none"/>
                <w:lang w:val="en-US" w:eastAsia="zh-CN"/>
              </w:rPr>
              <w:t>7</w:t>
            </w:r>
            <w:r>
              <w:rPr>
                <w:rFonts w:hint="default" w:ascii="Times New Roman" w:hAnsi="Times New Roman" w:eastAsia="宋体" w:cs="Times New Roman"/>
                <w:color w:val="auto"/>
                <w:spacing w:val="-2"/>
                <w:sz w:val="24"/>
                <w:szCs w:val="24"/>
                <w:highlight w:val="none"/>
              </w:rPr>
              <w:t>00m，超出本区域地下水含水层深度，有效隔断了油井与含水层之间的联系，可保护地下水环境不受污染。试油目的层与地下水处于不同层系，在施工过程中确保套管下入指定深度，有效避免试油作业对地下水环境的影响。钻井时严格落实套管下入深度合格和固井质量合格，对洗井时产生的废水进行严格管理</w:t>
            </w:r>
            <w:r>
              <w:rPr>
                <w:rFonts w:hint="eastAsia" w:ascii="Times New Roman" w:hAnsi="Times New Roman" w:cs="Times New Roman"/>
                <w:color w:val="auto"/>
                <w:spacing w:val="-2"/>
                <w:sz w:val="24"/>
                <w:szCs w:val="24"/>
                <w:highlight w:val="none"/>
                <w:lang w:eastAsia="zh-CN"/>
              </w:rPr>
              <w:t>；</w:t>
            </w:r>
            <w:r>
              <w:rPr>
                <w:rFonts w:hint="eastAsia" w:ascii="Times New Roman" w:hAnsi="Times New Roman" w:cs="Times New Roman"/>
                <w:color w:val="auto"/>
                <w:spacing w:val="-2"/>
                <w:sz w:val="24"/>
                <w:szCs w:val="24"/>
                <w:highlight w:val="none"/>
                <w:lang w:val="en-US" w:eastAsia="zh-CN"/>
              </w:rPr>
              <w:t>油品储存区采取重点防渗措施，</w:t>
            </w:r>
            <w:r>
              <w:rPr>
                <w:rFonts w:hint="default" w:ascii="Times New Roman" w:hAnsi="Times New Roman" w:eastAsia="宋体" w:cs="Times New Roman"/>
                <w:color w:val="auto"/>
                <w:spacing w:val="-2"/>
                <w:sz w:val="24"/>
                <w:szCs w:val="24"/>
                <w:highlight w:val="none"/>
              </w:rPr>
              <w:t>基本不会对所在区</w:t>
            </w:r>
            <w:r>
              <w:rPr>
                <w:rFonts w:hint="default" w:ascii="Times New Roman" w:hAnsi="Times New Roman" w:eastAsia="宋体" w:cs="Times New Roman"/>
                <w:color w:val="auto"/>
                <w:spacing w:val="-1"/>
                <w:sz w:val="24"/>
                <w:szCs w:val="24"/>
                <w:highlight w:val="none"/>
              </w:rPr>
              <w:t>域地下水产生影响。</w:t>
            </w:r>
          </w:p>
          <w:p w14:paraId="2D9C0085">
            <w:pPr>
              <w:pStyle w:val="16"/>
              <w:widowControl w:val="0"/>
              <w:spacing w:line="219" w:lineRule="auto"/>
              <w:ind w:left="487"/>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综上所述，项目的实施对所在区域的水环境质量影响不大。</w:t>
            </w:r>
          </w:p>
          <w:p w14:paraId="1E963691">
            <w:pPr>
              <w:pStyle w:val="16"/>
              <w:widowControl w:val="0"/>
              <w:spacing w:before="181" w:line="360" w:lineRule="auto"/>
              <w:ind w:left="1"/>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2"/>
                <w:sz w:val="24"/>
                <w:szCs w:val="24"/>
                <w:highlight w:val="none"/>
              </w:rPr>
              <w:t>4.</w:t>
            </w:r>
            <w:r>
              <w:rPr>
                <w:rFonts w:hint="default" w:ascii="Times New Roman" w:hAnsi="Times New Roman" w:cs="Times New Roman"/>
                <w:b/>
                <w:bCs/>
                <w:color w:val="auto"/>
                <w:spacing w:val="-2"/>
                <w:sz w:val="24"/>
                <w:szCs w:val="24"/>
                <w:highlight w:val="none"/>
                <w:lang w:val="en-US" w:eastAsia="zh-CN"/>
              </w:rPr>
              <w:t>5</w:t>
            </w:r>
            <w:r>
              <w:rPr>
                <w:rFonts w:hint="default" w:ascii="Times New Roman" w:hAnsi="Times New Roman" w:eastAsia="宋体" w:cs="Times New Roman"/>
                <w:b/>
                <w:bCs/>
                <w:color w:val="auto"/>
                <w:spacing w:val="-2"/>
                <w:sz w:val="24"/>
                <w:szCs w:val="24"/>
                <w:highlight w:val="none"/>
              </w:rPr>
              <w:t>事故状态下水环境影响分析</w:t>
            </w:r>
          </w:p>
          <w:p w14:paraId="760FF34A">
            <w:pPr>
              <w:pStyle w:val="16"/>
              <w:widowControl w:val="0"/>
              <w:spacing w:before="36" w:line="360" w:lineRule="auto"/>
              <w:ind w:left="5" w:firstLine="480" w:firstLineChars="200"/>
              <w:jc w:val="both"/>
              <w:rPr>
                <w:rFonts w:hint="default" w:ascii="Times New Roman" w:hAnsi="Times New Roman" w:eastAsia="宋体" w:cs="Times New Roman"/>
                <w:snapToGrid w:val="0"/>
                <w:color w:val="auto"/>
                <w:kern w:val="0"/>
                <w:sz w:val="24"/>
                <w:szCs w:val="24"/>
                <w:highlight w:val="none"/>
                <w:lang w:val="en-US" w:eastAsia="en-US" w:bidi="ar-SA"/>
              </w:rPr>
            </w:pPr>
            <w:r>
              <w:rPr>
                <w:rFonts w:hint="default" w:ascii="Times New Roman" w:hAnsi="Times New Roman" w:eastAsia="宋体" w:cs="Times New Roman"/>
                <w:snapToGrid w:val="0"/>
                <w:color w:val="auto"/>
                <w:kern w:val="0"/>
                <w:sz w:val="24"/>
                <w:szCs w:val="24"/>
                <w:highlight w:val="none"/>
                <w:lang w:val="en-US" w:eastAsia="en-US" w:bidi="ar-SA"/>
              </w:rPr>
              <w:t>（1）井漏事故的泥浆对地下水的影响</w:t>
            </w:r>
          </w:p>
          <w:p w14:paraId="5EDD6EF5">
            <w:pPr>
              <w:pStyle w:val="16"/>
              <w:widowControl w:val="0"/>
              <w:spacing w:before="36" w:line="360" w:lineRule="auto"/>
              <w:ind w:left="5" w:firstLine="480" w:firstLineChars="200"/>
              <w:jc w:val="both"/>
              <w:rPr>
                <w:rFonts w:hint="default" w:ascii="Times New Roman" w:hAnsi="Times New Roman" w:eastAsia="宋体" w:cs="Times New Roman"/>
                <w:snapToGrid w:val="0"/>
                <w:color w:val="auto"/>
                <w:kern w:val="0"/>
                <w:sz w:val="24"/>
                <w:szCs w:val="24"/>
                <w:highlight w:val="none"/>
                <w:lang w:val="en-US" w:eastAsia="en-US" w:bidi="ar-SA"/>
              </w:rPr>
            </w:pPr>
            <w:r>
              <w:rPr>
                <w:rFonts w:hint="default" w:ascii="Times New Roman" w:hAnsi="Times New Roman" w:eastAsia="宋体" w:cs="Times New Roman"/>
                <w:snapToGrid w:val="0"/>
                <w:color w:val="auto"/>
                <w:kern w:val="0"/>
                <w:sz w:val="24"/>
                <w:szCs w:val="24"/>
                <w:highlight w:val="none"/>
                <w:lang w:val="en-US" w:eastAsia="en-US" w:bidi="ar-SA"/>
              </w:rPr>
              <w:t>井漏事故对地下水的污染是钻井泥浆漏失于地下水含水层中，由于其含Ca、Na等离子，且pH、盐分较多，易造成地下含水层水质污染。</w:t>
            </w:r>
          </w:p>
          <w:p w14:paraId="6DEF1965">
            <w:pPr>
              <w:pStyle w:val="16"/>
              <w:widowControl w:val="0"/>
              <w:spacing w:before="36" w:line="360" w:lineRule="auto"/>
              <w:ind w:left="5" w:firstLine="480" w:firstLineChars="200"/>
              <w:jc w:val="both"/>
              <w:rPr>
                <w:rFonts w:hint="default" w:ascii="Times New Roman" w:hAnsi="Times New Roman" w:eastAsia="宋体" w:cs="Times New Roman"/>
                <w:snapToGrid w:val="0"/>
                <w:color w:val="auto"/>
                <w:kern w:val="0"/>
                <w:sz w:val="24"/>
                <w:szCs w:val="24"/>
                <w:highlight w:val="none"/>
                <w:lang w:val="en-US" w:eastAsia="en-US" w:bidi="ar-SA"/>
              </w:rPr>
            </w:pPr>
            <w:r>
              <w:rPr>
                <w:rFonts w:hint="default" w:ascii="Times New Roman" w:hAnsi="Times New Roman" w:eastAsia="宋体" w:cs="Times New Roman"/>
                <w:snapToGrid w:val="0"/>
                <w:color w:val="auto"/>
                <w:kern w:val="0"/>
                <w:sz w:val="24"/>
                <w:szCs w:val="24"/>
                <w:highlight w:val="none"/>
                <w:lang w:val="en-US" w:eastAsia="en-US" w:bidi="ar-SA"/>
              </w:rPr>
              <w:t>本项目采用下套管注水泥的方式进行固井，可对潜水和承压水所在的地层进行固封。在固井合格的前提下，可以有效隔离含水层与井内泥浆的交换，有效保护地下水层。</w:t>
            </w:r>
          </w:p>
          <w:p w14:paraId="6159CC1E">
            <w:pPr>
              <w:pStyle w:val="16"/>
              <w:widowControl w:val="0"/>
              <w:spacing w:before="36" w:line="360" w:lineRule="auto"/>
              <w:ind w:left="5" w:firstLine="480" w:firstLineChars="200"/>
              <w:jc w:val="both"/>
              <w:rPr>
                <w:rFonts w:hint="default" w:ascii="Times New Roman" w:hAnsi="Times New Roman" w:eastAsia="宋体" w:cs="Times New Roman"/>
                <w:snapToGrid w:val="0"/>
                <w:color w:val="auto"/>
                <w:kern w:val="0"/>
                <w:sz w:val="24"/>
                <w:szCs w:val="24"/>
                <w:highlight w:val="none"/>
                <w:lang w:val="en-US" w:eastAsia="en-US" w:bidi="ar-SA"/>
              </w:rPr>
            </w:pPr>
            <w:r>
              <w:rPr>
                <w:rFonts w:hint="default" w:ascii="Times New Roman" w:hAnsi="Times New Roman" w:eastAsia="宋体" w:cs="Times New Roman"/>
                <w:snapToGrid w:val="0"/>
                <w:color w:val="auto"/>
                <w:kern w:val="0"/>
                <w:sz w:val="24"/>
                <w:szCs w:val="24"/>
                <w:highlight w:val="none"/>
                <w:lang w:val="en-US" w:eastAsia="en-US" w:bidi="ar-SA"/>
              </w:rPr>
              <w:t>因此，推广使用清洁无害的泥浆，严格要求套管下入深度，可以有效控制钻井液在含水层中的漏失，减轻对地下水环境的影响。</w:t>
            </w:r>
          </w:p>
          <w:p w14:paraId="087E74F5">
            <w:pPr>
              <w:pStyle w:val="16"/>
              <w:widowControl w:val="0"/>
              <w:spacing w:before="36" w:line="360" w:lineRule="auto"/>
              <w:ind w:left="5" w:firstLine="480" w:firstLineChars="200"/>
              <w:jc w:val="both"/>
              <w:rPr>
                <w:rFonts w:hint="default" w:ascii="Times New Roman" w:hAnsi="Times New Roman" w:eastAsia="宋体" w:cs="Times New Roman"/>
                <w:snapToGrid w:val="0"/>
                <w:color w:val="auto"/>
                <w:kern w:val="0"/>
                <w:sz w:val="24"/>
                <w:szCs w:val="24"/>
                <w:highlight w:val="none"/>
                <w:lang w:val="en-US" w:eastAsia="en-US" w:bidi="ar-SA"/>
              </w:rPr>
            </w:pPr>
            <w:r>
              <w:rPr>
                <w:rFonts w:hint="default" w:ascii="Times New Roman" w:hAnsi="Times New Roman" w:eastAsia="宋体" w:cs="Times New Roman"/>
                <w:snapToGrid w:val="0"/>
                <w:color w:val="auto"/>
                <w:kern w:val="0"/>
                <w:sz w:val="24"/>
                <w:szCs w:val="24"/>
                <w:highlight w:val="none"/>
                <w:lang w:val="en-US" w:eastAsia="en-US" w:bidi="ar-SA"/>
              </w:rPr>
              <w:t>（2）油水窜层对地下水的污染影响</w:t>
            </w:r>
          </w:p>
          <w:p w14:paraId="406ACC39">
            <w:pPr>
              <w:pStyle w:val="16"/>
              <w:widowControl w:val="0"/>
              <w:spacing w:before="36" w:line="360" w:lineRule="auto"/>
              <w:ind w:left="5" w:firstLine="480" w:firstLineChars="200"/>
              <w:jc w:val="both"/>
              <w:rPr>
                <w:rFonts w:hint="default" w:ascii="Times New Roman" w:hAnsi="Times New Roman" w:eastAsia="宋体" w:cs="Times New Roman"/>
                <w:snapToGrid w:val="0"/>
                <w:color w:val="auto"/>
                <w:kern w:val="0"/>
                <w:sz w:val="24"/>
                <w:szCs w:val="24"/>
                <w:highlight w:val="none"/>
                <w:lang w:val="en-US" w:eastAsia="en-US" w:bidi="ar-SA"/>
              </w:rPr>
            </w:pPr>
            <w:r>
              <w:rPr>
                <w:rFonts w:hint="default" w:ascii="Times New Roman" w:hAnsi="Times New Roman" w:eastAsia="宋体" w:cs="Times New Roman"/>
                <w:snapToGrid w:val="0"/>
                <w:color w:val="auto"/>
                <w:kern w:val="0"/>
                <w:sz w:val="24"/>
                <w:szCs w:val="24"/>
                <w:highlight w:val="none"/>
                <w:lang w:val="en-US" w:eastAsia="en-US" w:bidi="ar-SA"/>
              </w:rPr>
              <w:t>钻井完井后试油过程中原油窜层污染的主要原因是：①下入的表层套管未封住含水层；②固井质量差；③工艺措施不合理或未实施。因此，为预防污染的发生和污染源的形成，表层套管必须严格封闭含水层，固井质量应符合环保要求。</w:t>
            </w:r>
          </w:p>
          <w:p w14:paraId="3ED86291">
            <w:pPr>
              <w:pStyle w:val="16"/>
              <w:widowControl w:val="0"/>
              <w:spacing w:before="36" w:line="360" w:lineRule="auto"/>
              <w:ind w:left="5" w:firstLine="480" w:firstLineChars="200"/>
              <w:jc w:val="both"/>
              <w:rPr>
                <w:rFonts w:hint="default" w:ascii="Times New Roman" w:hAnsi="Times New Roman" w:eastAsia="宋体" w:cs="Times New Roman"/>
                <w:snapToGrid w:val="0"/>
                <w:color w:val="auto"/>
                <w:kern w:val="0"/>
                <w:sz w:val="24"/>
                <w:szCs w:val="24"/>
                <w:highlight w:val="none"/>
                <w:lang w:val="en-US" w:eastAsia="en-US" w:bidi="ar-SA"/>
              </w:rPr>
            </w:pPr>
            <w:r>
              <w:rPr>
                <w:rFonts w:hint="default" w:ascii="Times New Roman" w:hAnsi="Times New Roman" w:eastAsia="宋体" w:cs="Times New Roman"/>
                <w:snapToGrid w:val="0"/>
                <w:color w:val="auto"/>
                <w:kern w:val="0"/>
                <w:sz w:val="24"/>
                <w:szCs w:val="24"/>
                <w:highlight w:val="none"/>
                <w:lang w:val="en-US" w:eastAsia="en-US" w:bidi="ar-SA"/>
              </w:rPr>
              <w:t>（3）井喷事故对地下水的污染影响</w:t>
            </w:r>
          </w:p>
          <w:p w14:paraId="63FBAAFE">
            <w:pPr>
              <w:pStyle w:val="16"/>
              <w:widowControl w:val="0"/>
              <w:spacing w:before="36" w:line="360" w:lineRule="auto"/>
              <w:ind w:left="5" w:firstLine="480" w:firstLineChars="200"/>
              <w:jc w:val="both"/>
              <w:rPr>
                <w:rFonts w:hint="default" w:ascii="Times New Roman" w:hAnsi="Times New Roman" w:eastAsia="宋体" w:cs="Times New Roman"/>
                <w:snapToGrid w:val="0"/>
                <w:color w:val="auto"/>
                <w:kern w:val="0"/>
                <w:sz w:val="24"/>
                <w:szCs w:val="24"/>
                <w:highlight w:val="none"/>
                <w:lang w:val="en-US" w:eastAsia="en-US" w:bidi="ar-SA"/>
              </w:rPr>
            </w:pPr>
            <w:r>
              <w:rPr>
                <w:rFonts w:hint="default" w:ascii="Times New Roman" w:hAnsi="Times New Roman" w:eastAsia="宋体" w:cs="Times New Roman"/>
                <w:snapToGrid w:val="0"/>
                <w:color w:val="auto"/>
                <w:kern w:val="0"/>
                <w:sz w:val="24"/>
                <w:szCs w:val="24"/>
                <w:highlight w:val="none"/>
                <w:lang w:val="en-US" w:eastAsia="en-US" w:bidi="ar-SA"/>
              </w:rPr>
              <w:t>井喷事故一旦发生，大量的油气喷出井口，散落于井场周围，除造成重大经济损失外，还会造成严重的环境污染。根据测算，井喷发生后，一般需要1-2d才能得以控制。据类比资料显示，井喷污染范围在半径300m左右时，井喷持续时间2d，井喷范围内土壤表层可见有蜡状的原油喷散物，井喷的影响范围及影响程度较大。但从事故井区土壤剖面分析，井喷事故后石油类污染物主要聚集在土壤剖面1m以内，石油类污染物很难下渗到2m以下，井喷事故对环境的影响主要表现为对其周围土壤的影响，对地下水体有一定的影响，若及时采取有效措施治理污染，井喷对地下水的影响极小。</w:t>
            </w:r>
          </w:p>
          <w:p w14:paraId="5F3F40A6">
            <w:pPr>
              <w:pStyle w:val="16"/>
              <w:widowControl w:val="0"/>
              <w:spacing w:before="36" w:line="360" w:lineRule="auto"/>
              <w:jc w:val="both"/>
              <w:rPr>
                <w:rFonts w:hint="default" w:ascii="Times New Roman" w:hAnsi="Times New Roman" w:eastAsia="宋体" w:cs="Times New Roman"/>
                <w:b/>
                <w:bCs/>
                <w:color w:val="auto"/>
                <w:spacing w:val="-2"/>
                <w:sz w:val="24"/>
                <w:szCs w:val="24"/>
                <w:highlight w:val="none"/>
              </w:rPr>
            </w:pPr>
            <w:r>
              <w:rPr>
                <w:rFonts w:hint="default" w:ascii="Times New Roman" w:hAnsi="Times New Roman" w:eastAsia="宋体" w:cs="Times New Roman"/>
                <w:b/>
                <w:bCs/>
                <w:color w:val="auto"/>
                <w:spacing w:val="-2"/>
                <w:sz w:val="24"/>
                <w:szCs w:val="24"/>
                <w:highlight w:val="none"/>
              </w:rPr>
              <w:t>4.</w:t>
            </w:r>
            <w:r>
              <w:rPr>
                <w:rFonts w:hint="default" w:ascii="Times New Roman" w:hAnsi="Times New Roman" w:cs="Times New Roman"/>
                <w:b/>
                <w:bCs/>
                <w:color w:val="auto"/>
                <w:spacing w:val="-2"/>
                <w:sz w:val="24"/>
                <w:szCs w:val="24"/>
                <w:highlight w:val="none"/>
                <w:lang w:val="en-US" w:eastAsia="zh-CN"/>
              </w:rPr>
              <w:t>6</w:t>
            </w:r>
            <w:r>
              <w:rPr>
                <w:rFonts w:hint="default" w:ascii="Times New Roman" w:hAnsi="Times New Roman" w:eastAsia="宋体" w:cs="Times New Roman"/>
                <w:b/>
                <w:bCs/>
                <w:color w:val="auto"/>
                <w:spacing w:val="-2"/>
                <w:sz w:val="24"/>
                <w:szCs w:val="24"/>
                <w:highlight w:val="none"/>
              </w:rPr>
              <w:t>地下水环境影响评价结论</w:t>
            </w:r>
          </w:p>
          <w:p w14:paraId="1A221537">
            <w:pPr>
              <w:pStyle w:val="16"/>
              <w:widowControl w:val="0"/>
              <w:spacing w:before="3" w:line="359" w:lineRule="auto"/>
              <w:ind w:left="2" w:right="4" w:firstLine="481"/>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本项目严格按照《环境影响评价技术导则</w:t>
            </w:r>
            <w:r>
              <w:rPr>
                <w:rFonts w:hint="default" w:ascii="Times New Roman" w:hAnsi="Times New Roman" w:cs="Times New Roman"/>
                <w:color w:val="auto"/>
                <w:spacing w:val="-2"/>
                <w:sz w:val="24"/>
                <w:szCs w:val="24"/>
                <w:highlight w:val="none"/>
                <w:lang w:val="en-US" w:eastAsia="zh-CN"/>
              </w:rPr>
              <w:t xml:space="preserve"> </w:t>
            </w:r>
            <w:r>
              <w:rPr>
                <w:rFonts w:hint="default" w:ascii="Times New Roman" w:hAnsi="Times New Roman" w:eastAsia="宋体" w:cs="Times New Roman"/>
                <w:color w:val="auto"/>
                <w:spacing w:val="-2"/>
                <w:sz w:val="24"/>
                <w:szCs w:val="24"/>
                <w:highlight w:val="none"/>
              </w:rPr>
              <w:t>地下水环境》(HJ610</w:t>
            </w:r>
            <w:r>
              <w:rPr>
                <w:rFonts w:hint="default" w:ascii="Times New Roman" w:hAnsi="Times New Roman" w:eastAsia="宋体" w:cs="Times New Roman"/>
                <w:color w:val="auto"/>
                <w:spacing w:val="-3"/>
                <w:sz w:val="24"/>
                <w:szCs w:val="24"/>
                <w:highlight w:val="none"/>
              </w:rPr>
              <w:t>-2016)的要求</w:t>
            </w:r>
            <w:r>
              <w:rPr>
                <w:rFonts w:hint="default" w:ascii="Times New Roman" w:hAnsi="Times New Roman" w:eastAsia="宋体" w:cs="Times New Roman"/>
                <w:color w:val="auto"/>
                <w:spacing w:val="-2"/>
                <w:sz w:val="24"/>
                <w:szCs w:val="24"/>
                <w:highlight w:val="none"/>
              </w:rPr>
              <w:t>采取源头控制和分区防控措施。正常状况下在采取源头控制、分区防控措施后，结合地下水污染监控及应急措施，场界内石油类能满足相应标准要求；当发生泄漏事故后，在采取及时堵漏等风险应急措施的情况下，泄漏的原油虽然可能会对潜水含水层产生一定的影响，但</w:t>
            </w:r>
            <w:r>
              <w:rPr>
                <w:rFonts w:hint="default" w:ascii="Times New Roman" w:hAnsi="Times New Roman" w:eastAsia="宋体" w:cs="Times New Roman"/>
                <w:color w:val="auto"/>
                <w:sz w:val="24"/>
                <w:szCs w:val="24"/>
                <w:highlight w:val="none"/>
              </w:rPr>
              <w:t>受承压水隔水顶板的保护作用，基本不会对承</w:t>
            </w:r>
            <w:r>
              <w:rPr>
                <w:rFonts w:hint="default" w:ascii="Times New Roman" w:hAnsi="Times New Roman" w:eastAsia="宋体" w:cs="Times New Roman"/>
                <w:color w:val="auto"/>
                <w:spacing w:val="-1"/>
                <w:sz w:val="24"/>
                <w:szCs w:val="24"/>
                <w:highlight w:val="none"/>
              </w:rPr>
              <w:t>压水含水层产生影响。</w:t>
            </w:r>
          </w:p>
          <w:p w14:paraId="2AB8DE17">
            <w:pPr>
              <w:keepNext w:val="0"/>
              <w:keepLines w:val="0"/>
              <w:widowControl/>
              <w:suppressLineNumbers w:val="0"/>
              <w:spacing w:line="360" w:lineRule="auto"/>
              <w:jc w:val="left"/>
              <w:rPr>
                <w:rFonts w:hint="default" w:ascii="Times New Roman" w:hAnsi="Times New Roman" w:eastAsia="宋体" w:cs="Times New Roman"/>
                <w:b/>
                <w:bCs/>
                <w:snapToGrid w:val="0"/>
                <w:color w:val="auto"/>
                <w:spacing w:val="-2"/>
                <w:kern w:val="0"/>
                <w:sz w:val="24"/>
                <w:szCs w:val="24"/>
                <w:highlight w:val="none"/>
                <w:lang w:val="en-US" w:eastAsia="en-US" w:bidi="ar-SA"/>
              </w:rPr>
            </w:pPr>
            <w:r>
              <w:rPr>
                <w:rFonts w:hint="default" w:ascii="Times New Roman" w:hAnsi="Times New Roman" w:eastAsia="宋体" w:cs="Times New Roman"/>
                <w:b/>
                <w:bCs/>
                <w:snapToGrid w:val="0"/>
                <w:color w:val="auto"/>
                <w:spacing w:val="-2"/>
                <w:kern w:val="0"/>
                <w:sz w:val="24"/>
                <w:szCs w:val="24"/>
                <w:highlight w:val="none"/>
                <w:lang w:val="en-US" w:eastAsia="zh-CN" w:bidi="ar-SA"/>
              </w:rPr>
              <w:t>5.施工期声环境影响分析</w:t>
            </w:r>
          </w:p>
          <w:p w14:paraId="7436C9F4">
            <w:pPr>
              <w:pStyle w:val="6"/>
              <w:widowControl w:val="0"/>
              <w:spacing w:line="360" w:lineRule="auto"/>
              <w:ind w:firstLine="480"/>
              <w:jc w:val="both"/>
              <w:rPr>
                <w:rFonts w:hint="default" w:ascii="Times New Roman" w:hAnsi="Times New Roman" w:eastAsia="宋体" w:cs="Times New Roman"/>
                <w:snapToGrid w:val="0"/>
                <w:color w:val="auto"/>
                <w:spacing w:val="-2"/>
                <w:kern w:val="0"/>
                <w:sz w:val="24"/>
                <w:szCs w:val="24"/>
                <w:lang w:val="en-US" w:eastAsia="en-US" w:bidi="ar-SA"/>
              </w:rPr>
            </w:pPr>
            <w:r>
              <w:rPr>
                <w:rFonts w:hint="default" w:ascii="Times New Roman" w:hAnsi="Times New Roman" w:eastAsia="宋体" w:cs="Times New Roman"/>
                <w:snapToGrid w:val="0"/>
                <w:color w:val="auto"/>
                <w:spacing w:val="-2"/>
                <w:kern w:val="0"/>
                <w:sz w:val="24"/>
                <w:szCs w:val="24"/>
                <w:lang w:val="en-US" w:eastAsia="en-US" w:bidi="ar-SA"/>
              </w:rPr>
              <w:t>施工期噪声来源于井场、生活营地建设等钻前作业、钻井作业及试油作业等施工活动。噪声源主要包括柴油发电机、柴油机、钻井液循环泵、离心机等以及各类施工机械，如挖土机、推土机、轮式装载车等，贯穿于整个施工过程，待施工结束后噪声影响消失</w:t>
            </w:r>
            <w:r>
              <w:rPr>
                <w:rFonts w:hint="default" w:ascii="Times New Roman" w:hAnsi="Times New Roman" w:eastAsia="宋体" w:cs="Times New Roman"/>
                <w:snapToGrid w:val="0"/>
                <w:color w:val="auto"/>
                <w:spacing w:val="-2"/>
                <w:kern w:val="0"/>
                <w:sz w:val="24"/>
                <w:szCs w:val="24"/>
                <w:lang w:val="en-US" w:eastAsia="zh-CN" w:bidi="ar-SA"/>
              </w:rPr>
              <w:t>。</w:t>
            </w:r>
            <w:r>
              <w:rPr>
                <w:rFonts w:hint="default" w:ascii="Times New Roman" w:hAnsi="Times New Roman" w:eastAsia="宋体" w:cs="Times New Roman"/>
                <w:snapToGrid w:val="0"/>
                <w:color w:val="auto"/>
                <w:spacing w:val="-2"/>
                <w:kern w:val="0"/>
                <w:sz w:val="24"/>
                <w:szCs w:val="24"/>
                <w:lang w:val="en-US" w:eastAsia="en-US" w:bidi="ar-SA"/>
              </w:rPr>
              <w:t>根据现场调查，井场周边50m范围内无声环境敏感目标，不会对周围声环境产生明显影响。本环评要求建设单位选用低噪声设备，</w:t>
            </w:r>
            <w:r>
              <w:rPr>
                <w:rFonts w:hint="default" w:ascii="Times New Roman" w:hAnsi="Times New Roman" w:eastAsia="宋体" w:cs="Times New Roman"/>
                <w:b w:val="0"/>
                <w:bCs w:val="0"/>
                <w:color w:val="auto"/>
                <w:sz w:val="24"/>
                <w:szCs w:val="24"/>
              </w:rPr>
              <w:t>对高噪声设备采取隔声措施，</w:t>
            </w:r>
            <w:r>
              <w:rPr>
                <w:rFonts w:hint="default" w:ascii="Times New Roman" w:hAnsi="Times New Roman" w:eastAsia="宋体" w:cs="Times New Roman"/>
                <w:snapToGrid w:val="0"/>
                <w:color w:val="auto"/>
                <w:spacing w:val="-2"/>
                <w:kern w:val="0"/>
                <w:sz w:val="24"/>
                <w:szCs w:val="24"/>
                <w:lang w:val="en-US" w:eastAsia="en-US" w:bidi="ar-SA"/>
              </w:rPr>
              <w:t>加强设备维护和保养，</w:t>
            </w:r>
            <w:r>
              <w:rPr>
                <w:rFonts w:hint="default" w:ascii="Times New Roman" w:hAnsi="Times New Roman" w:eastAsia="宋体" w:cs="Times New Roman"/>
                <w:b w:val="0"/>
                <w:bCs w:val="0"/>
                <w:color w:val="auto"/>
                <w:sz w:val="24"/>
                <w:szCs w:val="24"/>
              </w:rPr>
              <w:t>保证机械设备的正常运转，以降低设备正常运转的噪声。</w:t>
            </w:r>
            <w:r>
              <w:rPr>
                <w:rFonts w:hint="default" w:ascii="Times New Roman" w:hAnsi="Times New Roman" w:eastAsia="宋体" w:cs="Times New Roman"/>
                <w:snapToGrid w:val="0"/>
                <w:color w:val="auto"/>
                <w:spacing w:val="-2"/>
                <w:kern w:val="0"/>
                <w:sz w:val="24"/>
                <w:szCs w:val="24"/>
                <w:lang w:val="en-US" w:eastAsia="en-US" w:bidi="ar-SA"/>
              </w:rPr>
              <w:t>在设施底部进行基础减振处理。加强施工场地管理，合理疏导进入施工区的车辆，符合《建筑施工场界环境噪声排放标准》（GB12523-2011）要求。</w:t>
            </w:r>
            <w:r>
              <w:rPr>
                <w:rFonts w:hint="default" w:ascii="Times New Roman" w:hAnsi="Times New Roman" w:eastAsia="宋体" w:cs="Times New Roman"/>
                <w:b w:val="0"/>
                <w:bCs w:val="0"/>
                <w:color w:val="auto"/>
                <w:sz w:val="24"/>
                <w:szCs w:val="24"/>
              </w:rPr>
              <w:t>进一步落实以上措施后，施工期噪声对周边环境及施工人员的影响将进一步减少，施工期产生噪声对周边环境影响不大。</w:t>
            </w:r>
          </w:p>
          <w:p w14:paraId="6CEB1D91">
            <w:pPr>
              <w:pStyle w:val="16"/>
              <w:widowControl w:val="0"/>
              <w:spacing w:before="3" w:line="359" w:lineRule="auto"/>
              <w:ind w:right="4"/>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施工期固体废物影响分析</w:t>
            </w:r>
          </w:p>
          <w:p w14:paraId="32B81DAC">
            <w:pPr>
              <w:pStyle w:val="16"/>
              <w:widowControl w:val="0"/>
              <w:spacing w:before="3" w:line="359" w:lineRule="auto"/>
              <w:ind w:left="2" w:right="4" w:firstLine="481"/>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固体废物主要为钻井泥浆、钻井岩屑、落地油、机械设备废油和废润滑油桶以及废防渗材料、生活垃圾。</w:t>
            </w:r>
          </w:p>
          <w:p w14:paraId="0020A287">
            <w:pPr>
              <w:pStyle w:val="16"/>
              <w:widowControl w:val="0"/>
              <w:spacing w:line="219" w:lineRule="auto"/>
              <w:ind w:left="2"/>
              <w:rPr>
                <w:rFonts w:hint="default" w:ascii="Times New Roman" w:hAnsi="Times New Roman" w:cs="Times New Roman"/>
                <w:color w:val="auto"/>
                <w:sz w:val="24"/>
                <w:szCs w:val="24"/>
                <w:highlight w:val="none"/>
              </w:rPr>
            </w:pPr>
            <w:r>
              <w:rPr>
                <w:rFonts w:hint="default" w:ascii="Times New Roman" w:hAnsi="Times New Roman" w:eastAsia="Times New Roman" w:cs="Times New Roman"/>
                <w:b/>
                <w:bCs/>
                <w:color w:val="auto"/>
                <w:spacing w:val="-3"/>
                <w:sz w:val="24"/>
                <w:szCs w:val="24"/>
                <w:highlight w:val="none"/>
              </w:rPr>
              <w:t>6.1</w:t>
            </w:r>
            <w:r>
              <w:rPr>
                <w:rFonts w:hint="default" w:ascii="Times New Roman" w:hAnsi="Times New Roman" w:cs="Times New Roman"/>
                <w:b/>
                <w:bCs/>
                <w:color w:val="auto"/>
                <w:spacing w:val="-3"/>
                <w:sz w:val="24"/>
                <w:szCs w:val="24"/>
                <w:highlight w:val="none"/>
              </w:rPr>
              <w:t>钻井泥浆</w:t>
            </w:r>
          </w:p>
          <w:p w14:paraId="42DB0E1C">
            <w:pPr>
              <w:pStyle w:val="16"/>
              <w:widowControl w:val="0"/>
              <w:spacing w:before="180" w:line="340" w:lineRule="auto"/>
              <w:ind w:left="14" w:right="4" w:firstLine="467"/>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2"/>
                <w:sz w:val="24"/>
                <w:szCs w:val="24"/>
                <w:highlight w:val="none"/>
              </w:rPr>
              <w:t>钻井泥浆的排放量依井的深度而增加，其排放量计算采用《油田开发环境影响评价文集》中的经验公式：</w:t>
            </w:r>
          </w:p>
          <w:p w14:paraId="612B9063">
            <w:pPr>
              <w:widowControl w:val="0"/>
              <w:spacing w:line="585" w:lineRule="exact"/>
              <w:ind w:left="2612"/>
              <w:rPr>
                <w:rFonts w:hint="default" w:ascii="Times New Roman" w:hAnsi="Times New Roman" w:cs="Times New Roman"/>
                <w:color w:val="auto"/>
                <w:highlight w:val="none"/>
              </w:rPr>
            </w:pPr>
            <w:r>
              <w:rPr>
                <w:rFonts w:hint="default" w:ascii="Times New Roman" w:hAnsi="Times New Roman" w:cs="Times New Roman"/>
                <w:color w:val="auto"/>
                <w:position w:val="-12"/>
                <w:highlight w:val="none"/>
              </w:rPr>
              <w:drawing>
                <wp:inline distT="0" distB="0" distL="0" distR="0">
                  <wp:extent cx="1968500" cy="370840"/>
                  <wp:effectExtent l="0" t="0" r="12700" b="10795"/>
                  <wp:docPr id="35" name="IM 34"/>
                  <wp:cNvGraphicFramePr/>
                  <a:graphic xmlns:a="http://schemas.openxmlformats.org/drawingml/2006/main">
                    <a:graphicData uri="http://schemas.openxmlformats.org/drawingml/2006/picture">
                      <pic:pic xmlns:pic="http://schemas.openxmlformats.org/drawingml/2006/picture">
                        <pic:nvPicPr>
                          <pic:cNvPr id="35" name="IM 34"/>
                          <pic:cNvPicPr/>
                        </pic:nvPicPr>
                        <pic:blipFill>
                          <a:blip r:embed="rId22"/>
                          <a:stretch>
                            <a:fillRect/>
                          </a:stretch>
                        </pic:blipFill>
                        <pic:spPr>
                          <a:xfrm>
                            <a:off x="0" y="0"/>
                            <a:ext cx="1968791" cy="371078"/>
                          </a:xfrm>
                          <a:prstGeom prst="rect">
                            <a:avLst/>
                          </a:prstGeom>
                        </pic:spPr>
                      </pic:pic>
                    </a:graphicData>
                  </a:graphic>
                </wp:inline>
              </w:drawing>
            </w:r>
          </w:p>
          <w:p w14:paraId="494C46B1">
            <w:pPr>
              <w:pStyle w:val="16"/>
              <w:widowControl w:val="0"/>
              <w:spacing w:before="199" w:line="360" w:lineRule="auto"/>
              <w:ind w:firstLine="512" w:firstLineChars="200"/>
              <w:rPr>
                <w:rFonts w:hint="default" w:ascii="Times New Roman" w:hAnsi="Times New Roman" w:cs="Times New Roman"/>
                <w:color w:val="auto"/>
                <w:spacing w:val="8"/>
                <w:sz w:val="24"/>
                <w:szCs w:val="24"/>
                <w:highlight w:val="none"/>
              </w:rPr>
            </w:pPr>
            <w:r>
              <w:rPr>
                <w:rFonts w:hint="eastAsia" w:ascii="Times New Roman" w:hAnsi="Times New Roman" w:cs="Times New Roman"/>
                <w:color w:val="auto"/>
                <w:spacing w:val="8"/>
                <w:sz w:val="24"/>
                <w:szCs w:val="24"/>
                <w:highlight w:val="none"/>
                <w:lang w:val="en-US" w:eastAsia="zh-CN"/>
              </w:rPr>
              <w:t>上述公</w:t>
            </w:r>
            <w:r>
              <w:rPr>
                <w:rFonts w:hint="default" w:ascii="Times New Roman" w:hAnsi="Times New Roman" w:cs="Times New Roman"/>
                <w:color w:val="auto"/>
                <w:spacing w:val="8"/>
                <w:sz w:val="24"/>
                <w:szCs w:val="24"/>
                <w:highlight w:val="none"/>
              </w:rPr>
              <w:t>式中：</w:t>
            </w:r>
          </w:p>
          <w:p w14:paraId="3DBB221E">
            <w:pPr>
              <w:pStyle w:val="16"/>
              <w:keepNext w:val="0"/>
              <w:keepLines w:val="0"/>
              <w:pageBreakBefore w:val="0"/>
              <w:widowControl w:val="0"/>
              <w:kinsoku w:val="0"/>
              <w:wordWrap/>
              <w:overflowPunct/>
              <w:topLinePunct w:val="0"/>
              <w:autoSpaceDE w:val="0"/>
              <w:autoSpaceDN w:val="0"/>
              <w:bidi w:val="0"/>
              <w:adjustRightInd w:val="0"/>
              <w:snapToGrid w:val="0"/>
              <w:spacing w:line="360" w:lineRule="auto"/>
              <w:ind w:firstLine="1280" w:firstLineChars="500"/>
              <w:textAlignment w:val="baseline"/>
              <w:rPr>
                <w:rFonts w:hint="default" w:ascii="Times New Roman" w:hAnsi="Times New Roman" w:cs="Times New Roman"/>
                <w:color w:val="auto"/>
                <w:sz w:val="24"/>
                <w:szCs w:val="24"/>
                <w:highlight w:val="none"/>
              </w:rPr>
            </w:pPr>
            <w:r>
              <w:rPr>
                <w:rFonts w:hint="default" w:ascii="Times New Roman" w:hAnsi="Times New Roman" w:eastAsia="Times New Roman" w:cs="Times New Roman"/>
                <w:color w:val="auto"/>
                <w:spacing w:val="8"/>
                <w:sz w:val="24"/>
                <w:szCs w:val="24"/>
                <w:highlight w:val="none"/>
              </w:rPr>
              <w:t>V——</w:t>
            </w:r>
            <w:r>
              <w:rPr>
                <w:rFonts w:hint="default" w:ascii="Times New Roman" w:hAnsi="Times New Roman" w:cs="Times New Roman"/>
                <w:color w:val="auto"/>
                <w:spacing w:val="8"/>
                <w:sz w:val="24"/>
                <w:szCs w:val="24"/>
                <w:highlight w:val="none"/>
              </w:rPr>
              <w:t>排到地面上的泥浆量（</w:t>
            </w:r>
            <w:r>
              <w:rPr>
                <w:rFonts w:hint="default" w:ascii="Times New Roman" w:hAnsi="Times New Roman" w:eastAsia="Times New Roman" w:cs="Times New Roman"/>
                <w:color w:val="auto"/>
                <w:spacing w:val="8"/>
                <w:sz w:val="24"/>
                <w:szCs w:val="24"/>
                <w:highlight w:val="none"/>
              </w:rPr>
              <w:t>m</w:t>
            </w:r>
            <w:r>
              <w:rPr>
                <w:rFonts w:hint="default" w:ascii="Times New Roman" w:hAnsi="Times New Roman" w:eastAsia="宋体" w:cs="Times New Roman"/>
                <w:color w:val="auto"/>
                <w:spacing w:val="8"/>
                <w:sz w:val="24"/>
                <w:szCs w:val="24"/>
                <w:highlight w:val="none"/>
                <w:vertAlign w:val="superscript"/>
                <w:lang w:val="en-US" w:eastAsia="zh-CN"/>
              </w:rPr>
              <w:t>3</w:t>
            </w:r>
            <w:r>
              <w:rPr>
                <w:rFonts w:hint="default" w:ascii="Times New Roman" w:hAnsi="Times New Roman" w:cs="Times New Roman"/>
                <w:color w:val="auto"/>
                <w:spacing w:val="-14"/>
                <w:sz w:val="24"/>
                <w:szCs w:val="24"/>
                <w:highlight w:val="none"/>
              </w:rPr>
              <w:t>）；</w:t>
            </w:r>
          </w:p>
          <w:p w14:paraId="6A4B1875">
            <w:pPr>
              <w:pStyle w:val="16"/>
              <w:widowControl w:val="0"/>
              <w:spacing w:before="3" w:line="360" w:lineRule="auto"/>
              <w:ind w:right="4" w:firstLine="1290" w:firstLineChars="500"/>
              <w:jc w:val="both"/>
              <w:rPr>
                <w:rFonts w:hint="default" w:ascii="Times New Roman" w:hAnsi="Times New Roman" w:cs="Times New Roman"/>
                <w:color w:val="auto"/>
                <w:spacing w:val="-14"/>
                <w:sz w:val="24"/>
                <w:szCs w:val="24"/>
                <w:highlight w:val="none"/>
              </w:rPr>
            </w:pPr>
            <w:r>
              <w:rPr>
                <w:rFonts w:hint="default" w:ascii="Times New Roman" w:hAnsi="Times New Roman" w:eastAsia="Times New Roman" w:cs="Times New Roman"/>
                <w:color w:val="auto"/>
                <w:spacing w:val="9"/>
                <w:sz w:val="24"/>
                <w:szCs w:val="24"/>
                <w:highlight w:val="none"/>
              </w:rPr>
              <w:t>D——</w:t>
            </w:r>
            <w:r>
              <w:rPr>
                <w:rFonts w:hint="default" w:ascii="Times New Roman" w:hAnsi="Times New Roman" w:cs="Times New Roman"/>
                <w:color w:val="auto"/>
                <w:spacing w:val="9"/>
                <w:sz w:val="24"/>
                <w:szCs w:val="24"/>
                <w:highlight w:val="none"/>
              </w:rPr>
              <w:t>井眼的直径（</w:t>
            </w:r>
            <w:r>
              <w:rPr>
                <w:rFonts w:hint="default" w:ascii="Times New Roman" w:hAnsi="Times New Roman" w:eastAsia="Times New Roman" w:cs="Times New Roman"/>
                <w:color w:val="auto"/>
                <w:spacing w:val="9"/>
                <w:sz w:val="24"/>
                <w:szCs w:val="24"/>
                <w:highlight w:val="none"/>
              </w:rPr>
              <w:t>m</w:t>
            </w:r>
            <w:r>
              <w:rPr>
                <w:rFonts w:hint="default" w:ascii="Times New Roman" w:hAnsi="Times New Roman" w:cs="Times New Roman"/>
                <w:color w:val="auto"/>
                <w:spacing w:val="-14"/>
                <w:sz w:val="24"/>
                <w:szCs w:val="24"/>
                <w:highlight w:val="none"/>
              </w:rPr>
              <w:t>）；</w:t>
            </w:r>
          </w:p>
          <w:p w14:paraId="17417049">
            <w:pPr>
              <w:pStyle w:val="16"/>
              <w:widowControl w:val="0"/>
              <w:spacing w:before="32" w:line="360" w:lineRule="auto"/>
              <w:ind w:firstLine="1280" w:firstLineChars="500"/>
              <w:rPr>
                <w:rFonts w:hint="default" w:ascii="Times New Roman" w:hAnsi="Times New Roman" w:cs="Times New Roman"/>
                <w:color w:val="auto"/>
                <w:sz w:val="24"/>
                <w:szCs w:val="24"/>
                <w:highlight w:val="none"/>
              </w:rPr>
            </w:pPr>
            <w:r>
              <w:rPr>
                <w:rFonts w:hint="default" w:ascii="Times New Roman" w:hAnsi="Times New Roman" w:eastAsia="Times New Roman" w:cs="Times New Roman"/>
                <w:color w:val="auto"/>
                <w:spacing w:val="8"/>
                <w:sz w:val="24"/>
                <w:szCs w:val="24"/>
                <w:highlight w:val="none"/>
              </w:rPr>
              <w:t>h——</w:t>
            </w:r>
            <w:r>
              <w:rPr>
                <w:rFonts w:hint="default" w:ascii="Times New Roman" w:hAnsi="Times New Roman" w:cs="Times New Roman"/>
                <w:color w:val="auto"/>
                <w:spacing w:val="8"/>
                <w:sz w:val="24"/>
                <w:szCs w:val="24"/>
                <w:highlight w:val="none"/>
              </w:rPr>
              <w:t>井深（</w:t>
            </w:r>
            <w:r>
              <w:rPr>
                <w:rFonts w:hint="default" w:ascii="Times New Roman" w:hAnsi="Times New Roman" w:eastAsia="Times New Roman" w:cs="Times New Roman"/>
                <w:color w:val="auto"/>
                <w:spacing w:val="8"/>
                <w:sz w:val="24"/>
                <w:szCs w:val="24"/>
                <w:highlight w:val="none"/>
              </w:rPr>
              <w:t>m</w:t>
            </w:r>
            <w:r>
              <w:rPr>
                <w:rFonts w:hint="default" w:ascii="Times New Roman" w:hAnsi="Times New Roman" w:cs="Times New Roman"/>
                <w:color w:val="auto"/>
                <w:spacing w:val="-12"/>
                <w:sz w:val="24"/>
                <w:szCs w:val="24"/>
                <w:highlight w:val="none"/>
              </w:rPr>
              <w:t>）；</w:t>
            </w:r>
          </w:p>
          <w:p w14:paraId="4441B16D">
            <w:pPr>
              <w:pStyle w:val="4"/>
              <w:widowControl w:val="0"/>
              <w:spacing w:line="360" w:lineRule="auto"/>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val="en-US" w:eastAsia="zh-CN"/>
              </w:rPr>
              <w:t>泥浆</w:t>
            </w:r>
            <w:r>
              <w:rPr>
                <w:rFonts w:hint="default" w:ascii="Times New Roman" w:hAnsi="Times New Roman" w:eastAsia="宋体" w:cs="Times New Roman"/>
                <w:color w:val="auto"/>
                <w:spacing w:val="-2"/>
                <w:sz w:val="24"/>
                <w:szCs w:val="24"/>
                <w:highlight w:val="none"/>
              </w:rPr>
              <w:t>产生量详见下表</w:t>
            </w:r>
            <w:r>
              <w:rPr>
                <w:rFonts w:hint="default" w:ascii="Times New Roman" w:hAnsi="Times New Roman" w:eastAsia="宋体" w:cs="Times New Roman"/>
                <w:color w:val="auto"/>
                <w:spacing w:val="-2"/>
                <w:sz w:val="24"/>
                <w:szCs w:val="24"/>
                <w:highlight w:val="none"/>
                <w:lang w:val="en-US" w:eastAsia="zh-CN"/>
              </w:rPr>
              <w:t>4-1</w:t>
            </w:r>
            <w:r>
              <w:rPr>
                <w:rFonts w:hint="default" w:ascii="Times New Roman" w:hAnsi="Times New Roman" w:eastAsia="宋体" w:cs="Times New Roman"/>
                <w:color w:val="auto"/>
                <w:spacing w:val="-2"/>
                <w:sz w:val="24"/>
                <w:szCs w:val="24"/>
                <w:highlight w:val="none"/>
                <w:lang w:eastAsia="zh-CN"/>
              </w:rPr>
              <w:t>。</w:t>
            </w:r>
          </w:p>
          <w:p w14:paraId="3189A389">
            <w:pPr>
              <w:pStyle w:val="4"/>
              <w:widowControl w:val="0"/>
              <w:spacing w:line="240" w:lineRule="auto"/>
              <w:ind w:left="0" w:leftChars="0" w:firstLine="0" w:firstLineChars="0"/>
              <w:jc w:val="center"/>
              <w:rPr>
                <w:rFonts w:hint="default" w:ascii="Times New Roman" w:hAnsi="Times New Roman" w:eastAsia="宋体" w:cs="Times New Roman"/>
                <w:b/>
                <w:bCs/>
                <w:snapToGrid w:val="0"/>
                <w:color w:val="auto"/>
                <w:kern w:val="0"/>
                <w:sz w:val="21"/>
                <w:szCs w:val="21"/>
                <w:highlight w:val="none"/>
                <w:lang w:val="en-US" w:eastAsia="en-US" w:bidi="ar-SA"/>
              </w:rPr>
            </w:pPr>
            <w:r>
              <w:rPr>
                <w:rFonts w:hint="default" w:ascii="Times New Roman" w:hAnsi="Times New Roman" w:eastAsia="宋体" w:cs="Times New Roman"/>
                <w:b/>
                <w:bCs/>
                <w:snapToGrid w:val="0"/>
                <w:color w:val="auto"/>
                <w:kern w:val="0"/>
                <w:sz w:val="21"/>
                <w:szCs w:val="21"/>
                <w:highlight w:val="none"/>
                <w:lang w:val="en-US" w:eastAsia="en-US" w:bidi="ar-SA"/>
              </w:rPr>
              <w:t>表4-</w:t>
            </w:r>
            <w:r>
              <w:rPr>
                <w:rFonts w:hint="default" w:ascii="Times New Roman" w:hAnsi="Times New Roman" w:eastAsia="宋体" w:cs="Times New Roman"/>
                <w:b/>
                <w:bCs/>
                <w:snapToGrid w:val="0"/>
                <w:color w:val="auto"/>
                <w:kern w:val="0"/>
                <w:sz w:val="21"/>
                <w:szCs w:val="21"/>
                <w:highlight w:val="none"/>
                <w:lang w:val="en-US" w:eastAsia="zh-CN" w:bidi="ar-SA"/>
              </w:rPr>
              <w:t xml:space="preserve">1 </w:t>
            </w:r>
            <w:r>
              <w:rPr>
                <w:rFonts w:hint="default" w:ascii="Times New Roman" w:hAnsi="Times New Roman" w:eastAsia="宋体" w:cs="Times New Roman"/>
                <w:b/>
                <w:bCs/>
                <w:snapToGrid w:val="0"/>
                <w:color w:val="auto"/>
                <w:kern w:val="0"/>
                <w:sz w:val="21"/>
                <w:szCs w:val="21"/>
                <w:highlight w:val="none"/>
                <w:lang w:val="en-US" w:eastAsia="en-US" w:bidi="ar-SA"/>
              </w:rPr>
              <w:t>钻井</w:t>
            </w:r>
            <w:r>
              <w:rPr>
                <w:rFonts w:hint="default" w:ascii="Times New Roman" w:hAnsi="Times New Roman" w:eastAsia="宋体" w:cs="Times New Roman"/>
                <w:b/>
                <w:bCs/>
                <w:snapToGrid w:val="0"/>
                <w:color w:val="auto"/>
                <w:kern w:val="0"/>
                <w:sz w:val="21"/>
                <w:szCs w:val="21"/>
                <w:highlight w:val="none"/>
                <w:lang w:val="en-US" w:eastAsia="zh-CN" w:bidi="ar-SA"/>
              </w:rPr>
              <w:t>泥浆</w:t>
            </w:r>
            <w:r>
              <w:rPr>
                <w:rFonts w:hint="default" w:ascii="Times New Roman" w:hAnsi="Times New Roman" w:eastAsia="宋体" w:cs="Times New Roman"/>
                <w:b/>
                <w:bCs/>
                <w:snapToGrid w:val="0"/>
                <w:color w:val="auto"/>
                <w:kern w:val="0"/>
                <w:sz w:val="21"/>
                <w:szCs w:val="21"/>
                <w:highlight w:val="none"/>
                <w:lang w:val="en-US" w:eastAsia="en-US" w:bidi="ar-SA"/>
              </w:rPr>
              <w:t>产生量一览表</w:t>
            </w:r>
          </w:p>
          <w:tbl>
            <w:tblPr>
              <w:tblStyle w:val="11"/>
              <w:tblW w:w="8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46"/>
              <w:gridCol w:w="1529"/>
              <w:gridCol w:w="1117"/>
              <w:gridCol w:w="1343"/>
              <w:gridCol w:w="1631"/>
              <w:gridCol w:w="1631"/>
            </w:tblGrid>
            <w:tr w14:paraId="66A8B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3" w:hRule="atLeast"/>
                <w:jc w:val="center"/>
              </w:trPr>
              <w:tc>
                <w:tcPr>
                  <w:tcW w:w="577" w:type="pct"/>
                  <w:tcBorders>
                    <w:top w:val="single" w:color="auto" w:sz="4" w:space="0"/>
                    <w:left w:val="single" w:color="auto" w:sz="0" w:space="0"/>
                    <w:bottom w:val="single" w:color="auto" w:sz="4" w:space="0"/>
                    <w:right w:val="single" w:color="auto" w:sz="4" w:space="0"/>
                  </w:tcBorders>
                  <w:vAlign w:val="center"/>
                </w:tcPr>
                <w:p w14:paraId="1740E556">
                  <w:pPr>
                    <w:pStyle w:val="1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开钻</w:t>
                  </w:r>
                </w:p>
                <w:p w14:paraId="1C934A4E">
                  <w:pPr>
                    <w:pStyle w:val="1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次序</w:t>
                  </w:r>
                </w:p>
              </w:tc>
              <w:tc>
                <w:tcPr>
                  <w:tcW w:w="932" w:type="pct"/>
                  <w:tcBorders>
                    <w:top w:val="single" w:color="auto" w:sz="4" w:space="0"/>
                    <w:left w:val="single" w:color="auto" w:sz="4" w:space="0"/>
                    <w:bottom w:val="single" w:color="auto" w:sz="4" w:space="0"/>
                    <w:right w:val="single" w:color="auto" w:sz="4" w:space="0"/>
                  </w:tcBorders>
                  <w:vAlign w:val="center"/>
                </w:tcPr>
                <w:p w14:paraId="241363EC">
                  <w:pPr>
                    <w:pStyle w:val="19"/>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钻井液类型</w:t>
                  </w:r>
                </w:p>
              </w:tc>
              <w:tc>
                <w:tcPr>
                  <w:tcW w:w="681" w:type="pct"/>
                  <w:tcBorders>
                    <w:top w:val="single" w:color="auto" w:sz="4" w:space="0"/>
                    <w:left w:val="single" w:color="auto" w:sz="4" w:space="0"/>
                    <w:bottom w:val="single" w:color="auto" w:sz="4" w:space="0"/>
                    <w:right w:val="single" w:color="auto" w:sz="4" w:space="0"/>
                  </w:tcBorders>
                  <w:vAlign w:val="center"/>
                </w:tcPr>
                <w:p w14:paraId="131D5C0E">
                  <w:pPr>
                    <w:pStyle w:val="1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钻头尺寸</w:t>
                  </w:r>
                </w:p>
                <w:p w14:paraId="14D7C757">
                  <w:pPr>
                    <w:pStyle w:val="1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(mm)</w:t>
                  </w:r>
                </w:p>
              </w:tc>
              <w:tc>
                <w:tcPr>
                  <w:tcW w:w="819" w:type="pct"/>
                  <w:tcBorders>
                    <w:top w:val="single" w:color="auto" w:sz="4" w:space="0"/>
                    <w:left w:val="single" w:color="auto" w:sz="4" w:space="0"/>
                    <w:bottom w:val="single" w:color="auto" w:sz="4" w:space="0"/>
                    <w:right w:val="single" w:color="auto" w:sz="4" w:space="0"/>
                  </w:tcBorders>
                  <w:vAlign w:val="center"/>
                </w:tcPr>
                <w:p w14:paraId="2EE44D3C">
                  <w:pPr>
                    <w:pStyle w:val="16"/>
                    <w:spacing w:before="60" w:line="228"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4"/>
                      <w:sz w:val="21"/>
                      <w:szCs w:val="21"/>
                      <w:highlight w:val="none"/>
                      <w:lang w:eastAsia="zh-CN"/>
                    </w:rPr>
                    <w:t>井段（m）</w:t>
                  </w:r>
                </w:p>
              </w:tc>
              <w:tc>
                <w:tcPr>
                  <w:tcW w:w="994" w:type="pct"/>
                  <w:tcBorders>
                    <w:top w:val="single" w:color="auto" w:sz="4" w:space="0"/>
                    <w:left w:val="single" w:color="auto" w:sz="4" w:space="0"/>
                    <w:bottom w:val="single" w:color="auto" w:sz="4" w:space="0"/>
                    <w:right w:val="single" w:color="auto" w:sz="4" w:space="0"/>
                  </w:tcBorders>
                  <w:vAlign w:val="center"/>
                </w:tcPr>
                <w:p w14:paraId="62FAF995">
                  <w:pPr>
                    <w:pStyle w:val="16"/>
                    <w:spacing w:before="60" w:line="228" w:lineRule="auto"/>
                    <w:jc w:val="center"/>
                    <w:rPr>
                      <w:rFonts w:hint="default" w:ascii="Times New Roman" w:hAnsi="Times New Roman" w:eastAsia="宋体" w:cs="Times New Roman"/>
                      <w:b/>
                      <w:bCs/>
                      <w:color w:val="auto"/>
                      <w:spacing w:val="4"/>
                      <w:sz w:val="21"/>
                      <w:szCs w:val="21"/>
                      <w:highlight w:val="none"/>
                    </w:rPr>
                  </w:pPr>
                  <w:r>
                    <w:rPr>
                      <w:rFonts w:hint="default" w:ascii="Times New Roman" w:hAnsi="Times New Roman" w:cs="Times New Roman"/>
                      <w:b/>
                      <w:bCs/>
                      <w:color w:val="auto"/>
                      <w:spacing w:val="7"/>
                      <w:sz w:val="21"/>
                      <w:szCs w:val="21"/>
                      <w:highlight w:val="none"/>
                      <w:lang w:val="en-US" w:eastAsia="zh-CN"/>
                    </w:rPr>
                    <w:t>单井</w:t>
                  </w:r>
                  <w:r>
                    <w:rPr>
                      <w:rFonts w:hint="default" w:ascii="Times New Roman" w:hAnsi="Times New Roman" w:eastAsia="宋体" w:cs="Times New Roman"/>
                      <w:b/>
                      <w:bCs/>
                      <w:color w:val="auto"/>
                      <w:spacing w:val="7"/>
                      <w:sz w:val="21"/>
                      <w:szCs w:val="21"/>
                      <w:highlight w:val="none"/>
                      <w:lang w:eastAsia="zh-CN"/>
                    </w:rPr>
                    <w:t>泥浆</w:t>
                  </w:r>
                  <w:r>
                    <w:rPr>
                      <w:rFonts w:hint="default" w:ascii="Times New Roman" w:hAnsi="Times New Roman" w:cs="Times New Roman"/>
                      <w:b/>
                      <w:bCs/>
                      <w:color w:val="auto"/>
                      <w:spacing w:val="7"/>
                      <w:sz w:val="21"/>
                      <w:szCs w:val="21"/>
                      <w:highlight w:val="none"/>
                      <w:lang w:val="en-US" w:eastAsia="zh-CN"/>
                    </w:rPr>
                    <w:t>产生</w:t>
                  </w:r>
                  <w:r>
                    <w:rPr>
                      <w:rFonts w:hint="default" w:ascii="Times New Roman" w:hAnsi="Times New Roman" w:eastAsia="宋体" w:cs="Times New Roman"/>
                      <w:b/>
                      <w:bCs/>
                      <w:color w:val="auto"/>
                      <w:spacing w:val="7"/>
                      <w:sz w:val="21"/>
                      <w:szCs w:val="21"/>
                      <w:highlight w:val="none"/>
                    </w:rPr>
                    <w:t>量</w:t>
                  </w:r>
                </w:p>
                <w:p w14:paraId="1D275E07">
                  <w:pPr>
                    <w:pStyle w:val="16"/>
                    <w:spacing w:before="60" w:line="228"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4"/>
                      <w:sz w:val="21"/>
                      <w:szCs w:val="21"/>
                      <w:highlight w:val="none"/>
                      <w:lang w:eastAsia="zh-CN"/>
                    </w:rPr>
                    <w:t>（</w:t>
                  </w:r>
                  <w:r>
                    <w:rPr>
                      <w:rFonts w:hint="default" w:ascii="Times New Roman" w:hAnsi="Times New Roman" w:eastAsia="宋体" w:cs="Times New Roman"/>
                      <w:color w:val="auto"/>
                      <w:spacing w:val="1"/>
                      <w:sz w:val="21"/>
                      <w:szCs w:val="21"/>
                      <w:highlight w:val="none"/>
                    </w:rPr>
                    <w:t>m</w:t>
                  </w:r>
                  <w:r>
                    <w:rPr>
                      <w:rFonts w:hint="default" w:ascii="Times New Roman" w:hAnsi="Times New Roman" w:eastAsia="宋体" w:cs="Times New Roman"/>
                      <w:color w:val="auto"/>
                      <w:spacing w:val="1"/>
                      <w:sz w:val="21"/>
                      <w:szCs w:val="21"/>
                      <w:highlight w:val="none"/>
                      <w:vertAlign w:val="superscript"/>
                      <w:lang w:val="en-US" w:eastAsia="zh-CN"/>
                    </w:rPr>
                    <w:t>3</w:t>
                  </w:r>
                  <w:r>
                    <w:rPr>
                      <w:rFonts w:hint="default" w:ascii="Times New Roman" w:hAnsi="Times New Roman" w:eastAsia="宋体" w:cs="Times New Roman"/>
                      <w:b/>
                      <w:bCs/>
                      <w:color w:val="auto"/>
                      <w:spacing w:val="4"/>
                      <w:sz w:val="21"/>
                      <w:szCs w:val="21"/>
                      <w:highlight w:val="none"/>
                      <w:lang w:eastAsia="zh-CN"/>
                    </w:rPr>
                    <w:t>）</w:t>
                  </w:r>
                </w:p>
              </w:tc>
              <w:tc>
                <w:tcPr>
                  <w:tcW w:w="994" w:type="pct"/>
                  <w:tcBorders>
                    <w:top w:val="single" w:color="auto" w:sz="4" w:space="0"/>
                    <w:left w:val="single" w:color="auto" w:sz="4" w:space="0"/>
                    <w:bottom w:val="single" w:color="auto" w:sz="4" w:space="0"/>
                    <w:right w:val="single" w:color="auto" w:sz="4" w:space="0"/>
                  </w:tcBorders>
                  <w:vAlign w:val="center"/>
                </w:tcPr>
                <w:p w14:paraId="6EBB8921">
                  <w:pPr>
                    <w:pStyle w:val="16"/>
                    <w:spacing w:before="60" w:line="228" w:lineRule="auto"/>
                    <w:jc w:val="center"/>
                    <w:rPr>
                      <w:rFonts w:hint="default" w:ascii="Times New Roman" w:hAnsi="Times New Roman" w:eastAsia="宋体" w:cs="Times New Roman"/>
                      <w:b/>
                      <w:bCs/>
                      <w:color w:val="auto"/>
                      <w:spacing w:val="4"/>
                      <w:sz w:val="21"/>
                      <w:szCs w:val="21"/>
                      <w:highlight w:val="none"/>
                      <w:lang w:val="en-US" w:eastAsia="zh-CN"/>
                    </w:rPr>
                  </w:pPr>
                  <w:r>
                    <w:rPr>
                      <w:rFonts w:hint="default" w:ascii="Times New Roman" w:hAnsi="Times New Roman" w:cs="Times New Roman"/>
                      <w:b/>
                      <w:bCs/>
                      <w:color w:val="auto"/>
                      <w:spacing w:val="4"/>
                      <w:sz w:val="21"/>
                      <w:szCs w:val="21"/>
                      <w:highlight w:val="none"/>
                      <w:lang w:val="en-US" w:eastAsia="zh-CN"/>
                    </w:rPr>
                    <w:t>合计</w:t>
                  </w:r>
                  <w:r>
                    <w:rPr>
                      <w:rFonts w:hint="default" w:ascii="Times New Roman" w:hAnsi="Times New Roman" w:eastAsia="宋体" w:cs="Times New Roman"/>
                      <w:b/>
                      <w:bCs/>
                      <w:color w:val="auto"/>
                      <w:spacing w:val="4"/>
                      <w:sz w:val="21"/>
                      <w:szCs w:val="21"/>
                      <w:highlight w:val="none"/>
                      <w:lang w:eastAsia="zh-CN"/>
                    </w:rPr>
                    <w:t>（</w:t>
                  </w:r>
                  <w:r>
                    <w:rPr>
                      <w:rFonts w:hint="default" w:ascii="Times New Roman" w:hAnsi="Times New Roman" w:eastAsia="宋体" w:cs="Times New Roman"/>
                      <w:color w:val="auto"/>
                      <w:spacing w:val="1"/>
                      <w:sz w:val="21"/>
                      <w:szCs w:val="21"/>
                      <w:highlight w:val="none"/>
                    </w:rPr>
                    <w:t>m</w:t>
                  </w:r>
                  <w:r>
                    <w:rPr>
                      <w:rFonts w:hint="default" w:ascii="Times New Roman" w:hAnsi="Times New Roman" w:eastAsia="宋体" w:cs="Times New Roman"/>
                      <w:color w:val="auto"/>
                      <w:spacing w:val="1"/>
                      <w:sz w:val="21"/>
                      <w:szCs w:val="21"/>
                      <w:highlight w:val="none"/>
                      <w:vertAlign w:val="superscript"/>
                      <w:lang w:val="en-US" w:eastAsia="zh-CN"/>
                    </w:rPr>
                    <w:t>3</w:t>
                  </w:r>
                  <w:r>
                    <w:rPr>
                      <w:rFonts w:hint="default" w:ascii="Times New Roman" w:hAnsi="Times New Roman" w:eastAsia="宋体" w:cs="Times New Roman"/>
                      <w:b/>
                      <w:bCs/>
                      <w:color w:val="auto"/>
                      <w:spacing w:val="4"/>
                      <w:sz w:val="21"/>
                      <w:szCs w:val="21"/>
                      <w:highlight w:val="none"/>
                      <w:lang w:eastAsia="zh-CN"/>
                    </w:rPr>
                    <w:t>）</w:t>
                  </w:r>
                </w:p>
              </w:tc>
            </w:tr>
            <w:tr w14:paraId="5C349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577" w:type="pct"/>
                  <w:tcBorders>
                    <w:top w:val="single" w:color="auto" w:sz="4" w:space="0"/>
                    <w:left w:val="single" w:color="auto" w:sz="4" w:space="0"/>
                    <w:bottom w:val="single" w:color="auto" w:sz="4" w:space="0"/>
                    <w:right w:val="single" w:color="auto" w:sz="4" w:space="0"/>
                  </w:tcBorders>
                  <w:vAlign w:val="center"/>
                </w:tcPr>
                <w:p w14:paraId="407D3B79">
                  <w:pPr>
                    <w:pStyle w:val="19"/>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导眼</w:t>
                  </w:r>
                </w:p>
              </w:tc>
              <w:tc>
                <w:tcPr>
                  <w:tcW w:w="932" w:type="pct"/>
                  <w:vMerge w:val="restart"/>
                  <w:tcBorders>
                    <w:top w:val="single" w:color="auto" w:sz="4" w:space="0"/>
                    <w:left w:val="single" w:color="auto" w:sz="4" w:space="0"/>
                    <w:bottom w:val="single" w:color="auto" w:sz="4" w:space="0"/>
                    <w:right w:val="single" w:color="auto" w:sz="4" w:space="0"/>
                  </w:tcBorders>
                  <w:vAlign w:val="center"/>
                </w:tcPr>
                <w:p w14:paraId="2252741D">
                  <w:pPr>
                    <w:pStyle w:val="19"/>
                    <w:spacing w:line="320" w:lineRule="exact"/>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水基钻井液</w:t>
                  </w:r>
                </w:p>
              </w:tc>
              <w:tc>
                <w:tcPr>
                  <w:tcW w:w="681" w:type="pct"/>
                  <w:tcBorders>
                    <w:top w:val="single" w:color="auto" w:sz="4" w:space="0"/>
                    <w:left w:val="single" w:color="auto" w:sz="4" w:space="0"/>
                    <w:bottom w:val="single" w:color="auto" w:sz="4" w:space="0"/>
                    <w:right w:val="single" w:color="auto" w:sz="4" w:space="0"/>
                  </w:tcBorders>
                  <w:vAlign w:val="center"/>
                </w:tcPr>
                <w:p w14:paraId="6FA6A1F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u w:val="none"/>
                      <w:lang w:val="en-US" w:eastAsia="zh-CN" w:bidi="ar"/>
                    </w:rPr>
                    <w:t>Φ660</w:t>
                  </w:r>
                </w:p>
              </w:tc>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14:paraId="7DD55EDC">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zh-CN" w:eastAsia="en-US" w:bidi="ar"/>
                    </w:rPr>
                  </w:pPr>
                  <w:r>
                    <w:rPr>
                      <w:rFonts w:hint="default" w:ascii="Times New Roman" w:hAnsi="Times New Roman" w:eastAsia="宋体" w:cs="Times New Roman"/>
                      <w:i w:val="0"/>
                      <w:iCs w:val="0"/>
                      <w:snapToGrid w:val="0"/>
                      <w:color w:val="auto"/>
                      <w:kern w:val="0"/>
                      <w:sz w:val="21"/>
                      <w:szCs w:val="21"/>
                      <w:u w:val="none"/>
                      <w:lang w:val="en-US" w:eastAsia="zh-CN" w:bidi="ar"/>
                    </w:rPr>
                    <w:t>0-30</w:t>
                  </w:r>
                </w:p>
              </w:tc>
              <w:tc>
                <w:tcPr>
                  <w:tcW w:w="994" w:type="pct"/>
                  <w:tcBorders>
                    <w:top w:val="single" w:color="auto" w:sz="4" w:space="0"/>
                    <w:left w:val="single" w:color="auto" w:sz="4" w:space="0"/>
                    <w:bottom w:val="single" w:color="auto" w:sz="4" w:space="0"/>
                    <w:right w:val="single" w:color="auto" w:sz="4" w:space="0"/>
                  </w:tcBorders>
                  <w:vAlign w:val="center"/>
                </w:tcPr>
                <w:p w14:paraId="060F5954">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86.21</w:t>
                  </w:r>
                </w:p>
              </w:tc>
              <w:tc>
                <w:tcPr>
                  <w:tcW w:w="994" w:type="pct"/>
                  <w:tcBorders>
                    <w:top w:val="single" w:color="auto" w:sz="4" w:space="0"/>
                    <w:left w:val="single" w:color="auto" w:sz="4" w:space="0"/>
                    <w:bottom w:val="single" w:color="auto" w:sz="4" w:space="0"/>
                    <w:right w:val="single" w:color="auto" w:sz="4" w:space="0"/>
                  </w:tcBorders>
                  <w:vAlign w:val="center"/>
                </w:tcPr>
                <w:p w14:paraId="4FA933D3">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1724.2</w:t>
                  </w:r>
                </w:p>
              </w:tc>
            </w:tr>
            <w:tr w14:paraId="5912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577" w:type="pct"/>
                  <w:tcBorders>
                    <w:top w:val="single" w:color="auto" w:sz="4" w:space="0"/>
                    <w:left w:val="single" w:color="auto" w:sz="4" w:space="0"/>
                    <w:bottom w:val="single" w:color="auto" w:sz="4" w:space="0"/>
                    <w:right w:val="single" w:color="auto" w:sz="4" w:space="0"/>
                  </w:tcBorders>
                  <w:vAlign w:val="center"/>
                </w:tcPr>
                <w:p w14:paraId="61EAD9D5">
                  <w:pPr>
                    <w:pStyle w:val="19"/>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一开</w:t>
                  </w:r>
                </w:p>
              </w:tc>
              <w:tc>
                <w:tcPr>
                  <w:tcW w:w="932" w:type="pct"/>
                  <w:vMerge w:val="continue"/>
                  <w:tcBorders>
                    <w:top w:val="single" w:color="auto" w:sz="4" w:space="0"/>
                    <w:left w:val="single" w:color="auto" w:sz="4" w:space="0"/>
                    <w:bottom w:val="single" w:color="auto" w:sz="4" w:space="0"/>
                    <w:right w:val="single" w:color="auto" w:sz="4" w:space="0"/>
                  </w:tcBorders>
                  <w:vAlign w:val="center"/>
                </w:tcPr>
                <w:p w14:paraId="6FE24403">
                  <w:pPr>
                    <w:pStyle w:val="19"/>
                    <w:spacing w:line="320" w:lineRule="exact"/>
                    <w:jc w:val="center"/>
                    <w:rPr>
                      <w:rFonts w:hint="default" w:ascii="Times New Roman" w:hAnsi="Times New Roman" w:eastAsia="宋体" w:cs="Times New Roman"/>
                      <w:color w:val="auto"/>
                      <w:sz w:val="21"/>
                      <w:szCs w:val="21"/>
                      <w:highlight w:val="none"/>
                      <w:lang w:eastAsia="zh-CN"/>
                    </w:rPr>
                  </w:pPr>
                </w:p>
              </w:tc>
              <w:tc>
                <w:tcPr>
                  <w:tcW w:w="681" w:type="pct"/>
                  <w:tcBorders>
                    <w:top w:val="single" w:color="auto" w:sz="4" w:space="0"/>
                    <w:left w:val="single" w:color="auto" w:sz="4" w:space="0"/>
                    <w:bottom w:val="single" w:color="auto" w:sz="4" w:space="0"/>
                    <w:right w:val="single" w:color="auto" w:sz="4" w:space="0"/>
                  </w:tcBorders>
                  <w:vAlign w:val="center"/>
                </w:tcPr>
                <w:p w14:paraId="0D99999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Φ375</w:t>
                  </w:r>
                </w:p>
              </w:tc>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14:paraId="1E156B53">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30-700</w:t>
                  </w:r>
                </w:p>
              </w:tc>
              <w:tc>
                <w:tcPr>
                  <w:tcW w:w="994" w:type="pct"/>
                  <w:tcBorders>
                    <w:top w:val="single" w:color="auto" w:sz="4" w:space="0"/>
                    <w:left w:val="single" w:color="auto" w:sz="4" w:space="0"/>
                    <w:bottom w:val="single" w:color="auto" w:sz="4" w:space="0"/>
                    <w:right w:val="single" w:color="auto" w:sz="4" w:space="0"/>
                  </w:tcBorders>
                  <w:vAlign w:val="center"/>
                </w:tcPr>
                <w:p w14:paraId="755FB60F">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143.84</w:t>
                  </w:r>
                </w:p>
              </w:tc>
              <w:tc>
                <w:tcPr>
                  <w:tcW w:w="994" w:type="pct"/>
                  <w:tcBorders>
                    <w:top w:val="single" w:color="auto" w:sz="4" w:space="0"/>
                    <w:left w:val="single" w:color="auto" w:sz="4" w:space="0"/>
                    <w:bottom w:val="single" w:color="auto" w:sz="4" w:space="0"/>
                    <w:right w:val="single" w:color="auto" w:sz="4" w:space="0"/>
                  </w:tcBorders>
                  <w:vAlign w:val="center"/>
                </w:tcPr>
                <w:p w14:paraId="3FA7D12A">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2876.8</w:t>
                  </w:r>
                </w:p>
              </w:tc>
            </w:tr>
            <w:tr w14:paraId="1C3A3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jc w:val="center"/>
              </w:trPr>
              <w:tc>
                <w:tcPr>
                  <w:tcW w:w="577" w:type="pct"/>
                  <w:tcBorders>
                    <w:top w:val="single" w:color="auto" w:sz="4" w:space="0"/>
                    <w:left w:val="single" w:color="auto" w:sz="4" w:space="0"/>
                    <w:bottom w:val="single" w:color="auto" w:sz="4" w:space="0"/>
                    <w:right w:val="single" w:color="auto" w:sz="4" w:space="0"/>
                  </w:tcBorders>
                  <w:vAlign w:val="center"/>
                </w:tcPr>
                <w:p w14:paraId="1DEB10C7">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二开</w:t>
                  </w:r>
                </w:p>
              </w:tc>
              <w:tc>
                <w:tcPr>
                  <w:tcW w:w="932" w:type="pct"/>
                  <w:tcBorders>
                    <w:top w:val="single" w:color="auto" w:sz="4" w:space="0"/>
                    <w:left w:val="single" w:color="auto" w:sz="4" w:space="0"/>
                    <w:bottom w:val="single" w:color="auto" w:sz="4" w:space="0"/>
                    <w:right w:val="single" w:color="auto" w:sz="4" w:space="0"/>
                  </w:tcBorders>
                  <w:vAlign w:val="center"/>
                </w:tcPr>
                <w:p w14:paraId="6DDF20C3">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油基钻井液</w:t>
                  </w:r>
                </w:p>
              </w:tc>
              <w:tc>
                <w:tcPr>
                  <w:tcW w:w="681" w:type="pct"/>
                  <w:tcBorders>
                    <w:top w:val="single" w:color="auto" w:sz="4" w:space="0"/>
                    <w:left w:val="single" w:color="auto" w:sz="4" w:space="0"/>
                    <w:bottom w:val="single" w:color="auto" w:sz="4" w:space="0"/>
                    <w:right w:val="single" w:color="auto" w:sz="4" w:space="0"/>
                  </w:tcBorders>
                  <w:vAlign w:val="center"/>
                </w:tcPr>
                <w:p w14:paraId="211E10D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Φ251</w:t>
                  </w:r>
                </w:p>
              </w:tc>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14:paraId="1C45ECC7">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zh-CN" w:eastAsia="en-US" w:bidi="ar"/>
                    </w:rPr>
                  </w:pPr>
                  <w:r>
                    <w:rPr>
                      <w:rFonts w:hint="default" w:ascii="Times New Roman" w:hAnsi="Times New Roman" w:eastAsia="宋体" w:cs="Times New Roman"/>
                      <w:i w:val="0"/>
                      <w:iCs w:val="0"/>
                      <w:snapToGrid w:val="0"/>
                      <w:color w:val="auto"/>
                      <w:kern w:val="0"/>
                      <w:sz w:val="21"/>
                      <w:szCs w:val="21"/>
                      <w:u w:val="none"/>
                      <w:lang w:val="en-US" w:eastAsia="zh-CN" w:bidi="ar"/>
                    </w:rPr>
                    <w:t>700-3070</w:t>
                  </w:r>
                </w:p>
              </w:tc>
              <w:tc>
                <w:tcPr>
                  <w:tcW w:w="994" w:type="pct"/>
                  <w:tcBorders>
                    <w:top w:val="single" w:color="auto" w:sz="4" w:space="0"/>
                    <w:left w:val="single" w:color="auto" w:sz="4" w:space="0"/>
                    <w:bottom w:val="single" w:color="auto" w:sz="4" w:space="0"/>
                    <w:right w:val="single" w:color="auto" w:sz="4" w:space="0"/>
                  </w:tcBorders>
                  <w:vAlign w:val="center"/>
                </w:tcPr>
                <w:p w14:paraId="15931B45">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266.43</w:t>
                  </w:r>
                </w:p>
              </w:tc>
              <w:tc>
                <w:tcPr>
                  <w:tcW w:w="994" w:type="pct"/>
                  <w:tcBorders>
                    <w:top w:val="single" w:color="auto" w:sz="4" w:space="0"/>
                    <w:left w:val="single" w:color="auto" w:sz="4" w:space="0"/>
                    <w:bottom w:val="single" w:color="auto" w:sz="4" w:space="0"/>
                    <w:right w:val="single" w:color="auto" w:sz="4" w:space="0"/>
                  </w:tcBorders>
                  <w:vAlign w:val="center"/>
                </w:tcPr>
                <w:p w14:paraId="24E94A1A">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5328.6</w:t>
                  </w:r>
                </w:p>
              </w:tc>
            </w:tr>
            <w:tr w14:paraId="3090B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577" w:type="pct"/>
                  <w:tcBorders>
                    <w:top w:val="single" w:color="auto" w:sz="4" w:space="0"/>
                    <w:left w:val="single" w:color="auto" w:sz="4" w:space="0"/>
                    <w:bottom w:val="single" w:color="auto" w:sz="4" w:space="0"/>
                    <w:right w:val="single" w:color="auto" w:sz="4" w:space="0"/>
                  </w:tcBorders>
                  <w:vAlign w:val="center"/>
                </w:tcPr>
                <w:p w14:paraId="3E53F835">
                  <w:pPr>
                    <w:pStyle w:val="1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三开</w:t>
                  </w:r>
                </w:p>
              </w:tc>
              <w:tc>
                <w:tcPr>
                  <w:tcW w:w="932" w:type="pct"/>
                  <w:tcBorders>
                    <w:top w:val="single" w:color="auto" w:sz="4" w:space="0"/>
                    <w:left w:val="single" w:color="auto" w:sz="4" w:space="0"/>
                    <w:bottom w:val="single" w:color="auto" w:sz="4" w:space="0"/>
                    <w:right w:val="single" w:color="auto" w:sz="4" w:space="0"/>
                  </w:tcBorders>
                  <w:vAlign w:val="center"/>
                </w:tcPr>
                <w:p w14:paraId="00969685">
                  <w:pPr>
                    <w:pStyle w:val="1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水基钻井液</w:t>
                  </w:r>
                </w:p>
              </w:tc>
              <w:tc>
                <w:tcPr>
                  <w:tcW w:w="681" w:type="pct"/>
                  <w:tcBorders>
                    <w:top w:val="single" w:color="auto" w:sz="4" w:space="0"/>
                    <w:left w:val="single" w:color="auto" w:sz="4" w:space="0"/>
                    <w:bottom w:val="single" w:color="auto" w:sz="4" w:space="0"/>
                    <w:right w:val="single" w:color="auto" w:sz="4" w:space="0"/>
                  </w:tcBorders>
                  <w:vAlign w:val="center"/>
                </w:tcPr>
                <w:p w14:paraId="3AC8A8AF">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Φ168</w:t>
                  </w:r>
                </w:p>
              </w:tc>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14:paraId="6148376D">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3070-3490</w:t>
                  </w:r>
                </w:p>
              </w:tc>
              <w:tc>
                <w:tcPr>
                  <w:tcW w:w="994" w:type="pct"/>
                  <w:tcBorders>
                    <w:top w:val="single" w:color="auto" w:sz="4" w:space="0"/>
                    <w:left w:val="single" w:color="auto" w:sz="4" w:space="0"/>
                    <w:bottom w:val="single" w:color="auto" w:sz="4" w:space="0"/>
                    <w:right w:val="single" w:color="auto" w:sz="4" w:space="0"/>
                  </w:tcBorders>
                  <w:vAlign w:val="center"/>
                </w:tcPr>
                <w:p w14:paraId="6F1945D5">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244.30</w:t>
                  </w:r>
                </w:p>
              </w:tc>
              <w:tc>
                <w:tcPr>
                  <w:tcW w:w="994" w:type="pct"/>
                  <w:tcBorders>
                    <w:top w:val="single" w:color="auto" w:sz="4" w:space="0"/>
                    <w:left w:val="single" w:color="auto" w:sz="4" w:space="0"/>
                    <w:bottom w:val="single" w:color="auto" w:sz="4" w:space="0"/>
                    <w:right w:val="single" w:color="auto" w:sz="4" w:space="0"/>
                  </w:tcBorders>
                  <w:vAlign w:val="center"/>
                </w:tcPr>
                <w:p w14:paraId="092FBEC9">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4886</w:t>
                  </w:r>
                </w:p>
              </w:tc>
            </w:tr>
            <w:tr w14:paraId="48414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4005" w:type="pct"/>
                  <w:gridSpan w:val="5"/>
                  <w:tcBorders>
                    <w:top w:val="single" w:color="auto" w:sz="4" w:space="0"/>
                    <w:left w:val="single" w:color="auto" w:sz="4" w:space="0"/>
                    <w:bottom w:val="single" w:color="auto" w:sz="4" w:space="0"/>
                    <w:right w:val="single" w:color="auto" w:sz="4" w:space="0"/>
                  </w:tcBorders>
                  <w:vAlign w:val="center"/>
                </w:tcPr>
                <w:p w14:paraId="7451B11B">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合计</w:t>
                  </w:r>
                </w:p>
              </w:tc>
              <w:tc>
                <w:tcPr>
                  <w:tcW w:w="994" w:type="pct"/>
                  <w:tcBorders>
                    <w:top w:val="single" w:color="auto" w:sz="4" w:space="0"/>
                    <w:left w:val="single" w:color="auto" w:sz="4" w:space="0"/>
                    <w:bottom w:val="single" w:color="auto" w:sz="4" w:space="0"/>
                    <w:right w:val="single" w:color="auto" w:sz="4" w:space="0"/>
                  </w:tcBorders>
                  <w:vAlign w:val="center"/>
                </w:tcPr>
                <w:p w14:paraId="734B6AD0">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eastAsia" w:ascii="Times New Roman" w:hAnsi="Times New Roman" w:eastAsia="宋体" w:cs="Times New Roman"/>
                      <w:i w:val="0"/>
                      <w:iCs w:val="0"/>
                      <w:snapToGrid w:val="0"/>
                      <w:color w:val="auto"/>
                      <w:kern w:val="0"/>
                      <w:sz w:val="21"/>
                      <w:szCs w:val="21"/>
                      <w:u w:val="none"/>
                      <w:lang w:val="en-US" w:eastAsia="zh-CN" w:bidi="ar"/>
                    </w:rPr>
                    <w:t>14815.6</w:t>
                  </w:r>
                </w:p>
              </w:tc>
            </w:tr>
          </w:tbl>
          <w:p w14:paraId="5F85D934">
            <w:pPr>
              <w:widowControl w:val="0"/>
              <w:rPr>
                <w:rFonts w:hint="default" w:ascii="Times New Roman" w:hAnsi="Times New Roman" w:eastAsia="宋体" w:cs="Times New Roman"/>
                <w:b/>
                <w:bCs/>
                <w:snapToGrid w:val="0"/>
                <w:color w:val="auto"/>
                <w:kern w:val="0"/>
                <w:sz w:val="21"/>
                <w:szCs w:val="21"/>
                <w:highlight w:val="none"/>
                <w:lang w:val="en-US" w:eastAsia="en-US" w:bidi="ar-SA"/>
              </w:rPr>
            </w:pPr>
          </w:p>
          <w:p w14:paraId="7D731B71">
            <w:pPr>
              <w:pStyle w:val="20"/>
              <w:widowControl w:val="0"/>
              <w:spacing w:line="360" w:lineRule="auto"/>
              <w:jc w:val="both"/>
              <w:rPr>
                <w:rFonts w:hint="default" w:ascii="Times New Roman" w:hAnsi="Times New Roman" w:cs="Times New Roman"/>
                <w:color w:val="auto"/>
                <w:spacing w:val="-1"/>
                <w:sz w:val="24"/>
                <w:szCs w:val="24"/>
                <w:highlight w:val="none"/>
              </w:rPr>
            </w:pPr>
            <w:r>
              <w:rPr>
                <w:rFonts w:hint="default" w:ascii="Times New Roman" w:hAnsi="Times New Roman" w:cs="Times New Roman"/>
                <w:color w:val="auto"/>
                <w:spacing w:val="-5"/>
                <w:sz w:val="24"/>
                <w:szCs w:val="24"/>
                <w:highlight w:val="none"/>
              </w:rPr>
              <w:t>本项目钻井泥浆</w:t>
            </w:r>
            <w:r>
              <w:rPr>
                <w:rFonts w:hint="default" w:ascii="Times New Roman" w:hAnsi="Times New Roman" w:eastAsia="宋体" w:cs="Times New Roman"/>
                <w:color w:val="auto"/>
                <w:spacing w:val="-5"/>
                <w:sz w:val="24"/>
                <w:szCs w:val="24"/>
                <w:highlight w:val="none"/>
                <w:lang w:val="en-US" w:eastAsia="zh-CN"/>
              </w:rPr>
              <w:t>最大产生</w:t>
            </w:r>
            <w:r>
              <w:rPr>
                <w:rFonts w:hint="default" w:ascii="Times New Roman" w:hAnsi="Times New Roman" w:cs="Times New Roman"/>
                <w:color w:val="auto"/>
                <w:spacing w:val="-5"/>
                <w:sz w:val="24"/>
                <w:szCs w:val="24"/>
                <w:highlight w:val="none"/>
              </w:rPr>
              <w:t>量为</w:t>
            </w:r>
            <w:r>
              <w:rPr>
                <w:rFonts w:hint="default" w:ascii="Times New Roman" w:hAnsi="Times New Roman" w:eastAsia="宋体" w:cs="Times New Roman"/>
                <w:color w:val="auto"/>
                <w:spacing w:val="-5"/>
                <w:sz w:val="24"/>
                <w:szCs w:val="24"/>
                <w:highlight w:val="none"/>
                <w:lang w:val="en-US" w:eastAsia="zh-CN"/>
              </w:rPr>
              <w:t>14815.6</w:t>
            </w:r>
            <w:r>
              <w:rPr>
                <w:rFonts w:hint="eastAsia" w:ascii="Times New Roman" w:hAnsi="Times New Roman" w:eastAsia="宋体" w:cs="Times New Roman"/>
                <w:color w:val="auto"/>
                <w:spacing w:val="-5"/>
                <w:sz w:val="24"/>
                <w:szCs w:val="24"/>
                <w:highlight w:val="none"/>
                <w:lang w:val="en-US" w:eastAsia="zh-CN"/>
              </w:rPr>
              <w:t>0</w:t>
            </w:r>
            <w:r>
              <w:rPr>
                <w:rFonts w:hint="default" w:ascii="Times New Roman" w:hAnsi="Times New Roman" w:eastAsia="Times New Roman" w:cs="Times New Roman"/>
                <w:color w:val="auto"/>
                <w:spacing w:val="-5"/>
                <w:sz w:val="24"/>
                <w:szCs w:val="24"/>
                <w:highlight w:val="none"/>
              </w:rPr>
              <w:t>m</w:t>
            </w:r>
            <w:r>
              <w:rPr>
                <w:rFonts w:hint="default" w:ascii="Times New Roman" w:hAnsi="Times New Roman" w:eastAsia="Times New Roman" w:cs="Times New Roman"/>
                <w:color w:val="auto"/>
                <w:spacing w:val="-5"/>
                <w:position w:val="8"/>
                <w:sz w:val="15"/>
                <w:szCs w:val="15"/>
                <w:highlight w:val="none"/>
              </w:rPr>
              <w:t>3</w:t>
            </w:r>
            <w:r>
              <w:rPr>
                <w:rFonts w:hint="default" w:ascii="Times New Roman" w:hAnsi="Times New Roman" w:cs="Times New Roman"/>
                <w:color w:val="auto"/>
                <w:spacing w:val="-5"/>
                <w:sz w:val="24"/>
                <w:szCs w:val="24"/>
                <w:highlight w:val="none"/>
              </w:rPr>
              <w:t>（</w:t>
            </w:r>
            <w:r>
              <w:rPr>
                <w:rFonts w:hint="default" w:ascii="Times New Roman" w:hAnsi="Times New Roman" w:cs="Times New Roman"/>
                <w:color w:val="auto"/>
                <w:spacing w:val="-6"/>
                <w:sz w:val="24"/>
                <w:szCs w:val="24"/>
                <w:highlight w:val="none"/>
              </w:rPr>
              <w:t>其中：水基泥浆</w:t>
            </w:r>
            <w:r>
              <w:rPr>
                <w:rFonts w:hint="default" w:ascii="Times New Roman" w:hAnsi="Times New Roman" w:eastAsia="Times New Roman" w:cs="Times New Roman"/>
                <w:color w:val="auto"/>
                <w:spacing w:val="-6"/>
                <w:sz w:val="24"/>
                <w:szCs w:val="24"/>
                <w:highlight w:val="none"/>
              </w:rPr>
              <w:t>948</w:t>
            </w:r>
            <w:r>
              <w:rPr>
                <w:rFonts w:hint="eastAsia" w:ascii="Times New Roman" w:hAnsi="Times New Roman" w:eastAsia="宋体" w:cs="Times New Roman"/>
                <w:color w:val="auto"/>
                <w:spacing w:val="-6"/>
                <w:sz w:val="24"/>
                <w:szCs w:val="24"/>
                <w:highlight w:val="none"/>
                <w:lang w:val="en-US" w:eastAsia="zh-CN"/>
              </w:rPr>
              <w:t>7</w:t>
            </w:r>
            <w:r>
              <w:rPr>
                <w:rFonts w:hint="default" w:ascii="Times New Roman" w:hAnsi="Times New Roman" w:eastAsia="Times New Roman" w:cs="Times New Roman"/>
                <w:color w:val="auto"/>
                <w:spacing w:val="-6"/>
                <w:sz w:val="24"/>
                <w:szCs w:val="24"/>
                <w:highlight w:val="none"/>
              </w:rPr>
              <w:t>m</w:t>
            </w:r>
            <w:r>
              <w:rPr>
                <w:rFonts w:hint="default" w:ascii="Times New Roman" w:hAnsi="Times New Roman" w:eastAsia="宋体" w:cs="Times New Roman"/>
                <w:color w:val="auto"/>
                <w:spacing w:val="-6"/>
                <w:sz w:val="24"/>
                <w:szCs w:val="24"/>
                <w:highlight w:val="none"/>
                <w:vertAlign w:val="superscript"/>
                <w:lang w:val="en-US" w:eastAsia="zh-CN"/>
              </w:rPr>
              <w:t>3</w:t>
            </w:r>
            <w:r>
              <w:rPr>
                <w:rFonts w:hint="eastAsia" w:ascii="Times New Roman" w:hAnsi="Times New Roman" w:eastAsia="宋体" w:cs="Times New Roman"/>
                <w:color w:val="auto"/>
                <w:spacing w:val="-2"/>
                <w:sz w:val="24"/>
                <w:szCs w:val="24"/>
                <w:highlight w:val="none"/>
                <w:lang w:eastAsia="zh-CN"/>
              </w:rPr>
              <w:t>，</w:t>
            </w:r>
            <w:r>
              <w:rPr>
                <w:rFonts w:hint="default" w:ascii="Times New Roman" w:hAnsi="Times New Roman" w:cs="Times New Roman"/>
                <w:color w:val="auto"/>
                <w:spacing w:val="-2"/>
                <w:sz w:val="24"/>
                <w:szCs w:val="24"/>
                <w:highlight w:val="none"/>
              </w:rPr>
              <w:t>油基泥浆</w:t>
            </w:r>
            <w:r>
              <w:rPr>
                <w:rFonts w:hint="default" w:ascii="Times New Roman" w:hAnsi="Times New Roman" w:eastAsia="宋体" w:cs="Times New Roman"/>
                <w:color w:val="auto"/>
                <w:spacing w:val="-2"/>
                <w:sz w:val="24"/>
                <w:szCs w:val="24"/>
                <w:highlight w:val="none"/>
                <w:lang w:val="en-US" w:eastAsia="zh-CN"/>
              </w:rPr>
              <w:t>5328.6</w:t>
            </w:r>
            <w:r>
              <w:rPr>
                <w:rFonts w:hint="default" w:ascii="Times New Roman" w:hAnsi="Times New Roman" w:eastAsia="Times New Roman" w:cs="Times New Roman"/>
                <w:color w:val="auto"/>
                <w:spacing w:val="-2"/>
                <w:sz w:val="24"/>
                <w:szCs w:val="24"/>
                <w:highlight w:val="none"/>
              </w:rPr>
              <w:t>m</w:t>
            </w:r>
            <w:r>
              <w:rPr>
                <w:rFonts w:hint="default" w:ascii="Times New Roman" w:hAnsi="Times New Roman" w:eastAsia="Times New Roman" w:cs="Times New Roman"/>
                <w:color w:val="auto"/>
                <w:spacing w:val="-2"/>
                <w:position w:val="7"/>
                <w:sz w:val="15"/>
                <w:szCs w:val="15"/>
                <w:highlight w:val="none"/>
              </w:rPr>
              <w:t>3</w:t>
            </w:r>
            <w:r>
              <w:rPr>
                <w:rFonts w:hint="default" w:ascii="Times New Roman" w:hAnsi="Times New Roman" w:cs="Times New Roman"/>
                <w:color w:val="auto"/>
                <w:spacing w:val="-14"/>
                <w:sz w:val="24"/>
                <w:szCs w:val="24"/>
                <w:highlight w:val="none"/>
              </w:rPr>
              <w:t>），项目采用泥浆不落地系统实现固液分离，分离后的液相循环使用，泥浆循环利用率（重复利用）按95%计算，因此，废弃钻井泥浆</w:t>
            </w:r>
            <w:r>
              <w:rPr>
                <w:rFonts w:hint="default" w:ascii="Times New Roman" w:hAnsi="Times New Roman" w:eastAsia="宋体" w:cs="Times New Roman"/>
                <w:color w:val="auto"/>
                <w:spacing w:val="-14"/>
                <w:sz w:val="24"/>
                <w:szCs w:val="24"/>
                <w:highlight w:val="none"/>
                <w:lang w:val="en-US" w:eastAsia="zh-CN"/>
              </w:rPr>
              <w:t>产生</w:t>
            </w:r>
            <w:r>
              <w:rPr>
                <w:rFonts w:hint="default" w:ascii="Times New Roman" w:hAnsi="Times New Roman" w:cs="Times New Roman"/>
                <w:color w:val="auto"/>
                <w:spacing w:val="-14"/>
                <w:sz w:val="24"/>
                <w:szCs w:val="24"/>
                <w:highlight w:val="none"/>
              </w:rPr>
              <w:t>量为</w:t>
            </w:r>
            <w:r>
              <w:rPr>
                <w:rFonts w:hint="eastAsia" w:ascii="Times New Roman" w:hAnsi="Times New Roman" w:eastAsia="宋体" w:cs="Times New Roman"/>
                <w:color w:val="auto"/>
                <w:spacing w:val="-14"/>
                <w:sz w:val="24"/>
                <w:szCs w:val="24"/>
                <w:highlight w:val="none"/>
                <w:lang w:val="en-US" w:eastAsia="zh-CN"/>
              </w:rPr>
              <w:t>740.78</w:t>
            </w:r>
            <w:r>
              <w:rPr>
                <w:rFonts w:hint="default" w:ascii="Times New Roman" w:hAnsi="Times New Roman" w:cs="Times New Roman"/>
                <w:color w:val="auto"/>
                <w:spacing w:val="-14"/>
                <w:sz w:val="24"/>
                <w:szCs w:val="24"/>
                <w:highlight w:val="none"/>
              </w:rPr>
              <w:t>m</w:t>
            </w:r>
            <w:r>
              <w:rPr>
                <w:rFonts w:hint="default" w:ascii="Times New Roman" w:hAnsi="Times New Roman" w:cs="Times New Roman"/>
                <w:color w:val="auto"/>
                <w:spacing w:val="-14"/>
                <w:sz w:val="24"/>
                <w:szCs w:val="24"/>
                <w:highlight w:val="none"/>
                <w:vertAlign w:val="superscript"/>
              </w:rPr>
              <w:t>3</w:t>
            </w:r>
            <w:r>
              <w:rPr>
                <w:rFonts w:hint="default" w:ascii="Times New Roman" w:hAnsi="Times New Roman" w:cs="Times New Roman"/>
                <w:color w:val="auto"/>
                <w:spacing w:val="-14"/>
                <w:sz w:val="24"/>
                <w:szCs w:val="24"/>
                <w:highlight w:val="none"/>
              </w:rPr>
              <w:t>（其中：水基泥浆</w:t>
            </w:r>
            <w:r>
              <w:rPr>
                <w:rFonts w:hint="eastAsia" w:ascii="Times New Roman" w:hAnsi="Times New Roman" w:eastAsia="宋体" w:cs="Times New Roman"/>
                <w:color w:val="auto"/>
                <w:spacing w:val="-14"/>
                <w:sz w:val="24"/>
                <w:szCs w:val="24"/>
                <w:highlight w:val="none"/>
                <w:lang w:val="en-US" w:eastAsia="zh-CN"/>
              </w:rPr>
              <w:t>474.35</w:t>
            </w:r>
            <w:r>
              <w:rPr>
                <w:rFonts w:hint="default" w:ascii="Times New Roman" w:hAnsi="Times New Roman" w:cs="Times New Roman"/>
                <w:color w:val="auto"/>
                <w:spacing w:val="-14"/>
                <w:sz w:val="24"/>
                <w:szCs w:val="24"/>
                <w:highlight w:val="none"/>
              </w:rPr>
              <w:t>m</w:t>
            </w:r>
            <w:r>
              <w:rPr>
                <w:rFonts w:hint="default" w:ascii="Times New Roman" w:hAnsi="Times New Roman" w:cs="Times New Roman"/>
                <w:color w:val="auto"/>
                <w:spacing w:val="-14"/>
                <w:sz w:val="24"/>
                <w:szCs w:val="24"/>
                <w:highlight w:val="none"/>
                <w:vertAlign w:val="superscript"/>
              </w:rPr>
              <w:t>3</w:t>
            </w:r>
            <w:r>
              <w:rPr>
                <w:rFonts w:hint="default" w:ascii="Times New Roman" w:hAnsi="Times New Roman" w:cs="Times New Roman"/>
                <w:color w:val="auto"/>
                <w:spacing w:val="-14"/>
                <w:sz w:val="24"/>
                <w:szCs w:val="24"/>
                <w:highlight w:val="none"/>
              </w:rPr>
              <w:t>，油基泥浆</w:t>
            </w:r>
            <w:r>
              <w:rPr>
                <w:rFonts w:hint="eastAsia" w:ascii="Times New Roman" w:hAnsi="Times New Roman" w:eastAsia="宋体" w:cs="Times New Roman"/>
                <w:color w:val="auto"/>
                <w:spacing w:val="-14"/>
                <w:sz w:val="24"/>
                <w:szCs w:val="24"/>
                <w:highlight w:val="none"/>
                <w:lang w:val="en-US" w:eastAsia="zh-CN"/>
              </w:rPr>
              <w:t>266.43</w:t>
            </w:r>
            <w:r>
              <w:rPr>
                <w:rFonts w:hint="default" w:ascii="Times New Roman" w:hAnsi="Times New Roman" w:cs="Times New Roman"/>
                <w:color w:val="auto"/>
                <w:spacing w:val="-14"/>
                <w:sz w:val="24"/>
                <w:szCs w:val="24"/>
                <w:highlight w:val="none"/>
              </w:rPr>
              <w:t>m</w:t>
            </w:r>
            <w:r>
              <w:rPr>
                <w:rFonts w:hint="default" w:ascii="Times New Roman" w:hAnsi="Times New Roman" w:cs="Times New Roman"/>
                <w:color w:val="auto"/>
                <w:spacing w:val="-14"/>
                <w:sz w:val="24"/>
                <w:szCs w:val="24"/>
                <w:highlight w:val="none"/>
                <w:vertAlign w:val="superscript"/>
              </w:rPr>
              <w:t>3</w:t>
            </w:r>
            <w:r>
              <w:rPr>
                <w:rFonts w:hint="default" w:ascii="Times New Roman" w:hAnsi="Times New Roman" w:cs="Times New Roman"/>
                <w:color w:val="auto"/>
                <w:spacing w:val="-14"/>
                <w:sz w:val="24"/>
                <w:szCs w:val="24"/>
                <w:highlight w:val="none"/>
              </w:rPr>
              <w:t>）。</w:t>
            </w:r>
            <w:r>
              <w:rPr>
                <w:rFonts w:hint="default" w:ascii="Times New Roman" w:hAnsi="Times New Roman" w:cs="Times New Roman"/>
                <w:color w:val="auto"/>
                <w:spacing w:val="-14"/>
                <w:sz w:val="24"/>
                <w:szCs w:val="24"/>
                <w:highlight w:val="none"/>
                <w:lang w:val="en-US" w:eastAsia="zh-CN"/>
              </w:rPr>
              <w:t>废弃</w:t>
            </w:r>
            <w:r>
              <w:rPr>
                <w:rFonts w:hint="default" w:ascii="Times New Roman" w:hAnsi="Times New Roman" w:cs="Times New Roman"/>
                <w:color w:val="auto"/>
                <w:sz w:val="24"/>
                <w:szCs w:val="24"/>
                <w:highlight w:val="none"/>
              </w:rPr>
              <w:t>水基</w:t>
            </w:r>
            <w:r>
              <w:rPr>
                <w:rFonts w:hint="default" w:ascii="Times New Roman" w:hAnsi="Times New Roman" w:eastAsia="宋体" w:cs="Times New Roman"/>
                <w:color w:val="auto"/>
                <w:sz w:val="24"/>
                <w:szCs w:val="24"/>
                <w:highlight w:val="none"/>
                <w:lang w:val="en-US" w:eastAsia="zh-CN"/>
              </w:rPr>
              <w:t>泥浆</w:t>
            </w:r>
            <w:r>
              <w:rPr>
                <w:rFonts w:hint="default" w:ascii="Times New Roman" w:hAnsi="Times New Roman" w:cs="Times New Roman"/>
                <w:color w:val="auto"/>
                <w:sz w:val="24"/>
                <w:szCs w:val="24"/>
                <w:highlight w:val="none"/>
              </w:rPr>
              <w:t>暂存于专用</w:t>
            </w:r>
            <w:r>
              <w:rPr>
                <w:rFonts w:hint="default" w:ascii="Times New Roman" w:hAnsi="Times New Roman" w:eastAsia="宋体" w:cs="Times New Roman"/>
                <w:color w:val="auto"/>
                <w:sz w:val="24"/>
                <w:szCs w:val="24"/>
                <w:highlight w:val="none"/>
                <w:lang w:val="en-US" w:eastAsia="zh-CN"/>
              </w:rPr>
              <w:t>泥浆</w:t>
            </w:r>
            <w:r>
              <w:rPr>
                <w:rFonts w:hint="default" w:ascii="Times New Roman" w:hAnsi="Times New Roman" w:cs="Times New Roman"/>
                <w:color w:val="auto"/>
                <w:sz w:val="24"/>
                <w:szCs w:val="24"/>
                <w:highlight w:val="none"/>
              </w:rPr>
              <w:t>方罐中，由具备资质的单位及时转运处理，处置过程符合《油气田钻井固体废弃物综合利用污染物控制要求》（DB</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65/T</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3997—2017）相关要求，具备条件的可综合利用。</w:t>
            </w:r>
            <w:r>
              <w:rPr>
                <w:rFonts w:hint="default" w:ascii="Times New Roman" w:hAnsi="Times New Roman" w:eastAsia="宋体" w:cs="Times New Roman"/>
                <w:color w:val="auto"/>
                <w:sz w:val="24"/>
                <w:szCs w:val="24"/>
                <w:highlight w:val="none"/>
                <w:lang w:val="en-US" w:eastAsia="zh-CN"/>
              </w:rPr>
              <w:t>废弃</w:t>
            </w:r>
            <w:r>
              <w:rPr>
                <w:rFonts w:hint="default" w:ascii="Times New Roman" w:hAnsi="Times New Roman" w:cs="Times New Roman"/>
                <w:color w:val="auto"/>
                <w:spacing w:val="-2"/>
                <w:sz w:val="24"/>
                <w:szCs w:val="24"/>
                <w:highlight w:val="none"/>
              </w:rPr>
              <w:t>油基泥浆根据《国家危险废物名录》（2025年本）按照危险废物进行管理（危废编号为</w:t>
            </w:r>
            <w:r>
              <w:rPr>
                <w:rFonts w:hint="default" w:ascii="Times New Roman" w:hAnsi="Times New Roman" w:eastAsia="Times New Roman" w:cs="Times New Roman"/>
                <w:color w:val="auto"/>
                <w:spacing w:val="-1"/>
                <w:sz w:val="24"/>
                <w:szCs w:val="24"/>
                <w:highlight w:val="none"/>
              </w:rPr>
              <w:t>HW08</w:t>
            </w:r>
            <w:r>
              <w:rPr>
                <w:rFonts w:hint="default" w:ascii="Times New Roman" w:hAnsi="Times New Roman" w:cs="Times New Roman"/>
                <w:color w:val="auto"/>
                <w:spacing w:val="-1"/>
                <w:sz w:val="24"/>
                <w:szCs w:val="24"/>
                <w:highlight w:val="none"/>
              </w:rPr>
              <w:t>，废物代码为</w:t>
            </w:r>
            <w:r>
              <w:rPr>
                <w:rFonts w:hint="default" w:ascii="Times New Roman" w:hAnsi="Times New Roman" w:eastAsia="Times New Roman" w:cs="Times New Roman"/>
                <w:color w:val="auto"/>
                <w:spacing w:val="-1"/>
                <w:sz w:val="24"/>
                <w:szCs w:val="24"/>
                <w:highlight w:val="none"/>
              </w:rPr>
              <w:t>071-002-08</w:t>
            </w:r>
            <w:r>
              <w:rPr>
                <w:rFonts w:hint="default" w:ascii="Times New Roman" w:hAnsi="Times New Roman" w:cs="Times New Roman"/>
                <w:color w:val="auto"/>
                <w:spacing w:val="4"/>
                <w:sz w:val="24"/>
                <w:szCs w:val="24"/>
                <w:highlight w:val="none"/>
              </w:rPr>
              <w:t>），</w:t>
            </w:r>
            <w:r>
              <w:rPr>
                <w:rFonts w:hint="default" w:ascii="Times New Roman" w:hAnsi="Times New Roman" w:cs="Times New Roman"/>
                <w:color w:val="auto"/>
                <w:spacing w:val="-1"/>
                <w:sz w:val="24"/>
                <w:szCs w:val="24"/>
                <w:highlight w:val="none"/>
              </w:rPr>
              <w:t>暂存于防渗密闭的油基</w:t>
            </w:r>
            <w:r>
              <w:rPr>
                <w:rFonts w:hint="default" w:ascii="Times New Roman" w:hAnsi="Times New Roman" w:eastAsia="宋体" w:cs="Times New Roman"/>
                <w:color w:val="auto"/>
                <w:spacing w:val="-1"/>
                <w:sz w:val="24"/>
                <w:szCs w:val="24"/>
                <w:highlight w:val="none"/>
                <w:lang w:val="en-US" w:eastAsia="zh-CN"/>
              </w:rPr>
              <w:t>泥浆</w:t>
            </w:r>
            <w:r>
              <w:rPr>
                <w:rFonts w:hint="default" w:ascii="Times New Roman" w:hAnsi="Times New Roman" w:cs="Times New Roman"/>
                <w:color w:val="auto"/>
                <w:spacing w:val="-1"/>
                <w:sz w:val="24"/>
                <w:szCs w:val="24"/>
                <w:highlight w:val="none"/>
              </w:rPr>
              <w:t>专用方罐中，分类管理，标识清晰，并定期交由新疆中建环能北庭环保科技有限公司进行转运处置，确保全过程闭环管理、风险可控。</w:t>
            </w:r>
          </w:p>
          <w:p w14:paraId="4C946CF5">
            <w:pPr>
              <w:pStyle w:val="16"/>
              <w:widowControl w:val="0"/>
              <w:spacing w:before="3" w:line="359" w:lineRule="auto"/>
              <w:ind w:right="4"/>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w:t>
            </w:r>
            <w:r>
              <w:rPr>
                <w:rFonts w:hint="default" w:ascii="Times New Roman" w:hAnsi="Times New Roman"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钻井岩屑</w:t>
            </w:r>
          </w:p>
          <w:p w14:paraId="5515823E">
            <w:pPr>
              <w:pStyle w:val="16"/>
              <w:widowControl w:val="0"/>
              <w:spacing w:before="3" w:line="359" w:lineRule="auto"/>
              <w:ind w:left="2" w:right="4" w:firstLine="481"/>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钻井过程中，岩石经钻头和钻井液的研磨而破碎成岩屑，随钻井液排出井口</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进入钻井液不落地系统处理后岩屑与钻井液分离，液体回收利用，固体岩屑拉运处理。岩屑产生量与井身结构有关，可按下式计算：</w:t>
            </w:r>
          </w:p>
          <w:p w14:paraId="53644011">
            <w:pPr>
              <w:widowControl w:val="0"/>
              <w:spacing w:line="322" w:lineRule="exact"/>
              <w:ind w:left="3254"/>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position w:val="1"/>
                <w:sz w:val="24"/>
                <w:szCs w:val="24"/>
                <w:highlight w:val="none"/>
              </w:rPr>
              <w:t>W=1/4×π×D</w:t>
            </w:r>
            <w:r>
              <w:rPr>
                <w:rFonts w:hint="default" w:ascii="Times New Roman" w:hAnsi="Times New Roman" w:eastAsia="宋体" w:cs="Times New Roman"/>
                <w:color w:val="auto"/>
                <w:spacing w:val="-4"/>
                <w:position w:val="8"/>
                <w:sz w:val="15"/>
                <w:szCs w:val="15"/>
                <w:highlight w:val="none"/>
              </w:rPr>
              <w:t>2</w:t>
            </w:r>
            <w:r>
              <w:rPr>
                <w:rFonts w:hint="default" w:ascii="Times New Roman" w:hAnsi="Times New Roman" w:eastAsia="宋体" w:cs="Times New Roman"/>
                <w:color w:val="auto"/>
                <w:spacing w:val="-4"/>
                <w:position w:val="1"/>
                <w:sz w:val="24"/>
                <w:szCs w:val="24"/>
                <w:highlight w:val="none"/>
              </w:rPr>
              <w:t>×h×P</w:t>
            </w:r>
          </w:p>
          <w:p w14:paraId="30B115C1">
            <w:pPr>
              <w:pStyle w:val="16"/>
              <w:widowControl w:val="0"/>
              <w:spacing w:before="153" w:line="219" w:lineRule="auto"/>
              <w:ind w:left="488"/>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式中：W——产生的岩屑量，m</w:t>
            </w:r>
            <w:r>
              <w:rPr>
                <w:rFonts w:hint="default" w:ascii="Times New Roman" w:hAnsi="Times New Roman" w:eastAsia="宋体" w:cs="Times New Roman"/>
                <w:color w:val="auto"/>
                <w:spacing w:val="-1"/>
                <w:position w:val="8"/>
                <w:sz w:val="15"/>
                <w:szCs w:val="15"/>
                <w:highlight w:val="none"/>
              </w:rPr>
              <w:t>3</w:t>
            </w:r>
            <w:r>
              <w:rPr>
                <w:rFonts w:hint="default" w:ascii="Times New Roman" w:hAnsi="Times New Roman" w:eastAsia="宋体" w:cs="Times New Roman"/>
                <w:color w:val="auto"/>
                <w:spacing w:val="-1"/>
                <w:sz w:val="24"/>
                <w:szCs w:val="24"/>
                <w:highlight w:val="none"/>
              </w:rPr>
              <w:t>；</w:t>
            </w:r>
          </w:p>
          <w:p w14:paraId="7B183907">
            <w:pPr>
              <w:pStyle w:val="16"/>
              <w:widowControl w:val="0"/>
              <w:spacing w:before="183" w:line="219" w:lineRule="auto"/>
              <w:ind w:left="1198"/>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D——井眼平均井径，m；</w:t>
            </w:r>
          </w:p>
          <w:p w14:paraId="730C9BEF">
            <w:pPr>
              <w:pStyle w:val="16"/>
              <w:widowControl w:val="0"/>
              <w:spacing w:before="180" w:line="360" w:lineRule="auto"/>
              <w:ind w:left="1195"/>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h——裸眼长度，m；</w:t>
            </w:r>
          </w:p>
          <w:p w14:paraId="74C09383">
            <w:pPr>
              <w:pStyle w:val="16"/>
              <w:widowControl w:val="0"/>
              <w:spacing w:before="3" w:line="360" w:lineRule="auto"/>
              <w:ind w:right="4" w:firstLine="1200" w:firstLineChars="50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P——膨胀系数，使用水基钻井液体系时取P=2.2，油基钻井液体系取P=2.5</w:t>
            </w:r>
            <w:r>
              <w:rPr>
                <w:rFonts w:hint="default" w:ascii="Times New Roman" w:hAnsi="Times New Roman" w:cs="Times New Roman"/>
                <w:color w:val="auto"/>
                <w:sz w:val="24"/>
                <w:szCs w:val="24"/>
                <w:highlight w:val="none"/>
                <w:lang w:eastAsia="zh-CN"/>
              </w:rPr>
              <w:t>。</w:t>
            </w:r>
          </w:p>
          <w:p w14:paraId="379E1774">
            <w:pPr>
              <w:pStyle w:val="4"/>
              <w:widowControl w:val="0"/>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pacing w:val="-2"/>
                <w:sz w:val="24"/>
                <w:szCs w:val="24"/>
                <w:highlight w:val="none"/>
              </w:rPr>
              <w:t>岩屑产生量详见下表</w:t>
            </w:r>
          </w:p>
          <w:p w14:paraId="36047ADE">
            <w:pPr>
              <w:pStyle w:val="22"/>
              <w:widowControl w:val="0"/>
              <w:snapToGrid w:val="0"/>
              <w:ind w:firstLine="0" w:firstLineChars="0"/>
              <w:rPr>
                <w:rFonts w:hint="default" w:ascii="Times New Roman" w:hAnsi="Times New Roman" w:eastAsia="宋体" w:cs="Times New Roman"/>
                <w:b/>
                <w:bCs/>
                <w:snapToGrid w:val="0"/>
                <w:color w:val="auto"/>
                <w:kern w:val="0"/>
                <w:sz w:val="21"/>
                <w:szCs w:val="21"/>
                <w:highlight w:val="none"/>
                <w:lang w:val="en-US" w:eastAsia="en-US" w:bidi="ar-SA"/>
              </w:rPr>
            </w:pPr>
            <w:r>
              <w:rPr>
                <w:rFonts w:hint="default" w:ascii="Times New Roman" w:hAnsi="Times New Roman" w:eastAsia="宋体" w:cs="Times New Roman"/>
                <w:b/>
                <w:bCs/>
                <w:snapToGrid w:val="0"/>
                <w:color w:val="auto"/>
                <w:kern w:val="0"/>
                <w:sz w:val="21"/>
                <w:szCs w:val="21"/>
                <w:highlight w:val="none"/>
                <w:lang w:val="en-US" w:eastAsia="en-US" w:bidi="ar-SA"/>
              </w:rPr>
              <w:t>表4-</w:t>
            </w:r>
            <w:r>
              <w:rPr>
                <w:rFonts w:hint="default" w:ascii="Times New Roman" w:hAnsi="Times New Roman" w:eastAsia="宋体" w:cs="Times New Roman"/>
                <w:b/>
                <w:bCs/>
                <w:snapToGrid w:val="0"/>
                <w:color w:val="auto"/>
                <w:kern w:val="0"/>
                <w:sz w:val="21"/>
                <w:szCs w:val="21"/>
                <w:highlight w:val="none"/>
                <w:lang w:val="en-US" w:eastAsia="zh-CN" w:bidi="ar-SA"/>
              </w:rPr>
              <w:t xml:space="preserve">2 </w:t>
            </w:r>
            <w:r>
              <w:rPr>
                <w:rFonts w:hint="default" w:ascii="Times New Roman" w:hAnsi="Times New Roman" w:eastAsia="宋体" w:cs="Times New Roman"/>
                <w:b/>
                <w:bCs/>
                <w:snapToGrid w:val="0"/>
                <w:color w:val="auto"/>
                <w:kern w:val="0"/>
                <w:sz w:val="21"/>
                <w:szCs w:val="21"/>
                <w:highlight w:val="none"/>
                <w:lang w:val="en-US" w:eastAsia="en-US" w:bidi="ar-SA"/>
              </w:rPr>
              <w:t>钻井岩屑产生量一览表</w:t>
            </w:r>
          </w:p>
          <w:tbl>
            <w:tblPr>
              <w:tblStyle w:val="11"/>
              <w:tblW w:w="8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2"/>
              <w:gridCol w:w="1536"/>
              <w:gridCol w:w="1124"/>
              <w:gridCol w:w="1351"/>
              <w:gridCol w:w="1637"/>
              <w:gridCol w:w="1637"/>
            </w:tblGrid>
            <w:tr w14:paraId="5C1E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577" w:type="pct"/>
                  <w:tcBorders>
                    <w:top w:val="single" w:color="auto" w:sz="4" w:space="0"/>
                    <w:left w:val="single" w:color="auto" w:sz="0" w:space="0"/>
                    <w:bottom w:val="single" w:color="auto" w:sz="4" w:space="0"/>
                    <w:right w:val="single" w:color="auto" w:sz="4" w:space="0"/>
                  </w:tcBorders>
                  <w:vAlign w:val="center"/>
                </w:tcPr>
                <w:p w14:paraId="573CB10B">
                  <w:pPr>
                    <w:pStyle w:val="1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开钻</w:t>
                  </w:r>
                </w:p>
                <w:p w14:paraId="2C5EE514">
                  <w:pPr>
                    <w:pStyle w:val="1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次序</w:t>
                  </w:r>
                </w:p>
              </w:tc>
              <w:tc>
                <w:tcPr>
                  <w:tcW w:w="932" w:type="pct"/>
                  <w:tcBorders>
                    <w:top w:val="single" w:color="auto" w:sz="4" w:space="0"/>
                    <w:left w:val="single" w:color="auto" w:sz="4" w:space="0"/>
                    <w:bottom w:val="single" w:color="auto" w:sz="4" w:space="0"/>
                    <w:right w:val="single" w:color="auto" w:sz="4" w:space="0"/>
                  </w:tcBorders>
                  <w:vAlign w:val="center"/>
                </w:tcPr>
                <w:p w14:paraId="53117FA5">
                  <w:pPr>
                    <w:pStyle w:val="19"/>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钻井液类型</w:t>
                  </w:r>
                </w:p>
              </w:tc>
              <w:tc>
                <w:tcPr>
                  <w:tcW w:w="682" w:type="pct"/>
                  <w:tcBorders>
                    <w:top w:val="single" w:color="auto" w:sz="4" w:space="0"/>
                    <w:left w:val="single" w:color="auto" w:sz="4" w:space="0"/>
                    <w:bottom w:val="single" w:color="auto" w:sz="4" w:space="0"/>
                    <w:right w:val="single" w:color="auto" w:sz="4" w:space="0"/>
                  </w:tcBorders>
                  <w:vAlign w:val="center"/>
                </w:tcPr>
                <w:p w14:paraId="19006574">
                  <w:pPr>
                    <w:pStyle w:val="1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钻头尺寸</w:t>
                  </w:r>
                </w:p>
                <w:p w14:paraId="2B091B7F">
                  <w:pPr>
                    <w:pStyle w:val="1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(mm)</w:t>
                  </w:r>
                </w:p>
              </w:tc>
              <w:tc>
                <w:tcPr>
                  <w:tcW w:w="820" w:type="pct"/>
                  <w:tcBorders>
                    <w:top w:val="single" w:color="auto" w:sz="4" w:space="0"/>
                    <w:left w:val="single" w:color="auto" w:sz="4" w:space="0"/>
                    <w:bottom w:val="single" w:color="auto" w:sz="4" w:space="0"/>
                    <w:right w:val="single" w:color="auto" w:sz="4" w:space="0"/>
                  </w:tcBorders>
                  <w:vAlign w:val="center"/>
                </w:tcPr>
                <w:p w14:paraId="21930408">
                  <w:pPr>
                    <w:pStyle w:val="16"/>
                    <w:spacing w:before="60" w:line="228"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4"/>
                      <w:sz w:val="21"/>
                      <w:szCs w:val="21"/>
                      <w:highlight w:val="none"/>
                      <w:lang w:eastAsia="zh-CN"/>
                    </w:rPr>
                    <w:t>井段（m）</w:t>
                  </w:r>
                </w:p>
              </w:tc>
              <w:tc>
                <w:tcPr>
                  <w:tcW w:w="993" w:type="pct"/>
                  <w:tcBorders>
                    <w:top w:val="single" w:color="auto" w:sz="4" w:space="0"/>
                    <w:left w:val="single" w:color="auto" w:sz="4" w:space="0"/>
                    <w:bottom w:val="single" w:color="auto" w:sz="4" w:space="0"/>
                    <w:right w:val="single" w:color="auto" w:sz="4" w:space="0"/>
                  </w:tcBorders>
                  <w:vAlign w:val="center"/>
                </w:tcPr>
                <w:p w14:paraId="5F102AC7">
                  <w:pPr>
                    <w:pStyle w:val="16"/>
                    <w:spacing w:before="60" w:line="228" w:lineRule="auto"/>
                    <w:jc w:val="center"/>
                    <w:rPr>
                      <w:rFonts w:hint="default" w:ascii="Times New Roman" w:hAnsi="Times New Roman" w:eastAsia="宋体" w:cs="Times New Roman"/>
                      <w:b/>
                      <w:bCs/>
                      <w:color w:val="auto"/>
                      <w:spacing w:val="4"/>
                      <w:sz w:val="21"/>
                      <w:szCs w:val="21"/>
                      <w:highlight w:val="none"/>
                    </w:rPr>
                  </w:pPr>
                  <w:r>
                    <w:rPr>
                      <w:rFonts w:hint="default" w:ascii="Times New Roman" w:hAnsi="Times New Roman" w:cs="Times New Roman"/>
                      <w:b/>
                      <w:bCs/>
                      <w:color w:val="auto"/>
                      <w:spacing w:val="7"/>
                      <w:sz w:val="21"/>
                      <w:szCs w:val="21"/>
                      <w:highlight w:val="none"/>
                      <w:lang w:val="en-US" w:eastAsia="zh-CN"/>
                    </w:rPr>
                    <w:t>单井</w:t>
                  </w:r>
                  <w:r>
                    <w:rPr>
                      <w:rFonts w:hint="default" w:ascii="Times New Roman" w:hAnsi="Times New Roman" w:eastAsia="宋体" w:cs="Times New Roman"/>
                      <w:b/>
                      <w:bCs/>
                      <w:color w:val="auto"/>
                      <w:spacing w:val="7"/>
                      <w:sz w:val="21"/>
                      <w:szCs w:val="21"/>
                      <w:highlight w:val="none"/>
                    </w:rPr>
                    <w:t>岩屑</w:t>
                  </w:r>
                  <w:r>
                    <w:rPr>
                      <w:rFonts w:hint="default" w:ascii="Times New Roman" w:hAnsi="Times New Roman" w:cs="Times New Roman"/>
                      <w:b/>
                      <w:bCs/>
                      <w:color w:val="auto"/>
                      <w:spacing w:val="7"/>
                      <w:sz w:val="21"/>
                      <w:szCs w:val="21"/>
                      <w:highlight w:val="none"/>
                      <w:lang w:val="en-US" w:eastAsia="zh-CN"/>
                    </w:rPr>
                    <w:t>产生</w:t>
                  </w:r>
                  <w:r>
                    <w:rPr>
                      <w:rFonts w:hint="default" w:ascii="Times New Roman" w:hAnsi="Times New Roman" w:eastAsia="宋体" w:cs="Times New Roman"/>
                      <w:b/>
                      <w:bCs/>
                      <w:color w:val="auto"/>
                      <w:spacing w:val="7"/>
                      <w:sz w:val="21"/>
                      <w:szCs w:val="21"/>
                      <w:highlight w:val="none"/>
                    </w:rPr>
                    <w:t>量</w:t>
                  </w:r>
                </w:p>
                <w:p w14:paraId="3C499A10">
                  <w:pPr>
                    <w:pStyle w:val="16"/>
                    <w:spacing w:before="60" w:line="228"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4"/>
                      <w:sz w:val="21"/>
                      <w:szCs w:val="21"/>
                      <w:highlight w:val="none"/>
                      <w:lang w:eastAsia="zh-CN"/>
                    </w:rPr>
                    <w:t>（</w:t>
                  </w:r>
                  <w:r>
                    <w:rPr>
                      <w:rFonts w:hint="default" w:ascii="Times New Roman" w:hAnsi="Times New Roman" w:eastAsia="宋体" w:cs="Times New Roman"/>
                      <w:color w:val="auto"/>
                      <w:spacing w:val="1"/>
                      <w:sz w:val="21"/>
                      <w:szCs w:val="21"/>
                      <w:highlight w:val="none"/>
                    </w:rPr>
                    <w:t>m</w:t>
                  </w:r>
                  <w:r>
                    <w:rPr>
                      <w:rFonts w:hint="default" w:ascii="Times New Roman" w:hAnsi="Times New Roman" w:eastAsia="宋体" w:cs="Times New Roman"/>
                      <w:color w:val="auto"/>
                      <w:spacing w:val="1"/>
                      <w:sz w:val="21"/>
                      <w:szCs w:val="21"/>
                      <w:highlight w:val="none"/>
                      <w:vertAlign w:val="superscript"/>
                      <w:lang w:val="en-US" w:eastAsia="zh-CN"/>
                    </w:rPr>
                    <w:t>3</w:t>
                  </w:r>
                  <w:r>
                    <w:rPr>
                      <w:rFonts w:hint="default" w:ascii="Times New Roman" w:hAnsi="Times New Roman" w:eastAsia="宋体" w:cs="Times New Roman"/>
                      <w:b/>
                      <w:bCs/>
                      <w:color w:val="auto"/>
                      <w:spacing w:val="4"/>
                      <w:sz w:val="21"/>
                      <w:szCs w:val="21"/>
                      <w:highlight w:val="none"/>
                      <w:lang w:eastAsia="zh-CN"/>
                    </w:rPr>
                    <w:t>）</w:t>
                  </w:r>
                </w:p>
              </w:tc>
              <w:tc>
                <w:tcPr>
                  <w:tcW w:w="993" w:type="pct"/>
                  <w:tcBorders>
                    <w:top w:val="single" w:color="auto" w:sz="4" w:space="0"/>
                    <w:left w:val="single" w:color="auto" w:sz="4" w:space="0"/>
                    <w:bottom w:val="single" w:color="auto" w:sz="4" w:space="0"/>
                    <w:right w:val="single" w:color="auto" w:sz="4" w:space="0"/>
                  </w:tcBorders>
                  <w:vAlign w:val="center"/>
                </w:tcPr>
                <w:p w14:paraId="4EE54D9B">
                  <w:pPr>
                    <w:pStyle w:val="16"/>
                    <w:spacing w:before="60" w:line="228" w:lineRule="auto"/>
                    <w:jc w:val="center"/>
                    <w:rPr>
                      <w:rFonts w:hint="default" w:ascii="Times New Roman" w:hAnsi="Times New Roman" w:eastAsia="宋体" w:cs="Times New Roman"/>
                      <w:b/>
                      <w:bCs/>
                      <w:color w:val="auto"/>
                      <w:spacing w:val="4"/>
                      <w:sz w:val="21"/>
                      <w:szCs w:val="21"/>
                      <w:highlight w:val="none"/>
                      <w:lang w:val="en-US" w:eastAsia="zh-CN"/>
                    </w:rPr>
                  </w:pPr>
                  <w:r>
                    <w:rPr>
                      <w:rFonts w:hint="default" w:ascii="Times New Roman" w:hAnsi="Times New Roman" w:cs="Times New Roman"/>
                      <w:b/>
                      <w:bCs/>
                      <w:color w:val="auto"/>
                      <w:spacing w:val="4"/>
                      <w:sz w:val="21"/>
                      <w:szCs w:val="21"/>
                      <w:highlight w:val="none"/>
                      <w:lang w:val="en-US" w:eastAsia="zh-CN"/>
                    </w:rPr>
                    <w:t>合计</w:t>
                  </w:r>
                  <w:r>
                    <w:rPr>
                      <w:rFonts w:hint="default" w:ascii="Times New Roman" w:hAnsi="Times New Roman" w:eastAsia="宋体" w:cs="Times New Roman"/>
                      <w:b/>
                      <w:bCs/>
                      <w:color w:val="auto"/>
                      <w:spacing w:val="4"/>
                      <w:sz w:val="21"/>
                      <w:szCs w:val="21"/>
                      <w:highlight w:val="none"/>
                      <w:lang w:eastAsia="zh-CN"/>
                    </w:rPr>
                    <w:t>（</w:t>
                  </w:r>
                  <w:r>
                    <w:rPr>
                      <w:rFonts w:hint="default" w:ascii="Times New Roman" w:hAnsi="Times New Roman" w:eastAsia="宋体" w:cs="Times New Roman"/>
                      <w:color w:val="auto"/>
                      <w:spacing w:val="1"/>
                      <w:sz w:val="21"/>
                      <w:szCs w:val="21"/>
                      <w:highlight w:val="none"/>
                    </w:rPr>
                    <w:t>m</w:t>
                  </w:r>
                  <w:r>
                    <w:rPr>
                      <w:rFonts w:hint="default" w:ascii="Times New Roman" w:hAnsi="Times New Roman" w:eastAsia="宋体" w:cs="Times New Roman"/>
                      <w:color w:val="auto"/>
                      <w:spacing w:val="1"/>
                      <w:sz w:val="21"/>
                      <w:szCs w:val="21"/>
                      <w:highlight w:val="none"/>
                      <w:vertAlign w:val="superscript"/>
                      <w:lang w:val="en-US" w:eastAsia="zh-CN"/>
                    </w:rPr>
                    <w:t>3</w:t>
                  </w:r>
                  <w:r>
                    <w:rPr>
                      <w:rFonts w:hint="default" w:ascii="Times New Roman" w:hAnsi="Times New Roman" w:eastAsia="宋体" w:cs="Times New Roman"/>
                      <w:b/>
                      <w:bCs/>
                      <w:color w:val="auto"/>
                      <w:spacing w:val="4"/>
                      <w:sz w:val="21"/>
                      <w:szCs w:val="21"/>
                      <w:highlight w:val="none"/>
                      <w:lang w:eastAsia="zh-CN"/>
                    </w:rPr>
                    <w:t>）</w:t>
                  </w:r>
                </w:p>
              </w:tc>
            </w:tr>
            <w:tr w14:paraId="1A528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3" w:hRule="atLeast"/>
                <w:jc w:val="center"/>
              </w:trPr>
              <w:tc>
                <w:tcPr>
                  <w:tcW w:w="577" w:type="pct"/>
                  <w:tcBorders>
                    <w:top w:val="single" w:color="auto" w:sz="4" w:space="0"/>
                    <w:left w:val="single" w:color="auto" w:sz="4" w:space="0"/>
                    <w:bottom w:val="single" w:color="auto" w:sz="4" w:space="0"/>
                    <w:right w:val="single" w:color="auto" w:sz="4" w:space="0"/>
                  </w:tcBorders>
                  <w:vAlign w:val="center"/>
                </w:tcPr>
                <w:p w14:paraId="0FC68E6E">
                  <w:pPr>
                    <w:pStyle w:val="19"/>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导眼</w:t>
                  </w:r>
                </w:p>
              </w:tc>
              <w:tc>
                <w:tcPr>
                  <w:tcW w:w="932" w:type="pct"/>
                  <w:vMerge w:val="restart"/>
                  <w:tcBorders>
                    <w:top w:val="single" w:color="auto" w:sz="4" w:space="0"/>
                    <w:left w:val="single" w:color="auto" w:sz="4" w:space="0"/>
                    <w:bottom w:val="single" w:color="auto" w:sz="4" w:space="0"/>
                    <w:right w:val="single" w:color="auto" w:sz="4" w:space="0"/>
                  </w:tcBorders>
                  <w:vAlign w:val="center"/>
                </w:tcPr>
                <w:p w14:paraId="661004C4">
                  <w:pPr>
                    <w:pStyle w:val="19"/>
                    <w:spacing w:line="320" w:lineRule="exact"/>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水基钻井液</w:t>
                  </w:r>
                </w:p>
              </w:tc>
              <w:tc>
                <w:tcPr>
                  <w:tcW w:w="1124" w:type="dxa"/>
                  <w:tcBorders>
                    <w:top w:val="single" w:color="auto" w:sz="4" w:space="0"/>
                    <w:left w:val="single" w:color="auto" w:sz="4" w:space="0"/>
                    <w:bottom w:val="single" w:color="auto" w:sz="4" w:space="0"/>
                    <w:right w:val="single" w:color="auto" w:sz="4" w:space="0"/>
                  </w:tcBorders>
                  <w:vAlign w:val="center"/>
                </w:tcPr>
                <w:p w14:paraId="5BE9DBC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u w:val="none"/>
                      <w:lang w:val="en-US" w:eastAsia="zh-CN" w:bidi="ar"/>
                    </w:rPr>
                    <w:t>Φ660</w:t>
                  </w:r>
                </w:p>
              </w:tc>
              <w:tc>
                <w:tcPr>
                  <w:tcW w:w="1351" w:type="dxa"/>
                  <w:tcBorders>
                    <w:top w:val="single" w:color="auto" w:sz="4" w:space="0"/>
                    <w:left w:val="single" w:color="auto" w:sz="4" w:space="0"/>
                    <w:bottom w:val="single" w:color="auto" w:sz="4" w:space="0"/>
                    <w:right w:val="single" w:color="auto" w:sz="4" w:space="0"/>
                  </w:tcBorders>
                  <w:shd w:val="clear" w:color="auto" w:fill="auto"/>
                  <w:vAlign w:val="center"/>
                </w:tcPr>
                <w:p w14:paraId="0ED9246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zh-CN" w:eastAsia="en-US"/>
                    </w:rPr>
                  </w:pPr>
                  <w:r>
                    <w:rPr>
                      <w:rFonts w:hint="default" w:ascii="Times New Roman" w:hAnsi="Times New Roman" w:eastAsia="宋体" w:cs="Times New Roman"/>
                      <w:i w:val="0"/>
                      <w:iCs w:val="0"/>
                      <w:snapToGrid w:val="0"/>
                      <w:color w:val="auto"/>
                      <w:kern w:val="0"/>
                      <w:sz w:val="21"/>
                      <w:szCs w:val="21"/>
                      <w:u w:val="none"/>
                      <w:lang w:val="en-US" w:eastAsia="zh-CN" w:bidi="ar"/>
                    </w:rPr>
                    <w:t>0-30</w:t>
                  </w:r>
                </w:p>
              </w:tc>
              <w:tc>
                <w:tcPr>
                  <w:tcW w:w="1637" w:type="dxa"/>
                  <w:tcBorders>
                    <w:top w:val="single" w:color="auto" w:sz="4" w:space="0"/>
                    <w:left w:val="single" w:color="auto" w:sz="4" w:space="0"/>
                    <w:bottom w:val="single" w:color="auto" w:sz="4" w:space="0"/>
                    <w:right w:val="single" w:color="auto" w:sz="4" w:space="0"/>
                  </w:tcBorders>
                  <w:vAlign w:val="center"/>
                </w:tcPr>
                <w:p w14:paraId="645DF19C">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22.57</w:t>
                  </w:r>
                </w:p>
              </w:tc>
              <w:tc>
                <w:tcPr>
                  <w:tcW w:w="1637" w:type="dxa"/>
                  <w:tcBorders>
                    <w:top w:val="single" w:color="auto" w:sz="4" w:space="0"/>
                    <w:left w:val="single" w:color="auto" w:sz="4" w:space="0"/>
                    <w:bottom w:val="single" w:color="auto" w:sz="4" w:space="0"/>
                    <w:right w:val="single" w:color="auto" w:sz="4" w:space="0"/>
                  </w:tcBorders>
                  <w:vAlign w:val="center"/>
                </w:tcPr>
                <w:p w14:paraId="04E38387">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451.37</w:t>
                  </w:r>
                </w:p>
              </w:tc>
            </w:tr>
            <w:tr w14:paraId="2249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577" w:type="pct"/>
                  <w:tcBorders>
                    <w:top w:val="single" w:color="auto" w:sz="4" w:space="0"/>
                    <w:left w:val="single" w:color="auto" w:sz="4" w:space="0"/>
                    <w:bottom w:val="single" w:color="auto" w:sz="4" w:space="0"/>
                    <w:right w:val="single" w:color="auto" w:sz="4" w:space="0"/>
                  </w:tcBorders>
                  <w:vAlign w:val="center"/>
                </w:tcPr>
                <w:p w14:paraId="7BFD0163">
                  <w:pPr>
                    <w:pStyle w:val="19"/>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一开</w:t>
                  </w:r>
                </w:p>
              </w:tc>
              <w:tc>
                <w:tcPr>
                  <w:tcW w:w="932" w:type="pct"/>
                  <w:vMerge w:val="continue"/>
                  <w:tcBorders>
                    <w:top w:val="single" w:color="auto" w:sz="4" w:space="0"/>
                    <w:left w:val="single" w:color="auto" w:sz="4" w:space="0"/>
                    <w:bottom w:val="single" w:color="auto" w:sz="4" w:space="0"/>
                    <w:right w:val="single" w:color="auto" w:sz="4" w:space="0"/>
                  </w:tcBorders>
                  <w:vAlign w:val="center"/>
                </w:tcPr>
                <w:p w14:paraId="4F312383">
                  <w:pPr>
                    <w:pStyle w:val="19"/>
                    <w:spacing w:line="320" w:lineRule="exact"/>
                    <w:jc w:val="center"/>
                    <w:rPr>
                      <w:rFonts w:hint="default" w:ascii="Times New Roman" w:hAnsi="Times New Roman" w:eastAsia="宋体" w:cs="Times New Roman"/>
                      <w:color w:val="auto"/>
                      <w:sz w:val="21"/>
                      <w:szCs w:val="21"/>
                      <w:highlight w:val="none"/>
                      <w:lang w:eastAsia="zh-CN"/>
                    </w:rPr>
                  </w:pPr>
                </w:p>
              </w:tc>
              <w:tc>
                <w:tcPr>
                  <w:tcW w:w="1124" w:type="dxa"/>
                  <w:tcBorders>
                    <w:top w:val="single" w:color="auto" w:sz="4" w:space="0"/>
                    <w:left w:val="single" w:color="auto" w:sz="4" w:space="0"/>
                    <w:bottom w:val="single" w:color="auto" w:sz="4" w:space="0"/>
                    <w:right w:val="single" w:color="auto" w:sz="4" w:space="0"/>
                  </w:tcBorders>
                  <w:vAlign w:val="center"/>
                </w:tcPr>
                <w:p w14:paraId="2B8CD9E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Φ375</w:t>
                  </w:r>
                </w:p>
              </w:tc>
              <w:tc>
                <w:tcPr>
                  <w:tcW w:w="1351" w:type="dxa"/>
                  <w:tcBorders>
                    <w:top w:val="single" w:color="auto" w:sz="4" w:space="0"/>
                    <w:left w:val="single" w:color="auto" w:sz="4" w:space="0"/>
                    <w:bottom w:val="single" w:color="auto" w:sz="4" w:space="0"/>
                    <w:right w:val="single" w:color="auto" w:sz="4" w:space="0"/>
                  </w:tcBorders>
                  <w:shd w:val="clear" w:color="auto" w:fill="auto"/>
                  <w:vAlign w:val="center"/>
                </w:tcPr>
                <w:p w14:paraId="11A755C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30-700</w:t>
                  </w:r>
                </w:p>
              </w:tc>
              <w:tc>
                <w:tcPr>
                  <w:tcW w:w="1637" w:type="dxa"/>
                  <w:tcBorders>
                    <w:top w:val="single" w:color="auto" w:sz="4" w:space="0"/>
                    <w:left w:val="single" w:color="auto" w:sz="4" w:space="0"/>
                    <w:bottom w:val="single" w:color="auto" w:sz="4" w:space="0"/>
                    <w:right w:val="single" w:color="auto" w:sz="4" w:space="0"/>
                  </w:tcBorders>
                  <w:vAlign w:val="center"/>
                </w:tcPr>
                <w:p w14:paraId="7CD4BF2E">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170.00</w:t>
                  </w:r>
                </w:p>
              </w:tc>
              <w:tc>
                <w:tcPr>
                  <w:tcW w:w="1637" w:type="dxa"/>
                  <w:tcBorders>
                    <w:top w:val="single" w:color="auto" w:sz="4" w:space="0"/>
                    <w:left w:val="single" w:color="auto" w:sz="4" w:space="0"/>
                    <w:bottom w:val="single" w:color="auto" w:sz="4" w:space="0"/>
                    <w:right w:val="single" w:color="auto" w:sz="4" w:space="0"/>
                  </w:tcBorders>
                  <w:vAlign w:val="center"/>
                </w:tcPr>
                <w:p w14:paraId="3A9E4C00">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3400.03</w:t>
                  </w:r>
                </w:p>
              </w:tc>
            </w:tr>
            <w:tr w14:paraId="2A1B9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577" w:type="pct"/>
                  <w:tcBorders>
                    <w:top w:val="single" w:color="auto" w:sz="4" w:space="0"/>
                    <w:left w:val="single" w:color="auto" w:sz="4" w:space="0"/>
                    <w:bottom w:val="single" w:color="auto" w:sz="4" w:space="0"/>
                    <w:right w:val="single" w:color="auto" w:sz="4" w:space="0"/>
                  </w:tcBorders>
                  <w:vAlign w:val="center"/>
                </w:tcPr>
                <w:p w14:paraId="2DA76897">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二开</w:t>
                  </w:r>
                </w:p>
              </w:tc>
              <w:tc>
                <w:tcPr>
                  <w:tcW w:w="932" w:type="pct"/>
                  <w:tcBorders>
                    <w:top w:val="single" w:color="auto" w:sz="4" w:space="0"/>
                    <w:left w:val="single" w:color="auto" w:sz="4" w:space="0"/>
                    <w:bottom w:val="single" w:color="auto" w:sz="4" w:space="0"/>
                    <w:right w:val="single" w:color="auto" w:sz="4" w:space="0"/>
                  </w:tcBorders>
                  <w:vAlign w:val="center"/>
                </w:tcPr>
                <w:p w14:paraId="33AA24C3">
                  <w:pPr>
                    <w:pStyle w:val="1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油基钻井液</w:t>
                  </w:r>
                </w:p>
              </w:tc>
              <w:tc>
                <w:tcPr>
                  <w:tcW w:w="1124" w:type="dxa"/>
                  <w:tcBorders>
                    <w:top w:val="single" w:color="auto" w:sz="4" w:space="0"/>
                    <w:left w:val="single" w:color="auto" w:sz="4" w:space="0"/>
                    <w:bottom w:val="single" w:color="auto" w:sz="4" w:space="0"/>
                    <w:right w:val="single" w:color="auto" w:sz="4" w:space="0"/>
                  </w:tcBorders>
                  <w:vAlign w:val="center"/>
                </w:tcPr>
                <w:p w14:paraId="495DBFA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Φ251</w:t>
                  </w:r>
                </w:p>
              </w:tc>
              <w:tc>
                <w:tcPr>
                  <w:tcW w:w="1351" w:type="dxa"/>
                  <w:tcBorders>
                    <w:top w:val="single" w:color="auto" w:sz="4" w:space="0"/>
                    <w:left w:val="single" w:color="auto" w:sz="4" w:space="0"/>
                    <w:bottom w:val="single" w:color="auto" w:sz="4" w:space="0"/>
                    <w:right w:val="single" w:color="auto" w:sz="4" w:space="0"/>
                  </w:tcBorders>
                  <w:shd w:val="clear" w:color="auto" w:fill="auto"/>
                  <w:vAlign w:val="center"/>
                </w:tcPr>
                <w:p w14:paraId="6784F37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zh-CN" w:eastAsia="en-US"/>
                    </w:rPr>
                  </w:pPr>
                  <w:r>
                    <w:rPr>
                      <w:rFonts w:hint="default" w:ascii="Times New Roman" w:hAnsi="Times New Roman" w:eastAsia="宋体" w:cs="Times New Roman"/>
                      <w:i w:val="0"/>
                      <w:iCs w:val="0"/>
                      <w:snapToGrid w:val="0"/>
                      <w:color w:val="auto"/>
                      <w:kern w:val="0"/>
                      <w:sz w:val="21"/>
                      <w:szCs w:val="21"/>
                      <w:u w:val="none"/>
                      <w:lang w:val="en-US" w:eastAsia="zh-CN" w:bidi="ar"/>
                    </w:rPr>
                    <w:t>700-3070</w:t>
                  </w:r>
                </w:p>
              </w:tc>
              <w:tc>
                <w:tcPr>
                  <w:tcW w:w="1637" w:type="dxa"/>
                  <w:tcBorders>
                    <w:top w:val="single" w:color="auto" w:sz="4" w:space="0"/>
                    <w:left w:val="single" w:color="auto" w:sz="4" w:space="0"/>
                    <w:bottom w:val="single" w:color="auto" w:sz="4" w:space="0"/>
                    <w:right w:val="single" w:color="auto" w:sz="4" w:space="0"/>
                  </w:tcBorders>
                  <w:vAlign w:val="center"/>
                </w:tcPr>
                <w:p w14:paraId="1672149C">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379.57</w:t>
                  </w:r>
                </w:p>
              </w:tc>
              <w:tc>
                <w:tcPr>
                  <w:tcW w:w="1637" w:type="dxa"/>
                  <w:tcBorders>
                    <w:top w:val="single" w:color="auto" w:sz="4" w:space="0"/>
                    <w:left w:val="single" w:color="auto" w:sz="4" w:space="0"/>
                    <w:bottom w:val="single" w:color="auto" w:sz="4" w:space="0"/>
                    <w:right w:val="single" w:color="auto" w:sz="4" w:space="0"/>
                  </w:tcBorders>
                  <w:vAlign w:val="center"/>
                </w:tcPr>
                <w:p w14:paraId="794E3ABC">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7591.46</w:t>
                  </w:r>
                </w:p>
              </w:tc>
            </w:tr>
            <w:tr w14:paraId="27354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577" w:type="pct"/>
                  <w:tcBorders>
                    <w:top w:val="single" w:color="auto" w:sz="4" w:space="0"/>
                    <w:left w:val="single" w:color="auto" w:sz="4" w:space="0"/>
                    <w:bottom w:val="single" w:color="auto" w:sz="4" w:space="0"/>
                    <w:right w:val="single" w:color="auto" w:sz="4" w:space="0"/>
                  </w:tcBorders>
                  <w:vAlign w:val="center"/>
                </w:tcPr>
                <w:p w14:paraId="4423A197">
                  <w:pPr>
                    <w:pStyle w:val="1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三开</w:t>
                  </w:r>
                </w:p>
              </w:tc>
              <w:tc>
                <w:tcPr>
                  <w:tcW w:w="932" w:type="pct"/>
                  <w:tcBorders>
                    <w:top w:val="single" w:color="auto" w:sz="4" w:space="0"/>
                    <w:left w:val="single" w:color="auto" w:sz="4" w:space="0"/>
                    <w:bottom w:val="single" w:color="auto" w:sz="4" w:space="0"/>
                    <w:right w:val="single" w:color="auto" w:sz="4" w:space="0"/>
                  </w:tcBorders>
                  <w:vAlign w:val="center"/>
                </w:tcPr>
                <w:p w14:paraId="1FDB1EC2">
                  <w:pPr>
                    <w:pStyle w:val="1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水基钻井液</w:t>
                  </w:r>
                </w:p>
              </w:tc>
              <w:tc>
                <w:tcPr>
                  <w:tcW w:w="1124" w:type="dxa"/>
                  <w:tcBorders>
                    <w:top w:val="single" w:color="auto" w:sz="4" w:space="0"/>
                    <w:left w:val="single" w:color="auto" w:sz="4" w:space="0"/>
                    <w:bottom w:val="single" w:color="auto" w:sz="4" w:space="0"/>
                    <w:right w:val="single" w:color="auto" w:sz="4" w:space="0"/>
                  </w:tcBorders>
                  <w:vAlign w:val="center"/>
                </w:tcPr>
                <w:p w14:paraId="72B6A6C4">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Φ168</w:t>
                  </w:r>
                </w:p>
              </w:tc>
              <w:tc>
                <w:tcPr>
                  <w:tcW w:w="1351" w:type="dxa"/>
                  <w:tcBorders>
                    <w:top w:val="single" w:color="auto" w:sz="4" w:space="0"/>
                    <w:left w:val="single" w:color="auto" w:sz="4" w:space="0"/>
                    <w:bottom w:val="single" w:color="auto" w:sz="4" w:space="0"/>
                    <w:right w:val="single" w:color="auto" w:sz="4" w:space="0"/>
                  </w:tcBorders>
                  <w:shd w:val="clear" w:color="auto" w:fill="auto"/>
                  <w:vAlign w:val="center"/>
                </w:tcPr>
                <w:p w14:paraId="74657CC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3070-3490</w:t>
                  </w:r>
                </w:p>
              </w:tc>
              <w:tc>
                <w:tcPr>
                  <w:tcW w:w="1637" w:type="dxa"/>
                  <w:tcBorders>
                    <w:top w:val="single" w:color="auto" w:sz="4" w:space="0"/>
                    <w:left w:val="single" w:color="auto" w:sz="4" w:space="0"/>
                    <w:bottom w:val="single" w:color="auto" w:sz="4" w:space="0"/>
                    <w:right w:val="single" w:color="auto" w:sz="4" w:space="0"/>
                  </w:tcBorders>
                  <w:vAlign w:val="center"/>
                </w:tcPr>
                <w:p w14:paraId="57F9DB85">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170.11</w:t>
                  </w:r>
                </w:p>
              </w:tc>
              <w:tc>
                <w:tcPr>
                  <w:tcW w:w="1637" w:type="dxa"/>
                  <w:tcBorders>
                    <w:top w:val="single" w:color="auto" w:sz="4" w:space="0"/>
                    <w:left w:val="single" w:color="auto" w:sz="4" w:space="0"/>
                    <w:bottom w:val="single" w:color="auto" w:sz="4" w:space="0"/>
                    <w:right w:val="single" w:color="auto" w:sz="4" w:space="0"/>
                  </w:tcBorders>
                  <w:vAlign w:val="center"/>
                </w:tcPr>
                <w:p w14:paraId="4C77FC19">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3402.25</w:t>
                  </w:r>
                </w:p>
              </w:tc>
            </w:tr>
          </w:tbl>
          <w:p w14:paraId="017B8DF8">
            <w:pPr>
              <w:pStyle w:val="16"/>
              <w:widowControl w:val="0"/>
              <w:spacing w:before="38" w:line="360" w:lineRule="auto"/>
              <w:ind w:right="4"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根据中国石油天然气股份有限公司吐哈油田分公司准东采油管理区钻井工程相关要求，钻井过程中产生的水基与油基岩屑均由建设单位负责监管。</w:t>
            </w:r>
          </w:p>
          <w:p w14:paraId="7F204AD2">
            <w:pPr>
              <w:pStyle w:val="16"/>
              <w:widowControl w:val="0"/>
              <w:spacing w:before="38" w:line="360" w:lineRule="auto"/>
              <w:ind w:right="4"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配套采用泥浆不落地系统。导眼段和一开段产生的水基岩屑进入不落地系统进行固液分离，分离后的液相由建设单位回收并循环用于后续钻井施工，不外排；固相水基岩屑暂存于专用岩屑方罐内，并由具备资质的单位及时转运处置，处置过程符合《油气田钻井固体废弃物综合利用污染物控制要求》（DB</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65/T</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3997—2017）相关规定，具备条件的可进行综合利用。</w:t>
            </w:r>
          </w:p>
          <w:p w14:paraId="0801E89A">
            <w:pPr>
              <w:pStyle w:val="16"/>
              <w:widowControl w:val="0"/>
              <w:spacing w:before="38" w:line="360" w:lineRule="auto"/>
              <w:ind w:right="4"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二开段产生的油基岩屑以及三开段产生的沾染油基钻井液的水基岩屑，同样进入不落地系统进行固液分离，液相回收循环使用；固相部分依据《国家危险废物名录》（2025年版）认定为危险废物（危废类别HW08，废物代码071-002-08），需按危险废物规范化管理。上述危废暂存于防渗密闭的油基岩屑专用方罐中，实行分类管理、标识清晰，并定期交由具有危险废物转运和处置资质的新疆中建环能北庭环保科技有限公司进行安全转运和无害化处置，确保全过程闭环管理、风险可控。</w:t>
            </w:r>
          </w:p>
          <w:p w14:paraId="61E8DFD7">
            <w:pPr>
              <w:pStyle w:val="16"/>
              <w:widowControl w:val="0"/>
              <w:spacing w:line="360" w:lineRule="auto"/>
              <w:ind w:left="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3"/>
                <w:sz w:val="24"/>
                <w:szCs w:val="24"/>
                <w:highlight w:val="none"/>
                <w:lang w:val="en-US" w:eastAsia="zh-CN"/>
              </w:rPr>
              <w:t>6</w:t>
            </w:r>
            <w:r>
              <w:rPr>
                <w:rFonts w:hint="default" w:ascii="Times New Roman" w:hAnsi="Times New Roman" w:eastAsia="宋体" w:cs="Times New Roman"/>
                <w:b/>
                <w:bCs/>
                <w:color w:val="auto"/>
                <w:spacing w:val="-3"/>
                <w:sz w:val="24"/>
                <w:szCs w:val="24"/>
                <w:highlight w:val="none"/>
              </w:rPr>
              <w:t>.3生活垃圾</w:t>
            </w:r>
          </w:p>
          <w:p w14:paraId="2DC380F7">
            <w:pPr>
              <w:pStyle w:val="16"/>
              <w:widowControl w:val="0"/>
              <w:spacing w:before="38" w:line="360" w:lineRule="auto"/>
              <w:ind w:left="3" w:right="4" w:firstLine="480"/>
              <w:jc w:val="both"/>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2"/>
                <w:sz w:val="24"/>
                <w:szCs w:val="24"/>
                <w:highlight w:val="none"/>
              </w:rPr>
              <w:t>施工期生活垃圾产生量按0.8kg/人·d计算，则施工期间生活垃圾产生量约</w:t>
            </w:r>
            <w:r>
              <w:rPr>
                <w:rFonts w:hint="default" w:ascii="Times New Roman" w:hAnsi="Times New Roman" w:cs="Times New Roman"/>
                <w:color w:val="auto"/>
                <w:spacing w:val="-2"/>
                <w:sz w:val="24"/>
                <w:szCs w:val="24"/>
                <w:highlight w:val="none"/>
                <w:lang w:val="en-US" w:eastAsia="zh-CN"/>
              </w:rPr>
              <w:t>50.4</w:t>
            </w:r>
            <w:r>
              <w:rPr>
                <w:rFonts w:hint="default" w:ascii="Times New Roman" w:hAnsi="Times New Roman" w:eastAsia="宋体" w:cs="Times New Roman"/>
                <w:color w:val="auto"/>
                <w:spacing w:val="-2"/>
                <w:sz w:val="24"/>
                <w:szCs w:val="24"/>
                <w:highlight w:val="none"/>
              </w:rPr>
              <w:t>t，生活垃圾由垃圾箱收集，待施工结束后拉运至吉木萨尔县生活垃圾填埋场进行处理。</w:t>
            </w:r>
          </w:p>
          <w:p w14:paraId="5B242872">
            <w:pPr>
              <w:pStyle w:val="16"/>
              <w:widowControl w:val="0"/>
              <w:spacing w:before="2" w:line="360" w:lineRule="auto"/>
              <w:ind w:left="3"/>
              <w:rPr>
                <w:rFonts w:hint="default" w:ascii="Times New Roman" w:hAnsi="Times New Roman" w:eastAsia="宋体" w:cs="Times New Roman"/>
                <w:b/>
                <w:bCs/>
                <w:color w:val="auto"/>
                <w:spacing w:val="-3"/>
                <w:sz w:val="24"/>
                <w:szCs w:val="24"/>
                <w:highlight w:val="none"/>
              </w:rPr>
            </w:pPr>
            <w:r>
              <w:rPr>
                <w:rFonts w:hint="default" w:ascii="Times New Roman" w:hAnsi="Times New Roman" w:eastAsia="宋体" w:cs="Times New Roman"/>
                <w:b/>
                <w:bCs/>
                <w:color w:val="auto"/>
                <w:spacing w:val="-3"/>
                <w:sz w:val="24"/>
                <w:szCs w:val="24"/>
                <w:highlight w:val="none"/>
              </w:rPr>
              <w:t>6.4废防渗材料</w:t>
            </w:r>
          </w:p>
          <w:p w14:paraId="227805A9">
            <w:pPr>
              <w:pStyle w:val="16"/>
              <w:widowControl w:val="0"/>
              <w:spacing w:before="2" w:line="360" w:lineRule="auto"/>
              <w:ind w:left="3" w:firstLine="472"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施工结束对场地进行清理时，会产生在防渗区域铺设的废防渗材料，拆除的未破损且未沾油的防渗材料由建设单位集中回收利用，类比其他钻井井场施工经</w:t>
            </w:r>
            <w:r>
              <w:rPr>
                <w:rFonts w:hint="default" w:ascii="Times New Roman" w:hAnsi="Times New Roman" w:eastAsia="宋体" w:cs="Times New Roman"/>
                <w:color w:val="auto"/>
                <w:spacing w:val="-1"/>
                <w:sz w:val="24"/>
                <w:szCs w:val="24"/>
                <w:highlight w:val="none"/>
              </w:rPr>
              <w:t>验，沾油的废防渗材料产生量约0.02t/井，本项目</w:t>
            </w:r>
            <w:r>
              <w:rPr>
                <w:rFonts w:hint="eastAsia" w:ascii="Times New Roman" w:hAnsi="Times New Roman" w:cs="Times New Roman"/>
                <w:color w:val="auto"/>
                <w:spacing w:val="-1"/>
                <w:sz w:val="24"/>
                <w:szCs w:val="24"/>
                <w:highlight w:val="none"/>
                <w:lang w:val="en-US" w:eastAsia="zh-CN"/>
              </w:rPr>
              <w:t>共计20口勘探井，</w:t>
            </w:r>
            <w:r>
              <w:rPr>
                <w:rFonts w:hint="default" w:ascii="Times New Roman" w:hAnsi="Times New Roman" w:eastAsia="宋体" w:cs="Times New Roman"/>
                <w:color w:val="auto"/>
                <w:spacing w:val="-1"/>
                <w:sz w:val="24"/>
                <w:szCs w:val="24"/>
                <w:highlight w:val="none"/>
              </w:rPr>
              <w:t>预计产生量约为0.</w:t>
            </w:r>
            <w:r>
              <w:rPr>
                <w:rFonts w:hint="default" w:ascii="Times New Roman" w:hAnsi="Times New Roman" w:cs="Times New Roman"/>
                <w:color w:val="auto"/>
                <w:spacing w:val="-1"/>
                <w:sz w:val="24"/>
                <w:szCs w:val="24"/>
                <w:highlight w:val="none"/>
                <w:lang w:val="en-US" w:eastAsia="zh-CN"/>
              </w:rPr>
              <w:t>4</w:t>
            </w:r>
            <w:r>
              <w:rPr>
                <w:rFonts w:hint="default" w:ascii="Times New Roman" w:hAnsi="Times New Roman" w:eastAsia="宋体" w:cs="Times New Roman"/>
                <w:color w:val="auto"/>
                <w:spacing w:val="-1"/>
                <w:sz w:val="24"/>
                <w:szCs w:val="24"/>
                <w:highlight w:val="none"/>
              </w:rPr>
              <w:t>t。沾油的</w:t>
            </w:r>
            <w:r>
              <w:rPr>
                <w:rFonts w:hint="default" w:ascii="Times New Roman" w:hAnsi="Times New Roman" w:eastAsia="宋体" w:cs="Times New Roman"/>
                <w:color w:val="auto"/>
                <w:sz w:val="24"/>
                <w:szCs w:val="24"/>
                <w:highlight w:val="none"/>
              </w:rPr>
              <w:t>废防渗材料属于《国家危险废物名录》（2025年版）中的</w:t>
            </w:r>
            <w:r>
              <w:rPr>
                <w:rFonts w:hint="default" w:ascii="Times New Roman" w:hAnsi="Times New Roman" w:eastAsia="宋体" w:cs="Times New Roman"/>
                <w:color w:val="auto"/>
                <w:spacing w:val="-1"/>
                <w:sz w:val="24"/>
                <w:szCs w:val="24"/>
                <w:highlight w:val="none"/>
              </w:rPr>
              <w:t>HW08废矿物油与含矿物油类危险废物（废物代码为900-249-08，危险特</w:t>
            </w:r>
            <w:r>
              <w:rPr>
                <w:rFonts w:hint="default" w:ascii="Times New Roman" w:hAnsi="Times New Roman" w:eastAsia="宋体" w:cs="Times New Roman"/>
                <w:color w:val="auto"/>
                <w:spacing w:val="-2"/>
                <w:sz w:val="24"/>
                <w:szCs w:val="24"/>
                <w:highlight w:val="none"/>
              </w:rPr>
              <w:t>性为毒性和易燃性</w:t>
            </w:r>
            <w:r>
              <w:rPr>
                <w:rFonts w:hint="default" w:ascii="Times New Roman" w:hAnsi="Times New Roman" w:eastAsia="宋体" w:cs="Times New Roman"/>
                <w:color w:val="auto"/>
                <w:spacing w:val="4"/>
                <w:sz w:val="24"/>
                <w:szCs w:val="24"/>
                <w:highlight w:val="none"/>
              </w:rPr>
              <w:t>），</w:t>
            </w:r>
            <w:r>
              <w:rPr>
                <w:rFonts w:hint="default" w:ascii="Times New Roman" w:hAnsi="Times New Roman" w:eastAsia="宋体" w:cs="Times New Roman"/>
                <w:color w:val="auto"/>
                <w:spacing w:val="-2"/>
                <w:sz w:val="24"/>
                <w:szCs w:val="24"/>
                <w:highlight w:val="none"/>
              </w:rPr>
              <w:t>施工结</w:t>
            </w:r>
            <w:r>
              <w:rPr>
                <w:rFonts w:hint="default" w:ascii="Times New Roman" w:hAnsi="Times New Roman" w:eastAsia="宋体" w:cs="Times New Roman"/>
                <w:color w:val="auto"/>
                <w:spacing w:val="-1"/>
                <w:sz w:val="24"/>
                <w:szCs w:val="24"/>
                <w:highlight w:val="none"/>
              </w:rPr>
              <w:t>束后委托具有相应危险废物处置资质的单位进行处置。</w:t>
            </w:r>
          </w:p>
          <w:p w14:paraId="44335B87">
            <w:pPr>
              <w:pStyle w:val="16"/>
              <w:widowControl w:val="0"/>
              <w:spacing w:before="38" w:line="359" w:lineRule="auto"/>
              <w:ind w:right="4"/>
              <w:jc w:val="both"/>
              <w:rPr>
                <w:rFonts w:hint="default" w:ascii="Times New Roman" w:hAnsi="Times New Roman" w:eastAsia="宋体" w:cs="Times New Roman"/>
                <w:b/>
                <w:bCs/>
                <w:color w:val="auto"/>
                <w:spacing w:val="-2"/>
                <w:sz w:val="24"/>
                <w:szCs w:val="24"/>
                <w:highlight w:val="none"/>
              </w:rPr>
            </w:pPr>
            <w:r>
              <w:rPr>
                <w:rFonts w:hint="default" w:ascii="Times New Roman" w:hAnsi="Times New Roman" w:eastAsia="宋体" w:cs="Times New Roman"/>
                <w:b/>
                <w:bCs/>
                <w:color w:val="auto"/>
                <w:spacing w:val="-2"/>
                <w:sz w:val="24"/>
                <w:szCs w:val="24"/>
                <w:highlight w:val="none"/>
              </w:rPr>
              <w:t>6.5落地油</w:t>
            </w:r>
          </w:p>
          <w:p w14:paraId="7DFB854E">
            <w:pPr>
              <w:pStyle w:val="16"/>
              <w:widowControl w:val="0"/>
              <w:spacing w:before="38" w:line="359" w:lineRule="auto"/>
              <w:ind w:left="3" w:right="4" w:firstLine="480"/>
              <w:jc w:val="both"/>
              <w:rPr>
                <w:rFonts w:hint="default" w:ascii="Times New Roman" w:hAnsi="Times New Roman" w:eastAsia="宋体" w:cs="Times New Roman"/>
                <w:color w:val="auto"/>
                <w:spacing w:val="-2"/>
                <w:sz w:val="24"/>
                <w:szCs w:val="24"/>
                <w:highlight w:val="none"/>
                <w:lang w:val="en-US" w:eastAsia="zh-CN"/>
              </w:rPr>
            </w:pPr>
            <w:r>
              <w:rPr>
                <w:rFonts w:hint="default" w:ascii="Times New Roman" w:hAnsi="Times New Roman" w:eastAsia="宋体" w:cs="Times New Roman"/>
                <w:color w:val="auto"/>
                <w:spacing w:val="-2"/>
                <w:sz w:val="24"/>
                <w:szCs w:val="24"/>
                <w:highlight w:val="none"/>
              </w:rPr>
              <w:t>本工程钻井期和试油期间事故状态下可能产生少量落地原油和含油污泥，落地油要求100%回收</w:t>
            </w:r>
            <w:r>
              <w:rPr>
                <w:rFonts w:hint="default"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本工程试油期产生的液体首先进入试油产液缓冲罐后，采用槽车安装抽油泵的抽汲方式将试油产液吸入罐车，试油过程敷设防渗布。落地油产生量很小。根据相关资料，探井单井试油期产生的落地油产生量约在10-50kg/口。由于探井存在不出油的可能性。只有在有油条件下可能产生落地油，不出油时则没有落地油产生。假设本项目钻井全部出油，则落地油</w:t>
            </w:r>
            <w:r>
              <w:rPr>
                <w:rFonts w:hint="default" w:ascii="Times New Roman" w:hAnsi="Times New Roman" w:cs="Times New Roman"/>
                <w:color w:val="auto"/>
                <w:spacing w:val="-2"/>
                <w:sz w:val="24"/>
                <w:szCs w:val="24"/>
                <w:highlight w:val="none"/>
                <w:lang w:val="en-US" w:eastAsia="zh-CN"/>
              </w:rPr>
              <w:t>泥</w:t>
            </w:r>
            <w:r>
              <w:rPr>
                <w:rFonts w:hint="default" w:ascii="Times New Roman" w:hAnsi="Times New Roman" w:eastAsia="宋体" w:cs="Times New Roman"/>
                <w:color w:val="auto"/>
                <w:spacing w:val="-2"/>
                <w:sz w:val="24"/>
                <w:szCs w:val="24"/>
                <w:highlight w:val="none"/>
              </w:rPr>
              <w:t>产生量共计</w:t>
            </w:r>
            <w:r>
              <w:rPr>
                <w:rFonts w:hint="default" w:ascii="Times New Roman" w:hAnsi="Times New Roman" w:cs="Times New Roman"/>
                <w:color w:val="auto"/>
                <w:spacing w:val="-2"/>
                <w:sz w:val="24"/>
                <w:szCs w:val="24"/>
                <w:highlight w:val="none"/>
                <w:lang w:val="en-US" w:eastAsia="zh-CN"/>
              </w:rPr>
              <w:t>1</w:t>
            </w:r>
            <w:r>
              <w:rPr>
                <w:rFonts w:hint="default" w:ascii="Times New Roman" w:hAnsi="Times New Roman" w:eastAsia="宋体" w:cs="Times New Roman"/>
                <w:color w:val="auto"/>
                <w:spacing w:val="-2"/>
                <w:sz w:val="24"/>
                <w:szCs w:val="24"/>
                <w:highlight w:val="none"/>
              </w:rPr>
              <w:t>t。根据《国家危险废物名录》（202</w:t>
            </w:r>
            <w:r>
              <w:rPr>
                <w:rFonts w:hint="default" w:ascii="Times New Roman" w:hAnsi="Times New Roman" w:cs="Times New Roman"/>
                <w:color w:val="auto"/>
                <w:spacing w:val="-2"/>
                <w:sz w:val="24"/>
                <w:szCs w:val="24"/>
                <w:highlight w:val="none"/>
                <w:lang w:val="en-US" w:eastAsia="zh-CN"/>
              </w:rPr>
              <w:t>5</w:t>
            </w:r>
            <w:r>
              <w:rPr>
                <w:rFonts w:hint="default" w:ascii="Times New Roman" w:hAnsi="Times New Roman" w:eastAsia="宋体" w:cs="Times New Roman"/>
                <w:color w:val="auto"/>
                <w:spacing w:val="-2"/>
                <w:sz w:val="24"/>
                <w:szCs w:val="24"/>
                <w:highlight w:val="none"/>
              </w:rPr>
              <w:t>年</w:t>
            </w:r>
            <w:r>
              <w:rPr>
                <w:rFonts w:hint="eastAsia" w:ascii="Times New Roman" w:hAnsi="Times New Roman" w:cs="Times New Roman"/>
                <w:color w:val="auto"/>
                <w:spacing w:val="-2"/>
                <w:sz w:val="24"/>
                <w:szCs w:val="24"/>
                <w:highlight w:val="none"/>
                <w:lang w:val="en-US" w:eastAsia="zh-CN"/>
              </w:rPr>
              <w:t>版</w:t>
            </w:r>
            <w:r>
              <w:rPr>
                <w:rFonts w:hint="default" w:ascii="Times New Roman" w:hAnsi="Times New Roman" w:eastAsia="宋体" w:cs="Times New Roman"/>
                <w:color w:val="auto"/>
                <w:spacing w:val="-2"/>
                <w:sz w:val="24"/>
                <w:szCs w:val="24"/>
                <w:highlight w:val="none"/>
              </w:rPr>
              <w:t>）、《危险废物环境管理指南</w:t>
            </w:r>
            <w:r>
              <w:rPr>
                <w:rFonts w:hint="eastAsia" w:ascii="Times New Roman" w:hAnsi="Times New Roman" w:cs="Times New Roman"/>
                <w:color w:val="auto"/>
                <w:spacing w:val="-2"/>
                <w:sz w:val="24"/>
                <w:szCs w:val="24"/>
                <w:highlight w:val="none"/>
                <w:lang w:val="en-US" w:eastAsia="zh-CN"/>
              </w:rPr>
              <w:t xml:space="preserve"> </w:t>
            </w:r>
            <w:r>
              <w:rPr>
                <w:rFonts w:hint="default" w:ascii="Times New Roman" w:hAnsi="Times New Roman" w:eastAsia="宋体" w:cs="Times New Roman"/>
                <w:color w:val="auto"/>
                <w:spacing w:val="-2"/>
                <w:sz w:val="24"/>
                <w:szCs w:val="24"/>
                <w:highlight w:val="none"/>
              </w:rPr>
              <w:t>陆上</w:t>
            </w:r>
            <w:r>
              <w:rPr>
                <w:rFonts w:hint="eastAsia" w:ascii="Times New Roman" w:hAnsi="Times New Roman" w:cs="Times New Roman"/>
                <w:color w:val="auto"/>
                <w:spacing w:val="-2"/>
                <w:sz w:val="24"/>
                <w:szCs w:val="24"/>
                <w:highlight w:val="none"/>
                <w:lang w:val="en-US" w:eastAsia="zh-CN"/>
              </w:rPr>
              <w:t>石</w:t>
            </w:r>
            <w:r>
              <w:rPr>
                <w:rFonts w:hint="default" w:ascii="Times New Roman" w:hAnsi="Times New Roman" w:eastAsia="宋体" w:cs="Times New Roman"/>
                <w:color w:val="auto"/>
                <w:spacing w:val="-2"/>
                <w:sz w:val="24"/>
                <w:szCs w:val="24"/>
                <w:highlight w:val="none"/>
              </w:rPr>
              <w:t>油天然气开采》（生态环境部公告2021年第74号），</w:t>
            </w:r>
            <w:r>
              <w:rPr>
                <w:rFonts w:hint="default" w:ascii="Times New Roman" w:hAnsi="Times New Roman" w:cs="Times New Roman"/>
                <w:color w:val="auto"/>
                <w:spacing w:val="-2"/>
                <w:sz w:val="24"/>
                <w:szCs w:val="24"/>
                <w:highlight w:val="none"/>
                <w:lang w:val="en-US" w:eastAsia="zh-CN"/>
              </w:rPr>
              <w:t>落地油</w:t>
            </w:r>
            <w:r>
              <w:rPr>
                <w:rFonts w:hint="default" w:ascii="Times New Roman" w:hAnsi="Times New Roman" w:eastAsia="宋体" w:cs="Times New Roman"/>
                <w:color w:val="auto"/>
                <w:spacing w:val="-2"/>
                <w:sz w:val="24"/>
                <w:szCs w:val="24"/>
                <w:highlight w:val="none"/>
              </w:rPr>
              <w:t>属于《国家危险废物名录》（2025年</w:t>
            </w:r>
            <w:r>
              <w:rPr>
                <w:rFonts w:hint="eastAsia" w:ascii="Times New Roman" w:hAnsi="Times New Roman" w:cs="Times New Roman"/>
                <w:color w:val="auto"/>
                <w:spacing w:val="-2"/>
                <w:sz w:val="24"/>
                <w:szCs w:val="24"/>
                <w:highlight w:val="none"/>
                <w:lang w:val="en-US" w:eastAsia="zh-CN"/>
              </w:rPr>
              <w:t>版</w:t>
            </w:r>
            <w:r>
              <w:rPr>
                <w:rFonts w:hint="default" w:ascii="Times New Roman" w:hAnsi="Times New Roman" w:eastAsia="宋体" w:cs="Times New Roman"/>
                <w:color w:val="auto"/>
                <w:spacing w:val="-2"/>
                <w:sz w:val="24"/>
                <w:szCs w:val="24"/>
                <w:highlight w:val="none"/>
              </w:rPr>
              <w:t>）中</w:t>
            </w:r>
            <w:r>
              <w:rPr>
                <w:rFonts w:hint="default" w:ascii="Times New Roman" w:hAnsi="Times New Roman" w:cs="Times New Roman"/>
                <w:color w:val="auto"/>
                <w:spacing w:val="-2"/>
                <w:sz w:val="24"/>
                <w:szCs w:val="24"/>
                <w:highlight w:val="none"/>
                <w:lang w:val="en-US" w:eastAsia="zh-CN"/>
              </w:rPr>
              <w:t>的</w:t>
            </w:r>
            <w:r>
              <w:rPr>
                <w:rFonts w:hint="default" w:ascii="Times New Roman" w:hAnsi="Times New Roman" w:eastAsia="宋体" w:cs="Times New Roman"/>
                <w:color w:val="auto"/>
                <w:spacing w:val="-2"/>
                <w:sz w:val="24"/>
                <w:szCs w:val="24"/>
                <w:highlight w:val="none"/>
              </w:rPr>
              <w:t>HW08废矿物油与含矿物油类危险废物，废物代码为071-001-08，落地油</w:t>
            </w:r>
            <w:r>
              <w:rPr>
                <w:rFonts w:hint="eastAsia" w:ascii="Times New Roman" w:hAnsi="Times New Roman" w:cs="Times New Roman"/>
                <w:color w:val="auto"/>
                <w:spacing w:val="-2"/>
                <w:sz w:val="24"/>
                <w:szCs w:val="24"/>
                <w:highlight w:val="none"/>
                <w:lang w:val="en-US" w:eastAsia="zh-CN"/>
              </w:rPr>
              <w:t>100%回收。</w:t>
            </w:r>
          </w:p>
          <w:p w14:paraId="2A808684">
            <w:pPr>
              <w:pStyle w:val="16"/>
              <w:widowControl w:val="0"/>
              <w:spacing w:before="38" w:line="359" w:lineRule="auto"/>
              <w:ind w:right="4"/>
              <w:jc w:val="both"/>
              <w:rPr>
                <w:rFonts w:hint="default" w:ascii="Times New Roman" w:hAnsi="Times New Roman" w:eastAsia="宋体" w:cs="Times New Roman"/>
                <w:b/>
                <w:bCs/>
                <w:color w:val="auto"/>
                <w:spacing w:val="-2"/>
                <w:sz w:val="24"/>
                <w:szCs w:val="24"/>
                <w:highlight w:val="none"/>
              </w:rPr>
            </w:pPr>
            <w:r>
              <w:rPr>
                <w:rFonts w:hint="default" w:ascii="Times New Roman" w:hAnsi="Times New Roman" w:eastAsia="宋体" w:cs="Times New Roman"/>
                <w:b/>
                <w:bCs/>
                <w:color w:val="auto"/>
                <w:spacing w:val="-2"/>
                <w:sz w:val="24"/>
                <w:szCs w:val="24"/>
                <w:highlight w:val="none"/>
              </w:rPr>
              <w:t>6.6机械设备废油与废润滑油桶</w:t>
            </w:r>
          </w:p>
          <w:p w14:paraId="779653F5">
            <w:pPr>
              <w:pStyle w:val="16"/>
              <w:widowControl w:val="0"/>
              <w:spacing w:before="38" w:line="359" w:lineRule="auto"/>
              <w:ind w:left="3" w:right="4" w:firstLine="480"/>
              <w:jc w:val="both"/>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2"/>
                <w:sz w:val="24"/>
                <w:szCs w:val="24"/>
                <w:highlight w:val="none"/>
              </w:rPr>
              <w:t>钻井期间使用的机械设备运行过程中需进行维护、保养、维修等工作，以使其能正常运转，此过程中将产生少量的废油，如废润滑油、废机油等</w:t>
            </w:r>
            <w:r>
              <w:rPr>
                <w:rFonts w:hint="default"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与之相应会有废润滑油桶产生。类比调查一个钻井期机械设备产生的废油产生量不足0.5t，本工程</w:t>
            </w:r>
            <w:r>
              <w:rPr>
                <w:rFonts w:hint="eastAsia" w:ascii="Times New Roman" w:hAnsi="Times New Roman" w:cs="Times New Roman"/>
                <w:color w:val="auto"/>
                <w:spacing w:val="-2"/>
                <w:sz w:val="24"/>
                <w:szCs w:val="24"/>
                <w:highlight w:val="none"/>
                <w:lang w:val="en-US" w:eastAsia="zh-CN"/>
              </w:rPr>
              <w:t>20</w:t>
            </w:r>
            <w:r>
              <w:rPr>
                <w:rFonts w:hint="default" w:ascii="Times New Roman" w:hAnsi="Times New Roman" w:eastAsia="宋体" w:cs="Times New Roman"/>
                <w:color w:val="auto"/>
                <w:spacing w:val="-2"/>
                <w:sz w:val="24"/>
                <w:szCs w:val="24"/>
                <w:highlight w:val="none"/>
              </w:rPr>
              <w:t>口评价井产生量约</w:t>
            </w:r>
            <w:r>
              <w:rPr>
                <w:rFonts w:hint="default" w:ascii="Times New Roman" w:hAnsi="Times New Roman" w:cs="Times New Roman"/>
                <w:color w:val="auto"/>
                <w:spacing w:val="-2"/>
                <w:sz w:val="24"/>
                <w:szCs w:val="24"/>
                <w:highlight w:val="none"/>
                <w:lang w:val="en-US" w:eastAsia="zh-CN"/>
              </w:rPr>
              <w:t>10</w:t>
            </w:r>
            <w:r>
              <w:rPr>
                <w:rFonts w:hint="default" w:ascii="Times New Roman" w:hAnsi="Times New Roman" w:eastAsia="宋体" w:cs="Times New Roman"/>
                <w:color w:val="auto"/>
                <w:spacing w:val="-2"/>
                <w:sz w:val="24"/>
                <w:szCs w:val="24"/>
                <w:highlight w:val="none"/>
              </w:rPr>
              <w:t>t，废润滑油桶产生量为</w:t>
            </w:r>
            <w:r>
              <w:rPr>
                <w:rFonts w:hint="eastAsia" w:ascii="Times New Roman" w:hAnsi="Times New Roman" w:cs="Times New Roman"/>
                <w:color w:val="auto"/>
                <w:spacing w:val="-2"/>
                <w:sz w:val="24"/>
                <w:szCs w:val="24"/>
                <w:highlight w:val="none"/>
                <w:lang w:val="en-US" w:eastAsia="zh-CN"/>
              </w:rPr>
              <w:t>0.5</w:t>
            </w:r>
            <w:r>
              <w:rPr>
                <w:rFonts w:hint="default" w:ascii="Times New Roman" w:hAnsi="Times New Roman" w:eastAsia="宋体" w:cs="Times New Roman"/>
                <w:color w:val="auto"/>
                <w:spacing w:val="-2"/>
                <w:sz w:val="24"/>
                <w:szCs w:val="24"/>
                <w:highlight w:val="none"/>
              </w:rPr>
              <w:t>t，钻井期间产生的废油与废润滑油桶暂存至危废贮存</w:t>
            </w:r>
            <w:r>
              <w:rPr>
                <w:rFonts w:hint="eastAsia" w:ascii="Times New Roman" w:hAnsi="Times New Roman" w:cs="Times New Roman"/>
                <w:color w:val="auto"/>
                <w:spacing w:val="-2"/>
                <w:sz w:val="24"/>
                <w:szCs w:val="24"/>
                <w:highlight w:val="none"/>
                <w:lang w:val="en-US" w:eastAsia="zh-CN"/>
              </w:rPr>
              <w:t>点</w:t>
            </w:r>
            <w:r>
              <w:rPr>
                <w:rFonts w:hint="default" w:ascii="Times New Roman" w:hAnsi="Times New Roman" w:eastAsia="宋体" w:cs="Times New Roman"/>
                <w:color w:val="auto"/>
                <w:spacing w:val="-2"/>
                <w:sz w:val="24"/>
                <w:szCs w:val="24"/>
                <w:highlight w:val="none"/>
              </w:rPr>
              <w:t>，委托有资质单位进行处置。</w:t>
            </w:r>
          </w:p>
          <w:p w14:paraId="220FC75D">
            <w:pPr>
              <w:pStyle w:val="16"/>
              <w:widowControl w:val="0"/>
              <w:spacing w:before="38" w:line="359" w:lineRule="auto"/>
              <w:ind w:left="3" w:right="4" w:firstLine="480"/>
              <w:jc w:val="both"/>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2"/>
                <w:sz w:val="24"/>
                <w:szCs w:val="24"/>
                <w:highlight w:val="none"/>
              </w:rPr>
              <w:t>根据《国家危险废物名录》（2025年</w:t>
            </w:r>
            <w:r>
              <w:rPr>
                <w:rFonts w:hint="eastAsia" w:ascii="Times New Roman" w:hAnsi="Times New Roman" w:cs="Times New Roman"/>
                <w:color w:val="auto"/>
                <w:spacing w:val="-2"/>
                <w:sz w:val="24"/>
                <w:szCs w:val="24"/>
                <w:highlight w:val="none"/>
                <w:lang w:val="en-US" w:eastAsia="zh-CN"/>
              </w:rPr>
              <w:t>版</w:t>
            </w:r>
            <w:r>
              <w:rPr>
                <w:rFonts w:hint="default" w:ascii="Times New Roman" w:hAnsi="Times New Roman" w:eastAsia="宋体" w:cs="Times New Roman"/>
                <w:color w:val="auto"/>
                <w:spacing w:val="-2"/>
                <w:sz w:val="24"/>
                <w:szCs w:val="24"/>
                <w:highlight w:val="none"/>
              </w:rPr>
              <w:t>），设备检修与维护过程间歇产生的废矿物油划分为</w:t>
            </w:r>
            <w:r>
              <w:rPr>
                <w:rFonts w:hint="eastAsia"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HW08废矿物油与含矿物油废物类</w:t>
            </w:r>
            <w:r>
              <w:rPr>
                <w:rFonts w:hint="eastAsia"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，其危险废物编号为900-214-08，废润滑油桶危险废物编号为900-249-08，</w:t>
            </w:r>
            <w:r>
              <w:rPr>
                <w:rFonts w:hint="eastAsia" w:ascii="Times New Roman" w:hAnsi="Times New Roman" w:cs="Times New Roman"/>
                <w:color w:val="auto"/>
                <w:spacing w:val="-2"/>
                <w:sz w:val="24"/>
                <w:szCs w:val="24"/>
                <w:highlight w:val="none"/>
                <w:lang w:val="en-US" w:eastAsia="zh-CN"/>
              </w:rPr>
              <w:t>上述危险废物</w:t>
            </w:r>
            <w:r>
              <w:rPr>
                <w:rFonts w:hint="default" w:ascii="Times New Roman" w:hAnsi="Times New Roman" w:eastAsia="宋体" w:cs="Times New Roman"/>
                <w:color w:val="auto"/>
                <w:spacing w:val="-2"/>
                <w:sz w:val="24"/>
                <w:szCs w:val="24"/>
                <w:highlight w:val="none"/>
              </w:rPr>
              <w:t>暂存至危废贮存</w:t>
            </w:r>
            <w:r>
              <w:rPr>
                <w:rFonts w:hint="eastAsia" w:ascii="Times New Roman" w:hAnsi="Times New Roman" w:cs="Times New Roman"/>
                <w:color w:val="auto"/>
                <w:spacing w:val="-2"/>
                <w:sz w:val="24"/>
                <w:szCs w:val="24"/>
                <w:highlight w:val="none"/>
                <w:lang w:val="en-US" w:eastAsia="zh-CN"/>
              </w:rPr>
              <w:t>点</w:t>
            </w:r>
            <w:r>
              <w:rPr>
                <w:rFonts w:hint="default" w:ascii="Times New Roman" w:hAnsi="Times New Roman" w:eastAsia="宋体" w:cs="Times New Roman"/>
                <w:color w:val="auto"/>
                <w:spacing w:val="-2"/>
                <w:sz w:val="24"/>
                <w:szCs w:val="24"/>
                <w:highlight w:val="none"/>
              </w:rPr>
              <w:t>，委托有资质单位进行处置。</w:t>
            </w:r>
          </w:p>
          <w:p w14:paraId="21A71B1C">
            <w:pPr>
              <w:pStyle w:val="16"/>
              <w:widowControl w:val="0"/>
              <w:spacing w:before="38" w:line="359" w:lineRule="auto"/>
              <w:ind w:left="3" w:right="4" w:firstLine="480"/>
              <w:jc w:val="both"/>
              <w:rPr>
                <w:rFonts w:hint="default" w:ascii="Times New Roman" w:hAnsi="Times New Roman" w:eastAsia="宋体" w:cs="Times New Roman"/>
                <w:color w:val="auto"/>
                <w:spacing w:val="-2"/>
                <w:sz w:val="24"/>
                <w:szCs w:val="24"/>
                <w:highlight w:val="none"/>
                <w:lang w:val="en-US" w:eastAsia="zh-CN"/>
              </w:rPr>
            </w:pPr>
            <w:r>
              <w:rPr>
                <w:rFonts w:hint="eastAsia" w:ascii="Times New Roman" w:hAnsi="Times New Roman" w:cs="Times New Roman"/>
                <w:color w:val="auto"/>
                <w:spacing w:val="-2"/>
                <w:sz w:val="24"/>
                <w:szCs w:val="24"/>
                <w:highlight w:val="none"/>
                <w:lang w:val="en-US" w:eastAsia="zh-CN"/>
              </w:rPr>
              <w:t>项目一般固废和危险废物清单见表4-5和表4-6。</w:t>
            </w:r>
          </w:p>
          <w:p w14:paraId="2A351478">
            <w:pPr>
              <w:widowControl w:val="0"/>
              <w:jc w:val="center"/>
              <w:rPr>
                <w:rFonts w:hint="default" w:ascii="Times New Roman" w:hAnsi="Times New Roman" w:eastAsia="宋体" w:cs="Times New Roman"/>
                <w:b/>
                <w:bCs/>
                <w:color w:val="auto"/>
                <w:spacing w:val="5"/>
                <w:highlight w:val="none"/>
              </w:rPr>
            </w:pPr>
            <w:r>
              <w:rPr>
                <w:rFonts w:hint="default" w:ascii="Times New Roman" w:hAnsi="Times New Roman" w:eastAsia="宋体" w:cs="Times New Roman"/>
                <w:b/>
                <w:bCs/>
                <w:color w:val="auto"/>
                <w:spacing w:val="5"/>
                <w:highlight w:val="none"/>
              </w:rPr>
              <w:t>表4-</w:t>
            </w:r>
            <w:r>
              <w:rPr>
                <w:rFonts w:hint="default" w:ascii="Times New Roman" w:hAnsi="Times New Roman" w:eastAsia="宋体" w:cs="Times New Roman"/>
                <w:b/>
                <w:bCs/>
                <w:color w:val="auto"/>
                <w:spacing w:val="5"/>
                <w:highlight w:val="none"/>
                <w:lang w:val="en-US" w:eastAsia="zh-CN"/>
              </w:rPr>
              <w:t xml:space="preserve">5 </w:t>
            </w:r>
            <w:r>
              <w:rPr>
                <w:rFonts w:hint="default" w:ascii="Times New Roman" w:hAnsi="Times New Roman" w:eastAsia="宋体" w:cs="Times New Roman"/>
                <w:b/>
                <w:bCs/>
                <w:color w:val="auto"/>
                <w:spacing w:val="5"/>
                <w:highlight w:val="none"/>
              </w:rPr>
              <w:t>本项目一般固废清单</w:t>
            </w:r>
          </w:p>
          <w:tbl>
            <w:tblPr>
              <w:tblStyle w:val="15"/>
              <w:tblW w:w="8095"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3"/>
              <w:gridCol w:w="968"/>
              <w:gridCol w:w="846"/>
              <w:gridCol w:w="1073"/>
              <w:gridCol w:w="1245"/>
              <w:gridCol w:w="3480"/>
            </w:tblGrid>
            <w:tr w14:paraId="23260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483" w:type="dxa"/>
                  <w:vAlign w:val="center"/>
                </w:tcPr>
                <w:p w14:paraId="26B2203C">
                  <w:pPr>
                    <w:pStyle w:val="16"/>
                    <w:spacing w:before="81" w:line="21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序号</w:t>
                  </w:r>
                </w:p>
              </w:tc>
              <w:tc>
                <w:tcPr>
                  <w:tcW w:w="968" w:type="dxa"/>
                  <w:vAlign w:val="center"/>
                </w:tcPr>
                <w:p w14:paraId="52082D7E">
                  <w:pPr>
                    <w:pStyle w:val="16"/>
                    <w:spacing w:before="65"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1"/>
                      <w:sz w:val="21"/>
                      <w:szCs w:val="21"/>
                      <w:highlight w:val="none"/>
                    </w:rPr>
                    <w:t>固废名称</w:t>
                  </w:r>
                </w:p>
              </w:tc>
              <w:tc>
                <w:tcPr>
                  <w:tcW w:w="846" w:type="dxa"/>
                  <w:vAlign w:val="center"/>
                </w:tcPr>
                <w:p w14:paraId="402E6ED9">
                  <w:pPr>
                    <w:pStyle w:val="16"/>
                    <w:spacing w:before="65" w:line="229"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属性</w:t>
                  </w:r>
                </w:p>
              </w:tc>
              <w:tc>
                <w:tcPr>
                  <w:tcW w:w="1073" w:type="dxa"/>
                  <w:vAlign w:val="center"/>
                </w:tcPr>
                <w:p w14:paraId="36ACA61A">
                  <w:pPr>
                    <w:pStyle w:val="16"/>
                    <w:spacing w:before="65"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1"/>
                      <w:sz w:val="21"/>
                      <w:szCs w:val="21"/>
                      <w:highlight w:val="none"/>
                    </w:rPr>
                    <w:t>固废代码</w:t>
                  </w:r>
                </w:p>
              </w:tc>
              <w:tc>
                <w:tcPr>
                  <w:tcW w:w="1245" w:type="dxa"/>
                  <w:vAlign w:val="center"/>
                </w:tcPr>
                <w:p w14:paraId="0550A778">
                  <w:pPr>
                    <w:pStyle w:val="16"/>
                    <w:spacing w:before="110" w:line="251" w:lineRule="auto"/>
                    <w:ind w:right="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估算产生</w:t>
                  </w:r>
                  <w:r>
                    <w:rPr>
                      <w:rFonts w:hint="default" w:ascii="Times New Roman" w:hAnsi="Times New Roman" w:eastAsia="宋体" w:cs="Times New Roman"/>
                      <w:b/>
                      <w:bCs/>
                      <w:color w:val="auto"/>
                      <w:spacing w:val="2"/>
                      <w:sz w:val="21"/>
                      <w:szCs w:val="21"/>
                      <w:highlight w:val="none"/>
                    </w:rPr>
                    <w:t>量（施工期</w:t>
                  </w:r>
                  <w:r>
                    <w:rPr>
                      <w:rFonts w:hint="default" w:ascii="Times New Roman" w:hAnsi="Times New Roman" w:eastAsia="宋体" w:cs="Times New Roman"/>
                      <w:b/>
                      <w:bCs/>
                      <w:color w:val="auto"/>
                      <w:spacing w:val="-3"/>
                      <w:sz w:val="21"/>
                      <w:szCs w:val="21"/>
                      <w:highlight w:val="none"/>
                    </w:rPr>
                    <w:t>)</w:t>
                  </w:r>
                </w:p>
              </w:tc>
              <w:tc>
                <w:tcPr>
                  <w:tcW w:w="3480" w:type="dxa"/>
                  <w:tcBorders>
                    <w:right w:val="single" w:color="000000" w:sz="4" w:space="0"/>
                  </w:tcBorders>
                  <w:vAlign w:val="center"/>
                </w:tcPr>
                <w:p w14:paraId="22C0FC95">
                  <w:pPr>
                    <w:pStyle w:val="16"/>
                    <w:spacing w:before="65" w:line="227"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7"/>
                      <w:sz w:val="21"/>
                      <w:szCs w:val="21"/>
                      <w:highlight w:val="none"/>
                    </w:rPr>
                    <w:t>采取的处理处置方式</w:t>
                  </w:r>
                </w:p>
              </w:tc>
            </w:tr>
            <w:tr w14:paraId="55F42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1" w:hRule="atLeast"/>
              </w:trPr>
              <w:tc>
                <w:tcPr>
                  <w:tcW w:w="483" w:type="dxa"/>
                  <w:vAlign w:val="center"/>
                </w:tcPr>
                <w:p w14:paraId="0D13DF83">
                  <w:pPr>
                    <w:spacing w:before="57"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968" w:type="dxa"/>
                  <w:vAlign w:val="center"/>
                </w:tcPr>
                <w:p w14:paraId="022DF126">
                  <w:pPr>
                    <w:pStyle w:val="16"/>
                    <w:spacing w:before="65"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水基泥浆</w:t>
                  </w:r>
                </w:p>
              </w:tc>
              <w:tc>
                <w:tcPr>
                  <w:tcW w:w="846" w:type="dxa"/>
                  <w:vAlign w:val="center"/>
                </w:tcPr>
                <w:p w14:paraId="259A3CA5">
                  <w:pPr>
                    <w:pStyle w:val="16"/>
                    <w:spacing w:before="194" w:line="229"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一般工业</w:t>
                  </w:r>
                  <w:r>
                    <w:rPr>
                      <w:rFonts w:hint="default" w:ascii="Times New Roman" w:hAnsi="Times New Roman" w:eastAsia="宋体" w:cs="Times New Roman"/>
                      <w:color w:val="auto"/>
                      <w:spacing w:val="-5"/>
                      <w:sz w:val="21"/>
                      <w:szCs w:val="21"/>
                      <w:highlight w:val="none"/>
                    </w:rPr>
                    <w:t>固废</w:t>
                  </w:r>
                </w:p>
              </w:tc>
              <w:tc>
                <w:tcPr>
                  <w:tcW w:w="1073" w:type="dxa"/>
                  <w:vAlign w:val="center"/>
                </w:tcPr>
                <w:p w14:paraId="646BEE16">
                  <w:pPr>
                    <w:pStyle w:val="16"/>
                    <w:spacing w:before="65" w:line="241"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（071-001-</w:t>
                  </w:r>
                </w:p>
                <w:p w14:paraId="22FD75E8">
                  <w:pPr>
                    <w:pStyle w:val="16"/>
                    <w:spacing w:before="10"/>
                    <w:ind w:left="317"/>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S12）</w:t>
                  </w:r>
                </w:p>
              </w:tc>
              <w:tc>
                <w:tcPr>
                  <w:tcW w:w="1245" w:type="dxa"/>
                  <w:vAlign w:val="center"/>
                </w:tcPr>
                <w:p w14:paraId="02233B72">
                  <w:pPr>
                    <w:spacing w:before="57" w:line="216"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lang w:val="en-US" w:eastAsia="zh-CN"/>
                    </w:rPr>
                    <w:t>474.35</w:t>
                  </w:r>
                  <w:r>
                    <w:rPr>
                      <w:rFonts w:hint="default" w:ascii="Times New Roman" w:hAnsi="Times New Roman" w:eastAsia="宋体" w:cs="Times New Roman"/>
                      <w:color w:val="auto"/>
                      <w:spacing w:val="4"/>
                      <w:sz w:val="21"/>
                      <w:szCs w:val="21"/>
                      <w:highlight w:val="none"/>
                    </w:rPr>
                    <w:t>m</w:t>
                  </w:r>
                  <w:r>
                    <w:rPr>
                      <w:rFonts w:hint="default" w:ascii="Times New Roman" w:hAnsi="Times New Roman" w:eastAsia="宋体" w:cs="Times New Roman"/>
                      <w:color w:val="auto"/>
                      <w:spacing w:val="4"/>
                      <w:sz w:val="21"/>
                      <w:szCs w:val="21"/>
                      <w:highlight w:val="none"/>
                      <w:vertAlign w:val="superscript"/>
                      <w:lang w:val="en-US" w:eastAsia="zh-CN"/>
                    </w:rPr>
                    <w:t>3</w:t>
                  </w:r>
                </w:p>
              </w:tc>
              <w:tc>
                <w:tcPr>
                  <w:tcW w:w="3480" w:type="dxa"/>
                  <w:vMerge w:val="restart"/>
                  <w:tcBorders>
                    <w:bottom w:val="nil"/>
                    <w:right w:val="single" w:color="000000" w:sz="4" w:space="0"/>
                  </w:tcBorders>
                  <w:vAlign w:val="center"/>
                </w:tcPr>
                <w:p w14:paraId="6B8A8DFB">
                  <w:pPr>
                    <w:pStyle w:val="16"/>
                    <w:spacing w:before="65" w:line="228" w:lineRule="auto"/>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pacing w:val="8"/>
                      <w:sz w:val="21"/>
                      <w:szCs w:val="21"/>
                      <w:highlight w:val="none"/>
                      <w:lang w:eastAsia="zh-CN"/>
                    </w:rPr>
                    <w:t>项目采用不落地系统，</w:t>
                  </w:r>
                  <w:r>
                    <w:rPr>
                      <w:rFonts w:hint="eastAsia" w:ascii="Times New Roman" w:hAnsi="Times New Roman" w:cs="Times New Roman"/>
                      <w:color w:val="auto"/>
                      <w:spacing w:val="8"/>
                      <w:sz w:val="21"/>
                      <w:szCs w:val="21"/>
                      <w:highlight w:val="none"/>
                      <w:lang w:val="en-US" w:eastAsia="zh-CN"/>
                    </w:rPr>
                    <w:t>导眼和一开段</w:t>
                  </w:r>
                  <w:r>
                    <w:rPr>
                      <w:rFonts w:hint="default" w:ascii="Times New Roman" w:hAnsi="Times New Roman" w:cs="Times New Roman"/>
                      <w:color w:val="auto"/>
                      <w:spacing w:val="8"/>
                      <w:sz w:val="21"/>
                      <w:szCs w:val="21"/>
                      <w:highlight w:val="none"/>
                      <w:lang w:eastAsia="zh-CN"/>
                    </w:rPr>
                    <w:t>水基</w:t>
                  </w:r>
                  <w:r>
                    <w:rPr>
                      <w:rFonts w:hint="default" w:ascii="Times New Roman" w:hAnsi="Times New Roman" w:cs="Times New Roman"/>
                      <w:color w:val="auto"/>
                      <w:spacing w:val="8"/>
                      <w:sz w:val="21"/>
                      <w:szCs w:val="21"/>
                      <w:highlight w:val="none"/>
                      <w:lang w:val="en-US" w:eastAsia="zh-CN"/>
                    </w:rPr>
                    <w:t>泥浆和</w:t>
                  </w:r>
                  <w:r>
                    <w:rPr>
                      <w:rFonts w:hint="default" w:ascii="Times New Roman" w:hAnsi="Times New Roman" w:cs="Times New Roman"/>
                      <w:color w:val="auto"/>
                      <w:spacing w:val="8"/>
                      <w:sz w:val="21"/>
                      <w:szCs w:val="21"/>
                      <w:highlight w:val="none"/>
                      <w:lang w:eastAsia="zh-CN"/>
                    </w:rPr>
                    <w:t>岩屑进入不落地系统进行处理，实现固液分离，分离后的液相由建设单位回收用于后续钻井循环使用，不外排；</w:t>
                  </w:r>
                  <w:r>
                    <w:rPr>
                      <w:rFonts w:hint="default" w:ascii="Times New Roman" w:hAnsi="Times New Roman" w:cs="Times New Roman"/>
                      <w:color w:val="auto"/>
                      <w:spacing w:val="8"/>
                      <w:sz w:val="21"/>
                      <w:szCs w:val="21"/>
                      <w:highlight w:val="none"/>
                      <w:lang w:val="en-US" w:eastAsia="zh-CN"/>
                    </w:rPr>
                    <w:t>废弃</w:t>
                  </w:r>
                  <w:r>
                    <w:rPr>
                      <w:rFonts w:hint="default" w:ascii="Times New Roman" w:hAnsi="Times New Roman" w:cs="Times New Roman"/>
                      <w:color w:val="auto"/>
                      <w:spacing w:val="8"/>
                      <w:sz w:val="21"/>
                      <w:szCs w:val="21"/>
                      <w:highlight w:val="none"/>
                      <w:lang w:eastAsia="zh-CN"/>
                    </w:rPr>
                    <w:t>固相水基</w:t>
                  </w:r>
                  <w:r>
                    <w:rPr>
                      <w:rFonts w:hint="default" w:ascii="Times New Roman" w:hAnsi="Times New Roman" w:cs="Times New Roman"/>
                      <w:color w:val="auto"/>
                      <w:spacing w:val="8"/>
                      <w:sz w:val="21"/>
                      <w:szCs w:val="21"/>
                      <w:highlight w:val="none"/>
                      <w:lang w:val="en-US" w:eastAsia="zh-CN"/>
                    </w:rPr>
                    <w:t>泥浆和</w:t>
                  </w:r>
                  <w:r>
                    <w:rPr>
                      <w:rFonts w:hint="default" w:ascii="Times New Roman" w:hAnsi="Times New Roman" w:cs="Times New Roman"/>
                      <w:color w:val="auto"/>
                      <w:spacing w:val="8"/>
                      <w:sz w:val="21"/>
                      <w:szCs w:val="21"/>
                      <w:highlight w:val="none"/>
                      <w:lang w:eastAsia="zh-CN"/>
                    </w:rPr>
                    <w:t>岩屑暂存于专用方罐中，由具备资质的单位及时转运处理，处置过程符合《油气田钻井固体废弃物综合利用污染物控制要求》（DB65/T3997—2017）相关要求，具备条件的可综合利用。</w:t>
                  </w:r>
                </w:p>
              </w:tc>
            </w:tr>
            <w:tr w14:paraId="43730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483" w:type="dxa"/>
                  <w:vAlign w:val="center"/>
                </w:tcPr>
                <w:p w14:paraId="7489A0F0">
                  <w:pPr>
                    <w:spacing w:before="57"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968" w:type="dxa"/>
                  <w:vAlign w:val="center"/>
                </w:tcPr>
                <w:p w14:paraId="02FDCD6D">
                  <w:pPr>
                    <w:pStyle w:val="16"/>
                    <w:spacing w:before="65"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水基岩屑</w:t>
                  </w:r>
                </w:p>
              </w:tc>
              <w:tc>
                <w:tcPr>
                  <w:tcW w:w="846" w:type="dxa"/>
                  <w:vAlign w:val="center"/>
                </w:tcPr>
                <w:p w14:paraId="2A5502CB">
                  <w:pPr>
                    <w:pStyle w:val="16"/>
                    <w:spacing w:before="196" w:line="229"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一般工业</w:t>
                  </w:r>
                  <w:r>
                    <w:rPr>
                      <w:rFonts w:hint="default" w:ascii="Times New Roman" w:hAnsi="Times New Roman" w:eastAsia="宋体" w:cs="Times New Roman"/>
                      <w:color w:val="auto"/>
                      <w:spacing w:val="-5"/>
                      <w:sz w:val="21"/>
                      <w:szCs w:val="21"/>
                      <w:highlight w:val="none"/>
                    </w:rPr>
                    <w:t>固废</w:t>
                  </w:r>
                </w:p>
              </w:tc>
              <w:tc>
                <w:tcPr>
                  <w:tcW w:w="1073" w:type="dxa"/>
                  <w:vAlign w:val="center"/>
                </w:tcPr>
                <w:p w14:paraId="0462AD53">
                  <w:pPr>
                    <w:pStyle w:val="16"/>
                    <w:spacing w:before="65" w:line="241"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（071-001-</w:t>
                  </w:r>
                </w:p>
                <w:p w14:paraId="2D654DD0">
                  <w:pPr>
                    <w:pStyle w:val="16"/>
                    <w:spacing w:before="12"/>
                    <w:ind w:left="317"/>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S12）</w:t>
                  </w:r>
                </w:p>
              </w:tc>
              <w:tc>
                <w:tcPr>
                  <w:tcW w:w="1245" w:type="dxa"/>
                  <w:vAlign w:val="center"/>
                </w:tcPr>
                <w:p w14:paraId="31CFE4B7">
                  <w:pPr>
                    <w:spacing w:before="57" w:line="213"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3"/>
                      <w:sz w:val="21"/>
                      <w:szCs w:val="21"/>
                      <w:highlight w:val="none"/>
                      <w:lang w:val="en-US" w:eastAsia="zh-CN"/>
                    </w:rPr>
                    <w:t>3402.25</w:t>
                  </w:r>
                </w:p>
              </w:tc>
              <w:tc>
                <w:tcPr>
                  <w:tcW w:w="3480" w:type="dxa"/>
                  <w:vMerge w:val="continue"/>
                  <w:tcBorders>
                    <w:top w:val="nil"/>
                    <w:right w:val="single" w:color="000000" w:sz="4" w:space="0"/>
                  </w:tcBorders>
                  <w:vAlign w:val="center"/>
                </w:tcPr>
                <w:p w14:paraId="25073758">
                  <w:pPr>
                    <w:jc w:val="both"/>
                    <w:rPr>
                      <w:rFonts w:hint="default" w:ascii="Times New Roman" w:hAnsi="Times New Roman" w:eastAsia="宋体" w:cs="Times New Roman"/>
                      <w:color w:val="auto"/>
                      <w:sz w:val="21"/>
                      <w:szCs w:val="21"/>
                      <w:highlight w:val="none"/>
                    </w:rPr>
                  </w:pPr>
                </w:p>
              </w:tc>
            </w:tr>
            <w:tr w14:paraId="5286B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483" w:type="dxa"/>
                  <w:vAlign w:val="center"/>
                </w:tcPr>
                <w:p w14:paraId="50053E4F">
                  <w:pPr>
                    <w:pStyle w:val="16"/>
                    <w:spacing w:before="65" w:line="228"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3</w:t>
                  </w:r>
                </w:p>
              </w:tc>
              <w:tc>
                <w:tcPr>
                  <w:tcW w:w="968" w:type="dxa"/>
                  <w:vAlign w:val="center"/>
                </w:tcPr>
                <w:p w14:paraId="13698807">
                  <w:pPr>
                    <w:pStyle w:val="16"/>
                    <w:spacing w:before="65" w:line="228"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生活垃圾</w:t>
                  </w:r>
                </w:p>
              </w:tc>
              <w:tc>
                <w:tcPr>
                  <w:tcW w:w="846" w:type="dxa"/>
                  <w:vAlign w:val="center"/>
                </w:tcPr>
                <w:p w14:paraId="5C9A8B4B">
                  <w:pPr>
                    <w:pStyle w:val="16"/>
                    <w:spacing w:before="65" w:line="228"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一般固废</w:t>
                  </w:r>
                </w:p>
              </w:tc>
              <w:tc>
                <w:tcPr>
                  <w:tcW w:w="1073" w:type="dxa"/>
                  <w:vAlign w:val="center"/>
                </w:tcPr>
                <w:p w14:paraId="4078C54F">
                  <w:pPr>
                    <w:pStyle w:val="16"/>
                    <w:spacing w:before="65" w:line="228"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w:t>
                  </w:r>
                </w:p>
              </w:tc>
              <w:tc>
                <w:tcPr>
                  <w:tcW w:w="1245" w:type="dxa"/>
                  <w:vAlign w:val="center"/>
                </w:tcPr>
                <w:p w14:paraId="1085B9D1">
                  <w:pPr>
                    <w:pStyle w:val="16"/>
                    <w:spacing w:before="65" w:line="228"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cs="Times New Roman"/>
                      <w:color w:val="auto"/>
                      <w:spacing w:val="6"/>
                      <w:sz w:val="21"/>
                      <w:szCs w:val="21"/>
                      <w:highlight w:val="none"/>
                      <w:lang w:val="en-US" w:eastAsia="zh-CN"/>
                    </w:rPr>
                    <w:t>50.4</w:t>
                  </w:r>
                  <w:r>
                    <w:rPr>
                      <w:rFonts w:hint="default" w:ascii="Times New Roman" w:hAnsi="Times New Roman" w:eastAsia="宋体" w:cs="Times New Roman"/>
                      <w:color w:val="auto"/>
                      <w:spacing w:val="6"/>
                      <w:sz w:val="21"/>
                      <w:szCs w:val="21"/>
                      <w:highlight w:val="none"/>
                    </w:rPr>
                    <w:t>t</w:t>
                  </w:r>
                </w:p>
              </w:tc>
              <w:tc>
                <w:tcPr>
                  <w:tcW w:w="3480" w:type="dxa"/>
                  <w:tcBorders>
                    <w:right w:val="single" w:color="000000" w:sz="4" w:space="0"/>
                  </w:tcBorders>
                  <w:vAlign w:val="center"/>
                </w:tcPr>
                <w:p w14:paraId="53F31FB0">
                  <w:pPr>
                    <w:pStyle w:val="16"/>
                    <w:spacing w:before="89" w:line="252" w:lineRule="auto"/>
                    <w:ind w:left="142" w:right="71" w:hanging="74"/>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生活垃圾由垃圾箱收集，</w:t>
                  </w:r>
                  <w:r>
                    <w:rPr>
                      <w:rFonts w:hint="default" w:ascii="Times New Roman" w:hAnsi="Times New Roman" w:cs="Times New Roman"/>
                      <w:color w:val="auto"/>
                      <w:spacing w:val="6"/>
                      <w:sz w:val="21"/>
                      <w:szCs w:val="21"/>
                      <w:highlight w:val="none"/>
                      <w:lang w:val="en-US" w:eastAsia="zh-CN"/>
                    </w:rPr>
                    <w:t>定期</w:t>
                  </w:r>
                  <w:r>
                    <w:rPr>
                      <w:rFonts w:hint="default" w:ascii="Times New Roman" w:hAnsi="Times New Roman" w:eastAsia="宋体" w:cs="Times New Roman"/>
                      <w:color w:val="auto"/>
                      <w:spacing w:val="6"/>
                      <w:sz w:val="21"/>
                      <w:szCs w:val="21"/>
                      <w:highlight w:val="none"/>
                    </w:rPr>
                    <w:t>拉运</w:t>
                  </w:r>
                  <w:r>
                    <w:rPr>
                      <w:rFonts w:hint="default" w:ascii="Times New Roman" w:hAnsi="Times New Roman" w:eastAsia="宋体" w:cs="Times New Roman"/>
                      <w:color w:val="auto"/>
                      <w:spacing w:val="8"/>
                      <w:sz w:val="21"/>
                      <w:szCs w:val="21"/>
                      <w:highlight w:val="none"/>
                    </w:rPr>
                    <w:t>至吉木萨尔县生活垃圾填埋场进行处理。</w:t>
                  </w:r>
                </w:p>
              </w:tc>
            </w:tr>
          </w:tbl>
          <w:p w14:paraId="43944862">
            <w:pPr>
              <w:widowControl w:val="0"/>
              <w:jc w:val="center"/>
              <w:rPr>
                <w:rFonts w:hint="default" w:ascii="Times New Roman" w:hAnsi="Times New Roman" w:eastAsia="宋体" w:cs="Times New Roman"/>
                <w:b/>
                <w:bCs/>
                <w:color w:val="auto"/>
                <w:spacing w:val="5"/>
                <w:highlight w:val="none"/>
                <w:lang w:val="en-US" w:eastAsia="zh-CN"/>
              </w:rPr>
            </w:pPr>
          </w:p>
          <w:p w14:paraId="4C61EF5D">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highlight w:val="none"/>
                <w:lang w:val="en-US" w:eastAsia="zh-CN"/>
              </w:rPr>
              <w:t>表4-6 本项目危险废物清单</w:t>
            </w:r>
          </w:p>
          <w:tbl>
            <w:tblPr>
              <w:tblStyle w:val="15"/>
              <w:tblW w:w="8035"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0"/>
              <w:gridCol w:w="941"/>
              <w:gridCol w:w="502"/>
              <w:gridCol w:w="539"/>
              <w:gridCol w:w="702"/>
              <w:gridCol w:w="767"/>
              <w:gridCol w:w="1116"/>
              <w:gridCol w:w="3108"/>
            </w:tblGrid>
            <w:tr w14:paraId="1316E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7" w:hRule="atLeast"/>
              </w:trPr>
              <w:tc>
                <w:tcPr>
                  <w:tcW w:w="360" w:type="dxa"/>
                  <w:vAlign w:val="center"/>
                </w:tcPr>
                <w:p w14:paraId="535AB97F">
                  <w:pPr>
                    <w:pStyle w:val="16"/>
                    <w:keepNext w:val="0"/>
                    <w:keepLines w:val="0"/>
                    <w:pageBreakBefore w:val="0"/>
                    <w:widowControl/>
                    <w:kinsoku w:val="0"/>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b/>
                      <w:bCs/>
                      <w:color w:val="auto"/>
                      <w:spacing w:val="6"/>
                      <w:sz w:val="21"/>
                      <w:szCs w:val="21"/>
                      <w:highlight w:val="none"/>
                      <w:lang w:val="en-US" w:eastAsia="zh-CN"/>
                    </w:rPr>
                  </w:pPr>
                  <w:r>
                    <w:rPr>
                      <w:rFonts w:hint="default" w:ascii="Times New Roman" w:hAnsi="Times New Roman" w:eastAsia="宋体" w:cs="Times New Roman"/>
                      <w:b/>
                      <w:bCs/>
                      <w:color w:val="auto"/>
                      <w:spacing w:val="6"/>
                      <w:sz w:val="21"/>
                      <w:szCs w:val="21"/>
                      <w:highlight w:val="none"/>
                      <w:lang w:val="en-US" w:eastAsia="zh-CN"/>
                    </w:rPr>
                    <w:t>序号</w:t>
                  </w:r>
                </w:p>
              </w:tc>
              <w:tc>
                <w:tcPr>
                  <w:tcW w:w="941" w:type="dxa"/>
                  <w:vAlign w:val="center"/>
                </w:tcPr>
                <w:p w14:paraId="268CA3D2">
                  <w:pPr>
                    <w:pStyle w:val="16"/>
                    <w:keepNext w:val="0"/>
                    <w:keepLines w:val="0"/>
                    <w:pageBreakBefore w:val="0"/>
                    <w:widowControl/>
                    <w:kinsoku w:val="0"/>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b/>
                      <w:bCs/>
                      <w:color w:val="auto"/>
                      <w:spacing w:val="6"/>
                      <w:sz w:val="21"/>
                      <w:szCs w:val="21"/>
                      <w:highlight w:val="none"/>
                      <w:lang w:val="en-US" w:eastAsia="zh-CN"/>
                    </w:rPr>
                  </w:pPr>
                  <w:r>
                    <w:rPr>
                      <w:rFonts w:hint="default" w:ascii="Times New Roman" w:hAnsi="Times New Roman" w:eastAsia="宋体" w:cs="Times New Roman"/>
                      <w:b/>
                      <w:bCs/>
                      <w:color w:val="auto"/>
                      <w:spacing w:val="6"/>
                      <w:sz w:val="21"/>
                      <w:szCs w:val="21"/>
                      <w:highlight w:val="none"/>
                      <w:lang w:val="en-US" w:eastAsia="zh-CN"/>
                    </w:rPr>
                    <w:t>危废名称</w:t>
                  </w:r>
                </w:p>
              </w:tc>
              <w:tc>
                <w:tcPr>
                  <w:tcW w:w="502" w:type="dxa"/>
                  <w:vAlign w:val="center"/>
                </w:tcPr>
                <w:p w14:paraId="235E17C3">
                  <w:pPr>
                    <w:pStyle w:val="16"/>
                    <w:keepNext w:val="0"/>
                    <w:keepLines w:val="0"/>
                    <w:pageBreakBefore w:val="0"/>
                    <w:widowControl/>
                    <w:kinsoku w:val="0"/>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b/>
                      <w:bCs/>
                      <w:color w:val="auto"/>
                      <w:spacing w:val="6"/>
                      <w:sz w:val="21"/>
                      <w:szCs w:val="21"/>
                      <w:highlight w:val="none"/>
                      <w:lang w:val="en-US" w:eastAsia="zh-CN"/>
                    </w:rPr>
                  </w:pPr>
                  <w:r>
                    <w:rPr>
                      <w:rFonts w:hint="default" w:ascii="Times New Roman" w:hAnsi="Times New Roman" w:eastAsia="宋体" w:cs="Times New Roman"/>
                      <w:b/>
                      <w:bCs/>
                      <w:color w:val="auto"/>
                      <w:spacing w:val="6"/>
                      <w:sz w:val="21"/>
                      <w:szCs w:val="21"/>
                      <w:highlight w:val="none"/>
                      <w:lang w:val="en-US" w:eastAsia="zh-CN"/>
                    </w:rPr>
                    <w:t>属性</w:t>
                  </w:r>
                </w:p>
              </w:tc>
              <w:tc>
                <w:tcPr>
                  <w:tcW w:w="539" w:type="dxa"/>
                  <w:vAlign w:val="center"/>
                </w:tcPr>
                <w:p w14:paraId="19931BF1">
                  <w:pPr>
                    <w:pStyle w:val="16"/>
                    <w:keepNext w:val="0"/>
                    <w:keepLines w:val="0"/>
                    <w:pageBreakBefore w:val="0"/>
                    <w:widowControl/>
                    <w:kinsoku w:val="0"/>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b/>
                      <w:bCs/>
                      <w:color w:val="auto"/>
                      <w:spacing w:val="6"/>
                      <w:sz w:val="21"/>
                      <w:szCs w:val="21"/>
                      <w:highlight w:val="none"/>
                      <w:lang w:val="en-US" w:eastAsia="zh-CN"/>
                    </w:rPr>
                  </w:pPr>
                  <w:r>
                    <w:rPr>
                      <w:rFonts w:hint="default" w:ascii="Times New Roman" w:hAnsi="Times New Roman" w:eastAsia="宋体" w:cs="Times New Roman"/>
                      <w:b/>
                      <w:bCs/>
                      <w:color w:val="auto"/>
                      <w:spacing w:val="6"/>
                      <w:sz w:val="21"/>
                      <w:szCs w:val="21"/>
                      <w:highlight w:val="none"/>
                      <w:lang w:val="en-US" w:eastAsia="zh-CN"/>
                    </w:rPr>
                    <w:t>危险特性</w:t>
                  </w:r>
                </w:p>
              </w:tc>
              <w:tc>
                <w:tcPr>
                  <w:tcW w:w="702" w:type="dxa"/>
                  <w:vAlign w:val="center"/>
                </w:tcPr>
                <w:p w14:paraId="025FF712">
                  <w:pPr>
                    <w:pStyle w:val="16"/>
                    <w:keepNext w:val="0"/>
                    <w:keepLines w:val="0"/>
                    <w:pageBreakBefore w:val="0"/>
                    <w:widowControl/>
                    <w:kinsoku w:val="0"/>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b/>
                      <w:bCs/>
                      <w:color w:val="auto"/>
                      <w:spacing w:val="6"/>
                      <w:sz w:val="21"/>
                      <w:szCs w:val="21"/>
                      <w:highlight w:val="none"/>
                      <w:lang w:val="en-US" w:eastAsia="zh-CN"/>
                    </w:rPr>
                  </w:pPr>
                  <w:r>
                    <w:rPr>
                      <w:rFonts w:hint="default" w:ascii="Times New Roman" w:hAnsi="Times New Roman" w:eastAsia="宋体" w:cs="Times New Roman"/>
                      <w:b/>
                      <w:bCs/>
                      <w:color w:val="auto"/>
                      <w:spacing w:val="6"/>
                      <w:sz w:val="21"/>
                      <w:szCs w:val="21"/>
                      <w:highlight w:val="none"/>
                      <w:lang w:val="en-US" w:eastAsia="zh-CN"/>
                    </w:rPr>
                    <w:t>废物类别</w:t>
                  </w:r>
                </w:p>
              </w:tc>
              <w:tc>
                <w:tcPr>
                  <w:tcW w:w="767" w:type="dxa"/>
                  <w:vAlign w:val="center"/>
                </w:tcPr>
                <w:p w14:paraId="6DA6706C">
                  <w:pPr>
                    <w:pStyle w:val="16"/>
                    <w:keepNext w:val="0"/>
                    <w:keepLines w:val="0"/>
                    <w:pageBreakBefore w:val="0"/>
                    <w:widowControl/>
                    <w:kinsoku w:val="0"/>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b/>
                      <w:bCs/>
                      <w:color w:val="auto"/>
                      <w:spacing w:val="6"/>
                      <w:sz w:val="21"/>
                      <w:szCs w:val="21"/>
                      <w:highlight w:val="none"/>
                      <w:lang w:val="en-US" w:eastAsia="zh-CN"/>
                    </w:rPr>
                  </w:pPr>
                  <w:r>
                    <w:rPr>
                      <w:rFonts w:hint="default" w:ascii="Times New Roman" w:hAnsi="Times New Roman" w:eastAsia="宋体" w:cs="Times New Roman"/>
                      <w:b/>
                      <w:bCs/>
                      <w:color w:val="auto"/>
                      <w:spacing w:val="6"/>
                      <w:sz w:val="21"/>
                      <w:szCs w:val="21"/>
                      <w:highlight w:val="none"/>
                      <w:lang w:val="en-US" w:eastAsia="zh-CN"/>
                    </w:rPr>
                    <w:t>废物代码</w:t>
                  </w:r>
                </w:p>
              </w:tc>
              <w:tc>
                <w:tcPr>
                  <w:tcW w:w="1116" w:type="dxa"/>
                  <w:vAlign w:val="center"/>
                </w:tcPr>
                <w:p w14:paraId="61A93DDF">
                  <w:pPr>
                    <w:pStyle w:val="16"/>
                    <w:keepNext w:val="0"/>
                    <w:keepLines w:val="0"/>
                    <w:pageBreakBefore w:val="0"/>
                    <w:widowControl/>
                    <w:kinsoku w:val="0"/>
                    <w:wordWrap/>
                    <w:overflowPunct/>
                    <w:topLinePunct w:val="0"/>
                    <w:autoSpaceDE w:val="0"/>
                    <w:autoSpaceDN w:val="0"/>
                    <w:bidi w:val="0"/>
                    <w:adjustRightInd w:val="0"/>
                    <w:snapToGrid w:val="0"/>
                    <w:spacing w:line="240" w:lineRule="atLeast"/>
                    <w:jc w:val="center"/>
                    <w:textAlignment w:val="baseline"/>
                    <w:rPr>
                      <w:rFonts w:hint="default" w:ascii="Times New Roman" w:hAnsi="Times New Roman" w:eastAsia="宋体" w:cs="Times New Roman"/>
                      <w:b/>
                      <w:bCs/>
                      <w:color w:val="auto"/>
                      <w:spacing w:val="6"/>
                      <w:sz w:val="21"/>
                      <w:szCs w:val="21"/>
                      <w:highlight w:val="none"/>
                    </w:rPr>
                  </w:pPr>
                  <w:r>
                    <w:rPr>
                      <w:rFonts w:hint="default" w:ascii="Times New Roman" w:hAnsi="Times New Roman" w:eastAsia="宋体" w:cs="Times New Roman"/>
                      <w:b/>
                      <w:bCs/>
                      <w:color w:val="auto"/>
                      <w:spacing w:val="6"/>
                      <w:sz w:val="21"/>
                      <w:szCs w:val="21"/>
                      <w:highlight w:val="none"/>
                      <w:lang w:val="en-US" w:eastAsia="zh-CN"/>
                    </w:rPr>
                    <w:t>估算产生量（施工期）</w:t>
                  </w:r>
                </w:p>
              </w:tc>
              <w:tc>
                <w:tcPr>
                  <w:tcW w:w="3108" w:type="dxa"/>
                  <w:tcBorders>
                    <w:bottom w:val="single" w:color="auto" w:sz="4" w:space="0"/>
                    <w:right w:val="single" w:color="000000" w:sz="4" w:space="0"/>
                  </w:tcBorders>
                  <w:vAlign w:val="center"/>
                </w:tcPr>
                <w:p w14:paraId="30BC6D9E">
                  <w:pPr>
                    <w:pStyle w:val="16"/>
                    <w:spacing w:before="81" w:line="218" w:lineRule="auto"/>
                    <w:jc w:val="center"/>
                    <w:rPr>
                      <w:rFonts w:hint="default" w:ascii="Times New Roman" w:hAnsi="Times New Roman" w:eastAsia="宋体" w:cs="Times New Roman"/>
                      <w:b/>
                      <w:bCs/>
                      <w:color w:val="auto"/>
                      <w:spacing w:val="6"/>
                      <w:sz w:val="21"/>
                      <w:szCs w:val="21"/>
                      <w:highlight w:val="none"/>
                    </w:rPr>
                  </w:pPr>
                  <w:r>
                    <w:rPr>
                      <w:rFonts w:hint="default" w:ascii="Times New Roman" w:hAnsi="Times New Roman" w:eastAsia="宋体" w:cs="Times New Roman"/>
                      <w:b/>
                      <w:bCs/>
                      <w:color w:val="auto"/>
                      <w:spacing w:val="6"/>
                      <w:sz w:val="21"/>
                      <w:szCs w:val="21"/>
                      <w:highlight w:val="none"/>
                      <w:lang w:val="en-US" w:eastAsia="zh-CN"/>
                    </w:rPr>
                    <w:t>采取的处理处置方式</w:t>
                  </w:r>
                </w:p>
              </w:tc>
            </w:tr>
            <w:tr w14:paraId="42B6C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7" w:hRule="atLeast"/>
              </w:trPr>
              <w:tc>
                <w:tcPr>
                  <w:tcW w:w="360" w:type="dxa"/>
                  <w:vAlign w:val="center"/>
                </w:tcPr>
                <w:p w14:paraId="139B5694">
                  <w:pPr>
                    <w:spacing w:before="57"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941" w:type="dxa"/>
                  <w:vAlign w:val="center"/>
                </w:tcPr>
                <w:p w14:paraId="31468837">
                  <w:pPr>
                    <w:spacing w:before="57" w:line="195"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废弃</w:t>
                  </w:r>
                  <w:r>
                    <w:rPr>
                      <w:rFonts w:hint="default" w:ascii="Times New Roman" w:hAnsi="Times New Roman" w:eastAsia="宋体" w:cs="Times New Roman"/>
                      <w:color w:val="auto"/>
                      <w:sz w:val="21"/>
                      <w:szCs w:val="21"/>
                      <w:highlight w:val="none"/>
                    </w:rPr>
                    <w:t>油基泥浆</w:t>
                  </w:r>
                </w:p>
              </w:tc>
              <w:tc>
                <w:tcPr>
                  <w:tcW w:w="502" w:type="dxa"/>
                  <w:vAlign w:val="center"/>
                </w:tcPr>
                <w:p w14:paraId="1E60C4F2">
                  <w:pPr>
                    <w:spacing w:before="263"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w:t>
                  </w:r>
                </w:p>
              </w:tc>
              <w:tc>
                <w:tcPr>
                  <w:tcW w:w="539" w:type="dxa"/>
                  <w:vAlign w:val="center"/>
                </w:tcPr>
                <w:p w14:paraId="2372FB17">
                  <w:pPr>
                    <w:spacing w:before="263"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毒性T</w:t>
                  </w:r>
                </w:p>
              </w:tc>
              <w:tc>
                <w:tcPr>
                  <w:tcW w:w="702" w:type="dxa"/>
                  <w:vAlign w:val="center"/>
                </w:tcPr>
                <w:p w14:paraId="1F8E96F3">
                  <w:pPr>
                    <w:pStyle w:val="16"/>
                    <w:spacing w:before="65" w:line="228"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HW08</w:t>
                  </w:r>
                </w:p>
              </w:tc>
              <w:tc>
                <w:tcPr>
                  <w:tcW w:w="767" w:type="dxa"/>
                  <w:vAlign w:val="center"/>
                </w:tcPr>
                <w:p w14:paraId="5076B2D3">
                  <w:pPr>
                    <w:pStyle w:val="16"/>
                    <w:spacing w:before="65" w:line="228"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071-00</w:t>
                  </w:r>
                  <w:r>
                    <w:rPr>
                      <w:rFonts w:hint="default" w:ascii="Times New Roman" w:hAnsi="Times New Roman" w:cs="Times New Roman"/>
                      <w:color w:val="auto"/>
                      <w:spacing w:val="6"/>
                      <w:sz w:val="21"/>
                      <w:szCs w:val="21"/>
                      <w:highlight w:val="none"/>
                      <w:lang w:val="en-US" w:eastAsia="zh-CN"/>
                    </w:rPr>
                    <w:t>2</w:t>
                  </w:r>
                  <w:r>
                    <w:rPr>
                      <w:rFonts w:hint="default" w:ascii="Times New Roman" w:hAnsi="Times New Roman" w:eastAsia="宋体" w:cs="Times New Roman"/>
                      <w:color w:val="auto"/>
                      <w:spacing w:val="6"/>
                      <w:sz w:val="21"/>
                      <w:szCs w:val="21"/>
                      <w:highlight w:val="none"/>
                    </w:rPr>
                    <w:t>-08</w:t>
                  </w:r>
                </w:p>
              </w:tc>
              <w:tc>
                <w:tcPr>
                  <w:tcW w:w="1116" w:type="dxa"/>
                  <w:shd w:val="clear" w:color="auto" w:fill="auto"/>
                  <w:vAlign w:val="center"/>
                </w:tcPr>
                <w:p w14:paraId="66F897F1">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4"/>
                      <w:szCs w:val="24"/>
                      <w:highlight w:val="none"/>
                      <w:u w:val="none"/>
                      <w:lang w:val="en-US" w:eastAsia="zh-CN" w:bidi="ar-SA"/>
                    </w:rPr>
                  </w:pPr>
                  <w:r>
                    <w:rPr>
                      <w:rFonts w:hint="eastAsia" w:ascii="Times New Roman" w:hAnsi="Times New Roman" w:eastAsia="宋体" w:cs="Times New Roman"/>
                      <w:color w:val="auto"/>
                      <w:spacing w:val="3"/>
                      <w:sz w:val="21"/>
                      <w:szCs w:val="21"/>
                      <w:highlight w:val="none"/>
                      <w:lang w:val="en-US" w:eastAsia="zh-CN"/>
                    </w:rPr>
                    <w:t>266.43</w:t>
                  </w:r>
                  <w:r>
                    <w:rPr>
                      <w:rFonts w:hint="default" w:ascii="Times New Roman" w:hAnsi="Times New Roman" w:eastAsia="宋体" w:cs="Times New Roman"/>
                      <w:color w:val="auto"/>
                      <w:spacing w:val="3"/>
                      <w:sz w:val="21"/>
                      <w:szCs w:val="21"/>
                      <w:highlight w:val="none"/>
                    </w:rPr>
                    <w:t>m</w:t>
                  </w:r>
                  <w:r>
                    <w:rPr>
                      <w:rFonts w:hint="default" w:ascii="Times New Roman" w:hAnsi="Times New Roman" w:eastAsia="宋体" w:cs="Times New Roman"/>
                      <w:color w:val="auto"/>
                      <w:spacing w:val="3"/>
                      <w:sz w:val="21"/>
                      <w:szCs w:val="21"/>
                      <w:highlight w:val="none"/>
                      <w:vertAlign w:val="superscript"/>
                      <w:lang w:val="en-US" w:eastAsia="zh-CN"/>
                    </w:rPr>
                    <w:t>3</w:t>
                  </w:r>
                </w:p>
              </w:tc>
              <w:tc>
                <w:tcPr>
                  <w:tcW w:w="3108" w:type="dxa"/>
                  <w:vMerge w:val="restart"/>
                  <w:tcBorders>
                    <w:top w:val="single" w:color="auto" w:sz="4" w:space="0"/>
                    <w:right w:val="single" w:color="000000" w:sz="4" w:space="0"/>
                  </w:tcBorders>
                  <w:vAlign w:val="center"/>
                </w:tcPr>
                <w:p w14:paraId="03BDC2B8">
                  <w:pPr>
                    <w:spacing w:before="263" w:line="240" w:lineRule="auto"/>
                    <w:jc w:val="both"/>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二开段产生的废弃油基泥浆和油基钻井岩屑，以及三开段产生的沾染油基钻井液的水基钻井岩屑，均在井口通过不落地系统进行固液分离处理。分离后的液相回用于钻井液配制循环使用，不外排；分离后的固相暂存于贮存罐区防渗密闭的专用方罐内，实行分类管理、标识清晰。后期由具有危险废物转运和处置资质的新疆中建环能北庭环保科技有限公司定期负责转运及无害化处置，确保全过程闭环管理，环境风险可控。</w:t>
                  </w:r>
                </w:p>
              </w:tc>
            </w:tr>
            <w:tr w14:paraId="6E3E5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3" w:hRule="atLeast"/>
              </w:trPr>
              <w:tc>
                <w:tcPr>
                  <w:tcW w:w="360" w:type="dxa"/>
                  <w:vAlign w:val="center"/>
                </w:tcPr>
                <w:p w14:paraId="30E8B283">
                  <w:pPr>
                    <w:spacing w:before="57"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941" w:type="dxa"/>
                  <w:vAlign w:val="center"/>
                </w:tcPr>
                <w:p w14:paraId="1B45023E">
                  <w:pPr>
                    <w:spacing w:before="57" w:line="195"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二开段</w:t>
                  </w:r>
                  <w:r>
                    <w:rPr>
                      <w:rFonts w:hint="default" w:ascii="Times New Roman" w:hAnsi="Times New Roman" w:eastAsia="宋体" w:cs="Times New Roman"/>
                      <w:color w:val="auto"/>
                      <w:sz w:val="21"/>
                      <w:szCs w:val="21"/>
                      <w:highlight w:val="none"/>
                    </w:rPr>
                    <w:t>油基岩屑</w:t>
                  </w:r>
                </w:p>
              </w:tc>
              <w:tc>
                <w:tcPr>
                  <w:tcW w:w="502" w:type="dxa"/>
                  <w:vAlign w:val="center"/>
                </w:tcPr>
                <w:p w14:paraId="10DA404C">
                  <w:pPr>
                    <w:spacing w:before="263"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w:t>
                  </w:r>
                </w:p>
              </w:tc>
              <w:tc>
                <w:tcPr>
                  <w:tcW w:w="539" w:type="dxa"/>
                  <w:vAlign w:val="center"/>
                </w:tcPr>
                <w:p w14:paraId="6B76C5C3">
                  <w:pPr>
                    <w:spacing w:before="263"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毒性T</w:t>
                  </w:r>
                </w:p>
              </w:tc>
              <w:tc>
                <w:tcPr>
                  <w:tcW w:w="702" w:type="dxa"/>
                  <w:vAlign w:val="center"/>
                </w:tcPr>
                <w:p w14:paraId="27F98B34">
                  <w:pPr>
                    <w:pStyle w:val="16"/>
                    <w:spacing w:before="65" w:line="228"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HW08</w:t>
                  </w:r>
                </w:p>
              </w:tc>
              <w:tc>
                <w:tcPr>
                  <w:tcW w:w="767" w:type="dxa"/>
                  <w:vAlign w:val="center"/>
                </w:tcPr>
                <w:p w14:paraId="6C08C435">
                  <w:pPr>
                    <w:pStyle w:val="16"/>
                    <w:spacing w:before="65" w:line="228"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071-002-08</w:t>
                  </w:r>
                </w:p>
              </w:tc>
              <w:tc>
                <w:tcPr>
                  <w:tcW w:w="1116" w:type="dxa"/>
                  <w:vAlign w:val="center"/>
                </w:tcPr>
                <w:p w14:paraId="5B769ED2">
                  <w:pPr>
                    <w:pStyle w:val="16"/>
                    <w:spacing w:before="65" w:line="228" w:lineRule="auto"/>
                    <w:jc w:val="center"/>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cs="Times New Roman"/>
                      <w:color w:val="auto"/>
                      <w:spacing w:val="6"/>
                      <w:sz w:val="21"/>
                      <w:szCs w:val="21"/>
                      <w:highlight w:val="none"/>
                      <w:lang w:val="en-US" w:eastAsia="zh-CN"/>
                    </w:rPr>
                    <w:t>7591.46</w:t>
                  </w:r>
                  <w:r>
                    <w:rPr>
                      <w:rFonts w:hint="default" w:ascii="Times New Roman" w:hAnsi="Times New Roman" w:eastAsia="宋体" w:cs="Times New Roman"/>
                      <w:color w:val="auto"/>
                      <w:spacing w:val="6"/>
                      <w:sz w:val="21"/>
                      <w:szCs w:val="21"/>
                      <w:highlight w:val="none"/>
                    </w:rPr>
                    <w:t>m</w:t>
                  </w:r>
                  <w:r>
                    <w:rPr>
                      <w:rFonts w:hint="default" w:ascii="Times New Roman" w:hAnsi="Times New Roman" w:eastAsia="宋体" w:cs="Times New Roman"/>
                      <w:color w:val="auto"/>
                      <w:spacing w:val="6"/>
                      <w:sz w:val="21"/>
                      <w:szCs w:val="21"/>
                      <w:highlight w:val="none"/>
                      <w:vertAlign w:val="superscript"/>
                      <w:lang w:val="en-US" w:eastAsia="zh-CN"/>
                    </w:rPr>
                    <w:t>3</w:t>
                  </w:r>
                </w:p>
              </w:tc>
              <w:tc>
                <w:tcPr>
                  <w:tcW w:w="3108" w:type="dxa"/>
                  <w:vMerge w:val="continue"/>
                  <w:tcBorders>
                    <w:right w:val="single" w:color="000000" w:sz="4" w:space="0"/>
                  </w:tcBorders>
                  <w:vAlign w:val="center"/>
                </w:tcPr>
                <w:p w14:paraId="20C82720">
                  <w:pPr>
                    <w:spacing w:before="263" w:line="195" w:lineRule="auto"/>
                    <w:jc w:val="both"/>
                    <w:rPr>
                      <w:rFonts w:hint="default" w:ascii="Times New Roman" w:hAnsi="Times New Roman" w:eastAsia="宋体" w:cs="Times New Roman"/>
                      <w:color w:val="auto"/>
                      <w:spacing w:val="1"/>
                      <w:sz w:val="21"/>
                      <w:szCs w:val="21"/>
                      <w:highlight w:val="none"/>
                    </w:rPr>
                  </w:pPr>
                </w:p>
              </w:tc>
            </w:tr>
            <w:tr w14:paraId="65259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360" w:type="dxa"/>
                  <w:vAlign w:val="center"/>
                </w:tcPr>
                <w:p w14:paraId="4391F627">
                  <w:pPr>
                    <w:spacing w:before="57" w:line="195"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941" w:type="dxa"/>
                  <w:vAlign w:val="center"/>
                </w:tcPr>
                <w:p w14:paraId="38503663">
                  <w:pPr>
                    <w:spacing w:before="57" w:line="195"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三开段水基钻井岩屑</w:t>
                  </w:r>
                </w:p>
              </w:tc>
              <w:tc>
                <w:tcPr>
                  <w:tcW w:w="502" w:type="dxa"/>
                  <w:vAlign w:val="center"/>
                </w:tcPr>
                <w:p w14:paraId="338A8E15">
                  <w:pPr>
                    <w:spacing w:before="263"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w:t>
                  </w:r>
                </w:p>
              </w:tc>
              <w:tc>
                <w:tcPr>
                  <w:tcW w:w="539" w:type="dxa"/>
                  <w:vAlign w:val="center"/>
                </w:tcPr>
                <w:p w14:paraId="06E45CCD">
                  <w:pPr>
                    <w:spacing w:before="263"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毒性T</w:t>
                  </w:r>
                </w:p>
              </w:tc>
              <w:tc>
                <w:tcPr>
                  <w:tcW w:w="702" w:type="dxa"/>
                  <w:vAlign w:val="center"/>
                </w:tcPr>
                <w:p w14:paraId="7BB22F2E">
                  <w:pPr>
                    <w:pStyle w:val="16"/>
                    <w:spacing w:before="65" w:line="228"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HW08</w:t>
                  </w:r>
                </w:p>
              </w:tc>
              <w:tc>
                <w:tcPr>
                  <w:tcW w:w="767" w:type="dxa"/>
                  <w:vAlign w:val="center"/>
                </w:tcPr>
                <w:p w14:paraId="448793D5">
                  <w:pPr>
                    <w:pStyle w:val="16"/>
                    <w:spacing w:before="65" w:line="228"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071-002-08</w:t>
                  </w:r>
                </w:p>
              </w:tc>
              <w:tc>
                <w:tcPr>
                  <w:tcW w:w="1116" w:type="dxa"/>
                  <w:vAlign w:val="center"/>
                </w:tcPr>
                <w:p w14:paraId="2855AFE9">
                  <w:pPr>
                    <w:pStyle w:val="16"/>
                    <w:spacing w:before="65" w:line="228" w:lineRule="auto"/>
                    <w:jc w:val="center"/>
                    <w:rPr>
                      <w:rFonts w:hint="default" w:ascii="Times New Roman" w:hAnsi="Times New Roman" w:cs="Times New Roman"/>
                      <w:color w:val="auto"/>
                      <w:spacing w:val="6"/>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3402.25</w:t>
                  </w:r>
                  <w:r>
                    <w:rPr>
                      <w:rFonts w:hint="default" w:ascii="Times New Roman" w:hAnsi="Times New Roman" w:eastAsia="宋体" w:cs="Times New Roman"/>
                      <w:color w:val="auto"/>
                      <w:spacing w:val="6"/>
                      <w:sz w:val="21"/>
                      <w:szCs w:val="21"/>
                      <w:highlight w:val="none"/>
                    </w:rPr>
                    <w:t>m</w:t>
                  </w:r>
                  <w:r>
                    <w:rPr>
                      <w:rFonts w:hint="default" w:ascii="Times New Roman" w:hAnsi="Times New Roman" w:eastAsia="宋体" w:cs="Times New Roman"/>
                      <w:color w:val="auto"/>
                      <w:spacing w:val="6"/>
                      <w:sz w:val="21"/>
                      <w:szCs w:val="21"/>
                      <w:highlight w:val="none"/>
                      <w:vertAlign w:val="superscript"/>
                      <w:lang w:val="en-US" w:eastAsia="zh-CN"/>
                    </w:rPr>
                    <w:t>3</w:t>
                  </w:r>
                </w:p>
              </w:tc>
              <w:tc>
                <w:tcPr>
                  <w:tcW w:w="3108" w:type="dxa"/>
                  <w:vMerge w:val="continue"/>
                  <w:tcBorders>
                    <w:bottom w:val="single" w:color="auto" w:sz="4" w:space="0"/>
                    <w:right w:val="single" w:color="000000" w:sz="4" w:space="0"/>
                  </w:tcBorders>
                  <w:vAlign w:val="center"/>
                </w:tcPr>
                <w:p w14:paraId="071B4DCA">
                  <w:pPr>
                    <w:spacing w:before="263" w:line="195" w:lineRule="auto"/>
                    <w:jc w:val="both"/>
                    <w:rPr>
                      <w:rFonts w:hint="default" w:ascii="Times New Roman" w:hAnsi="Times New Roman" w:eastAsia="宋体" w:cs="Times New Roman"/>
                      <w:color w:val="auto"/>
                      <w:spacing w:val="1"/>
                      <w:sz w:val="21"/>
                      <w:szCs w:val="21"/>
                      <w:highlight w:val="none"/>
                    </w:rPr>
                  </w:pPr>
                </w:p>
              </w:tc>
            </w:tr>
            <w:tr w14:paraId="451D2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0" w:hRule="atLeast"/>
              </w:trPr>
              <w:tc>
                <w:tcPr>
                  <w:tcW w:w="360" w:type="dxa"/>
                  <w:vAlign w:val="center"/>
                </w:tcPr>
                <w:p w14:paraId="3B47A7AB">
                  <w:pPr>
                    <w:spacing w:before="57" w:line="195"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4</w:t>
                  </w:r>
                </w:p>
              </w:tc>
              <w:tc>
                <w:tcPr>
                  <w:tcW w:w="941" w:type="dxa"/>
                  <w:vAlign w:val="center"/>
                </w:tcPr>
                <w:p w14:paraId="5B97C0E0">
                  <w:pPr>
                    <w:spacing w:before="57"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落地油泥</w:t>
                  </w:r>
                </w:p>
              </w:tc>
              <w:tc>
                <w:tcPr>
                  <w:tcW w:w="502" w:type="dxa"/>
                  <w:vMerge w:val="restart"/>
                  <w:tcBorders>
                    <w:bottom w:val="nil"/>
                  </w:tcBorders>
                  <w:vAlign w:val="center"/>
                </w:tcPr>
                <w:p w14:paraId="1C38931B">
                  <w:pPr>
                    <w:spacing w:before="263"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w:t>
                  </w:r>
                </w:p>
              </w:tc>
              <w:tc>
                <w:tcPr>
                  <w:tcW w:w="539" w:type="dxa"/>
                  <w:vAlign w:val="center"/>
                </w:tcPr>
                <w:p w14:paraId="2713EA6F">
                  <w:pPr>
                    <w:spacing w:before="263"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毒性T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易燃性I</w:t>
                  </w:r>
                </w:p>
              </w:tc>
              <w:tc>
                <w:tcPr>
                  <w:tcW w:w="702" w:type="dxa"/>
                  <w:vAlign w:val="center"/>
                </w:tcPr>
                <w:p w14:paraId="4C39591F">
                  <w:pPr>
                    <w:pStyle w:val="16"/>
                    <w:spacing w:before="65" w:line="228"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HW08</w:t>
                  </w:r>
                </w:p>
              </w:tc>
              <w:tc>
                <w:tcPr>
                  <w:tcW w:w="767" w:type="dxa"/>
                  <w:vAlign w:val="center"/>
                </w:tcPr>
                <w:p w14:paraId="629C8862">
                  <w:pPr>
                    <w:pStyle w:val="16"/>
                    <w:spacing w:before="65" w:line="228"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071-001-08</w:t>
                  </w:r>
                </w:p>
              </w:tc>
              <w:tc>
                <w:tcPr>
                  <w:tcW w:w="1116" w:type="dxa"/>
                  <w:vAlign w:val="center"/>
                </w:tcPr>
                <w:p w14:paraId="31D346FD">
                  <w:pPr>
                    <w:pStyle w:val="16"/>
                    <w:spacing w:before="65" w:line="228"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cs="Times New Roman"/>
                      <w:color w:val="auto"/>
                      <w:spacing w:val="6"/>
                      <w:sz w:val="21"/>
                      <w:szCs w:val="21"/>
                      <w:highlight w:val="none"/>
                      <w:lang w:val="en-US" w:eastAsia="zh-CN"/>
                    </w:rPr>
                    <w:t>1</w:t>
                  </w:r>
                  <w:r>
                    <w:rPr>
                      <w:rFonts w:hint="default" w:ascii="Times New Roman" w:hAnsi="Times New Roman" w:eastAsia="宋体" w:cs="Times New Roman"/>
                      <w:color w:val="auto"/>
                      <w:spacing w:val="6"/>
                      <w:sz w:val="21"/>
                      <w:szCs w:val="21"/>
                      <w:highlight w:val="none"/>
                    </w:rPr>
                    <w:t>t</w:t>
                  </w:r>
                </w:p>
              </w:tc>
              <w:tc>
                <w:tcPr>
                  <w:tcW w:w="3108" w:type="dxa"/>
                  <w:tcBorders>
                    <w:top w:val="single" w:color="auto" w:sz="4" w:space="0"/>
                    <w:bottom w:val="single" w:color="auto" w:sz="4" w:space="0"/>
                    <w:right w:val="single" w:color="000000" w:sz="4" w:space="0"/>
                  </w:tcBorders>
                  <w:vAlign w:val="center"/>
                </w:tcPr>
                <w:p w14:paraId="27BFAEA2">
                  <w:pPr>
                    <w:spacing w:before="263" w:line="240" w:lineRule="auto"/>
                    <w:jc w:val="both"/>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落地油泥暂存于专用钢制桶内，最终交由有危险废物处置资质的单位处置。</w:t>
                  </w:r>
                </w:p>
              </w:tc>
            </w:tr>
            <w:tr w14:paraId="622CF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60" w:type="dxa"/>
                  <w:vAlign w:val="center"/>
                </w:tcPr>
                <w:p w14:paraId="75636013">
                  <w:pPr>
                    <w:spacing w:before="57" w:line="195"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5</w:t>
                  </w:r>
                </w:p>
              </w:tc>
              <w:tc>
                <w:tcPr>
                  <w:tcW w:w="941" w:type="dxa"/>
                  <w:vAlign w:val="center"/>
                </w:tcPr>
                <w:p w14:paraId="77004073">
                  <w:pPr>
                    <w:spacing w:before="57"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废防渗材料</w:t>
                  </w:r>
                </w:p>
              </w:tc>
              <w:tc>
                <w:tcPr>
                  <w:tcW w:w="502" w:type="dxa"/>
                  <w:vMerge w:val="continue"/>
                  <w:tcBorders>
                    <w:top w:val="nil"/>
                    <w:bottom w:val="nil"/>
                  </w:tcBorders>
                  <w:vAlign w:val="top"/>
                </w:tcPr>
                <w:p w14:paraId="0C6E3552">
                  <w:pPr>
                    <w:spacing w:before="263" w:line="195" w:lineRule="auto"/>
                    <w:jc w:val="center"/>
                    <w:rPr>
                      <w:rFonts w:hint="default" w:ascii="Times New Roman" w:hAnsi="Times New Roman" w:eastAsia="宋体" w:cs="Times New Roman"/>
                      <w:color w:val="auto"/>
                      <w:sz w:val="21"/>
                      <w:szCs w:val="21"/>
                      <w:highlight w:val="none"/>
                    </w:rPr>
                  </w:pPr>
                </w:p>
              </w:tc>
              <w:tc>
                <w:tcPr>
                  <w:tcW w:w="539" w:type="dxa"/>
                  <w:vAlign w:val="center"/>
                </w:tcPr>
                <w:p w14:paraId="5FE3E5D6">
                  <w:pPr>
                    <w:spacing w:before="263"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毒性T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易燃性I</w:t>
                  </w:r>
                </w:p>
              </w:tc>
              <w:tc>
                <w:tcPr>
                  <w:tcW w:w="702" w:type="dxa"/>
                  <w:vAlign w:val="center"/>
                </w:tcPr>
                <w:p w14:paraId="323448CA">
                  <w:pPr>
                    <w:pStyle w:val="16"/>
                    <w:spacing w:before="65" w:line="228"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HW08</w:t>
                  </w:r>
                </w:p>
              </w:tc>
              <w:tc>
                <w:tcPr>
                  <w:tcW w:w="767" w:type="dxa"/>
                  <w:vAlign w:val="center"/>
                </w:tcPr>
                <w:p w14:paraId="442A2B13">
                  <w:pPr>
                    <w:pStyle w:val="16"/>
                    <w:spacing w:before="65" w:line="228"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900-249-08</w:t>
                  </w:r>
                </w:p>
              </w:tc>
              <w:tc>
                <w:tcPr>
                  <w:tcW w:w="1116" w:type="dxa"/>
                  <w:vAlign w:val="center"/>
                </w:tcPr>
                <w:p w14:paraId="2C8A8B1D">
                  <w:pPr>
                    <w:pStyle w:val="16"/>
                    <w:spacing w:before="65" w:line="228"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0.</w:t>
                  </w:r>
                  <w:r>
                    <w:rPr>
                      <w:rFonts w:hint="default" w:ascii="Times New Roman" w:hAnsi="Times New Roman" w:cs="Times New Roman"/>
                      <w:color w:val="auto"/>
                      <w:spacing w:val="6"/>
                      <w:sz w:val="21"/>
                      <w:szCs w:val="21"/>
                      <w:highlight w:val="none"/>
                      <w:lang w:val="en-US" w:eastAsia="zh-CN"/>
                    </w:rPr>
                    <w:t>4</w:t>
                  </w:r>
                  <w:r>
                    <w:rPr>
                      <w:rFonts w:hint="default" w:ascii="Times New Roman" w:hAnsi="Times New Roman" w:eastAsia="宋体" w:cs="Times New Roman"/>
                      <w:color w:val="auto"/>
                      <w:spacing w:val="6"/>
                      <w:sz w:val="21"/>
                      <w:szCs w:val="21"/>
                      <w:highlight w:val="none"/>
                    </w:rPr>
                    <w:t>t</w:t>
                  </w:r>
                </w:p>
              </w:tc>
              <w:tc>
                <w:tcPr>
                  <w:tcW w:w="3108" w:type="dxa"/>
                  <w:tcBorders>
                    <w:top w:val="single" w:color="auto" w:sz="4" w:space="0"/>
                    <w:bottom w:val="single" w:color="auto" w:sz="4" w:space="0"/>
                    <w:right w:val="single" w:color="000000" w:sz="4" w:space="0"/>
                  </w:tcBorders>
                  <w:vAlign w:val="center"/>
                </w:tcPr>
                <w:p w14:paraId="34593D87">
                  <w:pPr>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施工结束后委托具有相应危险废物处置资质的单位进行处置。</w:t>
                  </w:r>
                </w:p>
              </w:tc>
            </w:tr>
            <w:tr w14:paraId="39642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9" w:hRule="atLeast"/>
              </w:trPr>
              <w:tc>
                <w:tcPr>
                  <w:tcW w:w="360" w:type="dxa"/>
                  <w:vAlign w:val="center"/>
                </w:tcPr>
                <w:p w14:paraId="081711C1">
                  <w:pPr>
                    <w:spacing w:before="57" w:line="195"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6</w:t>
                  </w:r>
                </w:p>
              </w:tc>
              <w:tc>
                <w:tcPr>
                  <w:tcW w:w="941" w:type="dxa"/>
                  <w:vAlign w:val="center"/>
                </w:tcPr>
                <w:p w14:paraId="3F7EB1CC">
                  <w:pPr>
                    <w:spacing w:before="57"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机械设备废油</w:t>
                  </w:r>
                </w:p>
              </w:tc>
              <w:tc>
                <w:tcPr>
                  <w:tcW w:w="502" w:type="dxa"/>
                  <w:vMerge w:val="continue"/>
                  <w:tcBorders>
                    <w:top w:val="nil"/>
                    <w:bottom w:val="nil"/>
                  </w:tcBorders>
                  <w:vAlign w:val="top"/>
                </w:tcPr>
                <w:p w14:paraId="55B4B32D">
                  <w:pPr>
                    <w:spacing w:before="263" w:line="195" w:lineRule="auto"/>
                    <w:jc w:val="center"/>
                    <w:rPr>
                      <w:rFonts w:hint="default" w:ascii="Times New Roman" w:hAnsi="Times New Roman" w:eastAsia="宋体" w:cs="Times New Roman"/>
                      <w:color w:val="auto"/>
                      <w:sz w:val="21"/>
                      <w:szCs w:val="21"/>
                      <w:highlight w:val="none"/>
                    </w:rPr>
                  </w:pPr>
                </w:p>
              </w:tc>
              <w:tc>
                <w:tcPr>
                  <w:tcW w:w="539" w:type="dxa"/>
                  <w:vAlign w:val="center"/>
                </w:tcPr>
                <w:p w14:paraId="6B413E87">
                  <w:pPr>
                    <w:spacing w:before="263"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毒性T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易燃性I</w:t>
                  </w:r>
                </w:p>
              </w:tc>
              <w:tc>
                <w:tcPr>
                  <w:tcW w:w="702" w:type="dxa"/>
                  <w:vAlign w:val="center"/>
                </w:tcPr>
                <w:p w14:paraId="532AEF71">
                  <w:pPr>
                    <w:pStyle w:val="16"/>
                    <w:spacing w:before="65" w:line="228"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HW08</w:t>
                  </w:r>
                </w:p>
              </w:tc>
              <w:tc>
                <w:tcPr>
                  <w:tcW w:w="767" w:type="dxa"/>
                  <w:vAlign w:val="center"/>
                </w:tcPr>
                <w:p w14:paraId="18CC166B">
                  <w:pPr>
                    <w:pStyle w:val="16"/>
                    <w:spacing w:before="65" w:line="228"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900-214-08</w:t>
                  </w:r>
                </w:p>
              </w:tc>
              <w:tc>
                <w:tcPr>
                  <w:tcW w:w="1116" w:type="dxa"/>
                  <w:vAlign w:val="center"/>
                </w:tcPr>
                <w:p w14:paraId="783AD406">
                  <w:pPr>
                    <w:pStyle w:val="16"/>
                    <w:spacing w:before="65" w:line="228"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cs="Times New Roman"/>
                      <w:color w:val="auto"/>
                      <w:spacing w:val="6"/>
                      <w:sz w:val="21"/>
                      <w:szCs w:val="21"/>
                      <w:highlight w:val="none"/>
                      <w:lang w:val="en-US" w:eastAsia="zh-CN"/>
                    </w:rPr>
                    <w:t>10</w:t>
                  </w:r>
                  <w:r>
                    <w:rPr>
                      <w:rFonts w:hint="default" w:ascii="Times New Roman" w:hAnsi="Times New Roman" w:eastAsia="宋体" w:cs="Times New Roman"/>
                      <w:color w:val="auto"/>
                      <w:spacing w:val="6"/>
                      <w:sz w:val="21"/>
                      <w:szCs w:val="21"/>
                      <w:highlight w:val="none"/>
                    </w:rPr>
                    <w:t>t</w:t>
                  </w:r>
                </w:p>
              </w:tc>
              <w:tc>
                <w:tcPr>
                  <w:tcW w:w="3108" w:type="dxa"/>
                  <w:vMerge w:val="restart"/>
                  <w:tcBorders>
                    <w:top w:val="single" w:color="auto" w:sz="4" w:space="0"/>
                    <w:bottom w:val="single" w:color="auto" w:sz="4" w:space="0"/>
                    <w:right w:val="single" w:color="000000" w:sz="4" w:space="0"/>
                  </w:tcBorders>
                  <w:vAlign w:val="center"/>
                </w:tcPr>
                <w:p w14:paraId="372FB4A4">
                  <w:pPr>
                    <w:pStyle w:val="16"/>
                    <w:spacing w:before="65" w:line="252" w:lineRule="auto"/>
                    <w:ind w:right="71"/>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暂存至危废贮存</w:t>
                  </w:r>
                  <w:r>
                    <w:rPr>
                      <w:rFonts w:hint="eastAsia" w:ascii="Times New Roman" w:hAnsi="Times New Roman" w:cs="Times New Roman"/>
                      <w:color w:val="auto"/>
                      <w:spacing w:val="8"/>
                      <w:sz w:val="21"/>
                      <w:szCs w:val="21"/>
                      <w:highlight w:val="none"/>
                      <w:lang w:val="en-US" w:eastAsia="zh-CN"/>
                    </w:rPr>
                    <w:t>点</w:t>
                  </w:r>
                  <w:r>
                    <w:rPr>
                      <w:rFonts w:hint="default" w:ascii="Times New Roman" w:hAnsi="Times New Roman" w:eastAsia="宋体" w:cs="Times New Roman"/>
                      <w:color w:val="auto"/>
                      <w:spacing w:val="8"/>
                      <w:sz w:val="21"/>
                      <w:szCs w:val="21"/>
                      <w:highlight w:val="none"/>
                    </w:rPr>
                    <w:t>，委托有资质单位进行处置。</w:t>
                  </w:r>
                </w:p>
              </w:tc>
            </w:tr>
            <w:tr w14:paraId="31BC2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360" w:type="dxa"/>
                  <w:vAlign w:val="center"/>
                </w:tcPr>
                <w:p w14:paraId="486402FE">
                  <w:pPr>
                    <w:spacing w:before="57" w:line="195"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7</w:t>
                  </w:r>
                </w:p>
              </w:tc>
              <w:tc>
                <w:tcPr>
                  <w:tcW w:w="941" w:type="dxa"/>
                  <w:vAlign w:val="center"/>
                </w:tcPr>
                <w:p w14:paraId="31F75B6C">
                  <w:pPr>
                    <w:spacing w:before="57"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废润滑油桶</w:t>
                  </w:r>
                </w:p>
              </w:tc>
              <w:tc>
                <w:tcPr>
                  <w:tcW w:w="502" w:type="dxa"/>
                  <w:vMerge w:val="continue"/>
                  <w:tcBorders>
                    <w:top w:val="nil"/>
                  </w:tcBorders>
                  <w:vAlign w:val="top"/>
                </w:tcPr>
                <w:p w14:paraId="0667283D">
                  <w:pPr>
                    <w:spacing w:before="263" w:line="195" w:lineRule="auto"/>
                    <w:jc w:val="center"/>
                    <w:rPr>
                      <w:rFonts w:hint="default" w:ascii="Times New Roman" w:hAnsi="Times New Roman" w:eastAsia="宋体" w:cs="Times New Roman"/>
                      <w:color w:val="auto"/>
                      <w:sz w:val="21"/>
                      <w:szCs w:val="21"/>
                      <w:highlight w:val="none"/>
                    </w:rPr>
                  </w:pPr>
                </w:p>
              </w:tc>
              <w:tc>
                <w:tcPr>
                  <w:tcW w:w="539" w:type="dxa"/>
                  <w:vAlign w:val="center"/>
                </w:tcPr>
                <w:p w14:paraId="7D8F932D">
                  <w:pPr>
                    <w:spacing w:before="263"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毒性T</w:t>
                  </w:r>
                </w:p>
              </w:tc>
              <w:tc>
                <w:tcPr>
                  <w:tcW w:w="702" w:type="dxa"/>
                  <w:vAlign w:val="center"/>
                </w:tcPr>
                <w:p w14:paraId="6576B924">
                  <w:pPr>
                    <w:pStyle w:val="16"/>
                    <w:spacing w:before="65" w:line="228"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HW08</w:t>
                  </w:r>
                </w:p>
              </w:tc>
              <w:tc>
                <w:tcPr>
                  <w:tcW w:w="767" w:type="dxa"/>
                  <w:vAlign w:val="center"/>
                </w:tcPr>
                <w:p w14:paraId="7753AB82">
                  <w:pPr>
                    <w:pStyle w:val="16"/>
                    <w:spacing w:before="65" w:line="228" w:lineRule="auto"/>
                    <w:jc w:val="center"/>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900-249-08</w:t>
                  </w:r>
                </w:p>
              </w:tc>
              <w:tc>
                <w:tcPr>
                  <w:tcW w:w="1116" w:type="dxa"/>
                  <w:vAlign w:val="center"/>
                </w:tcPr>
                <w:p w14:paraId="5C47C29E">
                  <w:pPr>
                    <w:pStyle w:val="16"/>
                    <w:spacing w:before="65" w:line="228" w:lineRule="auto"/>
                    <w:jc w:val="center"/>
                    <w:rPr>
                      <w:rFonts w:hint="default" w:ascii="Times New Roman" w:hAnsi="Times New Roman" w:eastAsia="宋体" w:cs="Times New Roman"/>
                      <w:color w:val="auto"/>
                      <w:spacing w:val="6"/>
                      <w:sz w:val="21"/>
                      <w:szCs w:val="21"/>
                      <w:highlight w:val="none"/>
                      <w:lang w:val="en-US"/>
                    </w:rPr>
                  </w:pPr>
                  <w:r>
                    <w:rPr>
                      <w:rFonts w:hint="eastAsia" w:ascii="Times New Roman" w:hAnsi="Times New Roman" w:cs="Times New Roman"/>
                      <w:color w:val="auto"/>
                      <w:spacing w:val="6"/>
                      <w:sz w:val="21"/>
                      <w:szCs w:val="21"/>
                      <w:highlight w:val="none"/>
                      <w:lang w:val="en-US" w:eastAsia="zh-CN"/>
                    </w:rPr>
                    <w:t>0.5t</w:t>
                  </w:r>
                </w:p>
              </w:tc>
              <w:tc>
                <w:tcPr>
                  <w:tcW w:w="3108" w:type="dxa"/>
                  <w:vMerge w:val="continue"/>
                  <w:tcBorders>
                    <w:top w:val="single" w:color="auto" w:sz="4" w:space="0"/>
                    <w:bottom w:val="single" w:color="auto" w:sz="4" w:space="0"/>
                    <w:right w:val="single" w:color="000000" w:sz="4" w:space="0"/>
                  </w:tcBorders>
                  <w:vAlign w:val="top"/>
                </w:tcPr>
                <w:p w14:paraId="2784C7C8">
                  <w:pPr>
                    <w:rPr>
                      <w:rFonts w:hint="default" w:ascii="Times New Roman" w:hAnsi="Times New Roman" w:eastAsia="宋体" w:cs="Times New Roman"/>
                      <w:color w:val="auto"/>
                      <w:sz w:val="21"/>
                      <w:szCs w:val="21"/>
                      <w:highlight w:val="none"/>
                    </w:rPr>
                  </w:pPr>
                </w:p>
              </w:tc>
            </w:tr>
          </w:tbl>
          <w:p w14:paraId="456EB62B">
            <w:pPr>
              <w:pStyle w:val="6"/>
              <w:widowControl w:val="0"/>
              <w:spacing w:line="360" w:lineRule="auto"/>
              <w:rPr>
                <w:rFonts w:hint="default" w:ascii="Times New Roman" w:hAnsi="Times New Roman" w:eastAsia="宋体" w:cs="Times New Roman"/>
                <w:b/>
                <w:bCs/>
                <w:snapToGrid w:val="0"/>
                <w:color w:val="auto"/>
                <w:spacing w:val="-2"/>
                <w:kern w:val="0"/>
                <w:sz w:val="24"/>
                <w:szCs w:val="24"/>
                <w:highlight w:val="none"/>
                <w:lang w:val="en-US" w:eastAsia="en-US" w:bidi="ar-SA"/>
              </w:rPr>
            </w:pPr>
            <w:r>
              <w:rPr>
                <w:rFonts w:hint="default" w:ascii="Times New Roman" w:hAnsi="Times New Roman" w:eastAsia="宋体" w:cs="Times New Roman"/>
                <w:b/>
                <w:bCs/>
                <w:snapToGrid w:val="0"/>
                <w:color w:val="auto"/>
                <w:spacing w:val="-2"/>
                <w:kern w:val="0"/>
                <w:sz w:val="24"/>
                <w:szCs w:val="24"/>
                <w:highlight w:val="none"/>
                <w:lang w:val="en-US" w:eastAsia="zh-CN" w:bidi="ar-SA"/>
              </w:rPr>
              <w:t>7.</w:t>
            </w:r>
            <w:r>
              <w:rPr>
                <w:rFonts w:hint="default" w:ascii="Times New Roman" w:hAnsi="Times New Roman" w:eastAsia="宋体" w:cs="Times New Roman"/>
                <w:b/>
                <w:bCs/>
                <w:snapToGrid w:val="0"/>
                <w:color w:val="auto"/>
                <w:spacing w:val="-2"/>
                <w:kern w:val="0"/>
                <w:sz w:val="24"/>
                <w:szCs w:val="24"/>
                <w:highlight w:val="none"/>
                <w:lang w:val="en-US" w:eastAsia="en-US" w:bidi="ar-SA"/>
              </w:rPr>
              <w:t>环境风险影响分析</w:t>
            </w:r>
          </w:p>
          <w:p w14:paraId="54EA28C2">
            <w:pPr>
              <w:pStyle w:val="6"/>
              <w:widowControl w:val="0"/>
              <w:spacing w:line="360" w:lineRule="auto"/>
              <w:rPr>
                <w:rFonts w:hint="default" w:ascii="Times New Roman" w:hAnsi="Times New Roman" w:eastAsia="宋体" w:cs="Times New Roman"/>
                <w:b/>
                <w:bCs/>
                <w:snapToGrid w:val="0"/>
                <w:color w:val="auto"/>
                <w:spacing w:val="-2"/>
                <w:kern w:val="0"/>
                <w:sz w:val="24"/>
                <w:szCs w:val="24"/>
                <w:highlight w:val="none"/>
                <w:lang w:val="en-US" w:eastAsia="en-US" w:bidi="ar-SA"/>
              </w:rPr>
            </w:pPr>
            <w:r>
              <w:rPr>
                <w:rFonts w:hint="default" w:ascii="Times New Roman" w:hAnsi="Times New Roman" w:eastAsia="宋体" w:cs="Times New Roman"/>
                <w:b/>
                <w:bCs/>
                <w:snapToGrid w:val="0"/>
                <w:color w:val="auto"/>
                <w:spacing w:val="-2"/>
                <w:kern w:val="0"/>
                <w:sz w:val="24"/>
                <w:szCs w:val="24"/>
                <w:highlight w:val="none"/>
                <w:lang w:val="en-US" w:eastAsia="zh-CN" w:bidi="ar-SA"/>
              </w:rPr>
              <w:t>7.1</w:t>
            </w:r>
            <w:r>
              <w:rPr>
                <w:rFonts w:hint="default" w:ascii="Times New Roman" w:hAnsi="Times New Roman" w:eastAsia="宋体" w:cs="Times New Roman"/>
                <w:b/>
                <w:bCs/>
                <w:snapToGrid w:val="0"/>
                <w:color w:val="auto"/>
                <w:spacing w:val="-2"/>
                <w:kern w:val="0"/>
                <w:sz w:val="24"/>
                <w:szCs w:val="24"/>
                <w:highlight w:val="none"/>
                <w:lang w:val="en-US" w:eastAsia="en-US" w:bidi="ar-SA"/>
              </w:rPr>
              <w:t>评价依据</w:t>
            </w:r>
          </w:p>
          <w:p w14:paraId="58987FFE">
            <w:pPr>
              <w:pStyle w:val="6"/>
              <w:widowControl w:val="0"/>
              <w:spacing w:line="360" w:lineRule="auto"/>
              <w:ind w:firstLine="480"/>
              <w:jc w:val="both"/>
              <w:rPr>
                <w:rFonts w:hint="default" w:ascii="Times New Roman" w:hAnsi="Times New Roman" w:eastAsia="宋体" w:cs="Times New Roman"/>
                <w:snapToGrid w:val="0"/>
                <w:color w:val="auto"/>
                <w:spacing w:val="-2"/>
                <w:kern w:val="0"/>
                <w:sz w:val="24"/>
                <w:szCs w:val="24"/>
                <w:highlight w:val="none"/>
                <w:lang w:val="en-US" w:eastAsia="en-US" w:bidi="ar-SA"/>
              </w:rPr>
            </w:pPr>
            <w:r>
              <w:rPr>
                <w:rFonts w:hint="default" w:ascii="Times New Roman" w:hAnsi="Times New Roman" w:eastAsia="宋体" w:cs="Times New Roman"/>
                <w:snapToGrid w:val="0"/>
                <w:color w:val="auto"/>
                <w:spacing w:val="-2"/>
                <w:kern w:val="0"/>
                <w:sz w:val="24"/>
                <w:szCs w:val="24"/>
                <w:highlight w:val="none"/>
                <w:lang w:val="en-US" w:eastAsia="en-US" w:bidi="ar-SA"/>
              </w:rPr>
              <w:t>钻井期涉及的危险物质主要为柴油</w:t>
            </w:r>
            <w:r>
              <w:rPr>
                <w:rFonts w:hint="eastAsia" w:ascii="Times New Roman" w:hAnsi="Times New Roman" w:eastAsia="宋体" w:cs="Times New Roman"/>
                <w:snapToGrid w:val="0"/>
                <w:color w:val="auto"/>
                <w:spacing w:val="-2"/>
                <w:kern w:val="0"/>
                <w:sz w:val="24"/>
                <w:szCs w:val="24"/>
                <w:highlight w:val="none"/>
                <w:lang w:val="en-US" w:eastAsia="zh-CN" w:bidi="ar-SA"/>
              </w:rPr>
              <w:t>、</w:t>
            </w:r>
            <w:r>
              <w:rPr>
                <w:rFonts w:hint="default" w:ascii="Times New Roman" w:hAnsi="Times New Roman" w:eastAsia="宋体" w:cs="Times New Roman"/>
                <w:snapToGrid w:val="0"/>
                <w:color w:val="auto"/>
                <w:spacing w:val="-2"/>
                <w:kern w:val="0"/>
                <w:sz w:val="24"/>
                <w:szCs w:val="24"/>
                <w:highlight w:val="none"/>
                <w:lang w:val="en-US" w:eastAsia="en-US" w:bidi="ar-SA"/>
              </w:rPr>
              <w:t>废润滑油及沾油废防渗材料</w:t>
            </w:r>
            <w:r>
              <w:rPr>
                <w:rFonts w:hint="eastAsia" w:ascii="Times New Roman" w:hAnsi="Times New Roman" w:eastAsia="宋体" w:cs="Times New Roman"/>
                <w:snapToGrid w:val="0"/>
                <w:color w:val="auto"/>
                <w:spacing w:val="-2"/>
                <w:kern w:val="0"/>
                <w:sz w:val="24"/>
                <w:szCs w:val="24"/>
                <w:highlight w:val="none"/>
                <w:lang w:val="en-US" w:eastAsia="zh-CN" w:bidi="ar-SA"/>
              </w:rPr>
              <w:t>和油基钻井液</w:t>
            </w:r>
            <w:r>
              <w:rPr>
                <w:rFonts w:hint="default" w:ascii="Times New Roman" w:hAnsi="Times New Roman" w:eastAsia="宋体" w:cs="Times New Roman"/>
                <w:snapToGrid w:val="0"/>
                <w:color w:val="auto"/>
                <w:spacing w:val="-2"/>
                <w:kern w:val="0"/>
                <w:sz w:val="24"/>
                <w:szCs w:val="24"/>
                <w:highlight w:val="none"/>
                <w:lang w:val="en-US" w:eastAsia="en-US" w:bidi="ar-SA"/>
              </w:rPr>
              <w:t>；试油期涉及的危险物质主要为原油、柴油。根据《建设项目环境风险评价技术导则》（HJ169-2018）附录B可知，柴油、废润滑油属于</w:t>
            </w:r>
            <w:r>
              <w:rPr>
                <w:rFonts w:hint="eastAsia" w:ascii="Times New Roman" w:hAnsi="Times New Roman" w:eastAsia="宋体" w:cs="Times New Roman"/>
                <w:snapToGrid w:val="0"/>
                <w:color w:val="auto"/>
                <w:spacing w:val="-2"/>
                <w:kern w:val="0"/>
                <w:sz w:val="24"/>
                <w:szCs w:val="24"/>
                <w:highlight w:val="none"/>
                <w:lang w:val="en-US" w:eastAsia="zh-CN" w:bidi="ar-SA"/>
              </w:rPr>
              <w:t>“</w:t>
            </w:r>
            <w:r>
              <w:rPr>
                <w:rFonts w:hint="default" w:ascii="Times New Roman" w:hAnsi="Times New Roman" w:eastAsia="宋体" w:cs="Times New Roman"/>
                <w:snapToGrid w:val="0"/>
                <w:color w:val="auto"/>
                <w:spacing w:val="-2"/>
                <w:kern w:val="0"/>
                <w:sz w:val="24"/>
                <w:szCs w:val="24"/>
                <w:highlight w:val="none"/>
                <w:lang w:val="en-US" w:eastAsia="en-US" w:bidi="ar-SA"/>
              </w:rPr>
              <w:t>油类物质</w:t>
            </w:r>
            <w:r>
              <w:rPr>
                <w:rFonts w:hint="eastAsia" w:ascii="Times New Roman" w:hAnsi="Times New Roman" w:eastAsia="宋体" w:cs="Times New Roman"/>
                <w:snapToGrid w:val="0"/>
                <w:color w:val="auto"/>
                <w:spacing w:val="-2"/>
                <w:kern w:val="0"/>
                <w:sz w:val="24"/>
                <w:szCs w:val="24"/>
                <w:highlight w:val="none"/>
                <w:lang w:val="en-US" w:eastAsia="zh-CN" w:bidi="ar-SA"/>
              </w:rPr>
              <w:t>”</w:t>
            </w:r>
            <w:r>
              <w:rPr>
                <w:rFonts w:hint="default" w:ascii="Times New Roman" w:hAnsi="Times New Roman" w:eastAsia="宋体" w:cs="Times New Roman"/>
                <w:snapToGrid w:val="0"/>
                <w:color w:val="auto"/>
                <w:spacing w:val="-2"/>
                <w:kern w:val="0"/>
                <w:sz w:val="24"/>
                <w:szCs w:val="24"/>
                <w:highlight w:val="none"/>
                <w:lang w:val="en-US" w:eastAsia="en-US" w:bidi="ar-SA"/>
              </w:rPr>
              <w:t>，废润滑油桶和沾油废防渗材料为含油废物（各危险物质在线量分别以</w:t>
            </w:r>
            <w:r>
              <w:rPr>
                <w:rFonts w:hint="default" w:ascii="Times New Roman" w:hAnsi="Times New Roman" w:eastAsia="宋体" w:cs="Times New Roman"/>
                <w:snapToGrid w:val="0"/>
                <w:color w:val="auto"/>
                <w:spacing w:val="-2"/>
                <w:kern w:val="0"/>
                <w:sz w:val="24"/>
                <w:szCs w:val="24"/>
                <w:highlight w:val="none"/>
                <w:lang w:val="en-US" w:eastAsia="zh-CN" w:bidi="ar-SA"/>
              </w:rPr>
              <w:t>油基泥浆、</w:t>
            </w:r>
            <w:r>
              <w:rPr>
                <w:rFonts w:hint="default" w:ascii="Times New Roman" w:hAnsi="Times New Roman" w:eastAsia="宋体" w:cs="Times New Roman"/>
                <w:snapToGrid w:val="0"/>
                <w:color w:val="auto"/>
                <w:spacing w:val="-2"/>
                <w:kern w:val="0"/>
                <w:sz w:val="24"/>
                <w:szCs w:val="24"/>
                <w:highlight w:val="none"/>
                <w:lang w:val="en-US" w:eastAsia="en-US" w:bidi="ar-SA"/>
              </w:rPr>
              <w:t>沾油废防渗材料和废润滑油桶中油类含量计），临界量均为2500t。</w:t>
            </w:r>
          </w:p>
          <w:p w14:paraId="112C9E4A">
            <w:pPr>
              <w:pStyle w:val="6"/>
              <w:widowControl w:val="0"/>
              <w:spacing w:line="360" w:lineRule="auto"/>
              <w:ind w:firstLine="480"/>
              <w:jc w:val="both"/>
              <w:rPr>
                <w:rFonts w:hint="default" w:ascii="Times New Roman" w:hAnsi="Times New Roman" w:eastAsia="宋体" w:cs="Times New Roman"/>
                <w:snapToGrid w:val="0"/>
                <w:color w:val="auto"/>
                <w:spacing w:val="-2"/>
                <w:kern w:val="0"/>
                <w:sz w:val="24"/>
                <w:szCs w:val="24"/>
                <w:highlight w:val="none"/>
                <w:lang w:val="en-US" w:eastAsia="zh-CN" w:bidi="ar-SA"/>
              </w:rPr>
            </w:pPr>
            <w:r>
              <w:rPr>
                <w:rFonts w:hint="default" w:ascii="Times New Roman" w:hAnsi="Times New Roman" w:eastAsia="宋体" w:cs="Times New Roman"/>
                <w:snapToGrid w:val="0"/>
                <w:color w:val="auto"/>
                <w:spacing w:val="-2"/>
                <w:kern w:val="0"/>
                <w:sz w:val="24"/>
                <w:szCs w:val="24"/>
                <w:highlight w:val="none"/>
                <w:lang w:val="en-US" w:eastAsia="en-US" w:bidi="ar-SA"/>
              </w:rPr>
              <w:t>根据相关资料可知，柴油储罐的</w:t>
            </w:r>
            <w:r>
              <w:rPr>
                <w:rFonts w:hint="default" w:ascii="Times New Roman" w:hAnsi="Times New Roman" w:eastAsia="宋体" w:cs="Times New Roman"/>
                <w:snapToGrid w:val="0"/>
                <w:color w:val="auto"/>
                <w:spacing w:val="-2"/>
                <w:kern w:val="0"/>
                <w:sz w:val="24"/>
                <w:szCs w:val="24"/>
                <w:highlight w:val="none"/>
                <w:lang w:val="en-US" w:eastAsia="zh-CN" w:bidi="ar-SA"/>
              </w:rPr>
              <w:t>最大</w:t>
            </w:r>
            <w:r>
              <w:rPr>
                <w:rFonts w:hint="default" w:ascii="Times New Roman" w:hAnsi="Times New Roman" w:eastAsia="宋体" w:cs="Times New Roman"/>
                <w:snapToGrid w:val="0"/>
                <w:color w:val="auto"/>
                <w:spacing w:val="-2"/>
                <w:kern w:val="0"/>
                <w:sz w:val="24"/>
                <w:szCs w:val="24"/>
                <w:highlight w:val="none"/>
                <w:lang w:val="en-US" w:eastAsia="en-US" w:bidi="ar-SA"/>
              </w:rPr>
              <w:t>储存量约</w:t>
            </w:r>
            <w:r>
              <w:rPr>
                <w:rFonts w:hint="default" w:ascii="Times New Roman" w:hAnsi="Times New Roman" w:eastAsia="宋体" w:cs="Times New Roman"/>
                <w:snapToGrid w:val="0"/>
                <w:color w:val="auto"/>
                <w:spacing w:val="-2"/>
                <w:kern w:val="0"/>
                <w:sz w:val="24"/>
                <w:szCs w:val="24"/>
                <w:highlight w:val="none"/>
                <w:lang w:val="en-US" w:eastAsia="zh-CN" w:bidi="ar-SA"/>
              </w:rPr>
              <w:t>16.8</w:t>
            </w:r>
            <w:r>
              <w:rPr>
                <w:rFonts w:hint="default" w:ascii="Times New Roman" w:hAnsi="Times New Roman" w:eastAsia="宋体" w:cs="Times New Roman"/>
                <w:snapToGrid w:val="0"/>
                <w:color w:val="auto"/>
                <w:spacing w:val="-2"/>
                <w:kern w:val="0"/>
                <w:sz w:val="24"/>
                <w:szCs w:val="24"/>
                <w:highlight w:val="none"/>
                <w:lang w:val="en-US" w:eastAsia="en-US" w:bidi="ar-SA"/>
              </w:rPr>
              <w:t>t；危险废物废润滑油、废润滑油桶及沾油废防渗材料中石油类最大暂存量约为1t</w:t>
            </w:r>
            <w:r>
              <w:rPr>
                <w:rFonts w:hint="eastAsia" w:ascii="Times New Roman" w:hAnsi="Times New Roman" w:eastAsia="宋体" w:cs="Times New Roman"/>
                <w:snapToGrid w:val="0"/>
                <w:color w:val="auto"/>
                <w:spacing w:val="-2"/>
                <w:kern w:val="0"/>
                <w:sz w:val="24"/>
                <w:szCs w:val="24"/>
                <w:highlight w:val="none"/>
                <w:lang w:val="en-US" w:eastAsia="zh-CN" w:bidi="ar-SA"/>
              </w:rPr>
              <w:t>，油基钻井液的最大暂存量为3t</w:t>
            </w:r>
            <w:r>
              <w:rPr>
                <w:rFonts w:hint="default" w:ascii="Times New Roman" w:hAnsi="Times New Roman" w:eastAsia="宋体" w:cs="Times New Roman"/>
                <w:snapToGrid w:val="0"/>
                <w:color w:val="auto"/>
                <w:spacing w:val="-2"/>
                <w:kern w:val="0"/>
                <w:sz w:val="24"/>
                <w:szCs w:val="24"/>
                <w:highlight w:val="none"/>
                <w:lang w:val="en-US" w:eastAsia="en-US" w:bidi="ar-SA"/>
              </w:rPr>
              <w:t>。</w:t>
            </w:r>
          </w:p>
          <w:p w14:paraId="17E01B78">
            <w:pPr>
              <w:pStyle w:val="6"/>
              <w:widowControl w:val="0"/>
              <w:spacing w:line="360" w:lineRule="auto"/>
              <w:ind w:firstLine="480"/>
              <w:jc w:val="both"/>
              <w:rPr>
                <w:rFonts w:hint="default" w:ascii="Times New Roman" w:hAnsi="Times New Roman" w:eastAsia="宋体" w:cs="Times New Roman"/>
                <w:snapToGrid w:val="0"/>
                <w:color w:val="auto"/>
                <w:spacing w:val="-2"/>
                <w:kern w:val="0"/>
                <w:sz w:val="24"/>
                <w:szCs w:val="24"/>
                <w:highlight w:val="none"/>
                <w:lang w:val="en-US" w:eastAsia="en-US" w:bidi="ar-SA"/>
              </w:rPr>
            </w:pPr>
            <w:r>
              <w:rPr>
                <w:rFonts w:hint="default" w:ascii="Times New Roman" w:hAnsi="Times New Roman" w:eastAsia="宋体" w:cs="Times New Roman"/>
                <w:snapToGrid w:val="0"/>
                <w:color w:val="auto"/>
                <w:spacing w:val="-2"/>
                <w:kern w:val="0"/>
                <w:sz w:val="24"/>
                <w:szCs w:val="24"/>
                <w:highlight w:val="none"/>
                <w:lang w:val="en-US" w:eastAsia="en-US" w:bidi="ar-SA"/>
              </w:rPr>
              <w:t>试油期产生的伴生气气量不稳定，伴生气和伴生气中的硫化氢最大存在总量远低于其临界量（伴生气临界量10t，硫化氢临界量2.5t）；试油期柴油</w:t>
            </w:r>
            <w:r>
              <w:rPr>
                <w:rFonts w:hint="default" w:ascii="Times New Roman" w:hAnsi="Times New Roman" w:eastAsia="宋体" w:cs="Times New Roman"/>
                <w:snapToGrid w:val="0"/>
                <w:color w:val="auto"/>
                <w:spacing w:val="-2"/>
                <w:kern w:val="0"/>
                <w:sz w:val="24"/>
                <w:szCs w:val="24"/>
                <w:highlight w:val="none"/>
                <w:lang w:val="en-US" w:eastAsia="zh-CN" w:bidi="ar-SA"/>
              </w:rPr>
              <w:t>（密度按0.84克/毫升计）</w:t>
            </w:r>
            <w:r>
              <w:rPr>
                <w:rFonts w:hint="default" w:ascii="Times New Roman" w:hAnsi="Times New Roman" w:eastAsia="宋体" w:cs="Times New Roman"/>
                <w:snapToGrid w:val="0"/>
                <w:color w:val="auto"/>
                <w:spacing w:val="-2"/>
                <w:kern w:val="0"/>
                <w:sz w:val="24"/>
                <w:szCs w:val="24"/>
                <w:highlight w:val="none"/>
                <w:lang w:val="en-US" w:eastAsia="en-US" w:bidi="ar-SA"/>
              </w:rPr>
              <w:t>在井场的日常储量</w:t>
            </w:r>
            <w:r>
              <w:rPr>
                <w:rFonts w:hint="default" w:ascii="Times New Roman" w:hAnsi="Times New Roman" w:eastAsia="宋体" w:cs="Times New Roman"/>
                <w:snapToGrid w:val="0"/>
                <w:color w:val="auto"/>
                <w:spacing w:val="-2"/>
                <w:kern w:val="0"/>
                <w:sz w:val="24"/>
                <w:szCs w:val="24"/>
                <w:highlight w:val="none"/>
                <w:lang w:val="en-US" w:eastAsia="zh-CN" w:bidi="ar-SA"/>
              </w:rPr>
              <w:t>约</w:t>
            </w:r>
            <w:r>
              <w:rPr>
                <w:rFonts w:hint="default" w:ascii="Times New Roman" w:hAnsi="Times New Roman" w:eastAsia="宋体" w:cs="Times New Roman"/>
                <w:snapToGrid w:val="0"/>
                <w:color w:val="auto"/>
                <w:spacing w:val="-2"/>
                <w:kern w:val="0"/>
                <w:sz w:val="24"/>
                <w:szCs w:val="24"/>
                <w:highlight w:val="none"/>
                <w:lang w:val="en-US" w:eastAsia="en-US" w:bidi="ar-SA"/>
              </w:rPr>
              <w:t>为</w:t>
            </w:r>
            <w:r>
              <w:rPr>
                <w:rFonts w:hint="default" w:ascii="Times New Roman" w:hAnsi="Times New Roman" w:eastAsia="宋体" w:cs="Times New Roman"/>
                <w:snapToGrid w:val="0"/>
                <w:color w:val="auto"/>
                <w:spacing w:val="-2"/>
                <w:kern w:val="0"/>
                <w:sz w:val="24"/>
                <w:szCs w:val="24"/>
                <w:highlight w:val="none"/>
                <w:lang w:val="en-US" w:eastAsia="zh-CN" w:bidi="ar-SA"/>
              </w:rPr>
              <w:t>16.8</w:t>
            </w:r>
            <w:r>
              <w:rPr>
                <w:rFonts w:hint="default" w:ascii="Times New Roman" w:hAnsi="Times New Roman" w:eastAsia="宋体" w:cs="Times New Roman"/>
                <w:snapToGrid w:val="0"/>
                <w:color w:val="auto"/>
                <w:spacing w:val="-2"/>
                <w:kern w:val="0"/>
                <w:sz w:val="24"/>
                <w:szCs w:val="24"/>
                <w:highlight w:val="none"/>
                <w:lang w:val="en-US" w:eastAsia="en-US" w:bidi="ar-SA"/>
              </w:rPr>
              <w:t>t；试油期井场设置方罐</w:t>
            </w:r>
            <w:r>
              <w:rPr>
                <w:rFonts w:hint="default" w:ascii="Times New Roman" w:hAnsi="Times New Roman" w:eastAsia="宋体" w:cs="Times New Roman"/>
                <w:snapToGrid w:val="0"/>
                <w:color w:val="auto"/>
                <w:spacing w:val="-2"/>
                <w:kern w:val="0"/>
                <w:sz w:val="24"/>
                <w:szCs w:val="24"/>
                <w:highlight w:val="none"/>
                <w:lang w:val="en-US" w:eastAsia="zh-CN" w:bidi="ar-SA"/>
              </w:rPr>
              <w:t>2</w:t>
            </w:r>
            <w:r>
              <w:rPr>
                <w:rFonts w:hint="default" w:ascii="Times New Roman" w:hAnsi="Times New Roman" w:eastAsia="宋体" w:cs="Times New Roman"/>
                <w:snapToGrid w:val="0"/>
                <w:color w:val="auto"/>
                <w:spacing w:val="-2"/>
                <w:kern w:val="0"/>
                <w:sz w:val="24"/>
                <w:szCs w:val="24"/>
                <w:highlight w:val="none"/>
                <w:lang w:val="en-US" w:eastAsia="en-US" w:bidi="ar-SA"/>
              </w:rPr>
              <w:t>个，每个方罐容积为</w:t>
            </w:r>
            <w:r>
              <w:rPr>
                <w:rFonts w:hint="default" w:ascii="Times New Roman" w:hAnsi="Times New Roman" w:eastAsia="宋体" w:cs="Times New Roman"/>
                <w:snapToGrid w:val="0"/>
                <w:color w:val="auto"/>
                <w:spacing w:val="-2"/>
                <w:kern w:val="0"/>
                <w:sz w:val="24"/>
                <w:szCs w:val="24"/>
                <w:highlight w:val="none"/>
                <w:lang w:val="en-US" w:eastAsia="zh-CN" w:bidi="ar-SA"/>
              </w:rPr>
              <w:t>4</w:t>
            </w:r>
            <w:r>
              <w:rPr>
                <w:rFonts w:hint="default" w:ascii="Times New Roman" w:hAnsi="Times New Roman" w:eastAsia="宋体" w:cs="Times New Roman"/>
                <w:snapToGrid w:val="0"/>
                <w:color w:val="auto"/>
                <w:spacing w:val="-2"/>
                <w:kern w:val="0"/>
                <w:sz w:val="24"/>
                <w:szCs w:val="24"/>
                <w:highlight w:val="none"/>
                <w:lang w:val="en-US" w:eastAsia="en-US" w:bidi="ar-SA"/>
              </w:rPr>
              <w:t>0m</w:t>
            </w:r>
            <w:r>
              <w:rPr>
                <w:rFonts w:hint="default" w:ascii="Times New Roman" w:hAnsi="Times New Roman" w:eastAsia="宋体" w:cs="Times New Roman"/>
                <w:snapToGrid w:val="0"/>
                <w:color w:val="auto"/>
                <w:spacing w:val="-2"/>
                <w:kern w:val="0"/>
                <w:sz w:val="24"/>
                <w:szCs w:val="24"/>
                <w:highlight w:val="none"/>
                <w:vertAlign w:val="superscript"/>
                <w:lang w:val="en-US" w:eastAsia="en-US" w:bidi="ar-SA"/>
              </w:rPr>
              <w:t>3</w:t>
            </w:r>
            <w:r>
              <w:rPr>
                <w:rFonts w:hint="default" w:ascii="Times New Roman" w:hAnsi="Times New Roman" w:eastAsia="宋体" w:cs="Times New Roman"/>
                <w:snapToGrid w:val="0"/>
                <w:color w:val="auto"/>
                <w:spacing w:val="-2"/>
                <w:kern w:val="0"/>
                <w:sz w:val="24"/>
                <w:szCs w:val="24"/>
                <w:highlight w:val="none"/>
                <w:lang w:val="en-US" w:eastAsia="en-US" w:bidi="ar-SA"/>
              </w:rPr>
              <w:t>，原油平均密度为0.87g/cm</w:t>
            </w:r>
            <w:r>
              <w:rPr>
                <w:rFonts w:hint="default" w:ascii="Times New Roman" w:hAnsi="Times New Roman" w:eastAsia="宋体" w:cs="Times New Roman"/>
                <w:snapToGrid w:val="0"/>
                <w:color w:val="auto"/>
                <w:spacing w:val="-2"/>
                <w:kern w:val="0"/>
                <w:sz w:val="24"/>
                <w:szCs w:val="24"/>
                <w:highlight w:val="none"/>
                <w:vertAlign w:val="superscript"/>
                <w:lang w:val="en-US" w:eastAsia="en-US" w:bidi="ar-SA"/>
              </w:rPr>
              <w:t>3</w:t>
            </w:r>
            <w:r>
              <w:rPr>
                <w:rFonts w:hint="default" w:ascii="Times New Roman" w:hAnsi="Times New Roman" w:eastAsia="宋体" w:cs="Times New Roman"/>
                <w:snapToGrid w:val="0"/>
                <w:color w:val="auto"/>
                <w:spacing w:val="-2"/>
                <w:kern w:val="0"/>
                <w:sz w:val="24"/>
                <w:szCs w:val="24"/>
                <w:highlight w:val="none"/>
                <w:lang w:val="en-US" w:eastAsia="en-US" w:bidi="ar-SA"/>
              </w:rPr>
              <w:t>，则采出液中原油最大储存量约69.6t。</w:t>
            </w:r>
          </w:p>
          <w:p w14:paraId="1B28A0E4">
            <w:pPr>
              <w:pStyle w:val="6"/>
              <w:widowControl w:val="0"/>
              <w:spacing w:line="360" w:lineRule="auto"/>
              <w:ind w:firstLine="480"/>
              <w:jc w:val="both"/>
              <w:rPr>
                <w:rFonts w:hint="default" w:ascii="Times New Roman" w:hAnsi="Times New Roman" w:eastAsia="宋体" w:cs="Times New Roman"/>
                <w:snapToGrid w:val="0"/>
                <w:color w:val="auto"/>
                <w:spacing w:val="-2"/>
                <w:kern w:val="0"/>
                <w:sz w:val="24"/>
                <w:szCs w:val="24"/>
                <w:highlight w:val="none"/>
                <w:lang w:val="en-US" w:eastAsia="en-US" w:bidi="ar-SA"/>
              </w:rPr>
            </w:pPr>
            <w:r>
              <w:rPr>
                <w:rFonts w:hint="default" w:ascii="Times New Roman" w:hAnsi="Times New Roman" w:eastAsia="宋体" w:cs="Times New Roman"/>
                <w:snapToGrid w:val="0"/>
                <w:color w:val="auto"/>
                <w:spacing w:val="-2"/>
                <w:kern w:val="0"/>
                <w:sz w:val="24"/>
                <w:szCs w:val="24"/>
                <w:highlight w:val="none"/>
                <w:lang w:val="en-US" w:eastAsia="en-US" w:bidi="ar-SA"/>
              </w:rPr>
              <w:t>事故状态下，若发生井喷或者储罐泄漏事故，无法回收的原油和受污染的土壤形成落地油，落地油属于HW08类危险废物（废物代码：071-001-08）,落地油产生量根据具体事故情形而定，落地油泥用专用罐收集，最终交由有危险废物处置资质的单位处置。</w:t>
            </w:r>
          </w:p>
          <w:p w14:paraId="1F24FFA7">
            <w:pPr>
              <w:pStyle w:val="6"/>
              <w:widowControl w:val="0"/>
              <w:spacing w:line="360" w:lineRule="auto"/>
              <w:ind w:firstLine="480" w:firstLineChars="200"/>
              <w:jc w:val="both"/>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钻井井场和试油井场各危险物质与临界量的比值计算情况具体</w:t>
            </w:r>
            <w:r>
              <w:rPr>
                <w:rFonts w:hint="eastAsia" w:ascii="Times New Roman" w:hAnsi="Times New Roman" w:eastAsia="宋体" w:cs="Times New Roman"/>
                <w:b w:val="0"/>
                <w:bCs w:val="0"/>
                <w:color w:val="auto"/>
                <w:sz w:val="24"/>
                <w:szCs w:val="24"/>
                <w:highlight w:val="none"/>
                <w:lang w:val="en-US" w:eastAsia="zh-CN"/>
              </w:rPr>
              <w:t>见表4-7。</w:t>
            </w:r>
          </w:p>
          <w:p w14:paraId="23BD7F26">
            <w:pPr>
              <w:pStyle w:val="24"/>
              <w:widowControl w:val="0"/>
              <w:rPr>
                <w:rFonts w:hint="default" w:ascii="Times New Roman" w:hAnsi="Times New Roman" w:eastAsia="宋体" w:cs="Times New Roman"/>
                <w:b/>
                <w:bCs/>
                <w:snapToGrid w:val="0"/>
                <w:color w:val="auto"/>
                <w:spacing w:val="5"/>
                <w:kern w:val="0"/>
                <w:sz w:val="21"/>
                <w:szCs w:val="21"/>
                <w:highlight w:val="none"/>
                <w:lang w:val="en-US" w:eastAsia="zh-CN" w:bidi="ar-SA"/>
              </w:rPr>
            </w:pPr>
            <w:r>
              <w:rPr>
                <w:rFonts w:hint="default" w:ascii="Times New Roman" w:hAnsi="Times New Roman" w:eastAsia="宋体" w:cs="Times New Roman"/>
                <w:b/>
                <w:bCs/>
                <w:snapToGrid w:val="0"/>
                <w:color w:val="auto"/>
                <w:spacing w:val="5"/>
                <w:kern w:val="0"/>
                <w:sz w:val="21"/>
                <w:szCs w:val="21"/>
                <w:highlight w:val="none"/>
                <w:lang w:val="en-US" w:eastAsia="zh-CN" w:bidi="ar-SA"/>
              </w:rPr>
              <w:t>表4-7 本项目井场各风险单元Q值一览表</w:t>
            </w:r>
          </w:p>
          <w:tbl>
            <w:tblPr>
              <w:tblStyle w:val="11"/>
              <w:tblW w:w="5000"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789"/>
              <w:gridCol w:w="2356"/>
              <w:gridCol w:w="1580"/>
              <w:gridCol w:w="1288"/>
              <w:gridCol w:w="966"/>
              <w:gridCol w:w="1085"/>
            </w:tblGrid>
            <w:tr w14:paraId="19ED1A8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jc w:val="center"/>
              </w:trPr>
              <w:tc>
                <w:tcPr>
                  <w:tcW w:w="489" w:type="pct"/>
                  <w:tcBorders>
                    <w:bottom w:val="single" w:color="auto" w:sz="4" w:space="0"/>
                    <w:right w:val="single" w:color="auto" w:sz="4" w:space="0"/>
                  </w:tcBorders>
                  <w:vAlign w:val="center"/>
                </w:tcPr>
                <w:p w14:paraId="6C8FE1B9">
                  <w:pPr>
                    <w:pStyle w:val="6"/>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风险单位</w:t>
                  </w:r>
                </w:p>
              </w:tc>
              <w:tc>
                <w:tcPr>
                  <w:tcW w:w="1460" w:type="pct"/>
                  <w:tcBorders>
                    <w:left w:val="single" w:color="auto" w:sz="4" w:space="0"/>
                    <w:bottom w:val="single" w:color="auto" w:sz="4" w:space="0"/>
                    <w:right w:val="single" w:color="auto" w:sz="4" w:space="0"/>
                  </w:tcBorders>
                  <w:vAlign w:val="center"/>
                </w:tcPr>
                <w:p w14:paraId="01E11139">
                  <w:pPr>
                    <w:pStyle w:val="6"/>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危险物质名称</w:t>
                  </w:r>
                </w:p>
              </w:tc>
              <w:tc>
                <w:tcPr>
                  <w:tcW w:w="979" w:type="pct"/>
                  <w:tcBorders>
                    <w:left w:val="single" w:color="auto" w:sz="4" w:space="0"/>
                    <w:bottom w:val="single" w:color="auto" w:sz="4" w:space="0"/>
                    <w:right w:val="single" w:color="auto" w:sz="4" w:space="0"/>
                  </w:tcBorders>
                  <w:vAlign w:val="center"/>
                </w:tcPr>
                <w:p w14:paraId="5E791C95">
                  <w:pPr>
                    <w:pStyle w:val="6"/>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危险物质最大在线量（t）</w:t>
                  </w:r>
                </w:p>
              </w:tc>
              <w:tc>
                <w:tcPr>
                  <w:tcW w:w="798" w:type="pct"/>
                  <w:tcBorders>
                    <w:left w:val="single" w:color="auto" w:sz="4" w:space="0"/>
                    <w:bottom w:val="single" w:color="auto" w:sz="4" w:space="0"/>
                    <w:right w:val="single" w:color="auto" w:sz="4" w:space="0"/>
                  </w:tcBorders>
                  <w:vAlign w:val="center"/>
                </w:tcPr>
                <w:p w14:paraId="6319FEB5">
                  <w:pPr>
                    <w:pStyle w:val="6"/>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危险物质临界量（t）</w:t>
                  </w:r>
                </w:p>
              </w:tc>
              <w:tc>
                <w:tcPr>
                  <w:tcW w:w="598" w:type="pct"/>
                  <w:tcBorders>
                    <w:left w:val="single" w:color="auto" w:sz="4" w:space="0"/>
                    <w:bottom w:val="single" w:color="auto" w:sz="4" w:space="0"/>
                    <w:right w:val="single" w:color="auto" w:sz="4" w:space="0"/>
                  </w:tcBorders>
                  <w:vAlign w:val="center"/>
                </w:tcPr>
                <w:p w14:paraId="6F3532FC">
                  <w:pPr>
                    <w:pStyle w:val="6"/>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Q值</w:t>
                  </w:r>
                </w:p>
              </w:tc>
              <w:tc>
                <w:tcPr>
                  <w:tcW w:w="672" w:type="pct"/>
                  <w:tcBorders>
                    <w:left w:val="single" w:color="auto" w:sz="4" w:space="0"/>
                    <w:bottom w:val="single" w:color="auto" w:sz="4" w:space="0"/>
                  </w:tcBorders>
                  <w:vAlign w:val="center"/>
                </w:tcPr>
                <w:p w14:paraId="039D1547">
                  <w:pPr>
                    <w:pStyle w:val="6"/>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风险潜势等级</w:t>
                  </w:r>
                </w:p>
              </w:tc>
            </w:tr>
            <w:tr w14:paraId="398E4DF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489" w:type="pct"/>
                  <w:vMerge w:val="restart"/>
                  <w:tcBorders>
                    <w:top w:val="single" w:color="auto" w:sz="4" w:space="0"/>
                    <w:right w:val="single" w:color="auto" w:sz="4" w:space="0"/>
                  </w:tcBorders>
                  <w:vAlign w:val="center"/>
                </w:tcPr>
                <w:p w14:paraId="5F59938C">
                  <w:pPr>
                    <w:spacing w:before="57"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钻井井场</w:t>
                  </w:r>
                </w:p>
              </w:tc>
              <w:tc>
                <w:tcPr>
                  <w:tcW w:w="1460" w:type="pct"/>
                  <w:tcBorders>
                    <w:top w:val="single" w:color="auto" w:sz="4" w:space="0"/>
                    <w:left w:val="single" w:color="auto" w:sz="4" w:space="0"/>
                    <w:bottom w:val="single" w:color="auto" w:sz="4" w:space="0"/>
                    <w:right w:val="single" w:color="auto" w:sz="4" w:space="0"/>
                  </w:tcBorders>
                  <w:vAlign w:val="center"/>
                </w:tcPr>
                <w:p w14:paraId="2BBDCAD5">
                  <w:pPr>
                    <w:spacing w:before="57"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柴油</w:t>
                  </w:r>
                </w:p>
              </w:tc>
              <w:tc>
                <w:tcPr>
                  <w:tcW w:w="979" w:type="pct"/>
                  <w:tcBorders>
                    <w:top w:val="single" w:color="auto" w:sz="4" w:space="0"/>
                    <w:left w:val="single" w:color="auto" w:sz="4" w:space="0"/>
                    <w:bottom w:val="single" w:color="auto" w:sz="4" w:space="0"/>
                    <w:right w:val="single" w:color="auto" w:sz="4" w:space="0"/>
                  </w:tcBorders>
                  <w:vAlign w:val="center"/>
                </w:tcPr>
                <w:p w14:paraId="4E1F1469">
                  <w:pPr>
                    <w:spacing w:before="57" w:line="195"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16.8</w:t>
                  </w:r>
                </w:p>
              </w:tc>
              <w:tc>
                <w:tcPr>
                  <w:tcW w:w="798" w:type="pct"/>
                  <w:tcBorders>
                    <w:top w:val="single" w:color="auto" w:sz="4" w:space="0"/>
                    <w:left w:val="single" w:color="auto" w:sz="4" w:space="0"/>
                    <w:bottom w:val="single" w:color="auto" w:sz="4" w:space="0"/>
                    <w:right w:val="single" w:color="auto" w:sz="4" w:space="0"/>
                  </w:tcBorders>
                  <w:vAlign w:val="center"/>
                </w:tcPr>
                <w:p w14:paraId="16596F35">
                  <w:pPr>
                    <w:spacing w:before="57"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2500</w:t>
                  </w:r>
                </w:p>
              </w:tc>
              <w:tc>
                <w:tcPr>
                  <w:tcW w:w="598" w:type="pct"/>
                  <w:tcBorders>
                    <w:top w:val="single" w:color="auto" w:sz="4" w:space="0"/>
                    <w:left w:val="single" w:color="auto" w:sz="4" w:space="0"/>
                    <w:bottom w:val="single" w:color="auto" w:sz="4" w:space="0"/>
                    <w:right w:val="single" w:color="auto" w:sz="4" w:space="0"/>
                  </w:tcBorders>
                  <w:vAlign w:val="center"/>
                </w:tcPr>
                <w:p w14:paraId="31238738">
                  <w:pPr>
                    <w:spacing w:before="57" w:line="195"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w:t>
                  </w:r>
                  <w:r>
                    <w:rPr>
                      <w:rFonts w:hint="default" w:ascii="Times New Roman" w:hAnsi="Times New Roman" w:eastAsia="宋体" w:cs="Times New Roman"/>
                      <w:color w:val="auto"/>
                      <w:sz w:val="21"/>
                      <w:szCs w:val="21"/>
                      <w:highlight w:val="none"/>
                      <w:lang w:val="en-US" w:eastAsia="zh-CN"/>
                    </w:rPr>
                    <w:t>672</w:t>
                  </w:r>
                </w:p>
              </w:tc>
              <w:tc>
                <w:tcPr>
                  <w:tcW w:w="672" w:type="pct"/>
                  <w:vMerge w:val="restart"/>
                  <w:tcBorders>
                    <w:top w:val="single" w:color="auto" w:sz="4" w:space="0"/>
                    <w:left w:val="single" w:color="auto" w:sz="4" w:space="0"/>
                    <w:bottom w:val="single" w:color="auto" w:sz="4" w:space="0"/>
                  </w:tcBorders>
                  <w:vAlign w:val="center"/>
                </w:tcPr>
                <w:p w14:paraId="7EF1CAF1">
                  <w:pPr>
                    <w:pStyle w:val="6"/>
                    <w:spacing w:line="240" w:lineRule="auto"/>
                    <w:ind w:firstLine="0" w:firstLineChars="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Ⅰ</w:t>
                  </w:r>
                </w:p>
              </w:tc>
            </w:tr>
            <w:tr w14:paraId="7E0DC78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489" w:type="pct"/>
                  <w:vMerge w:val="continue"/>
                  <w:tcBorders>
                    <w:right w:val="single" w:color="auto" w:sz="4" w:space="0"/>
                  </w:tcBorders>
                  <w:vAlign w:val="center"/>
                </w:tcPr>
                <w:p w14:paraId="2D17DB48">
                  <w:pPr>
                    <w:spacing w:before="57" w:line="195" w:lineRule="auto"/>
                    <w:jc w:val="center"/>
                    <w:rPr>
                      <w:rFonts w:hint="default" w:ascii="Times New Roman" w:hAnsi="Times New Roman" w:eastAsia="宋体" w:cs="Times New Roman"/>
                      <w:color w:val="auto"/>
                      <w:sz w:val="21"/>
                      <w:szCs w:val="21"/>
                      <w:highlight w:val="none"/>
                    </w:rPr>
                  </w:pPr>
                </w:p>
              </w:tc>
              <w:tc>
                <w:tcPr>
                  <w:tcW w:w="1460" w:type="pct"/>
                  <w:tcBorders>
                    <w:top w:val="single" w:color="auto" w:sz="4" w:space="0"/>
                    <w:left w:val="single" w:color="auto" w:sz="4" w:space="0"/>
                    <w:bottom w:val="single" w:color="auto" w:sz="4" w:space="0"/>
                    <w:right w:val="single" w:color="auto" w:sz="4" w:space="0"/>
                  </w:tcBorders>
                  <w:vAlign w:val="center"/>
                </w:tcPr>
                <w:p w14:paraId="66FCC612">
                  <w:pPr>
                    <w:spacing w:before="57"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废润滑油、废润滑油桶及沾油废防渗材料</w:t>
                  </w:r>
                </w:p>
              </w:tc>
              <w:tc>
                <w:tcPr>
                  <w:tcW w:w="979" w:type="pct"/>
                  <w:tcBorders>
                    <w:top w:val="single" w:color="auto" w:sz="4" w:space="0"/>
                    <w:left w:val="single" w:color="auto" w:sz="4" w:space="0"/>
                    <w:bottom w:val="single" w:color="auto" w:sz="4" w:space="0"/>
                    <w:right w:val="single" w:color="auto" w:sz="4" w:space="0"/>
                  </w:tcBorders>
                  <w:vAlign w:val="center"/>
                </w:tcPr>
                <w:p w14:paraId="5B79E7AD">
                  <w:pPr>
                    <w:spacing w:before="57"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798" w:type="pct"/>
                  <w:tcBorders>
                    <w:top w:val="single" w:color="auto" w:sz="4" w:space="0"/>
                    <w:left w:val="single" w:color="auto" w:sz="4" w:space="0"/>
                    <w:bottom w:val="single" w:color="auto" w:sz="4" w:space="0"/>
                    <w:right w:val="single" w:color="auto" w:sz="4" w:space="0"/>
                  </w:tcBorders>
                  <w:vAlign w:val="center"/>
                </w:tcPr>
                <w:p w14:paraId="032E4A3E">
                  <w:pPr>
                    <w:spacing w:before="57"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2500</w:t>
                  </w:r>
                </w:p>
              </w:tc>
              <w:tc>
                <w:tcPr>
                  <w:tcW w:w="598" w:type="pct"/>
                  <w:tcBorders>
                    <w:top w:val="single" w:color="auto" w:sz="4" w:space="0"/>
                    <w:left w:val="single" w:color="auto" w:sz="4" w:space="0"/>
                    <w:bottom w:val="single" w:color="auto" w:sz="4" w:space="0"/>
                    <w:right w:val="single" w:color="auto" w:sz="4" w:space="0"/>
                  </w:tcBorders>
                  <w:vAlign w:val="center"/>
                </w:tcPr>
                <w:p w14:paraId="730F6A50">
                  <w:pPr>
                    <w:spacing w:before="57" w:line="195"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w:t>
                  </w:r>
                  <w:r>
                    <w:rPr>
                      <w:rFonts w:hint="default" w:ascii="Times New Roman" w:hAnsi="Times New Roman" w:eastAsia="宋体" w:cs="Times New Roman"/>
                      <w:color w:val="auto"/>
                      <w:sz w:val="21"/>
                      <w:szCs w:val="21"/>
                      <w:highlight w:val="none"/>
                      <w:lang w:val="en-US" w:eastAsia="zh-CN"/>
                    </w:rPr>
                    <w:t>712</w:t>
                  </w:r>
                </w:p>
              </w:tc>
              <w:tc>
                <w:tcPr>
                  <w:tcW w:w="672" w:type="pct"/>
                  <w:vMerge w:val="continue"/>
                  <w:tcBorders>
                    <w:top w:val="single" w:color="auto" w:sz="4" w:space="0"/>
                    <w:left w:val="single" w:color="auto" w:sz="4" w:space="0"/>
                    <w:bottom w:val="single" w:color="auto" w:sz="4" w:space="0"/>
                  </w:tcBorders>
                  <w:vAlign w:val="center"/>
                </w:tcPr>
                <w:p w14:paraId="48BC206E">
                  <w:pPr>
                    <w:pStyle w:val="6"/>
                    <w:spacing w:line="240" w:lineRule="auto"/>
                    <w:ind w:firstLine="0" w:firstLineChars="0"/>
                    <w:jc w:val="center"/>
                    <w:rPr>
                      <w:rFonts w:hint="default" w:ascii="Times New Roman" w:hAnsi="Times New Roman" w:eastAsia="宋体" w:cs="Times New Roman"/>
                      <w:b w:val="0"/>
                      <w:bCs w:val="0"/>
                      <w:color w:val="auto"/>
                      <w:sz w:val="21"/>
                      <w:szCs w:val="21"/>
                      <w:highlight w:val="none"/>
                    </w:rPr>
                  </w:pPr>
                </w:p>
              </w:tc>
            </w:tr>
            <w:tr w14:paraId="2D5A9F4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489" w:type="pct"/>
                  <w:vMerge w:val="continue"/>
                  <w:tcBorders>
                    <w:right w:val="single" w:color="auto" w:sz="4" w:space="0"/>
                  </w:tcBorders>
                  <w:vAlign w:val="center"/>
                </w:tcPr>
                <w:p w14:paraId="08666899">
                  <w:pPr>
                    <w:spacing w:before="57" w:line="195" w:lineRule="auto"/>
                    <w:jc w:val="center"/>
                    <w:rPr>
                      <w:rFonts w:hint="default" w:ascii="Times New Roman" w:hAnsi="Times New Roman" w:eastAsia="宋体" w:cs="Times New Roman"/>
                      <w:color w:val="auto"/>
                      <w:sz w:val="21"/>
                      <w:szCs w:val="21"/>
                      <w:highlight w:val="none"/>
                    </w:rPr>
                  </w:pPr>
                </w:p>
              </w:tc>
              <w:tc>
                <w:tcPr>
                  <w:tcW w:w="1460" w:type="pct"/>
                  <w:tcBorders>
                    <w:top w:val="single" w:color="auto" w:sz="4" w:space="0"/>
                    <w:left w:val="single" w:color="auto" w:sz="4" w:space="0"/>
                    <w:bottom w:val="single" w:color="auto" w:sz="4" w:space="0"/>
                    <w:right w:val="single" w:color="auto" w:sz="4" w:space="0"/>
                  </w:tcBorders>
                  <w:vAlign w:val="center"/>
                </w:tcPr>
                <w:p w14:paraId="1818BE4B">
                  <w:pPr>
                    <w:spacing w:before="57" w:line="195"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油基钻井液</w:t>
                  </w:r>
                </w:p>
              </w:tc>
              <w:tc>
                <w:tcPr>
                  <w:tcW w:w="979" w:type="pct"/>
                  <w:tcBorders>
                    <w:top w:val="single" w:color="auto" w:sz="4" w:space="0"/>
                    <w:left w:val="single" w:color="auto" w:sz="4" w:space="0"/>
                    <w:bottom w:val="single" w:color="auto" w:sz="4" w:space="0"/>
                    <w:right w:val="single" w:color="auto" w:sz="4" w:space="0"/>
                  </w:tcBorders>
                  <w:vAlign w:val="center"/>
                </w:tcPr>
                <w:p w14:paraId="0527E5A7">
                  <w:pPr>
                    <w:spacing w:before="57" w:line="195"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798" w:type="pct"/>
                  <w:tcBorders>
                    <w:top w:val="single" w:color="auto" w:sz="4" w:space="0"/>
                    <w:left w:val="single" w:color="auto" w:sz="4" w:space="0"/>
                    <w:bottom w:val="single" w:color="auto" w:sz="4" w:space="0"/>
                    <w:right w:val="single" w:color="auto" w:sz="4" w:space="0"/>
                  </w:tcBorders>
                  <w:vAlign w:val="center"/>
                </w:tcPr>
                <w:p w14:paraId="3169944D">
                  <w:pPr>
                    <w:spacing w:before="57" w:line="195"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2500</w:t>
                  </w:r>
                </w:p>
              </w:tc>
              <w:tc>
                <w:tcPr>
                  <w:tcW w:w="598" w:type="pct"/>
                  <w:tcBorders>
                    <w:top w:val="single" w:color="auto" w:sz="4" w:space="0"/>
                    <w:left w:val="single" w:color="auto" w:sz="4" w:space="0"/>
                    <w:bottom w:val="single" w:color="auto" w:sz="4" w:space="0"/>
                    <w:right w:val="single" w:color="auto" w:sz="4" w:space="0"/>
                  </w:tcBorders>
                  <w:vAlign w:val="center"/>
                </w:tcPr>
                <w:p w14:paraId="63C46FFD">
                  <w:pPr>
                    <w:spacing w:before="57" w:line="195"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0.0012</w:t>
                  </w:r>
                </w:p>
              </w:tc>
              <w:tc>
                <w:tcPr>
                  <w:tcW w:w="672" w:type="pct"/>
                  <w:vMerge w:val="continue"/>
                  <w:tcBorders>
                    <w:top w:val="single" w:color="auto" w:sz="4" w:space="0"/>
                    <w:left w:val="single" w:color="auto" w:sz="4" w:space="0"/>
                    <w:bottom w:val="single" w:color="auto" w:sz="4" w:space="0"/>
                  </w:tcBorders>
                  <w:vAlign w:val="center"/>
                </w:tcPr>
                <w:p w14:paraId="02BDD2E1">
                  <w:pPr>
                    <w:pStyle w:val="6"/>
                    <w:spacing w:line="240" w:lineRule="auto"/>
                    <w:ind w:firstLine="0" w:firstLineChars="0"/>
                    <w:jc w:val="center"/>
                    <w:rPr>
                      <w:rFonts w:hint="default" w:ascii="Times New Roman" w:hAnsi="Times New Roman" w:eastAsia="宋体" w:cs="Times New Roman"/>
                      <w:b w:val="0"/>
                      <w:bCs w:val="0"/>
                      <w:color w:val="auto"/>
                      <w:sz w:val="21"/>
                      <w:szCs w:val="21"/>
                      <w:highlight w:val="none"/>
                    </w:rPr>
                  </w:pPr>
                </w:p>
              </w:tc>
            </w:tr>
            <w:tr w14:paraId="02CEBEB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489" w:type="pct"/>
                  <w:tcBorders>
                    <w:top w:val="single" w:color="auto" w:sz="4" w:space="0"/>
                    <w:bottom w:val="single" w:color="auto" w:sz="4" w:space="0"/>
                    <w:right w:val="single" w:color="auto" w:sz="4" w:space="0"/>
                  </w:tcBorders>
                  <w:vAlign w:val="center"/>
                </w:tcPr>
                <w:p w14:paraId="348DE0BC">
                  <w:pPr>
                    <w:spacing w:before="57"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小计</w:t>
                  </w:r>
                </w:p>
              </w:tc>
              <w:tc>
                <w:tcPr>
                  <w:tcW w:w="1460" w:type="pct"/>
                  <w:tcBorders>
                    <w:top w:val="single" w:color="auto" w:sz="4" w:space="0"/>
                    <w:left w:val="single" w:color="auto" w:sz="4" w:space="0"/>
                    <w:bottom w:val="single" w:color="auto" w:sz="4" w:space="0"/>
                    <w:right w:val="single" w:color="auto" w:sz="4" w:space="0"/>
                  </w:tcBorders>
                  <w:vAlign w:val="center"/>
                </w:tcPr>
                <w:p w14:paraId="23EF85D6">
                  <w:pPr>
                    <w:spacing w:before="57"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979" w:type="pct"/>
                  <w:tcBorders>
                    <w:top w:val="single" w:color="auto" w:sz="4" w:space="0"/>
                    <w:left w:val="single" w:color="auto" w:sz="4" w:space="0"/>
                    <w:bottom w:val="single" w:color="auto" w:sz="4" w:space="0"/>
                    <w:right w:val="single" w:color="auto" w:sz="4" w:space="0"/>
                  </w:tcBorders>
                  <w:vAlign w:val="center"/>
                </w:tcPr>
                <w:p w14:paraId="32D0B070">
                  <w:pPr>
                    <w:spacing w:before="57"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98" w:type="pct"/>
                  <w:tcBorders>
                    <w:top w:val="single" w:color="auto" w:sz="4" w:space="0"/>
                    <w:left w:val="single" w:color="auto" w:sz="4" w:space="0"/>
                    <w:bottom w:val="single" w:color="auto" w:sz="4" w:space="0"/>
                    <w:right w:val="single" w:color="auto" w:sz="4" w:space="0"/>
                  </w:tcBorders>
                  <w:vAlign w:val="center"/>
                </w:tcPr>
                <w:p w14:paraId="6AADF7DA">
                  <w:pPr>
                    <w:spacing w:before="57"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98" w:type="pct"/>
                  <w:tcBorders>
                    <w:top w:val="single" w:color="auto" w:sz="4" w:space="0"/>
                    <w:left w:val="single" w:color="auto" w:sz="4" w:space="0"/>
                    <w:bottom w:val="single" w:color="auto" w:sz="4" w:space="0"/>
                    <w:right w:val="single" w:color="auto" w:sz="4" w:space="0"/>
                  </w:tcBorders>
                  <w:vAlign w:val="center"/>
                </w:tcPr>
                <w:p w14:paraId="5AEB070A">
                  <w:pPr>
                    <w:spacing w:before="57"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0.0084</w:t>
                  </w:r>
                </w:p>
              </w:tc>
              <w:tc>
                <w:tcPr>
                  <w:tcW w:w="672" w:type="pct"/>
                  <w:vMerge w:val="continue"/>
                  <w:tcBorders>
                    <w:top w:val="single" w:color="auto" w:sz="4" w:space="0"/>
                    <w:left w:val="single" w:color="auto" w:sz="4" w:space="0"/>
                    <w:bottom w:val="single" w:color="auto" w:sz="4" w:space="0"/>
                  </w:tcBorders>
                  <w:vAlign w:val="center"/>
                </w:tcPr>
                <w:p w14:paraId="6F09E789">
                  <w:pPr>
                    <w:pStyle w:val="6"/>
                    <w:spacing w:line="240" w:lineRule="auto"/>
                    <w:ind w:firstLine="0" w:firstLineChars="0"/>
                    <w:jc w:val="center"/>
                    <w:rPr>
                      <w:rFonts w:hint="default" w:ascii="Times New Roman" w:hAnsi="Times New Roman" w:eastAsia="宋体" w:cs="Times New Roman"/>
                      <w:b w:val="0"/>
                      <w:bCs w:val="0"/>
                      <w:color w:val="auto"/>
                      <w:sz w:val="21"/>
                      <w:szCs w:val="21"/>
                      <w:highlight w:val="none"/>
                    </w:rPr>
                  </w:pPr>
                </w:p>
              </w:tc>
            </w:tr>
            <w:tr w14:paraId="515F496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489" w:type="pct"/>
                  <w:vMerge w:val="restart"/>
                  <w:tcBorders>
                    <w:top w:val="single" w:color="auto" w:sz="4" w:space="0"/>
                    <w:bottom w:val="single" w:color="auto" w:sz="4" w:space="0"/>
                    <w:right w:val="single" w:color="auto" w:sz="4" w:space="0"/>
                  </w:tcBorders>
                  <w:vAlign w:val="center"/>
                </w:tcPr>
                <w:p w14:paraId="31B29D1E">
                  <w:pPr>
                    <w:spacing w:before="57"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试油井场</w:t>
                  </w:r>
                </w:p>
              </w:tc>
              <w:tc>
                <w:tcPr>
                  <w:tcW w:w="1460" w:type="pct"/>
                  <w:tcBorders>
                    <w:top w:val="single" w:color="auto" w:sz="4" w:space="0"/>
                    <w:left w:val="single" w:color="auto" w:sz="4" w:space="0"/>
                    <w:bottom w:val="single" w:color="auto" w:sz="4" w:space="0"/>
                    <w:right w:val="single" w:color="auto" w:sz="4" w:space="0"/>
                  </w:tcBorders>
                  <w:vAlign w:val="center"/>
                </w:tcPr>
                <w:p w14:paraId="3EF4C937">
                  <w:pPr>
                    <w:spacing w:before="57"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柴油</w:t>
                  </w:r>
                </w:p>
              </w:tc>
              <w:tc>
                <w:tcPr>
                  <w:tcW w:w="979" w:type="pct"/>
                  <w:tcBorders>
                    <w:top w:val="single" w:color="auto" w:sz="4" w:space="0"/>
                    <w:left w:val="single" w:color="auto" w:sz="4" w:space="0"/>
                    <w:bottom w:val="single" w:color="auto" w:sz="4" w:space="0"/>
                    <w:right w:val="single" w:color="auto" w:sz="4" w:space="0"/>
                  </w:tcBorders>
                  <w:vAlign w:val="center"/>
                </w:tcPr>
                <w:p w14:paraId="139C1191">
                  <w:pPr>
                    <w:spacing w:before="57" w:line="195"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16.8</w:t>
                  </w:r>
                </w:p>
              </w:tc>
              <w:tc>
                <w:tcPr>
                  <w:tcW w:w="798" w:type="pct"/>
                  <w:tcBorders>
                    <w:top w:val="single" w:color="auto" w:sz="4" w:space="0"/>
                    <w:left w:val="single" w:color="auto" w:sz="4" w:space="0"/>
                    <w:bottom w:val="single" w:color="auto" w:sz="4" w:space="0"/>
                    <w:right w:val="single" w:color="auto" w:sz="4" w:space="0"/>
                  </w:tcBorders>
                  <w:vAlign w:val="center"/>
                </w:tcPr>
                <w:p w14:paraId="02C81FA8">
                  <w:pPr>
                    <w:spacing w:before="57"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2500</w:t>
                  </w:r>
                </w:p>
              </w:tc>
              <w:tc>
                <w:tcPr>
                  <w:tcW w:w="598" w:type="pct"/>
                  <w:tcBorders>
                    <w:top w:val="single" w:color="auto" w:sz="4" w:space="0"/>
                    <w:left w:val="single" w:color="auto" w:sz="4" w:space="0"/>
                    <w:bottom w:val="single" w:color="auto" w:sz="4" w:space="0"/>
                    <w:right w:val="single" w:color="auto" w:sz="4" w:space="0"/>
                  </w:tcBorders>
                  <w:vAlign w:val="center"/>
                </w:tcPr>
                <w:p w14:paraId="3383EFCA">
                  <w:pPr>
                    <w:spacing w:before="57" w:line="195"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w:t>
                  </w:r>
                  <w:r>
                    <w:rPr>
                      <w:rFonts w:hint="default" w:ascii="Times New Roman" w:hAnsi="Times New Roman" w:eastAsia="宋体" w:cs="Times New Roman"/>
                      <w:color w:val="auto"/>
                      <w:sz w:val="21"/>
                      <w:szCs w:val="21"/>
                      <w:highlight w:val="none"/>
                      <w:lang w:val="en-US" w:eastAsia="zh-CN"/>
                    </w:rPr>
                    <w:t>672</w:t>
                  </w:r>
                </w:p>
              </w:tc>
              <w:tc>
                <w:tcPr>
                  <w:tcW w:w="672" w:type="pct"/>
                  <w:vMerge w:val="restart"/>
                  <w:tcBorders>
                    <w:top w:val="single" w:color="auto" w:sz="4" w:space="0"/>
                    <w:left w:val="single" w:color="auto" w:sz="4" w:space="0"/>
                    <w:bottom w:val="single" w:color="auto" w:sz="4" w:space="0"/>
                  </w:tcBorders>
                  <w:vAlign w:val="center"/>
                </w:tcPr>
                <w:p w14:paraId="7C231ADD">
                  <w:pPr>
                    <w:pStyle w:val="6"/>
                    <w:spacing w:line="240" w:lineRule="auto"/>
                    <w:ind w:firstLine="0" w:firstLineChars="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Ⅰ</w:t>
                  </w:r>
                </w:p>
              </w:tc>
            </w:tr>
            <w:tr w14:paraId="04C5600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489" w:type="pct"/>
                  <w:vMerge w:val="continue"/>
                  <w:tcBorders>
                    <w:top w:val="single" w:color="auto" w:sz="4" w:space="0"/>
                    <w:bottom w:val="single" w:color="auto" w:sz="4" w:space="0"/>
                    <w:right w:val="single" w:color="auto" w:sz="4" w:space="0"/>
                  </w:tcBorders>
                  <w:vAlign w:val="center"/>
                </w:tcPr>
                <w:p w14:paraId="7D3A4AEA">
                  <w:pPr>
                    <w:spacing w:before="57" w:line="195" w:lineRule="auto"/>
                    <w:jc w:val="center"/>
                    <w:rPr>
                      <w:rFonts w:hint="default" w:ascii="Times New Roman" w:hAnsi="Times New Roman" w:eastAsia="宋体" w:cs="Times New Roman"/>
                      <w:color w:val="auto"/>
                      <w:sz w:val="21"/>
                      <w:szCs w:val="21"/>
                      <w:highlight w:val="none"/>
                    </w:rPr>
                  </w:pPr>
                </w:p>
              </w:tc>
              <w:tc>
                <w:tcPr>
                  <w:tcW w:w="1460" w:type="pct"/>
                  <w:tcBorders>
                    <w:top w:val="single" w:color="auto" w:sz="4" w:space="0"/>
                    <w:left w:val="single" w:color="auto" w:sz="4" w:space="0"/>
                    <w:bottom w:val="single" w:color="auto" w:sz="4" w:space="0"/>
                    <w:right w:val="single" w:color="auto" w:sz="4" w:space="0"/>
                  </w:tcBorders>
                  <w:vAlign w:val="center"/>
                </w:tcPr>
                <w:p w14:paraId="4F35FAFD">
                  <w:pPr>
                    <w:spacing w:before="57" w:line="195"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采出液</w:t>
                  </w:r>
                  <w:r>
                    <w:rPr>
                      <w:rFonts w:hint="eastAsia" w:ascii="Times New Roman" w:hAnsi="Times New Roman" w:eastAsia="宋体" w:cs="Times New Roman"/>
                      <w:color w:val="auto"/>
                      <w:sz w:val="21"/>
                      <w:szCs w:val="21"/>
                      <w:highlight w:val="none"/>
                      <w:lang w:val="en-US" w:eastAsia="zh-CN"/>
                    </w:rPr>
                    <w:t>中原油</w:t>
                  </w:r>
                </w:p>
              </w:tc>
              <w:tc>
                <w:tcPr>
                  <w:tcW w:w="979" w:type="pct"/>
                  <w:tcBorders>
                    <w:top w:val="single" w:color="auto" w:sz="4" w:space="0"/>
                    <w:left w:val="single" w:color="auto" w:sz="4" w:space="0"/>
                    <w:bottom w:val="single" w:color="auto" w:sz="4" w:space="0"/>
                    <w:right w:val="single" w:color="auto" w:sz="4" w:space="0"/>
                  </w:tcBorders>
                  <w:vAlign w:val="center"/>
                </w:tcPr>
                <w:p w14:paraId="7F009385">
                  <w:pPr>
                    <w:spacing w:before="57"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69.6</w:t>
                  </w:r>
                </w:p>
              </w:tc>
              <w:tc>
                <w:tcPr>
                  <w:tcW w:w="798" w:type="pct"/>
                  <w:tcBorders>
                    <w:top w:val="single" w:color="auto" w:sz="4" w:space="0"/>
                    <w:left w:val="single" w:color="auto" w:sz="4" w:space="0"/>
                    <w:bottom w:val="single" w:color="auto" w:sz="4" w:space="0"/>
                    <w:right w:val="single" w:color="auto" w:sz="4" w:space="0"/>
                  </w:tcBorders>
                  <w:vAlign w:val="center"/>
                </w:tcPr>
                <w:p w14:paraId="71D657E6">
                  <w:pPr>
                    <w:spacing w:before="57"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2500</w:t>
                  </w:r>
                </w:p>
              </w:tc>
              <w:tc>
                <w:tcPr>
                  <w:tcW w:w="598" w:type="pct"/>
                  <w:tcBorders>
                    <w:top w:val="single" w:color="auto" w:sz="4" w:space="0"/>
                    <w:left w:val="single" w:color="auto" w:sz="4" w:space="0"/>
                    <w:bottom w:val="single" w:color="auto" w:sz="4" w:space="0"/>
                    <w:right w:val="single" w:color="auto" w:sz="4" w:space="0"/>
                  </w:tcBorders>
                  <w:vAlign w:val="center"/>
                </w:tcPr>
                <w:p w14:paraId="7C6AD3CF">
                  <w:pPr>
                    <w:spacing w:before="57"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0.0278</w:t>
                  </w:r>
                </w:p>
              </w:tc>
              <w:tc>
                <w:tcPr>
                  <w:tcW w:w="672" w:type="pct"/>
                  <w:vMerge w:val="continue"/>
                  <w:tcBorders>
                    <w:top w:val="single" w:color="auto" w:sz="4" w:space="0"/>
                    <w:left w:val="single" w:color="auto" w:sz="4" w:space="0"/>
                    <w:bottom w:val="single" w:color="auto" w:sz="4" w:space="0"/>
                  </w:tcBorders>
                  <w:vAlign w:val="center"/>
                </w:tcPr>
                <w:p w14:paraId="6AEC50E4">
                  <w:pPr>
                    <w:pStyle w:val="6"/>
                    <w:spacing w:line="240" w:lineRule="auto"/>
                    <w:ind w:firstLine="420"/>
                    <w:rPr>
                      <w:rFonts w:hint="default" w:ascii="Times New Roman" w:hAnsi="Times New Roman" w:eastAsia="宋体" w:cs="Times New Roman"/>
                      <w:b w:val="0"/>
                      <w:bCs w:val="0"/>
                      <w:color w:val="auto"/>
                      <w:sz w:val="21"/>
                      <w:szCs w:val="21"/>
                      <w:highlight w:val="none"/>
                    </w:rPr>
                  </w:pPr>
                </w:p>
              </w:tc>
            </w:tr>
            <w:tr w14:paraId="660B29B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489" w:type="pct"/>
                  <w:tcBorders>
                    <w:top w:val="single" w:color="auto" w:sz="4" w:space="0"/>
                    <w:right w:val="single" w:color="auto" w:sz="4" w:space="0"/>
                  </w:tcBorders>
                  <w:vAlign w:val="center"/>
                </w:tcPr>
                <w:p w14:paraId="17A50146">
                  <w:pPr>
                    <w:spacing w:before="57" w:line="195" w:lineRule="auto"/>
                    <w:jc w:val="center"/>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en-US"/>
                    </w:rPr>
                    <w:t>小计</w:t>
                  </w:r>
                </w:p>
              </w:tc>
              <w:tc>
                <w:tcPr>
                  <w:tcW w:w="1460" w:type="pct"/>
                  <w:tcBorders>
                    <w:top w:val="single" w:color="auto" w:sz="4" w:space="0"/>
                    <w:left w:val="single" w:color="auto" w:sz="4" w:space="0"/>
                    <w:right w:val="single" w:color="auto" w:sz="4" w:space="0"/>
                  </w:tcBorders>
                  <w:vAlign w:val="center"/>
                </w:tcPr>
                <w:p w14:paraId="2A5E37AB">
                  <w:pPr>
                    <w:spacing w:before="57" w:line="195" w:lineRule="auto"/>
                    <w:jc w:val="center"/>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en-US"/>
                    </w:rPr>
                    <w:t>/</w:t>
                  </w:r>
                </w:p>
              </w:tc>
              <w:tc>
                <w:tcPr>
                  <w:tcW w:w="979" w:type="pct"/>
                  <w:tcBorders>
                    <w:top w:val="single" w:color="auto" w:sz="4" w:space="0"/>
                    <w:left w:val="single" w:color="auto" w:sz="4" w:space="0"/>
                    <w:right w:val="single" w:color="auto" w:sz="4" w:space="0"/>
                  </w:tcBorders>
                  <w:vAlign w:val="center"/>
                </w:tcPr>
                <w:p w14:paraId="7AD79CCB">
                  <w:pPr>
                    <w:spacing w:before="57" w:line="195" w:lineRule="auto"/>
                    <w:jc w:val="center"/>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en-US"/>
                    </w:rPr>
                    <w:t>/</w:t>
                  </w:r>
                </w:p>
              </w:tc>
              <w:tc>
                <w:tcPr>
                  <w:tcW w:w="798" w:type="pct"/>
                  <w:tcBorders>
                    <w:top w:val="single" w:color="auto" w:sz="4" w:space="0"/>
                    <w:left w:val="single" w:color="auto" w:sz="4" w:space="0"/>
                    <w:right w:val="single" w:color="auto" w:sz="4" w:space="0"/>
                  </w:tcBorders>
                  <w:vAlign w:val="center"/>
                </w:tcPr>
                <w:p w14:paraId="67BAAD21">
                  <w:pPr>
                    <w:spacing w:before="57" w:line="195" w:lineRule="auto"/>
                    <w:jc w:val="center"/>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en-US"/>
                    </w:rPr>
                    <w:t>/</w:t>
                  </w:r>
                </w:p>
              </w:tc>
              <w:tc>
                <w:tcPr>
                  <w:tcW w:w="598" w:type="pct"/>
                  <w:tcBorders>
                    <w:top w:val="single" w:color="auto" w:sz="4" w:space="0"/>
                    <w:left w:val="single" w:color="auto" w:sz="4" w:space="0"/>
                    <w:right w:val="single" w:color="auto" w:sz="4" w:space="0"/>
                  </w:tcBorders>
                  <w:vAlign w:val="center"/>
                </w:tcPr>
                <w:p w14:paraId="14AA3FAA">
                  <w:pPr>
                    <w:spacing w:before="57" w:line="195"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0.05796</w:t>
                  </w:r>
                </w:p>
              </w:tc>
              <w:tc>
                <w:tcPr>
                  <w:tcW w:w="672" w:type="pct"/>
                  <w:vMerge w:val="continue"/>
                  <w:tcBorders>
                    <w:top w:val="single" w:color="auto" w:sz="4" w:space="0"/>
                    <w:left w:val="single" w:color="auto" w:sz="4" w:space="0"/>
                  </w:tcBorders>
                  <w:vAlign w:val="center"/>
                </w:tcPr>
                <w:p w14:paraId="710F9EA9">
                  <w:pPr>
                    <w:pStyle w:val="6"/>
                    <w:spacing w:line="240" w:lineRule="auto"/>
                    <w:ind w:firstLine="420"/>
                    <w:rPr>
                      <w:rFonts w:hint="default" w:ascii="Times New Roman" w:hAnsi="Times New Roman" w:eastAsia="宋体" w:cs="Times New Roman"/>
                      <w:snapToGrid w:val="0"/>
                      <w:color w:val="auto"/>
                      <w:kern w:val="0"/>
                      <w:sz w:val="21"/>
                      <w:szCs w:val="21"/>
                      <w:highlight w:val="none"/>
                      <w:lang w:val="en-US" w:eastAsia="en-US" w:bidi="ar-SA"/>
                    </w:rPr>
                  </w:pPr>
                </w:p>
              </w:tc>
            </w:tr>
          </w:tbl>
          <w:p w14:paraId="426D3950">
            <w:pPr>
              <w:pStyle w:val="6"/>
              <w:keepNext w:val="0"/>
              <w:keepLines w:val="0"/>
              <w:pageBreakBefore w:val="0"/>
              <w:widowControl w:val="0"/>
              <w:kinsoku/>
              <w:wordWrap/>
              <w:overflowPunct w:val="0"/>
              <w:topLinePunct w:val="0"/>
              <w:autoSpaceDE w:val="0"/>
              <w:autoSpaceDN w:val="0"/>
              <w:bidi w:val="0"/>
              <w:adjustRightInd w:val="0"/>
              <w:snapToGrid w:val="0"/>
              <w:spacing w:line="360" w:lineRule="auto"/>
              <w:ind w:firstLine="482"/>
              <w:jc w:val="both"/>
              <w:textAlignment w:val="baseline"/>
              <w:rPr>
                <w:rFonts w:hint="default" w:ascii="Times New Roman" w:hAnsi="Times New Roman" w:eastAsia="宋体" w:cs="Times New Roman"/>
                <w:snapToGrid w:val="0"/>
                <w:color w:val="auto"/>
                <w:spacing w:val="-2"/>
                <w:kern w:val="0"/>
                <w:sz w:val="24"/>
                <w:szCs w:val="24"/>
                <w:highlight w:val="none"/>
                <w:lang w:val="en-US" w:eastAsia="en-US" w:bidi="ar-SA"/>
              </w:rPr>
            </w:pPr>
            <w:r>
              <w:rPr>
                <w:rFonts w:hint="default" w:ascii="Times New Roman" w:hAnsi="Times New Roman" w:eastAsia="宋体" w:cs="Times New Roman"/>
                <w:snapToGrid w:val="0"/>
                <w:color w:val="auto"/>
                <w:spacing w:val="-2"/>
                <w:kern w:val="0"/>
                <w:sz w:val="24"/>
                <w:szCs w:val="24"/>
                <w:highlight w:val="none"/>
                <w:lang w:val="en-US" w:eastAsia="en-US" w:bidi="ar-SA"/>
              </w:rPr>
              <w:t>综上所述，井场钻井期、试油期Q值均小于1，评价工作等级为简单分析。</w:t>
            </w:r>
          </w:p>
          <w:p w14:paraId="4A438704">
            <w:pPr>
              <w:pStyle w:val="6"/>
              <w:widowControl w:val="0"/>
              <w:spacing w:line="360" w:lineRule="auto"/>
              <w:jc w:val="both"/>
              <w:rPr>
                <w:rFonts w:hint="default" w:ascii="Times New Roman" w:hAnsi="Times New Roman" w:eastAsia="宋体" w:cs="Times New Roman"/>
                <w:b/>
                <w:bCs/>
                <w:snapToGrid w:val="0"/>
                <w:color w:val="auto"/>
                <w:spacing w:val="-2"/>
                <w:kern w:val="0"/>
                <w:sz w:val="24"/>
                <w:szCs w:val="24"/>
                <w:highlight w:val="none"/>
                <w:lang w:val="en-US" w:eastAsia="en-US" w:bidi="ar-SA"/>
              </w:rPr>
            </w:pPr>
            <w:r>
              <w:rPr>
                <w:rFonts w:hint="default" w:ascii="Times New Roman" w:hAnsi="Times New Roman" w:eastAsia="宋体" w:cs="Times New Roman"/>
                <w:b/>
                <w:bCs/>
                <w:snapToGrid w:val="0"/>
                <w:color w:val="auto"/>
                <w:spacing w:val="-2"/>
                <w:kern w:val="0"/>
                <w:sz w:val="24"/>
                <w:szCs w:val="24"/>
                <w:highlight w:val="none"/>
                <w:lang w:val="en-US" w:eastAsia="zh-CN" w:bidi="ar-SA"/>
              </w:rPr>
              <w:t>7.2</w:t>
            </w:r>
            <w:r>
              <w:rPr>
                <w:rFonts w:hint="default" w:ascii="Times New Roman" w:hAnsi="Times New Roman" w:eastAsia="宋体" w:cs="Times New Roman"/>
                <w:b/>
                <w:bCs/>
                <w:snapToGrid w:val="0"/>
                <w:color w:val="auto"/>
                <w:spacing w:val="-2"/>
                <w:kern w:val="0"/>
                <w:sz w:val="24"/>
                <w:szCs w:val="24"/>
                <w:highlight w:val="none"/>
                <w:lang w:val="en-US" w:eastAsia="en-US" w:bidi="ar-SA"/>
              </w:rPr>
              <w:t>环境敏感目标概况</w:t>
            </w:r>
          </w:p>
          <w:p w14:paraId="57164318">
            <w:pPr>
              <w:pStyle w:val="6"/>
              <w:widowControl w:val="0"/>
              <w:spacing w:line="360" w:lineRule="auto"/>
              <w:ind w:firstLine="480"/>
              <w:jc w:val="both"/>
              <w:rPr>
                <w:rFonts w:hint="default" w:ascii="Times New Roman" w:hAnsi="Times New Roman" w:eastAsia="宋体" w:cs="Times New Roman"/>
                <w:snapToGrid w:val="0"/>
                <w:color w:val="auto"/>
                <w:spacing w:val="-2"/>
                <w:kern w:val="0"/>
                <w:sz w:val="24"/>
                <w:szCs w:val="24"/>
                <w:highlight w:val="none"/>
                <w:lang w:val="en-US" w:eastAsia="en-US" w:bidi="ar-SA"/>
              </w:rPr>
            </w:pPr>
            <w:r>
              <w:rPr>
                <w:rFonts w:hint="default" w:ascii="Times New Roman" w:hAnsi="Times New Roman" w:eastAsia="宋体" w:cs="Times New Roman"/>
                <w:snapToGrid w:val="0"/>
                <w:color w:val="auto"/>
                <w:spacing w:val="-2"/>
                <w:kern w:val="0"/>
                <w:sz w:val="24"/>
                <w:szCs w:val="24"/>
                <w:highlight w:val="none"/>
                <w:lang w:val="en-US" w:eastAsia="en-US" w:bidi="ar-SA"/>
              </w:rPr>
              <w:t>本次不设风险评价范围，占地范围内无环境风险敏感目标。</w:t>
            </w:r>
          </w:p>
          <w:p w14:paraId="296BF255">
            <w:pPr>
              <w:pStyle w:val="6"/>
              <w:widowControl w:val="0"/>
              <w:spacing w:line="360" w:lineRule="auto"/>
              <w:jc w:val="both"/>
              <w:rPr>
                <w:rFonts w:hint="default" w:ascii="Times New Roman" w:hAnsi="Times New Roman" w:eastAsia="宋体" w:cs="Times New Roman"/>
                <w:b/>
                <w:bCs/>
                <w:snapToGrid w:val="0"/>
                <w:color w:val="auto"/>
                <w:spacing w:val="-2"/>
                <w:kern w:val="0"/>
                <w:sz w:val="24"/>
                <w:szCs w:val="24"/>
                <w:highlight w:val="none"/>
                <w:lang w:val="en-US" w:eastAsia="en-US" w:bidi="ar-SA"/>
              </w:rPr>
            </w:pPr>
            <w:r>
              <w:rPr>
                <w:rFonts w:hint="default" w:ascii="Times New Roman" w:hAnsi="Times New Roman" w:eastAsia="宋体" w:cs="Times New Roman"/>
                <w:b/>
                <w:bCs/>
                <w:snapToGrid w:val="0"/>
                <w:color w:val="auto"/>
                <w:spacing w:val="-2"/>
                <w:kern w:val="0"/>
                <w:sz w:val="24"/>
                <w:szCs w:val="24"/>
                <w:highlight w:val="none"/>
                <w:lang w:val="en-US" w:eastAsia="zh-CN" w:bidi="ar-SA"/>
              </w:rPr>
              <w:t>7.3</w:t>
            </w:r>
            <w:r>
              <w:rPr>
                <w:rFonts w:hint="default" w:ascii="Times New Roman" w:hAnsi="Times New Roman" w:eastAsia="宋体" w:cs="Times New Roman"/>
                <w:b/>
                <w:bCs/>
                <w:snapToGrid w:val="0"/>
                <w:color w:val="auto"/>
                <w:spacing w:val="-2"/>
                <w:kern w:val="0"/>
                <w:sz w:val="24"/>
                <w:szCs w:val="24"/>
                <w:highlight w:val="none"/>
                <w:lang w:val="en-US" w:eastAsia="en-US" w:bidi="ar-SA"/>
              </w:rPr>
              <w:t>环境风险识别</w:t>
            </w:r>
          </w:p>
          <w:p w14:paraId="43D8768A">
            <w:pPr>
              <w:pStyle w:val="6"/>
              <w:widowControl w:val="0"/>
              <w:spacing w:line="360" w:lineRule="auto"/>
              <w:ind w:firstLine="480"/>
              <w:jc w:val="both"/>
              <w:rPr>
                <w:rFonts w:hint="default" w:ascii="Times New Roman" w:hAnsi="Times New Roman" w:eastAsia="宋体" w:cs="Times New Roman"/>
                <w:snapToGrid w:val="0"/>
                <w:color w:val="auto"/>
                <w:spacing w:val="-2"/>
                <w:kern w:val="0"/>
                <w:sz w:val="24"/>
                <w:szCs w:val="24"/>
                <w:highlight w:val="none"/>
                <w:lang w:val="en-US" w:eastAsia="en-US" w:bidi="ar-SA"/>
              </w:rPr>
            </w:pPr>
            <w:r>
              <w:rPr>
                <w:rFonts w:hint="default" w:ascii="Times New Roman" w:hAnsi="Times New Roman" w:eastAsia="宋体" w:cs="Times New Roman"/>
                <w:snapToGrid w:val="0"/>
                <w:color w:val="auto"/>
                <w:spacing w:val="-2"/>
                <w:kern w:val="0"/>
                <w:sz w:val="24"/>
                <w:szCs w:val="24"/>
                <w:highlight w:val="none"/>
                <w:lang w:val="en-US" w:eastAsia="en-US" w:bidi="ar-SA"/>
              </w:rPr>
              <w:t>①危险物质识别</w:t>
            </w:r>
          </w:p>
          <w:p w14:paraId="2CC83291">
            <w:pPr>
              <w:pStyle w:val="6"/>
              <w:widowControl w:val="0"/>
              <w:spacing w:line="360" w:lineRule="auto"/>
              <w:ind w:firstLine="480"/>
              <w:jc w:val="both"/>
              <w:rPr>
                <w:rFonts w:hint="default" w:ascii="Times New Roman" w:hAnsi="Times New Roman" w:eastAsia="宋体" w:cs="Times New Roman"/>
                <w:snapToGrid w:val="0"/>
                <w:color w:val="auto"/>
                <w:spacing w:val="-2"/>
                <w:kern w:val="0"/>
                <w:sz w:val="24"/>
                <w:szCs w:val="24"/>
                <w:highlight w:val="none"/>
                <w:lang w:val="en-US" w:eastAsia="en-US" w:bidi="ar-SA"/>
              </w:rPr>
            </w:pPr>
            <w:r>
              <w:rPr>
                <w:rFonts w:hint="default" w:ascii="Times New Roman" w:hAnsi="Times New Roman" w:eastAsia="宋体" w:cs="Times New Roman"/>
                <w:snapToGrid w:val="0"/>
                <w:color w:val="auto"/>
                <w:spacing w:val="-2"/>
                <w:kern w:val="0"/>
                <w:sz w:val="24"/>
                <w:szCs w:val="24"/>
                <w:highlight w:val="none"/>
                <w:lang w:val="en-US" w:eastAsia="en-US" w:bidi="ar-SA"/>
              </w:rPr>
              <w:t>施工期间涉及的环境危险物质主要为柴油、原油、伴生气（主要成分为天然气）</w:t>
            </w:r>
            <w:bookmarkStart w:id="21" w:name="OLE_LINK52"/>
            <w:r>
              <w:rPr>
                <w:rFonts w:hint="default" w:ascii="Times New Roman" w:hAnsi="Times New Roman" w:eastAsia="宋体" w:cs="Times New Roman"/>
                <w:snapToGrid w:val="0"/>
                <w:color w:val="auto"/>
                <w:spacing w:val="-2"/>
                <w:kern w:val="0"/>
                <w:sz w:val="24"/>
                <w:szCs w:val="24"/>
                <w:highlight w:val="none"/>
                <w:lang w:val="en-US" w:eastAsia="en-US" w:bidi="ar-SA"/>
              </w:rPr>
              <w:t>和伴生气中可能存在的少量硫化氢</w:t>
            </w:r>
            <w:bookmarkEnd w:id="21"/>
            <w:r>
              <w:rPr>
                <w:rFonts w:hint="default" w:ascii="Times New Roman" w:hAnsi="Times New Roman" w:eastAsia="宋体" w:cs="Times New Roman"/>
                <w:snapToGrid w:val="0"/>
                <w:color w:val="auto"/>
                <w:spacing w:val="-2"/>
                <w:kern w:val="0"/>
                <w:sz w:val="24"/>
                <w:szCs w:val="24"/>
                <w:highlight w:val="none"/>
                <w:lang w:val="en-US" w:eastAsia="zh-CN" w:bidi="ar-SA"/>
              </w:rPr>
              <w:t>等</w:t>
            </w:r>
            <w:r>
              <w:rPr>
                <w:rFonts w:hint="default" w:ascii="Times New Roman" w:hAnsi="Times New Roman" w:eastAsia="宋体" w:cs="Times New Roman"/>
                <w:snapToGrid w:val="0"/>
                <w:color w:val="auto"/>
                <w:spacing w:val="-2"/>
                <w:kern w:val="0"/>
                <w:sz w:val="24"/>
                <w:szCs w:val="24"/>
                <w:highlight w:val="none"/>
                <w:lang w:val="en-US" w:eastAsia="en-US" w:bidi="ar-SA"/>
              </w:rPr>
              <w:t>，其主要物化、毒理性质、危险等级划分及影响途径见表</w:t>
            </w:r>
            <w:r>
              <w:rPr>
                <w:rFonts w:hint="default" w:ascii="Times New Roman" w:hAnsi="Times New Roman" w:eastAsia="宋体" w:cs="Times New Roman"/>
                <w:snapToGrid w:val="0"/>
                <w:color w:val="auto"/>
                <w:spacing w:val="-2"/>
                <w:kern w:val="0"/>
                <w:sz w:val="24"/>
                <w:szCs w:val="24"/>
                <w:highlight w:val="none"/>
                <w:lang w:val="en-US" w:eastAsia="zh-CN" w:bidi="ar-SA"/>
              </w:rPr>
              <w:t>4-8</w:t>
            </w:r>
            <w:r>
              <w:rPr>
                <w:rFonts w:hint="default" w:ascii="Times New Roman" w:hAnsi="Times New Roman" w:eastAsia="宋体" w:cs="Times New Roman"/>
                <w:snapToGrid w:val="0"/>
                <w:color w:val="auto"/>
                <w:spacing w:val="-2"/>
                <w:kern w:val="0"/>
                <w:sz w:val="24"/>
                <w:szCs w:val="24"/>
                <w:highlight w:val="none"/>
                <w:lang w:val="en-US" w:eastAsia="en-US" w:bidi="ar-SA"/>
              </w:rPr>
              <w:t>。</w:t>
            </w:r>
          </w:p>
          <w:p w14:paraId="7F555D30">
            <w:pPr>
              <w:pStyle w:val="6"/>
              <w:widowControl w:val="0"/>
              <w:spacing w:line="240" w:lineRule="auto"/>
              <w:jc w:val="center"/>
              <w:rPr>
                <w:rFonts w:hint="default" w:ascii="Times New Roman" w:hAnsi="Times New Roman" w:eastAsia="宋体" w:cs="Times New Roman"/>
                <w:b/>
                <w:bCs/>
                <w:snapToGrid w:val="0"/>
                <w:color w:val="auto"/>
                <w:spacing w:val="5"/>
                <w:kern w:val="0"/>
                <w:sz w:val="21"/>
                <w:szCs w:val="21"/>
                <w:highlight w:val="none"/>
                <w:lang w:val="en-US" w:eastAsia="en-US" w:bidi="ar-SA"/>
              </w:rPr>
            </w:pPr>
            <w:r>
              <w:rPr>
                <w:rFonts w:hint="default" w:ascii="Times New Roman" w:hAnsi="Times New Roman" w:eastAsia="宋体" w:cs="Times New Roman"/>
                <w:b/>
                <w:bCs/>
                <w:snapToGrid w:val="0"/>
                <w:color w:val="auto"/>
                <w:spacing w:val="5"/>
                <w:kern w:val="0"/>
                <w:sz w:val="21"/>
                <w:szCs w:val="21"/>
                <w:highlight w:val="none"/>
                <w:lang w:val="en-US" w:eastAsia="en-US" w:bidi="ar-SA"/>
              </w:rPr>
              <w:t>表</w:t>
            </w:r>
            <w:r>
              <w:rPr>
                <w:rFonts w:hint="default" w:ascii="Times New Roman" w:hAnsi="Times New Roman" w:eastAsia="宋体" w:cs="Times New Roman"/>
                <w:b/>
                <w:bCs/>
                <w:snapToGrid w:val="0"/>
                <w:color w:val="auto"/>
                <w:spacing w:val="5"/>
                <w:kern w:val="0"/>
                <w:sz w:val="21"/>
                <w:szCs w:val="21"/>
                <w:highlight w:val="none"/>
                <w:lang w:val="en-US" w:eastAsia="zh-CN" w:bidi="ar-SA"/>
              </w:rPr>
              <w:t xml:space="preserve">4-8 </w:t>
            </w:r>
            <w:r>
              <w:rPr>
                <w:rFonts w:hint="default" w:ascii="Times New Roman" w:hAnsi="Times New Roman" w:eastAsia="宋体" w:cs="Times New Roman"/>
                <w:b/>
                <w:bCs/>
                <w:snapToGrid w:val="0"/>
                <w:color w:val="auto"/>
                <w:spacing w:val="5"/>
                <w:kern w:val="0"/>
                <w:sz w:val="21"/>
                <w:szCs w:val="21"/>
                <w:highlight w:val="none"/>
                <w:lang w:val="zh-CN" w:eastAsia="en-US" w:bidi="ar-SA"/>
              </w:rPr>
              <w:t>原油、柴油、伴生气和硫化氢理化性质及危险级别分类</w:t>
            </w:r>
            <w:r>
              <w:rPr>
                <w:rFonts w:hint="default" w:ascii="Times New Roman" w:hAnsi="Times New Roman" w:eastAsia="宋体" w:cs="Times New Roman"/>
                <w:b/>
                <w:bCs/>
                <w:snapToGrid w:val="0"/>
                <w:color w:val="auto"/>
                <w:spacing w:val="5"/>
                <w:kern w:val="0"/>
                <w:sz w:val="21"/>
                <w:szCs w:val="21"/>
                <w:highlight w:val="none"/>
                <w:lang w:val="en-US" w:eastAsia="en-US" w:bidi="ar-SA"/>
              </w:rPr>
              <w:t>表</w:t>
            </w:r>
          </w:p>
          <w:tbl>
            <w:tblPr>
              <w:tblStyle w:val="1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3"/>
              <w:gridCol w:w="483"/>
              <w:gridCol w:w="866"/>
              <w:gridCol w:w="3085"/>
              <w:gridCol w:w="1738"/>
              <w:gridCol w:w="697"/>
              <w:gridCol w:w="723"/>
            </w:tblGrid>
            <w:tr w14:paraId="2560BE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tcBorders>
                    <w:top w:val="single" w:color="auto" w:sz="4" w:space="0"/>
                    <w:left w:val="single" w:color="auto" w:sz="0" w:space="0"/>
                  </w:tcBorders>
                  <w:vAlign w:val="center"/>
                </w:tcPr>
                <w:p w14:paraId="4C7D8363">
                  <w:pPr>
                    <w:widowControl w:val="0"/>
                    <w:snapToGrid w:val="0"/>
                    <w:spacing w:line="28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99" w:type="pct"/>
                  <w:tcBorders>
                    <w:top w:val="single" w:color="auto" w:sz="4" w:space="0"/>
                  </w:tcBorders>
                  <w:vAlign w:val="center"/>
                </w:tcPr>
                <w:p w14:paraId="0DFB2084">
                  <w:pPr>
                    <w:widowControl w:val="0"/>
                    <w:snapToGrid w:val="0"/>
                    <w:spacing w:line="28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536" w:type="pct"/>
                  <w:tcBorders>
                    <w:top w:val="single" w:color="auto" w:sz="4" w:space="0"/>
                  </w:tcBorders>
                  <w:vAlign w:val="center"/>
                </w:tcPr>
                <w:p w14:paraId="449FF30A">
                  <w:pPr>
                    <w:widowControl w:val="0"/>
                    <w:snapToGrid w:val="0"/>
                    <w:spacing w:line="28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组分</w:t>
                  </w:r>
                </w:p>
              </w:tc>
              <w:tc>
                <w:tcPr>
                  <w:tcW w:w="1910" w:type="pct"/>
                  <w:tcBorders>
                    <w:top w:val="single" w:color="auto" w:sz="4" w:space="0"/>
                  </w:tcBorders>
                  <w:vAlign w:val="center"/>
                </w:tcPr>
                <w:p w14:paraId="08717F1D">
                  <w:pPr>
                    <w:widowControl w:val="0"/>
                    <w:snapToGrid w:val="0"/>
                    <w:spacing w:line="28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危险性</w:t>
                  </w:r>
                </w:p>
              </w:tc>
              <w:tc>
                <w:tcPr>
                  <w:tcW w:w="1076" w:type="pct"/>
                  <w:tcBorders>
                    <w:top w:val="single" w:color="auto" w:sz="4" w:space="0"/>
                  </w:tcBorders>
                  <w:vAlign w:val="center"/>
                </w:tcPr>
                <w:p w14:paraId="741F6880">
                  <w:pPr>
                    <w:widowControl w:val="0"/>
                    <w:snapToGrid w:val="0"/>
                    <w:spacing w:line="28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燃烧爆炸特性参数</w:t>
                  </w:r>
                </w:p>
              </w:tc>
              <w:tc>
                <w:tcPr>
                  <w:tcW w:w="431" w:type="pct"/>
                  <w:tcBorders>
                    <w:top w:val="single" w:color="auto" w:sz="4" w:space="0"/>
                  </w:tcBorders>
                  <w:vAlign w:val="center"/>
                </w:tcPr>
                <w:p w14:paraId="06221E55">
                  <w:pPr>
                    <w:widowControl w:val="0"/>
                    <w:snapToGrid w:val="0"/>
                    <w:spacing w:line="28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危险级别</w:t>
                  </w:r>
                </w:p>
              </w:tc>
              <w:tc>
                <w:tcPr>
                  <w:tcW w:w="447" w:type="pct"/>
                  <w:tcBorders>
                    <w:top w:val="single" w:color="auto" w:sz="4" w:space="0"/>
                    <w:right w:val="single" w:color="auto" w:sz="4" w:space="0"/>
                  </w:tcBorders>
                  <w:vAlign w:val="center"/>
                </w:tcPr>
                <w:p w14:paraId="578E0534">
                  <w:pPr>
                    <w:widowControl w:val="0"/>
                    <w:snapToGrid w:val="0"/>
                    <w:spacing w:line="28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影响途径</w:t>
                  </w:r>
                </w:p>
              </w:tc>
            </w:tr>
            <w:tr w14:paraId="06B260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tcBorders>
                    <w:left w:val="single" w:color="auto" w:sz="4" w:space="0"/>
                  </w:tcBorders>
                  <w:vAlign w:val="center"/>
                </w:tcPr>
                <w:p w14:paraId="0D665519">
                  <w:pPr>
                    <w:widowControl w:val="0"/>
                    <w:snapToGrid w:val="0"/>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99" w:type="pct"/>
                  <w:vAlign w:val="center"/>
                </w:tcPr>
                <w:p w14:paraId="7FF5A0B5">
                  <w:pPr>
                    <w:widowControl w:val="0"/>
                    <w:snapToGrid w:val="0"/>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原油</w:t>
                  </w:r>
                </w:p>
              </w:tc>
              <w:tc>
                <w:tcPr>
                  <w:tcW w:w="536" w:type="pct"/>
                  <w:vAlign w:val="center"/>
                </w:tcPr>
                <w:p w14:paraId="0DF675ED">
                  <w:pPr>
                    <w:widowControl w:val="0"/>
                    <w:snapToGrid w:val="0"/>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各种烃类和非烃类化合物所组成的复杂混合物</w:t>
                  </w:r>
                </w:p>
              </w:tc>
              <w:tc>
                <w:tcPr>
                  <w:tcW w:w="1910" w:type="pct"/>
                  <w:vAlign w:val="center"/>
                </w:tcPr>
                <w:p w14:paraId="49F6E95F">
                  <w:pPr>
                    <w:widowControl w:val="0"/>
                    <w:snapToGrid w:val="0"/>
                    <w:spacing w:line="28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原油本身无明显毒性。遇热分解出有毒烟雾，人体大量吸入可引起危害：有刺激和麻痹作用，急性中毒者有上呼吸道刺激症状。</w:t>
                  </w:r>
                </w:p>
              </w:tc>
              <w:tc>
                <w:tcPr>
                  <w:tcW w:w="1076" w:type="pct"/>
                  <w:vAlign w:val="center"/>
                </w:tcPr>
                <w:p w14:paraId="0DA7A79A">
                  <w:pPr>
                    <w:widowControl w:val="0"/>
                    <w:snapToGrid w:val="0"/>
                    <w:spacing w:line="280" w:lineRule="exact"/>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热值：41870KJ/kg；沸点：300～325℃；闪点：23.5℃；爆炸极限：1.1～6.4%（v）；自燃点：380～530℃</w:t>
                  </w:r>
                  <w:r>
                    <w:rPr>
                      <w:rFonts w:hint="default" w:ascii="Times New Roman" w:hAnsi="Times New Roman" w:eastAsia="宋体" w:cs="Times New Roman"/>
                      <w:color w:val="auto"/>
                      <w:sz w:val="21"/>
                      <w:szCs w:val="21"/>
                      <w:highlight w:val="none"/>
                      <w:lang w:eastAsia="zh-CN"/>
                    </w:rPr>
                    <w:t>。</w:t>
                  </w:r>
                </w:p>
              </w:tc>
              <w:tc>
                <w:tcPr>
                  <w:tcW w:w="431" w:type="pct"/>
                  <w:vAlign w:val="center"/>
                </w:tcPr>
                <w:p w14:paraId="71941B15">
                  <w:pPr>
                    <w:widowControl w:val="0"/>
                    <w:snapToGrid w:val="0"/>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高闪点液体</w:t>
                  </w:r>
                </w:p>
              </w:tc>
              <w:tc>
                <w:tcPr>
                  <w:tcW w:w="447" w:type="pct"/>
                  <w:tcBorders>
                    <w:right w:val="single" w:color="auto" w:sz="4" w:space="0"/>
                  </w:tcBorders>
                  <w:vAlign w:val="center"/>
                </w:tcPr>
                <w:p w14:paraId="4F6FBA7C">
                  <w:pPr>
                    <w:widowControl w:val="0"/>
                    <w:snapToGrid w:val="0"/>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大气、地下水、土壤</w:t>
                  </w:r>
                </w:p>
              </w:tc>
            </w:tr>
            <w:tr w14:paraId="56407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tcBorders>
                    <w:left w:val="single" w:color="auto" w:sz="4" w:space="0"/>
                  </w:tcBorders>
                  <w:vAlign w:val="center"/>
                </w:tcPr>
                <w:p w14:paraId="73656204">
                  <w:pPr>
                    <w:widowControl w:val="0"/>
                    <w:snapToGrid w:val="0"/>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99" w:type="pct"/>
                  <w:vAlign w:val="center"/>
                </w:tcPr>
                <w:p w14:paraId="33988B0E">
                  <w:pPr>
                    <w:widowControl w:val="0"/>
                    <w:snapToGrid w:val="0"/>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伴生气</w:t>
                  </w:r>
                </w:p>
              </w:tc>
              <w:tc>
                <w:tcPr>
                  <w:tcW w:w="536" w:type="pct"/>
                  <w:vAlign w:val="center"/>
                </w:tcPr>
                <w:p w14:paraId="56CC14D3">
                  <w:pPr>
                    <w:widowControl w:val="0"/>
                    <w:snapToGrid w:val="0"/>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主要成分包括甲烷、乙烷等</w:t>
                  </w:r>
                </w:p>
              </w:tc>
              <w:tc>
                <w:tcPr>
                  <w:tcW w:w="1910" w:type="pct"/>
                  <w:vAlign w:val="center"/>
                </w:tcPr>
                <w:p w14:paraId="654F559B">
                  <w:pPr>
                    <w:widowControl w:val="0"/>
                    <w:snapToGrid w:val="0"/>
                    <w:spacing w:line="28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伴生气主要成分为天然气。天然气中含有的甲烷，是一种无毒气体，当空气中大量弥漫这种气体时会使人因氧气不足而呼吸困难，进而失去知觉、昏迷甚至残废。</w:t>
                  </w:r>
                </w:p>
              </w:tc>
              <w:tc>
                <w:tcPr>
                  <w:tcW w:w="1076" w:type="pct"/>
                  <w:vAlign w:val="center"/>
                </w:tcPr>
                <w:p w14:paraId="6C76EB84">
                  <w:pPr>
                    <w:widowControl w:val="0"/>
                    <w:snapToGrid w:val="0"/>
                    <w:spacing w:line="280" w:lineRule="exact"/>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热值：50009KJ/kg；爆炸极限：5～14%（v）；自燃点：482～632℃</w:t>
                  </w:r>
                  <w:r>
                    <w:rPr>
                      <w:rFonts w:hint="default" w:ascii="Times New Roman" w:hAnsi="Times New Roman" w:eastAsia="宋体" w:cs="Times New Roman"/>
                      <w:color w:val="auto"/>
                      <w:sz w:val="21"/>
                      <w:szCs w:val="21"/>
                      <w:highlight w:val="none"/>
                      <w:lang w:eastAsia="zh-CN"/>
                    </w:rPr>
                    <w:t>。</w:t>
                  </w:r>
                </w:p>
              </w:tc>
              <w:tc>
                <w:tcPr>
                  <w:tcW w:w="431" w:type="pct"/>
                  <w:vAlign w:val="center"/>
                </w:tcPr>
                <w:p w14:paraId="1861A02C">
                  <w:pPr>
                    <w:widowControl w:val="0"/>
                    <w:snapToGrid w:val="0"/>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易燃气体</w:t>
                  </w:r>
                </w:p>
              </w:tc>
              <w:tc>
                <w:tcPr>
                  <w:tcW w:w="447" w:type="pct"/>
                  <w:tcBorders>
                    <w:right w:val="single" w:color="auto" w:sz="4" w:space="0"/>
                  </w:tcBorders>
                  <w:vAlign w:val="center"/>
                </w:tcPr>
                <w:p w14:paraId="441F34E8">
                  <w:pPr>
                    <w:widowControl w:val="0"/>
                    <w:snapToGrid w:val="0"/>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w:t>
                  </w:r>
                </w:p>
              </w:tc>
            </w:tr>
            <w:tr w14:paraId="4FF854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tcBorders>
                    <w:left w:val="single" w:color="auto" w:sz="4" w:space="0"/>
                  </w:tcBorders>
                  <w:vAlign w:val="center"/>
                </w:tcPr>
                <w:p w14:paraId="17112448">
                  <w:pPr>
                    <w:widowControl w:val="0"/>
                    <w:snapToGrid w:val="0"/>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99" w:type="pct"/>
                  <w:vAlign w:val="center"/>
                </w:tcPr>
                <w:p w14:paraId="628268AA">
                  <w:pPr>
                    <w:widowControl w:val="0"/>
                    <w:snapToGrid w:val="0"/>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柴油</w:t>
                  </w:r>
                </w:p>
              </w:tc>
              <w:tc>
                <w:tcPr>
                  <w:tcW w:w="536" w:type="pct"/>
                  <w:vAlign w:val="center"/>
                </w:tcPr>
                <w:p w14:paraId="466E4547">
                  <w:pPr>
                    <w:widowControl w:val="0"/>
                    <w:snapToGrid w:val="0"/>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复杂烃类(碳原子数约10～22)混合物</w:t>
                  </w:r>
                </w:p>
              </w:tc>
              <w:tc>
                <w:tcPr>
                  <w:tcW w:w="1910" w:type="pct"/>
                  <w:vAlign w:val="center"/>
                </w:tcPr>
                <w:p w14:paraId="02BCF017">
                  <w:pPr>
                    <w:widowControl w:val="0"/>
                    <w:snapToGrid w:val="0"/>
                    <w:spacing w:line="28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柴油的毒性类似于煤油，但由于添加剂(如硫化酯类)的影响，毒性比煤油略大，主要有麻醉和刺激作用。柴油的雾滴吸入后可致吸入性肺炎，皮肤接触柴油可致接触性皮炎。</w:t>
                  </w:r>
                </w:p>
              </w:tc>
              <w:tc>
                <w:tcPr>
                  <w:tcW w:w="1076" w:type="pct"/>
                  <w:vAlign w:val="center"/>
                </w:tcPr>
                <w:p w14:paraId="5FE1FAB7">
                  <w:pPr>
                    <w:widowControl w:val="0"/>
                    <w:snapToGrid w:val="0"/>
                    <w:spacing w:line="280" w:lineRule="exact"/>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热值：3.3×10</w:t>
                  </w:r>
                  <w:r>
                    <w:rPr>
                      <w:rFonts w:hint="default" w:ascii="Times New Roman" w:hAnsi="Times New Roman" w:eastAsia="宋体" w:cs="Times New Roman"/>
                      <w:color w:val="auto"/>
                      <w:sz w:val="21"/>
                      <w:szCs w:val="21"/>
                      <w:highlight w:val="none"/>
                      <w:vertAlign w:val="superscript"/>
                    </w:rPr>
                    <w:t>4</w:t>
                  </w:r>
                  <w:r>
                    <w:rPr>
                      <w:rFonts w:hint="default" w:ascii="Times New Roman" w:hAnsi="Times New Roman" w:eastAsia="宋体" w:cs="Times New Roman"/>
                      <w:color w:val="auto"/>
                      <w:sz w:val="21"/>
                      <w:szCs w:val="21"/>
                      <w:highlight w:val="none"/>
                    </w:rPr>
                    <w:t>KJ/L；沸点范围：180～370℃和350～410℃；两类闪点：38℃</w:t>
                  </w:r>
                  <w:r>
                    <w:rPr>
                      <w:rFonts w:hint="default" w:ascii="Times New Roman" w:hAnsi="Times New Roman" w:eastAsia="宋体" w:cs="Times New Roman"/>
                      <w:color w:val="auto"/>
                      <w:sz w:val="21"/>
                      <w:szCs w:val="21"/>
                      <w:highlight w:val="none"/>
                      <w:lang w:eastAsia="zh-CN"/>
                    </w:rPr>
                    <w:t>。</w:t>
                  </w:r>
                </w:p>
              </w:tc>
              <w:tc>
                <w:tcPr>
                  <w:tcW w:w="431" w:type="pct"/>
                  <w:vAlign w:val="center"/>
                </w:tcPr>
                <w:p w14:paraId="0EA1528D">
                  <w:pPr>
                    <w:widowControl w:val="0"/>
                    <w:snapToGrid w:val="0"/>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高闪点液体</w:t>
                  </w:r>
                </w:p>
              </w:tc>
              <w:tc>
                <w:tcPr>
                  <w:tcW w:w="447" w:type="pct"/>
                  <w:tcBorders>
                    <w:right w:val="single" w:color="auto" w:sz="4" w:space="0"/>
                  </w:tcBorders>
                  <w:vAlign w:val="center"/>
                </w:tcPr>
                <w:p w14:paraId="33219D23">
                  <w:pPr>
                    <w:widowControl w:val="0"/>
                    <w:snapToGrid w:val="0"/>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大气、地下水、土壤</w:t>
                  </w:r>
                </w:p>
              </w:tc>
            </w:tr>
            <w:tr w14:paraId="6478E7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tcBorders>
                    <w:left w:val="single" w:color="auto" w:sz="4" w:space="0"/>
                  </w:tcBorders>
                  <w:vAlign w:val="center"/>
                </w:tcPr>
                <w:p w14:paraId="625A8168">
                  <w:pPr>
                    <w:widowControl w:val="0"/>
                    <w:snapToGrid w:val="0"/>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299" w:type="pct"/>
                  <w:vAlign w:val="center"/>
                </w:tcPr>
                <w:p w14:paraId="617EBCC3">
                  <w:pPr>
                    <w:widowControl w:val="0"/>
                    <w:snapToGrid w:val="0"/>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硫化氢</w:t>
                  </w:r>
                </w:p>
              </w:tc>
              <w:tc>
                <w:tcPr>
                  <w:tcW w:w="536" w:type="pct"/>
                  <w:vAlign w:val="center"/>
                </w:tcPr>
                <w:p w14:paraId="3EE1DBD8">
                  <w:pPr>
                    <w:widowControl w:val="0"/>
                    <w:snapToGrid w:val="0"/>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硫化氢气体</w:t>
                  </w:r>
                </w:p>
              </w:tc>
              <w:tc>
                <w:tcPr>
                  <w:tcW w:w="1910" w:type="pct"/>
                  <w:vAlign w:val="center"/>
                </w:tcPr>
                <w:p w14:paraId="2918C719">
                  <w:pPr>
                    <w:widowControl w:val="0"/>
                    <w:snapToGrid w:val="0"/>
                    <w:spacing w:line="28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本品是强烈的神经毒物，对粘膜有强烈刺激作用。</w:t>
                  </w:r>
                </w:p>
                <w:p w14:paraId="2A9860D0">
                  <w:pPr>
                    <w:widowControl w:val="0"/>
                    <w:snapToGrid w:val="0"/>
                    <w:spacing w:line="28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急性中毒：短期内吸入高浓度硫化氢后出现流泪、眼痛、眼内异物感、畏光、视物模糊、流涕、喉部灼热感、咳、胸闷、头痛、头晕、乏力、意识模糊等。部分患者可有心肌损害。重者可出现脑水肿、肺水肿。极高浓度(1000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以上)时可在数秒钟内突然昏迷，呼吸和心跳骤停，发生闪电型死亡。高浓度接触眼结膜发生水肿和角膜溃疡。长期低浓度接触，引起神经衰弱综合征和植物神经功能系乱。</w:t>
                  </w:r>
                </w:p>
              </w:tc>
              <w:tc>
                <w:tcPr>
                  <w:tcW w:w="1076" w:type="pct"/>
                  <w:vAlign w:val="center"/>
                </w:tcPr>
                <w:p w14:paraId="549D3F8B">
                  <w:pPr>
                    <w:widowControl w:val="0"/>
                    <w:snapToGrid w:val="0"/>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易燃，与空气混合能形成爆炸性混合物，遇明火、高热能引起燃烧炸。与浓硝酸、发烟硝酸或其它强氧化剂剧烈反应，发生爆炸。气体比空气重，能在较低处扩散到相当远的地方，遇火源会着火回燃。</w:t>
                  </w:r>
                </w:p>
              </w:tc>
              <w:tc>
                <w:tcPr>
                  <w:tcW w:w="431" w:type="pct"/>
                  <w:vAlign w:val="center"/>
                </w:tcPr>
                <w:p w14:paraId="3097C0BA">
                  <w:pPr>
                    <w:widowControl w:val="0"/>
                    <w:snapToGrid w:val="0"/>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易燃，具强刺激性。</w:t>
                  </w:r>
                </w:p>
              </w:tc>
              <w:tc>
                <w:tcPr>
                  <w:tcW w:w="447" w:type="pct"/>
                  <w:tcBorders>
                    <w:right w:val="single" w:color="auto" w:sz="4" w:space="0"/>
                  </w:tcBorders>
                  <w:vAlign w:val="center"/>
                </w:tcPr>
                <w:p w14:paraId="1B49523A">
                  <w:pPr>
                    <w:widowControl w:val="0"/>
                    <w:snapToGrid w:val="0"/>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w:t>
                  </w:r>
                </w:p>
              </w:tc>
            </w:tr>
          </w:tbl>
          <w:p w14:paraId="109EDCAA">
            <w:pPr>
              <w:widowControl w:val="0"/>
              <w:snapToGrid w:val="0"/>
              <w:spacing w:line="49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②生产设施风险识别</w:t>
            </w:r>
          </w:p>
          <w:p w14:paraId="1819AEAD">
            <w:pPr>
              <w:widowControl w:val="0"/>
              <w:snapToGrid w:val="0"/>
              <w:spacing w:line="49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a.井喷事故风险</w:t>
            </w:r>
          </w:p>
          <w:p w14:paraId="7960E1F2">
            <w:pPr>
              <w:widowControl w:val="0"/>
              <w:snapToGrid w:val="0"/>
              <w:spacing w:line="49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ar"/>
              </w:rPr>
              <w:t>若井底压力小于地层压力，地层流体将进入井筒并推动钻井液外溢。此时，如果对地下油、气压力平衡控制不当，不能及时控制溢流，会造成油、气、水或其他混合物迅速喷到地面，即发生井喷。井喷会引发油气泄漏及火灾爆炸，对大气环境、地下水环境、土壤环境及生态环境造成危害，致使人员伤亡、财产损失。</w:t>
            </w:r>
          </w:p>
          <w:p w14:paraId="63EA4ECF">
            <w:pPr>
              <w:widowControl w:val="0"/>
              <w:snapToGrid w:val="0"/>
              <w:spacing w:line="49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b.储罐泄漏风险</w:t>
            </w:r>
          </w:p>
          <w:p w14:paraId="5E5E5DB9">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钻试期井场设有柴油储罐、废水储罐和采出液储罐等，若储罐因质量、操作运行和管理等方面存在缺陷和失误，可能会发生泄漏，对周围地下水、土壤、大气等环境造成污染。</w:t>
            </w:r>
          </w:p>
          <w:p w14:paraId="3CF95847">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c.井漏事故风险</w:t>
            </w:r>
          </w:p>
          <w:p w14:paraId="4A6A3991">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钻井施工表层套管下入深度不够或固井质量不好可能引发井漏事故。</w:t>
            </w:r>
          </w:p>
          <w:p w14:paraId="099A311B">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d.采出液、废水及柴油拉运过程中的环境风险</w:t>
            </w:r>
          </w:p>
          <w:p w14:paraId="77695CEB">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试油期废水及其他采出液由罐车拉运至</w:t>
            </w:r>
            <w:r>
              <w:rPr>
                <w:rFonts w:hint="default" w:ascii="Times New Roman" w:hAnsi="Times New Roman" w:eastAsia="宋体" w:cs="Times New Roman"/>
                <w:color w:val="auto"/>
                <w:sz w:val="24"/>
                <w:szCs w:val="24"/>
                <w:highlight w:val="none"/>
                <w:lang w:eastAsia="zh-CN"/>
              </w:rPr>
              <w:t>吉</w:t>
            </w:r>
            <w:r>
              <w:rPr>
                <w:rFonts w:hint="default" w:ascii="Times New Roman" w:hAnsi="Times New Roman" w:eastAsia="宋体" w:cs="Times New Roman"/>
                <w:color w:val="auto"/>
                <w:sz w:val="24"/>
                <w:szCs w:val="24"/>
                <w:highlight w:val="none"/>
                <w:lang w:val="en-US" w:eastAsia="zh-CN"/>
              </w:rPr>
              <w:t>康</w:t>
            </w:r>
            <w:r>
              <w:rPr>
                <w:rFonts w:hint="default" w:ascii="Times New Roman" w:hAnsi="Times New Roman" w:eastAsia="宋体" w:cs="Times New Roman"/>
                <w:color w:val="auto"/>
                <w:sz w:val="24"/>
                <w:szCs w:val="24"/>
                <w:highlight w:val="none"/>
                <w:lang w:eastAsia="zh-CN"/>
              </w:rPr>
              <w:t>脱水站</w:t>
            </w:r>
            <w:r>
              <w:rPr>
                <w:rFonts w:hint="default" w:ascii="Times New Roman" w:hAnsi="Times New Roman" w:eastAsia="宋体" w:cs="Times New Roman"/>
                <w:color w:val="auto"/>
                <w:sz w:val="24"/>
                <w:szCs w:val="24"/>
                <w:highlight w:val="none"/>
              </w:rPr>
              <w:t>处理，运输过程中若因车辆本身的设计、制造、操作、管理等各环节存在缺陷，则可能发生泄漏事故的风险。事故发生时罐车内液体溢出，对周围环境造成直接污染，泄漏的油气如遇到明火还可能发生火灾、爆炸事故。</w:t>
            </w:r>
          </w:p>
          <w:p w14:paraId="2B2C5A81">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e.油基岩屑等危险废物运输过程的环境风险</w:t>
            </w:r>
          </w:p>
          <w:p w14:paraId="3AB762C8">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‌泄漏污染‌</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突发泄漏可导致土壤石油烃浓度超标</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污染物通过雨水冲刷进入水体，威胁地下水安全</w:t>
            </w:r>
          </w:p>
          <w:p w14:paraId="4B20D6FE">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‌大气污染</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‌挥发性有机物（如苯系物）在运输中逸散，扩散半径可达500米‌。</w:t>
            </w:r>
          </w:p>
          <w:p w14:paraId="3A21480C">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‌生态链破坏‌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多环芳烃（PAHs）通过生物富集进入食物链，长期影响区域生态系统。</w:t>
            </w:r>
          </w:p>
          <w:p w14:paraId="220E39D3">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③环境风险类型</w:t>
            </w:r>
          </w:p>
          <w:p w14:paraId="213CFBD4">
            <w:pPr>
              <w:widowControl w:val="0"/>
              <w:snapToGrid w:val="0"/>
              <w:spacing w:line="480" w:lineRule="exact"/>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环境风险类型主要为泄漏、火灾、爆炸等引发的伴生/次生污染物排放。</w:t>
            </w:r>
          </w:p>
          <w:p w14:paraId="3DE102F0">
            <w:pPr>
              <w:widowControl w:val="0"/>
              <w:snapToGrid w:val="0"/>
              <w:spacing w:line="480" w:lineRule="exact"/>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④危险物质向环境转移的可能途径和影响方式</w:t>
            </w:r>
          </w:p>
          <w:p w14:paraId="2720BABE">
            <w:pPr>
              <w:widowControl w:val="0"/>
              <w:snapToGrid w:val="0"/>
              <w:spacing w:line="480" w:lineRule="exact"/>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柴油储罐、采出液储罐、废水储罐、废润滑油桶等发生破损造成柴油/采出液/废水/废润滑油泄漏以及井喷事故造成采出液泄漏，柴油/采出液/废水/废润滑油泄漏后污染土壤，污染物有可能通过包气带渗漏进入地下含水层，污染地下水；泄漏的柴油/采出液/废润滑油若遇明火，发生火灾、爆炸，污染大气环境。</w:t>
            </w:r>
          </w:p>
          <w:p w14:paraId="2CDB81BD">
            <w:pPr>
              <w:widowControl w:val="0"/>
              <w:snapToGrid w:val="0"/>
              <w:spacing w:line="480" w:lineRule="exact"/>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7.4</w:t>
            </w:r>
            <w:r>
              <w:rPr>
                <w:rFonts w:hint="default" w:ascii="Times New Roman" w:hAnsi="Times New Roman" w:eastAsia="宋体" w:cs="Times New Roman"/>
                <w:b/>
                <w:bCs/>
                <w:color w:val="auto"/>
                <w:sz w:val="24"/>
                <w:szCs w:val="24"/>
                <w:highlight w:val="none"/>
              </w:rPr>
              <w:t>环境风险分析</w:t>
            </w:r>
          </w:p>
          <w:p w14:paraId="0CB49B3E">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①井喷事故环境影响分析</w:t>
            </w:r>
          </w:p>
          <w:p w14:paraId="02C0A91B">
            <w:pPr>
              <w:widowControl w:val="0"/>
              <w:snapToGrid w:val="0"/>
              <w:spacing w:line="480" w:lineRule="exact"/>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t>a.井场主要发生的风险事故为钻井时发生井喷事故。</w:t>
            </w:r>
            <w:r>
              <w:rPr>
                <w:rFonts w:hint="default" w:ascii="Times New Roman" w:hAnsi="Times New Roman" w:eastAsia="宋体" w:cs="Times New Roman"/>
                <w:bCs/>
                <w:color w:val="auto"/>
                <w:sz w:val="24"/>
                <w:szCs w:val="24"/>
                <w:highlight w:val="none"/>
              </w:rPr>
              <w:t>井场左右两侧各设置1条放喷管线。钻井过程中钻遇油气层，少量的油气排出，在井口液气分离器分离后，伴生气随着排气管线充分燃烧后放空，分离出的液相，排至应急放喷池。</w:t>
            </w:r>
          </w:p>
          <w:p w14:paraId="401C7603">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rPr>
              <w:t>一旦发生井喷突发事件，立即启动相应的突发事件专项应急预案。一般情况下井喷液体通过放喷管线将排放至应急放喷池内，放喷池（5m×10m×4.5m）容积约225m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color w:val="auto"/>
                <w:sz w:val="24"/>
                <w:szCs w:val="24"/>
                <w:highlight w:val="none"/>
              </w:rPr>
              <w:t>待事故结束后，对放喷液进行集中收集处理，将泄漏的采出液最大限度地回收，对少量确实无法回收的油以及受污染的土壤形成的落地油，采用铲除油泥层等有效方法，落地油泥用专用罐收集，最终交由有危险废物处置资质的单位处置，以降低残油对生态环境的污染程度；由于钻井井口设置有井控系统，加上钻井过程中钻遇油气层的概率不大，故在放喷管线一端设置2</w:t>
            </w:r>
            <w:r>
              <w:rPr>
                <w:rFonts w:hint="default" w:ascii="Times New Roman" w:hAnsi="Times New Roman" w:eastAsia="宋体"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的应急放喷池可满足需求。应急放喷池仅在事故状态下</w:t>
            </w:r>
            <w:r>
              <w:rPr>
                <w:rFonts w:hint="default" w:ascii="Times New Roman" w:hAnsi="Times New Roman" w:eastAsia="宋体" w:cs="Times New Roman"/>
                <w:color w:val="auto"/>
                <w:sz w:val="24"/>
                <w:szCs w:val="24"/>
                <w:highlight w:val="none"/>
                <w:lang w:val="en-US" w:eastAsia="zh-CN"/>
              </w:rPr>
              <w:t>使用，</w:t>
            </w:r>
            <w:r>
              <w:rPr>
                <w:rFonts w:hint="default" w:ascii="Times New Roman" w:hAnsi="Times New Roman" w:eastAsia="宋体" w:cs="Times New Roman"/>
                <w:color w:val="auto"/>
                <w:sz w:val="24"/>
                <w:szCs w:val="24"/>
                <w:highlight w:val="none"/>
              </w:rPr>
              <w:t>应急放喷池</w:t>
            </w:r>
            <w:r>
              <w:rPr>
                <w:rFonts w:hint="default" w:ascii="Times New Roman" w:hAnsi="Times New Roman" w:eastAsia="宋体" w:cs="Times New Roman"/>
                <w:color w:val="auto"/>
                <w:sz w:val="24"/>
                <w:szCs w:val="24"/>
                <w:highlight w:val="none"/>
                <w:lang w:val="en-US" w:eastAsia="zh-CN"/>
              </w:rPr>
              <w:t>按</w:t>
            </w:r>
            <w:r>
              <w:rPr>
                <w:rFonts w:hint="default" w:ascii="Times New Roman" w:hAnsi="Times New Roman" w:eastAsia="宋体" w:cs="Times New Roman"/>
                <w:color w:val="auto"/>
                <w:sz w:val="24"/>
                <w:szCs w:val="24"/>
                <w:highlight w:val="none"/>
              </w:rPr>
              <w:t>规定尺寸</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防渗</w:t>
            </w:r>
            <w:r>
              <w:rPr>
                <w:rFonts w:hint="default" w:ascii="Times New Roman" w:hAnsi="Times New Roman" w:eastAsia="宋体" w:cs="Times New Roman"/>
                <w:color w:val="auto"/>
                <w:sz w:val="24"/>
                <w:szCs w:val="24"/>
                <w:highlight w:val="none"/>
                <w:lang w:val="en-US" w:eastAsia="zh-CN"/>
              </w:rPr>
              <w:t>要求建设</w:t>
            </w:r>
            <w:r>
              <w:rPr>
                <w:rFonts w:hint="default" w:ascii="Times New Roman" w:hAnsi="Times New Roman" w:eastAsia="宋体" w:cs="Times New Roman"/>
                <w:color w:val="auto"/>
                <w:sz w:val="24"/>
                <w:szCs w:val="24"/>
                <w:highlight w:val="none"/>
              </w:rPr>
              <w:t>，采用人工防渗层，防渗材料为HDPE防渗膜，渗透系数≤10</w:t>
            </w:r>
            <w:r>
              <w:rPr>
                <w:rFonts w:hint="default" w:ascii="Times New Roman" w:hAnsi="Times New Roman" w:eastAsia="宋体" w:cs="Times New Roman"/>
                <w:color w:val="auto"/>
                <w:sz w:val="24"/>
                <w:szCs w:val="24"/>
                <w:highlight w:val="none"/>
                <w:vertAlign w:val="superscript"/>
              </w:rPr>
              <w:t>-10</w:t>
            </w:r>
            <w:r>
              <w:rPr>
                <w:rFonts w:hint="default" w:ascii="Times New Roman" w:hAnsi="Times New Roman" w:eastAsia="宋体" w:cs="Times New Roman"/>
                <w:color w:val="auto"/>
                <w:sz w:val="24"/>
                <w:szCs w:val="24"/>
                <w:highlight w:val="none"/>
              </w:rPr>
              <w:t>cm/s。</w:t>
            </w:r>
          </w:p>
          <w:p w14:paraId="56A172C0">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试油期若发生井喷事故，在井喷可控的情况下，放喷的伴生气排至排气管线燃烧后放空，采出液除了排入应急放喷池外还可以进入井场布设的1座20m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试油废水储罐及</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座</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0m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采出液方罐，可满足要求。</w:t>
            </w:r>
          </w:p>
          <w:p w14:paraId="70CED3E0">
            <w:pPr>
              <w:keepNext w:val="0"/>
              <w:keepLines w:val="0"/>
              <w:pageBreakBefore w:val="0"/>
              <w:widowControl w:val="0"/>
              <w:kinsoku/>
              <w:wordWrap/>
              <w:overflowPunct w:val="0"/>
              <w:topLinePunct w:val="0"/>
              <w:autoSpaceDE w:val="0"/>
              <w:autoSpaceDN w:val="0"/>
              <w:bidi w:val="0"/>
              <w:adjustRightInd w:val="0"/>
              <w:snapToGrid w:val="0"/>
              <w:spacing w:line="480" w:lineRule="exact"/>
              <w:ind w:firstLine="480" w:firstLineChars="200"/>
              <w:jc w:val="both"/>
              <w:textAlignment w:val="baseline"/>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t>井喷事故不可控的情况，可能导致大量的油气喷出井口、散落于井场周围，</w:t>
            </w:r>
            <w:r>
              <w:rPr>
                <w:rFonts w:hint="default" w:ascii="Times New Roman" w:hAnsi="Times New Roman" w:eastAsia="宋体" w:cs="Times New Roman"/>
                <w:bCs/>
                <w:color w:val="auto"/>
                <w:sz w:val="24"/>
                <w:szCs w:val="24"/>
                <w:highlight w:val="none"/>
              </w:rPr>
              <w:t>据类比资料显示，井喷范围内土壤表层可见有蜡状的原油喷散物，井喷的影响范围一般为以井眼为圆心、半径200m的区域，由于项目区</w:t>
            </w:r>
            <w:r>
              <w:rPr>
                <w:rFonts w:hint="eastAsia" w:ascii="Times New Roman" w:hAnsi="Times New Roman" w:eastAsia="宋体" w:cs="Times New Roman"/>
                <w:bCs/>
                <w:color w:val="auto"/>
                <w:sz w:val="24"/>
                <w:szCs w:val="24"/>
                <w:highlight w:val="none"/>
                <w:lang w:eastAsia="zh-CN"/>
              </w:rPr>
              <w:t>人烟稀少</w:t>
            </w:r>
            <w:r>
              <w:rPr>
                <w:rFonts w:hint="default" w:ascii="Times New Roman" w:hAnsi="Times New Roman" w:eastAsia="宋体" w:cs="Times New Roman"/>
                <w:bCs/>
                <w:color w:val="auto"/>
                <w:sz w:val="24"/>
                <w:szCs w:val="24"/>
                <w:highlight w:val="none"/>
              </w:rPr>
              <w:t>，所以井喷对人员的伤害有限，对土壤环境、大气环境和地下水可能产生影响。</w:t>
            </w:r>
          </w:p>
          <w:p w14:paraId="2AAEED7B">
            <w:pPr>
              <w:widowControl w:val="0"/>
              <w:snapToGrid w:val="0"/>
              <w:spacing w:line="480" w:lineRule="exact"/>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b.对大气环境影响分析</w:t>
            </w:r>
          </w:p>
          <w:p w14:paraId="34499C84">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rPr>
              <w:t>发生井喷失控事故后，伴生气、伴生气中硫化氢和原油挥发产生的非甲烷总烃进入环境空气，可能会对周围环境空气产生影响。若遇明火可能发生火灾、爆炸，随之产生的伴生、次生污染物会对环境空气产生一定的影响，</w:t>
            </w:r>
            <w:r>
              <w:rPr>
                <w:rFonts w:hint="default" w:ascii="Times New Roman" w:hAnsi="Times New Roman" w:eastAsia="宋体" w:cs="Times New Roman"/>
                <w:color w:val="auto"/>
                <w:sz w:val="24"/>
                <w:szCs w:val="24"/>
                <w:highlight w:val="none"/>
              </w:rPr>
              <w:t>并对环境和施工人员产生一定危害，主要危害包括：遇明火可能发生火灾或爆炸事故，造成人员伤亡；烃类气体以及火灾或爆炸事故次生污染物CO对人体的毒性危害，对周围的大气环境及施工人员造成影响。伴生气中的甲烷和硫化氢进入大气后，可能会造成中毒事件。</w:t>
            </w:r>
          </w:p>
          <w:p w14:paraId="19410172">
            <w:pPr>
              <w:widowControl w:val="0"/>
              <w:snapToGrid w:val="0"/>
              <w:spacing w:line="480" w:lineRule="exact"/>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由于地域空旷，扩散条件较好，发生事故后，及时采取相应的措施，不会对周围环境空气产生明显影响。</w:t>
            </w:r>
          </w:p>
          <w:p w14:paraId="09D39B67">
            <w:pPr>
              <w:widowControl w:val="0"/>
              <w:snapToGrid w:val="0"/>
              <w:spacing w:line="480" w:lineRule="exact"/>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c.对地下水环境影响分析</w:t>
            </w:r>
          </w:p>
          <w:p w14:paraId="53127BA8">
            <w:pPr>
              <w:widowControl w:val="0"/>
              <w:snapToGrid w:val="0"/>
              <w:spacing w:line="480" w:lineRule="exact"/>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根据类比调查，从事故井区土壤剖面分析，井喷失控事故后石油类污染物主要被拦截在包气带土壤剖面1m以内，同时因为气候干旱少雨，不存在大量降水的淋滤作用，因此对地下水体的影响概率不大。及时清理井喷事故中落地原油，对可回收原油进行回收，落地油收集后交由具有相应危废处置资质的单位进行回收处置，及时采取上述有效措施治理污染后，井喷不会造成地下水污染。</w:t>
            </w:r>
          </w:p>
          <w:p w14:paraId="4327D1FA">
            <w:pPr>
              <w:widowControl w:val="0"/>
              <w:snapToGrid w:val="0"/>
              <w:spacing w:line="480" w:lineRule="exact"/>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d.对土壤环境影响分析</w:t>
            </w:r>
          </w:p>
          <w:p w14:paraId="16625BCE">
            <w:pPr>
              <w:widowControl w:val="0"/>
              <w:snapToGrid w:val="0"/>
              <w:spacing w:line="480" w:lineRule="exact"/>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井喷失控事故使井喷影响范围内的土壤理化性质发生变化，破坏土壤结构，影响土壤的通透性、降低土壤质量，油污黏在植被根系上，形成一层黏膜，阻碍植被根系养分和水分的吸收，引起根系腐烂，影响野生植被的生长。事故发生后及时清理现场，对可回收采出液进行回收，不能回收的原油和受污染的土壤形成落地油，落地油集中收集后由有相应危废处置资质的单位进行回收处置，将井喷事故对周边植被的影响降至最低。</w:t>
            </w:r>
          </w:p>
          <w:p w14:paraId="4E92BFB5">
            <w:pPr>
              <w:widowControl w:val="0"/>
              <w:snapToGrid w:val="0"/>
              <w:spacing w:line="480" w:lineRule="exact"/>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e.对植被影响分析</w:t>
            </w:r>
          </w:p>
          <w:p w14:paraId="73BC8D4E">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井喷事故发生后，喷出的油类物质可能对周围自然植被产生一定的影响，井场周围半径200m范围内自然植被将全部由于石油类污染而使其呼吸受阻，不能进行正常光合作用而死亡；原油进入土壤后与土壤结合，渗入土壤孔隙，使土壤透气性和呼吸作用减弱，改变了土壤质地和结构，影响到土壤的生物功能，进而造成生长其上的植物和土壤动物的死亡，这种影响会导致污染地段多年无法生长植物或长势减弱，甚至使这一区域变为裸地。由于这一影响使土壤结构受石油类污染而发生变化，因此，被污染区域的植被不易恢复。若井喷时发生火灾，结果将使燃烧范围内的植被全部死亡。必须采取严格有效的风险防范措施，防止、降低井喷事故风险发生。事故发生后应及时清理现场，及时清理沾染油污的植被，对落地油进行回收，受污染的土壤集中收集后由有相应危废处置资质的单位进行回收处置，将井喷事故对周边植被的影响降至最低。</w:t>
            </w:r>
          </w:p>
          <w:p w14:paraId="6D594720">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②储罐泄漏环境影响分析</w:t>
            </w:r>
          </w:p>
          <w:p w14:paraId="2F9C8625">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a.对大气环境影响分析</w:t>
            </w:r>
          </w:p>
          <w:p w14:paraId="2EF2A1FC">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储罐发生泄漏后，伴生气、伴生气中硫化氢和原油挥发产生的非甲烷总烃进入环境空气可能会对周围环境空气产生影响。若遇明火，可发生火灾、爆炸，且火灾、爆炸产生的伴生、次生污染物也会对环境空气产生一定影响。由于泄漏量少，加上项目区地域空旷、扩散条件较好，发生事故后若能及时采取相应措施，则不会对周围环境空气产生明显影响。</w:t>
            </w:r>
          </w:p>
          <w:p w14:paraId="3E814A4F">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b.对土壤环境影响分析</w:t>
            </w:r>
          </w:p>
          <w:p w14:paraId="367C08AC">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泄漏的油类物质可使土壤透气性下降、土壤理化性状发生变化，使土壤透气性和呼吸作用减弱，从而影响土壤中的微生物生存，造成土壤盐碱化、破坏土壤结构；除此之外，还会导致土壤中石油类污染物增加，造成土地肥力下降、改变土壤的理化性质，从而影响土壤的正常结构和功能。</w:t>
            </w:r>
          </w:p>
          <w:p w14:paraId="51DDE52F">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间柴油储罐、采出液储罐、废水储罐、岩屑储罐等储罐区域均铺设防渗膜，储罐发生泄漏后应及时回收原油、收集受污染的土壤，然后委托有相应危废处置资质的单位进行回收处置。因此，在采取上述措施后不会对周围土壤环境产生明显影响。</w:t>
            </w:r>
          </w:p>
          <w:p w14:paraId="406A3FDB">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c.对植被的影响</w:t>
            </w:r>
          </w:p>
          <w:p w14:paraId="72CB5705">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油类物质泄漏对植被的影响主要分为三种途径，一是泄漏物直接粘附于植物体阻断植物的光合作用，使植物枯萎、死亡；二是污染土壤，造成土壤理化性状发生变化，从而间接影响植物生长，严重时会导致植物死亡；三是泄漏物质中的轻组份挥发，在对空气环境产生影响的同时，也会对周围植物产生影响。因此，对储罐区采取防渗措施、对受污染区域及时处理后，油类物料泄漏不会对周围植被产生明显影响。</w:t>
            </w:r>
          </w:p>
          <w:p w14:paraId="2FD442CE">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d.对地下水环境的影响</w:t>
            </w:r>
          </w:p>
          <w:p w14:paraId="0FB59473">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柴油储罐、采出液储罐和废水储罐泄漏的油品下渗可能会污染地下水。井场各类储罐堆放场地为地上设施，储罐均为钢制储罐且底部铺设防渗膜，发生泄漏的概率极小；一旦发生泄漏可在较短时间内发现并采取堵漏措施，出现长期连续性泄漏的可能性很低。因此，施工期发生渗漏污染地下水的风险事故可能性很小。</w:t>
            </w:r>
          </w:p>
          <w:p w14:paraId="1099D045">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③井漏环境影响分析</w:t>
            </w:r>
          </w:p>
          <w:p w14:paraId="0A4A8E1F">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井漏事故对地下水的污染途径主要是钻井液漏失于地下水含水层中，造成地下含水层水质污染。钻井液漏失于地下含水层其径流型污染的范围不大，主要发生在局部且持续时间较短；使用清洁无害的水基钻井液，严格控制使用有毒有害钻井液；同时严格要求套管下入深度、确保固井质量等措施，可有效控制钻井液在含水层中的漏失。因此，井漏事故对地下水环境的影响在可接受范围内。</w:t>
            </w:r>
          </w:p>
          <w:p w14:paraId="637E1BA4">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④采出液、废水及柴油拉运过程中泄漏风险分析</w:t>
            </w:r>
          </w:p>
          <w:p w14:paraId="6C45B4E6">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罐车拉运过程中的风险主要为罐车上的储罐发生泄漏、火灾、爆炸等事故对周围环境的影响，其影响与储罐泄漏影响相同，具体影响见储罐泄漏影响分析。</w:t>
            </w:r>
          </w:p>
          <w:p w14:paraId="360711F5">
            <w:pPr>
              <w:widowControl w:val="0"/>
              <w:snapToGrid w:val="0"/>
              <w:spacing w:line="48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7.5环境风险评价结论</w:t>
            </w:r>
          </w:p>
          <w:p w14:paraId="74B3C64F">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本项目设计中严格执行各种安全标准、规范，采取完善的安全措施，可有效地防止火灾、爆炸、泄漏、井喷等事故的发生。本项目的环境风险在可接受范围之内。</w:t>
            </w:r>
          </w:p>
          <w:p w14:paraId="1279B11D">
            <w:pPr>
              <w:widowControl w:val="0"/>
              <w:snapToGrid w:val="0"/>
              <w:spacing w:line="480" w:lineRule="exac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8</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其它产出物影响分析</w:t>
            </w:r>
          </w:p>
          <w:p w14:paraId="248EB416">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试油过程即通过计量采出物成分、数量从而获取油藏数据的过程。采出物中包括原油、采出水、伴生气以及井下压裂残留的少量压裂液等其中伴生气因产生量不稳定无法进行回收，在井场通过地面排气管线点燃放空；原油、采出水及残留压裂液等进入地面储罐，拉运至吉</w:t>
            </w:r>
            <w:r>
              <w:rPr>
                <w:rFonts w:hint="default" w:ascii="Times New Roman" w:hAnsi="Times New Roman" w:eastAsia="宋体" w:cs="Times New Roman"/>
                <w:color w:val="auto"/>
                <w:sz w:val="24"/>
                <w:szCs w:val="24"/>
                <w:highlight w:val="none"/>
                <w:lang w:val="en-US" w:eastAsia="zh-CN"/>
              </w:rPr>
              <w:t>康</w:t>
            </w:r>
            <w:r>
              <w:rPr>
                <w:rFonts w:hint="default" w:ascii="Times New Roman" w:hAnsi="Times New Roman" w:eastAsia="宋体" w:cs="Times New Roman"/>
                <w:color w:val="auto"/>
                <w:sz w:val="24"/>
                <w:szCs w:val="24"/>
                <w:highlight w:val="none"/>
              </w:rPr>
              <w:t>脱水站原油处理系统处理。</w:t>
            </w:r>
          </w:p>
          <w:p w14:paraId="5E507517">
            <w:pPr>
              <w:widowControl w:val="0"/>
              <w:numPr>
                <w:ilvl w:val="0"/>
                <w:numId w:val="5"/>
              </w:numPr>
              <w:snapToGrid w:val="0"/>
              <w:spacing w:line="480" w:lineRule="exact"/>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封井期环境影响分析及其治理措施</w:t>
            </w:r>
          </w:p>
          <w:p w14:paraId="64CC9B91">
            <w:pPr>
              <w:pStyle w:val="16"/>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4" w:firstLineChars="200"/>
              <w:jc w:val="both"/>
              <w:textAlignment w:val="baseline"/>
              <w:rPr>
                <w:color w:val="auto"/>
                <w:sz w:val="24"/>
                <w:szCs w:val="24"/>
              </w:rPr>
            </w:pPr>
            <w:r>
              <w:rPr>
                <w:color w:val="auto"/>
                <w:spacing w:val="1"/>
                <w:sz w:val="24"/>
                <w:szCs w:val="24"/>
              </w:rPr>
              <w:t>本项目</w:t>
            </w:r>
            <w:r>
              <w:rPr>
                <w:rFonts w:hint="eastAsia" w:ascii="Times New Roman" w:hAnsi="Times New Roman" w:eastAsia="宋体" w:cs="Times New Roman"/>
                <w:color w:val="auto"/>
                <w:sz w:val="24"/>
                <w:szCs w:val="24"/>
                <w:highlight w:val="none"/>
                <w:lang w:val="en-US" w:eastAsia="zh-CN"/>
              </w:rPr>
              <w:t>单井</w:t>
            </w:r>
            <w:r>
              <w:rPr>
                <w:rFonts w:hint="default" w:ascii="Times New Roman" w:hAnsi="Times New Roman" w:eastAsia="宋体" w:cs="Times New Roman"/>
                <w:color w:val="auto"/>
                <w:sz w:val="24"/>
                <w:szCs w:val="24"/>
                <w:highlight w:val="none"/>
              </w:rPr>
              <w:t>钻井期</w:t>
            </w:r>
            <w:r>
              <w:rPr>
                <w:rFonts w:hint="eastAsia" w:ascii="Times New Roman" w:hAnsi="Times New Roman" w:eastAsia="宋体"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rPr>
              <w:t>天，</w:t>
            </w:r>
            <w:r>
              <w:rPr>
                <w:rFonts w:hint="eastAsia" w:ascii="Times New Roman" w:hAnsi="Times New Roman" w:eastAsia="宋体" w:cs="Times New Roman"/>
                <w:color w:val="auto"/>
                <w:sz w:val="24"/>
                <w:szCs w:val="24"/>
                <w:highlight w:val="none"/>
                <w:lang w:val="en-US" w:eastAsia="zh-CN"/>
              </w:rPr>
              <w:t>7口井同时开钻；</w:t>
            </w:r>
            <w:r>
              <w:rPr>
                <w:rFonts w:hint="default" w:ascii="Times New Roman" w:hAnsi="Times New Roman" w:eastAsia="宋体" w:cs="Times New Roman"/>
                <w:color w:val="auto"/>
                <w:sz w:val="24"/>
                <w:szCs w:val="24"/>
                <w:highlight w:val="none"/>
              </w:rPr>
              <w:t>试油期为</w:t>
            </w:r>
            <w:r>
              <w:rPr>
                <w:rFonts w:hint="default" w:ascii="Times New Roman" w:hAnsi="Times New Roman" w:eastAsia="宋体" w:cs="Times New Roman"/>
                <w:color w:val="auto"/>
                <w:sz w:val="24"/>
                <w:szCs w:val="24"/>
                <w:highlight w:val="none"/>
                <w:lang w:val="en-US" w:eastAsia="zh-CN"/>
              </w:rPr>
              <w:t>180</w:t>
            </w:r>
            <w:r>
              <w:rPr>
                <w:rFonts w:hint="default" w:ascii="Times New Roman" w:hAnsi="Times New Roman" w:eastAsia="宋体" w:cs="Times New Roman"/>
                <w:color w:val="auto"/>
                <w:sz w:val="24"/>
                <w:szCs w:val="24"/>
                <w:highlight w:val="none"/>
              </w:rPr>
              <w:t>天</w:t>
            </w:r>
            <w:r>
              <w:rPr>
                <w:color w:val="auto"/>
                <w:spacing w:val="1"/>
                <w:sz w:val="24"/>
                <w:szCs w:val="24"/>
              </w:rPr>
              <w:t>，测试完井后及时封井</w:t>
            </w:r>
            <w:r>
              <w:rPr>
                <w:color w:val="auto"/>
                <w:sz w:val="24"/>
                <w:szCs w:val="24"/>
              </w:rPr>
              <w:t xml:space="preserve">。对具有开采价值 </w:t>
            </w:r>
            <w:r>
              <w:rPr>
                <w:color w:val="auto"/>
                <w:spacing w:val="1"/>
                <w:sz w:val="24"/>
                <w:szCs w:val="24"/>
              </w:rPr>
              <w:t>井口采取临时封井，保留采气树，相关法兰管口全部密封</w:t>
            </w:r>
            <w:r>
              <w:rPr>
                <w:color w:val="auto"/>
                <w:sz w:val="24"/>
                <w:szCs w:val="24"/>
              </w:rPr>
              <w:t>，井口区域下挖</w:t>
            </w:r>
            <w:r>
              <w:rPr>
                <w:color w:val="auto"/>
                <w:spacing w:val="3"/>
                <w:sz w:val="24"/>
                <w:szCs w:val="24"/>
              </w:rPr>
              <w:t>约长</w:t>
            </w:r>
            <w:r>
              <w:rPr>
                <w:rFonts w:ascii="Times New Roman" w:hAnsi="Times New Roman" w:eastAsia="Times New Roman" w:cs="Times New Roman"/>
                <w:color w:val="auto"/>
                <w:spacing w:val="3"/>
                <w:sz w:val="24"/>
                <w:szCs w:val="24"/>
              </w:rPr>
              <w:t>1m×</w:t>
            </w:r>
            <w:r>
              <w:rPr>
                <w:color w:val="auto"/>
                <w:spacing w:val="3"/>
                <w:sz w:val="24"/>
                <w:szCs w:val="24"/>
              </w:rPr>
              <w:t>宽</w:t>
            </w:r>
            <w:r>
              <w:rPr>
                <w:rFonts w:ascii="Times New Roman" w:hAnsi="Times New Roman" w:eastAsia="Times New Roman" w:cs="Times New Roman"/>
                <w:color w:val="auto"/>
                <w:spacing w:val="3"/>
                <w:sz w:val="24"/>
                <w:szCs w:val="24"/>
              </w:rPr>
              <w:t>1m×</w:t>
            </w:r>
            <w:r>
              <w:rPr>
                <w:color w:val="auto"/>
                <w:spacing w:val="3"/>
                <w:sz w:val="24"/>
                <w:szCs w:val="24"/>
              </w:rPr>
              <w:t>高</w:t>
            </w:r>
            <w:r>
              <w:rPr>
                <w:rFonts w:ascii="Times New Roman" w:hAnsi="Times New Roman" w:eastAsia="Times New Roman" w:cs="Times New Roman"/>
                <w:color w:val="auto"/>
                <w:spacing w:val="3"/>
                <w:sz w:val="24"/>
                <w:szCs w:val="24"/>
              </w:rPr>
              <w:t>1.2m</w:t>
            </w:r>
            <w:r>
              <w:rPr>
                <w:color w:val="auto"/>
                <w:spacing w:val="3"/>
                <w:sz w:val="24"/>
                <w:szCs w:val="24"/>
              </w:rPr>
              <w:t>的采气树池</w:t>
            </w:r>
            <w:r>
              <w:rPr>
                <w:color w:val="auto"/>
                <w:spacing w:val="2"/>
                <w:sz w:val="24"/>
                <w:szCs w:val="24"/>
              </w:rPr>
              <w:t>，四壁及底部进行砖混加固，树池四周地</w:t>
            </w:r>
            <w:r>
              <w:rPr>
                <w:color w:val="auto"/>
                <w:spacing w:val="1"/>
                <w:sz w:val="24"/>
                <w:szCs w:val="24"/>
              </w:rPr>
              <w:t>表建设围挡并张贴相关标识，封井后除井口相关设施占地区</w:t>
            </w:r>
            <w:r>
              <w:rPr>
                <w:color w:val="auto"/>
                <w:sz w:val="24"/>
                <w:szCs w:val="24"/>
              </w:rPr>
              <w:t>域全部进行覆土回填、植被恢复，封井后移交公司统一管理，公司安排专职人员对勘探井定</w:t>
            </w:r>
            <w:r>
              <w:rPr>
                <w:color w:val="auto"/>
                <w:spacing w:val="1"/>
                <w:sz w:val="24"/>
                <w:szCs w:val="24"/>
              </w:rPr>
              <w:t xml:space="preserve"> </w:t>
            </w:r>
            <w:r>
              <w:rPr>
                <w:color w:val="auto"/>
                <w:spacing w:val="-6"/>
                <w:sz w:val="24"/>
                <w:szCs w:val="24"/>
              </w:rPr>
              <w:t>期巡视。不具备开采价值的井口进行永久封井，井口</w:t>
            </w:r>
            <w:r>
              <w:rPr>
                <w:color w:val="auto"/>
                <w:spacing w:val="-7"/>
                <w:sz w:val="24"/>
                <w:szCs w:val="24"/>
              </w:rPr>
              <w:t>下挖</w:t>
            </w:r>
            <w:r>
              <w:rPr>
                <w:rFonts w:ascii="Times New Roman" w:hAnsi="Times New Roman" w:eastAsia="Times New Roman" w:cs="Times New Roman"/>
                <w:color w:val="auto"/>
                <w:spacing w:val="-7"/>
                <w:sz w:val="24"/>
                <w:szCs w:val="24"/>
              </w:rPr>
              <w:t>2m</w:t>
            </w:r>
            <w:r>
              <w:rPr>
                <w:color w:val="auto"/>
                <w:spacing w:val="-7"/>
                <w:sz w:val="24"/>
                <w:szCs w:val="24"/>
              </w:rPr>
              <w:t>，割掉井口套管，</w:t>
            </w:r>
            <w:r>
              <w:rPr>
                <w:color w:val="auto"/>
                <w:spacing w:val="1"/>
                <w:sz w:val="24"/>
                <w:szCs w:val="24"/>
              </w:rPr>
              <w:t>用电焊封死井口，并注入水泥封固井口，然后用表层</w:t>
            </w:r>
            <w:r>
              <w:rPr>
                <w:color w:val="auto"/>
                <w:sz w:val="24"/>
                <w:szCs w:val="24"/>
              </w:rPr>
              <w:t>土覆盖，井场进行植被</w:t>
            </w:r>
            <w:r>
              <w:rPr>
                <w:color w:val="auto"/>
                <w:spacing w:val="-4"/>
                <w:sz w:val="24"/>
                <w:szCs w:val="24"/>
              </w:rPr>
              <w:t>恢复。</w:t>
            </w:r>
          </w:p>
          <w:p w14:paraId="090ADA23">
            <w:pPr>
              <w:pStyle w:val="16"/>
              <w:keepNext w:val="0"/>
              <w:keepLines w:val="0"/>
              <w:pageBreakBefore w:val="0"/>
              <w:widowControl w:val="0"/>
              <w:kinsoku w:val="0"/>
              <w:wordWrap/>
              <w:overflowPunct/>
              <w:topLinePunct w:val="0"/>
              <w:autoSpaceDE w:val="0"/>
              <w:autoSpaceDN w:val="0"/>
              <w:bidi w:val="0"/>
              <w:adjustRightInd w:val="0"/>
              <w:snapToGrid w:val="0"/>
              <w:spacing w:line="360" w:lineRule="auto"/>
              <w:ind w:left="111" w:right="106" w:firstLine="480"/>
              <w:jc w:val="both"/>
              <w:textAlignment w:val="baseline"/>
              <w:rPr>
                <w:color w:val="auto"/>
                <w:sz w:val="24"/>
                <w:szCs w:val="24"/>
              </w:rPr>
            </w:pPr>
            <w:r>
              <w:rPr>
                <w:color w:val="auto"/>
                <w:spacing w:val="1"/>
                <w:sz w:val="24"/>
                <w:szCs w:val="24"/>
              </w:rPr>
              <w:t>封井后，其余设施将拆除、搬迁。钻井液材料将全部进行回</w:t>
            </w:r>
            <w:r>
              <w:rPr>
                <w:color w:val="auto"/>
                <w:sz w:val="24"/>
                <w:szCs w:val="24"/>
              </w:rPr>
              <w:t>收。当气井</w:t>
            </w:r>
            <w:r>
              <w:rPr>
                <w:color w:val="auto"/>
                <w:spacing w:val="1"/>
                <w:sz w:val="24"/>
                <w:szCs w:val="24"/>
              </w:rPr>
              <w:t>勘探接近尾声时，各种机械设备将停止使用，进驻其中的工</w:t>
            </w:r>
            <w:r>
              <w:rPr>
                <w:color w:val="auto"/>
                <w:sz w:val="24"/>
                <w:szCs w:val="24"/>
              </w:rPr>
              <w:t>作人员将陆续撤</w:t>
            </w:r>
            <w:r>
              <w:rPr>
                <w:color w:val="auto"/>
                <w:spacing w:val="1"/>
                <w:sz w:val="24"/>
                <w:szCs w:val="24"/>
              </w:rPr>
              <w:t>离井场区域，由此带来的大气污染物、生产废水、生活污水</w:t>
            </w:r>
            <w:r>
              <w:rPr>
                <w:color w:val="auto"/>
                <w:sz w:val="24"/>
                <w:szCs w:val="24"/>
              </w:rPr>
              <w:t>、噪声及固体废</w:t>
            </w:r>
            <w:r>
              <w:rPr>
                <w:color w:val="auto"/>
                <w:spacing w:val="-1"/>
                <w:sz w:val="24"/>
                <w:szCs w:val="24"/>
              </w:rPr>
              <w:t>物等对环境的影响将会消失。</w:t>
            </w:r>
          </w:p>
          <w:p w14:paraId="45B2F69F">
            <w:pPr>
              <w:pStyle w:val="16"/>
              <w:keepNext w:val="0"/>
              <w:keepLines w:val="0"/>
              <w:pageBreakBefore w:val="0"/>
              <w:widowControl w:val="0"/>
              <w:kinsoku w:val="0"/>
              <w:wordWrap/>
              <w:overflowPunct/>
              <w:topLinePunct w:val="0"/>
              <w:autoSpaceDE w:val="0"/>
              <w:autoSpaceDN w:val="0"/>
              <w:bidi w:val="0"/>
              <w:adjustRightInd w:val="0"/>
              <w:snapToGrid w:val="0"/>
              <w:spacing w:line="360" w:lineRule="auto"/>
              <w:ind w:left="108" w:right="45" w:firstLine="483"/>
              <w:jc w:val="both"/>
              <w:textAlignment w:val="baseline"/>
              <w:rPr>
                <w:color w:val="auto"/>
                <w:sz w:val="24"/>
                <w:szCs w:val="24"/>
              </w:rPr>
            </w:pPr>
            <w:r>
              <w:rPr>
                <w:color w:val="auto"/>
                <w:spacing w:val="1"/>
                <w:sz w:val="24"/>
                <w:szCs w:val="24"/>
              </w:rPr>
              <w:t>封井期的环境影响以生态环境的恢复为主，同时封井和井场</w:t>
            </w:r>
            <w:r>
              <w:rPr>
                <w:color w:val="auto"/>
                <w:sz w:val="24"/>
                <w:szCs w:val="24"/>
              </w:rPr>
              <w:t>清理也会产</w:t>
            </w:r>
            <w:r>
              <w:rPr>
                <w:color w:val="auto"/>
                <w:spacing w:val="1"/>
                <w:sz w:val="24"/>
                <w:szCs w:val="24"/>
              </w:rPr>
              <w:t>生少量扬尘和建筑垃圾，会对周围的环境造成一定影响。封井期井</w:t>
            </w:r>
            <w:r>
              <w:rPr>
                <w:color w:val="auto"/>
                <w:sz w:val="24"/>
                <w:szCs w:val="24"/>
              </w:rPr>
              <w:t xml:space="preserve">场进行一 </w:t>
            </w:r>
            <w:r>
              <w:rPr>
                <w:color w:val="auto"/>
                <w:spacing w:val="-4"/>
                <w:sz w:val="24"/>
                <w:szCs w:val="24"/>
              </w:rPr>
              <w:t>系列清理工作，包括地面设施拆除、水泥灌注封</w:t>
            </w:r>
            <w:r>
              <w:rPr>
                <w:color w:val="auto"/>
                <w:spacing w:val="-5"/>
                <w:sz w:val="24"/>
                <w:szCs w:val="24"/>
              </w:rPr>
              <w:t>井、井场清理等。在这期间，</w:t>
            </w:r>
            <w:r>
              <w:rPr>
                <w:color w:val="auto"/>
                <w:sz w:val="24"/>
                <w:szCs w:val="24"/>
              </w:rPr>
              <w:t xml:space="preserve"> </w:t>
            </w:r>
            <w:r>
              <w:rPr>
                <w:color w:val="auto"/>
                <w:spacing w:val="1"/>
                <w:sz w:val="24"/>
                <w:szCs w:val="24"/>
              </w:rPr>
              <w:t>将会产生少量扬尘和固体废物，本项目办公用房、材料房区、录井</w:t>
            </w:r>
            <w:r>
              <w:rPr>
                <w:color w:val="auto"/>
                <w:sz w:val="24"/>
                <w:szCs w:val="24"/>
              </w:rPr>
              <w:t xml:space="preserve">房主要为 </w:t>
            </w:r>
            <w:r>
              <w:rPr>
                <w:color w:val="auto"/>
                <w:spacing w:val="1"/>
                <w:sz w:val="24"/>
                <w:szCs w:val="24"/>
              </w:rPr>
              <w:t>集装箱房，各类罐区、泥浆岩屑不落地处理区均为成套设施，建筑</w:t>
            </w:r>
            <w:r>
              <w:rPr>
                <w:color w:val="auto"/>
                <w:sz w:val="24"/>
                <w:szCs w:val="24"/>
              </w:rPr>
              <w:t>垃圾产生</w:t>
            </w:r>
            <w:r>
              <w:rPr>
                <w:color w:val="auto"/>
                <w:spacing w:val="1"/>
                <w:sz w:val="24"/>
                <w:szCs w:val="24"/>
              </w:rPr>
              <w:t>量主要为基础恢复过程当中。根据同类项目类比分析可知，建筑垃</w:t>
            </w:r>
            <w:r>
              <w:rPr>
                <w:color w:val="auto"/>
                <w:sz w:val="24"/>
                <w:szCs w:val="24"/>
              </w:rPr>
              <w:t>圾产生系</w:t>
            </w:r>
            <w:r>
              <w:rPr>
                <w:color w:val="auto"/>
                <w:spacing w:val="2"/>
                <w:sz w:val="24"/>
                <w:szCs w:val="24"/>
              </w:rPr>
              <w:t>数为</w:t>
            </w:r>
            <w:r>
              <w:rPr>
                <w:rFonts w:ascii="Times New Roman" w:hAnsi="Times New Roman" w:eastAsia="Times New Roman" w:cs="Times New Roman"/>
                <w:color w:val="auto"/>
                <w:spacing w:val="2"/>
                <w:sz w:val="24"/>
                <w:szCs w:val="24"/>
              </w:rPr>
              <w:t>0.024t/m</w:t>
            </w:r>
            <w:r>
              <w:rPr>
                <w:rFonts w:ascii="Times New Roman" w:hAnsi="Times New Roman" w:eastAsia="Times New Roman" w:cs="Times New Roman"/>
                <w:color w:val="auto"/>
                <w:spacing w:val="2"/>
                <w:position w:val="7"/>
                <w:sz w:val="15"/>
                <w:szCs w:val="15"/>
              </w:rPr>
              <w:t xml:space="preserve">2 </w:t>
            </w:r>
            <w:r>
              <w:rPr>
                <w:color w:val="auto"/>
                <w:spacing w:val="2"/>
                <w:sz w:val="24"/>
                <w:szCs w:val="24"/>
              </w:rPr>
              <w:t>，本项目总占地面积为</w:t>
            </w:r>
            <w:r>
              <w:rPr>
                <w:rFonts w:hint="default" w:ascii="Times New Roman" w:hAnsi="Times New Roman" w:eastAsia="宋体" w:cs="Times New Roman"/>
                <w:color w:val="auto"/>
                <w:sz w:val="24"/>
                <w:szCs w:val="24"/>
                <w:highlight w:val="none"/>
              </w:rPr>
              <w:t>118737.71</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color w:val="auto"/>
                <w:spacing w:val="2"/>
                <w:sz w:val="24"/>
                <w:szCs w:val="24"/>
              </w:rPr>
              <w:t>，则</w:t>
            </w:r>
            <w:r>
              <w:rPr>
                <w:color w:val="auto"/>
                <w:spacing w:val="1"/>
                <w:sz w:val="24"/>
                <w:szCs w:val="24"/>
              </w:rPr>
              <w:t>封井期建筑垃圾产生量为</w:t>
            </w:r>
            <w:r>
              <w:rPr>
                <w:rFonts w:hint="eastAsia"/>
                <w:color w:val="auto"/>
                <w:sz w:val="24"/>
                <w:szCs w:val="24"/>
                <w:lang w:val="en-US" w:eastAsia="zh-CN"/>
              </w:rPr>
              <w:t>2849.71</w:t>
            </w:r>
            <w:r>
              <w:rPr>
                <w:rFonts w:ascii="Times New Roman" w:hAnsi="Times New Roman" w:eastAsia="Times New Roman" w:cs="Times New Roman"/>
                <w:color w:val="auto"/>
                <w:spacing w:val="-1"/>
                <w:sz w:val="24"/>
                <w:szCs w:val="24"/>
              </w:rPr>
              <w:t>t</w:t>
            </w:r>
            <w:r>
              <w:rPr>
                <w:color w:val="auto"/>
                <w:spacing w:val="-1"/>
                <w:sz w:val="24"/>
                <w:szCs w:val="24"/>
              </w:rPr>
              <w:t>。</w:t>
            </w:r>
          </w:p>
          <w:p w14:paraId="2414E302">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firstLine="484" w:firstLineChars="200"/>
              <w:textAlignment w:val="baseline"/>
              <w:rPr>
                <w:rFonts w:hint="default" w:ascii="Times New Roman" w:hAnsi="Times New Roman" w:eastAsia="宋体" w:cs="Times New Roman"/>
                <w:b/>
                <w:bCs/>
                <w:color w:val="auto"/>
                <w:sz w:val="24"/>
                <w:szCs w:val="24"/>
                <w:highlight w:val="none"/>
                <w:lang w:val="en-US" w:eastAsia="zh-CN"/>
              </w:rPr>
            </w:pPr>
            <w:r>
              <w:rPr>
                <w:color w:val="auto"/>
                <w:spacing w:val="1"/>
                <w:sz w:val="24"/>
                <w:szCs w:val="24"/>
              </w:rPr>
              <w:t>在这期间，将会产生少量扬尘和固体废物。在封井施工操作</w:t>
            </w:r>
            <w:r>
              <w:rPr>
                <w:color w:val="auto"/>
                <w:sz w:val="24"/>
                <w:szCs w:val="24"/>
              </w:rPr>
              <w:t xml:space="preserve">中应注意采 </w:t>
            </w:r>
            <w:r>
              <w:rPr>
                <w:color w:val="auto"/>
                <w:spacing w:val="1"/>
                <w:sz w:val="24"/>
                <w:szCs w:val="24"/>
              </w:rPr>
              <w:t>取降尘措施，文明施工，防止散装物料的洒落与飘散，同时</w:t>
            </w:r>
            <w:r>
              <w:rPr>
                <w:color w:val="auto"/>
                <w:sz w:val="24"/>
                <w:szCs w:val="24"/>
              </w:rPr>
              <w:t xml:space="preserve">在清理井场时控 </w:t>
            </w:r>
            <w:r>
              <w:rPr>
                <w:color w:val="auto"/>
                <w:spacing w:val="1"/>
                <w:sz w:val="24"/>
                <w:szCs w:val="24"/>
              </w:rPr>
              <w:t>制扬尘的产生，尽可能降低对周边大气环境的影响。另外，</w:t>
            </w:r>
            <w:r>
              <w:rPr>
                <w:color w:val="auto"/>
                <w:sz w:val="24"/>
                <w:szCs w:val="24"/>
              </w:rPr>
              <w:t xml:space="preserve">井场清理等工作 </w:t>
            </w:r>
            <w:r>
              <w:rPr>
                <w:color w:val="auto"/>
                <w:spacing w:val="1"/>
                <w:sz w:val="24"/>
                <w:szCs w:val="24"/>
              </w:rPr>
              <w:t>还会产生部分废弃管线、废弃建筑残渣等固体废物，对这些</w:t>
            </w:r>
            <w:r>
              <w:rPr>
                <w:color w:val="auto"/>
                <w:sz w:val="24"/>
                <w:szCs w:val="24"/>
              </w:rPr>
              <w:t xml:space="preserve">废弃管线、残渣 </w:t>
            </w:r>
            <w:r>
              <w:rPr>
                <w:color w:val="auto"/>
                <w:spacing w:val="1"/>
                <w:sz w:val="24"/>
                <w:szCs w:val="24"/>
              </w:rPr>
              <w:t>等进行集中清理收集，管线外运经清洗后可回收再利用，废</w:t>
            </w:r>
            <w:r>
              <w:rPr>
                <w:color w:val="auto"/>
                <w:sz w:val="24"/>
                <w:szCs w:val="24"/>
              </w:rPr>
              <w:t xml:space="preserve">弃建筑残渣外运 </w:t>
            </w:r>
            <w:r>
              <w:rPr>
                <w:color w:val="auto"/>
                <w:spacing w:val="1"/>
                <w:sz w:val="24"/>
                <w:szCs w:val="24"/>
              </w:rPr>
              <w:t>至指定处理场填埋处理。固体废物的妥善处理，可以有效控</w:t>
            </w:r>
            <w:r>
              <w:rPr>
                <w:color w:val="auto"/>
                <w:sz w:val="24"/>
                <w:szCs w:val="24"/>
              </w:rPr>
              <w:t>制对区域环境的</w:t>
            </w:r>
            <w:r>
              <w:rPr>
                <w:color w:val="auto"/>
                <w:spacing w:val="-3"/>
                <w:sz w:val="24"/>
                <w:szCs w:val="24"/>
              </w:rPr>
              <w:t>影响。</w:t>
            </w:r>
          </w:p>
        </w:tc>
      </w:tr>
      <w:tr w14:paraId="4EABB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14:paraId="48C2CD8D">
            <w:pPr>
              <w:pStyle w:val="16"/>
              <w:widowControl w:val="0"/>
              <w:spacing w:before="65" w:line="228"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3"/>
                <w:sz w:val="24"/>
                <w:szCs w:val="24"/>
                <w:highlight w:val="none"/>
              </w:rPr>
              <w:t>运营期</w:t>
            </w:r>
          </w:p>
          <w:p w14:paraId="0DBF1733">
            <w:pPr>
              <w:pStyle w:val="16"/>
              <w:widowControl w:val="0"/>
              <w:spacing w:before="23" w:line="230" w:lineRule="auto"/>
              <w:jc w:val="center"/>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pacing w:val="12"/>
                <w:sz w:val="24"/>
                <w:szCs w:val="24"/>
                <w:highlight w:val="none"/>
              </w:rPr>
              <w:t>生态环</w:t>
            </w:r>
            <w:r>
              <w:rPr>
                <w:rFonts w:hint="default" w:ascii="Times New Roman" w:hAnsi="Times New Roman" w:eastAsia="宋体" w:cs="Times New Roman"/>
                <w:color w:val="auto"/>
                <w:spacing w:val="13"/>
                <w:sz w:val="24"/>
                <w:szCs w:val="24"/>
                <w:highlight w:val="none"/>
              </w:rPr>
              <w:t>境影响</w:t>
            </w:r>
            <w:r>
              <w:rPr>
                <w:rFonts w:hint="default" w:ascii="Times New Roman" w:hAnsi="Times New Roman" w:eastAsia="宋体" w:cs="Times New Roman"/>
                <w:color w:val="auto"/>
                <w:spacing w:val="9"/>
                <w:sz w:val="24"/>
                <w:szCs w:val="24"/>
                <w:highlight w:val="none"/>
              </w:rPr>
              <w:t>分析</w:t>
            </w:r>
          </w:p>
        </w:tc>
        <w:tc>
          <w:tcPr>
            <w:tcW w:w="8290" w:type="dxa"/>
            <w:vAlign w:val="center"/>
          </w:tcPr>
          <w:p w14:paraId="2B5E2810">
            <w:pPr>
              <w:pStyle w:val="16"/>
              <w:widowControl w:val="0"/>
              <w:spacing w:before="78" w:line="360" w:lineRule="auto"/>
              <w:ind w:firstLine="476" w:firstLineChars="200"/>
              <w:jc w:val="both"/>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pacing w:val="-1"/>
                <w:sz w:val="24"/>
                <w:szCs w:val="24"/>
                <w:highlight w:val="none"/>
              </w:rPr>
              <w:t>本项目无营运期，试油结束后视试油结果决定是否转为生产井，若可转为生产井，则应当在产能开发建设前开展环境影响评价工作。如发现该井不具开发价值或目的层不含油，则进行封井，拆除井口装置，截去地下1m内管头，最后清理场地，清除各种固体废弃物，恢复至相对自然的地貌。封井后，人员撤离，区域内没有了人为的扰动，井场范围内的自然植被会逐渐得以恢复，有助于区域生态环境的改善。</w:t>
            </w:r>
          </w:p>
        </w:tc>
      </w:tr>
      <w:tr w14:paraId="596FE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14:paraId="562017F3">
            <w:pPr>
              <w:pStyle w:val="16"/>
              <w:widowControl w:val="0"/>
              <w:spacing w:before="65" w:line="228" w:lineRule="auto"/>
              <w:jc w:val="center"/>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pacing w:val="13"/>
                <w:sz w:val="24"/>
                <w:szCs w:val="24"/>
                <w:highlight w:val="none"/>
              </w:rPr>
              <w:t>选址选线环境合理性分析</w:t>
            </w:r>
          </w:p>
        </w:tc>
        <w:tc>
          <w:tcPr>
            <w:tcW w:w="8290" w:type="dxa"/>
            <w:vAlign w:val="top"/>
          </w:tcPr>
          <w:p w14:paraId="10C123C4">
            <w:pPr>
              <w:pStyle w:val="20"/>
              <w:widowControl w:val="0"/>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根据现场踏勘及井场平面布置，本项目</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口探井钻试工程项目井场选址均位于准噶尔盆地吉南油田萨探区块，道路选址已尽可能避开野生植物生长密集地带；井口距离75m范围内无高压线及其它永久性设施，100m范围内无民宅，200m范围内无铁路、高速公路，500m范围内无学校、医院和大型油库等人口密集型、高危性场所。项目选址符合《钻前工程及井场布置技术要求》（SY/T5466-2013）中的相关规定。</w:t>
            </w:r>
          </w:p>
          <w:p w14:paraId="27EF6804">
            <w:pPr>
              <w:pStyle w:val="20"/>
              <w:widowControl w:val="0"/>
              <w:spacing w:line="360" w:lineRule="auto"/>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各井井场周边未发现永久性建（构）筑物，周边无地表水体、集中饮用水源、文物保护单位等环境敏感目标。各井场东、西、南三侧均设有简易公路通达，交通便利。井场选址均与最近道路保持合理安全距离，并位于空旷区域，有利于事故状态下的应急疏散与扩散。</w:t>
            </w:r>
          </w:p>
          <w:p w14:paraId="636099B3">
            <w:pPr>
              <w:pStyle w:val="16"/>
              <w:widowControl w:val="0"/>
              <w:spacing w:line="353" w:lineRule="auto"/>
              <w:ind w:firstLine="480" w:firstLineChars="200"/>
              <w:jc w:val="both"/>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rPr>
              <w:t>项目周边无其他自然保护区、风景名胜区、饮用水水源保护区、基本草原、沙化土地封禁保护区等，且无以居住、医疗卫生、文化教育、科研、行政办公等为主要功能的区域及文物保护单位，不存在环境制约因素。项目占地已尽量减少占用植被地带，且所在区域人类活动频繁，区域内野生动物数量较少，环境影响程度低，钻试工程结束后，临时占地均</w:t>
            </w:r>
            <w:r>
              <w:rPr>
                <w:rFonts w:hint="eastAsia" w:ascii="Times New Roman" w:hAnsi="Times New Roman" w:cs="Times New Roman"/>
                <w:color w:val="auto"/>
                <w:sz w:val="24"/>
                <w:szCs w:val="24"/>
                <w:highlight w:val="none"/>
                <w:lang w:eastAsia="zh-CN"/>
              </w:rPr>
              <w:t>可得</w:t>
            </w:r>
            <w:r>
              <w:rPr>
                <w:rFonts w:hint="default" w:ascii="Times New Roman" w:hAnsi="Times New Roman" w:eastAsia="宋体" w:cs="Times New Roman"/>
                <w:color w:val="auto"/>
                <w:sz w:val="24"/>
                <w:szCs w:val="24"/>
                <w:highlight w:val="none"/>
              </w:rPr>
              <w:t>到释放和恢复，建设期间产生的废气、废水和噪声消失。综上所述，项目选址合理。</w:t>
            </w:r>
          </w:p>
        </w:tc>
      </w:tr>
    </w:tbl>
    <w:p w14:paraId="1CC2236B">
      <w:pPr>
        <w:spacing w:line="219" w:lineRule="auto"/>
        <w:rPr>
          <w:rFonts w:hint="default" w:ascii="Times New Roman" w:hAnsi="Times New Roman" w:eastAsia="宋体" w:cs="Times New Roman"/>
          <w:color w:val="auto"/>
          <w:sz w:val="24"/>
          <w:szCs w:val="24"/>
          <w:highlight w:val="none"/>
        </w:rPr>
        <w:sectPr>
          <w:footerReference r:id="rId7" w:type="default"/>
          <w:pgSz w:w="11906" w:h="16840"/>
          <w:pgMar w:top="1440" w:right="1803" w:bottom="1440" w:left="1803" w:header="850" w:footer="992" w:gutter="0"/>
          <w:pgBorders>
            <w:top w:val="none" w:sz="0" w:space="0"/>
            <w:left w:val="none" w:sz="0" w:space="0"/>
            <w:bottom w:val="none" w:sz="0" w:space="0"/>
            <w:right w:val="none" w:sz="0" w:space="0"/>
          </w:pgBorders>
          <w:pgNumType w:fmt="decimal" w:start="1"/>
          <w:cols w:space="720" w:num="1"/>
        </w:sectPr>
      </w:pPr>
    </w:p>
    <w:p w14:paraId="6B600859">
      <w:pPr>
        <w:pStyle w:val="2"/>
        <w:rPr>
          <w:rFonts w:hint="default" w:ascii="Times New Roman" w:hAnsi="Times New Roman" w:cs="Times New Roman" w:eastAsiaTheme="minorEastAsia"/>
          <w:b/>
          <w:bCs w:val="0"/>
          <w:color w:val="auto"/>
          <w:sz w:val="30"/>
          <w:szCs w:val="30"/>
          <w:highlight w:val="none"/>
        </w:rPr>
      </w:pPr>
      <w:bookmarkStart w:id="22" w:name="_Hlk136794953"/>
      <w:r>
        <w:rPr>
          <w:rFonts w:hint="default" w:ascii="Times New Roman" w:hAnsi="Times New Roman" w:cs="Times New Roman" w:eastAsiaTheme="minorEastAsia"/>
          <w:b/>
          <w:bCs w:val="0"/>
          <w:color w:val="auto"/>
          <w:sz w:val="30"/>
          <w:szCs w:val="30"/>
          <w:highlight w:val="none"/>
        </w:rPr>
        <w:t>五、主要生态环境保护措施</w:t>
      </w:r>
    </w:p>
    <w:bookmarkEnd w:id="22"/>
    <w:tbl>
      <w:tblPr>
        <w:tblStyle w:val="12"/>
        <w:tblW w:w="52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
        <w:gridCol w:w="8402"/>
      </w:tblGrid>
      <w:tr w14:paraId="26240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Align w:val="center"/>
          </w:tcPr>
          <w:p w14:paraId="6F292C69">
            <w:pPr>
              <w:widowControl w:val="0"/>
              <w:adjustRightInd w:val="0"/>
              <w:snapToGrid w:val="0"/>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sz w:val="24"/>
                <w:szCs w:val="24"/>
                <w:highlight w:val="none"/>
              </w:rPr>
              <w:t>施工期生态环境保护措施</w:t>
            </w:r>
          </w:p>
        </w:tc>
        <w:tc>
          <w:tcPr>
            <w:tcW w:w="4728" w:type="pct"/>
          </w:tcPr>
          <w:p w14:paraId="6F2D63AF">
            <w:pPr>
              <w:pStyle w:val="20"/>
              <w:widowControl w:val="0"/>
              <w:numPr>
                <w:ilvl w:val="0"/>
                <w:numId w:val="6"/>
              </w:numPr>
              <w:ind w:left="0" w:leftChars="0" w:firstLine="0" w:firstLineChars="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生态环境保护措施</w:t>
            </w:r>
          </w:p>
          <w:p w14:paraId="298FC3D8">
            <w:pPr>
              <w:pStyle w:val="20"/>
              <w:widowControl w:val="0"/>
              <w:jc w:val="both"/>
              <w:rPr>
                <w:rFonts w:hint="default" w:ascii="Times New Roman" w:hAnsi="Times New Roman" w:eastAsia="宋体" w:cs="Times New Roman"/>
                <w:color w:val="auto"/>
                <w:sz w:val="24"/>
                <w:szCs w:val="24"/>
                <w:highlight w:val="none"/>
              </w:rPr>
            </w:pPr>
            <w:bookmarkStart w:id="23" w:name="_Hlk189400813"/>
            <w:r>
              <w:rPr>
                <w:rFonts w:hint="default" w:ascii="Times New Roman" w:hAnsi="Times New Roman" w:eastAsia="宋体" w:cs="Times New Roman"/>
                <w:color w:val="auto"/>
                <w:sz w:val="24"/>
                <w:szCs w:val="24"/>
                <w:highlight w:val="none"/>
              </w:rPr>
              <w:t>建设单位及施工单位应严格执行本次评价提出的生态环境保护措施，并确保各项保护措施与钻试工程同时设计、同时施工、同时使用。项目占地合理规划，尽量避让植被较多的区域；严格控制施工作业带宽度，减少临时占地面积；在工程施工过程中和施工结束后，及时对施工场地进行平整，以便后期自然恢复；工程结束后，做好施工场地的恢复工作。</w:t>
            </w:r>
          </w:p>
          <w:p w14:paraId="11D01E92">
            <w:pPr>
              <w:pStyle w:val="20"/>
              <w:widowControl w:val="0"/>
              <w:ind w:left="0" w:leftChars="0" w:firstLine="0" w:firstLineChars="0"/>
              <w:jc w:val="both"/>
              <w:rPr>
                <w:rFonts w:hint="default" w:ascii="Times New Roman" w:hAnsi="Times New Roman" w:eastAsia="宋体" w:cs="Times New Roman"/>
                <w:b/>
                <w:bCs/>
                <w:color w:val="auto"/>
                <w:sz w:val="24"/>
                <w:szCs w:val="24"/>
                <w:highlight w:val="none"/>
              </w:rPr>
            </w:pPr>
            <w:bookmarkStart w:id="24" w:name="_Hlk140837423"/>
            <w:r>
              <w:rPr>
                <w:rFonts w:hint="default" w:ascii="Times New Roman" w:hAnsi="Times New Roman" w:eastAsia="宋体" w:cs="Times New Roman"/>
                <w:b/>
                <w:bCs/>
                <w:color w:val="auto"/>
                <w:sz w:val="24"/>
                <w:szCs w:val="24"/>
                <w:highlight w:val="none"/>
                <w:lang w:val="en-US" w:eastAsia="zh-CN"/>
              </w:rPr>
              <w:t>1.1</w:t>
            </w:r>
            <w:r>
              <w:rPr>
                <w:rFonts w:hint="eastAsia" w:ascii="Times New Roman" w:hAnsi="Times New Roman" w:eastAsia="宋体" w:cs="Times New Roman"/>
                <w:b/>
                <w:bCs/>
                <w:color w:val="auto"/>
                <w:sz w:val="24"/>
                <w:szCs w:val="24"/>
                <w:highlight w:val="none"/>
                <w:lang w:val="en-US" w:eastAsia="zh-CN"/>
              </w:rPr>
              <w:t>林地</w:t>
            </w:r>
            <w:r>
              <w:rPr>
                <w:rFonts w:hint="default" w:ascii="Times New Roman" w:hAnsi="Times New Roman" w:eastAsia="宋体" w:cs="Times New Roman"/>
                <w:b/>
                <w:bCs/>
                <w:color w:val="auto"/>
                <w:sz w:val="24"/>
                <w:szCs w:val="24"/>
                <w:highlight w:val="none"/>
              </w:rPr>
              <w:t>植被保护措施</w:t>
            </w:r>
          </w:p>
          <w:p w14:paraId="208C7800">
            <w:pPr>
              <w:keepNext w:val="0"/>
              <w:keepLines w:val="0"/>
              <w:pageBreakBefore w:val="0"/>
              <w:widowControl/>
              <w:kinsoku w:val="0"/>
              <w:wordWrap/>
              <w:overflowPunct/>
              <w:topLinePunct w:val="0"/>
              <w:autoSpaceDE w:val="0"/>
              <w:autoSpaceDN w:val="0"/>
              <w:bidi w:val="0"/>
              <w:adjustRightInd w:val="0"/>
              <w:snapToGrid w:val="0"/>
              <w:spacing w:beforeLines="0" w:afterLines="0" w:line="360" w:lineRule="auto"/>
              <w:ind w:firstLine="480" w:firstLineChars="200"/>
              <w:textAlignment w:val="baseline"/>
              <w:rPr>
                <w:rFonts w:hint="default" w:ascii="Times New Roman" w:hAnsi="Times New Roman" w:eastAsia="Times New Roman"/>
                <w:color w:val="auto"/>
                <w:sz w:val="24"/>
                <w:szCs w:val="24"/>
                <w:lang w:val="zh-CN"/>
              </w:rPr>
            </w:pPr>
            <w:r>
              <w:rPr>
                <w:rFonts w:hint="default" w:ascii="Times New Roman" w:hAnsi="Times New Roman" w:eastAsia="Times New Roman"/>
                <w:color w:val="auto"/>
                <w:sz w:val="24"/>
                <w:szCs w:val="24"/>
                <w:lang w:val="zh-CN"/>
              </w:rPr>
              <w:t>（1）</w:t>
            </w:r>
            <w:r>
              <w:rPr>
                <w:rFonts w:hint="eastAsia" w:ascii="Times New Roman" w:hAnsi="Times New Roman" w:eastAsia="宋体"/>
                <w:color w:val="auto"/>
                <w:sz w:val="24"/>
                <w:szCs w:val="24"/>
                <w:lang w:val="en-US" w:eastAsia="zh-CN"/>
              </w:rPr>
              <w:t>项目生活营地及其进场道路等临时占地</w:t>
            </w:r>
            <w:r>
              <w:rPr>
                <w:rFonts w:hint="default" w:ascii="Times New Roman" w:hAnsi="Times New Roman" w:eastAsia="Times New Roman"/>
                <w:color w:val="auto"/>
                <w:sz w:val="24"/>
                <w:szCs w:val="24"/>
                <w:lang w:val="zh-CN"/>
              </w:rPr>
              <w:t>，</w:t>
            </w:r>
            <w:r>
              <w:rPr>
                <w:rFonts w:hint="eastAsia" w:ascii="Times New Roman" w:hAnsi="Times New Roman" w:eastAsia="宋体"/>
                <w:color w:val="auto"/>
                <w:sz w:val="24"/>
                <w:szCs w:val="24"/>
                <w:lang w:val="en-US" w:eastAsia="zh-CN"/>
              </w:rPr>
              <w:t>尽量</w:t>
            </w:r>
            <w:r>
              <w:rPr>
                <w:rFonts w:hint="default" w:ascii="Times New Roman" w:hAnsi="Times New Roman" w:eastAsia="Times New Roman"/>
                <w:color w:val="auto"/>
                <w:sz w:val="24"/>
                <w:szCs w:val="24"/>
                <w:lang w:val="zh-CN"/>
              </w:rPr>
              <w:t>避开植被较丰富的区域，避免破坏</w:t>
            </w:r>
            <w:r>
              <w:rPr>
                <w:rFonts w:hint="eastAsia" w:ascii="Times New Roman" w:hAnsi="Times New Roman" w:eastAsia="宋体"/>
                <w:color w:val="auto"/>
                <w:sz w:val="24"/>
                <w:szCs w:val="24"/>
                <w:lang w:val="en-US" w:eastAsia="zh-CN"/>
              </w:rPr>
              <w:t>林地</w:t>
            </w:r>
            <w:r>
              <w:rPr>
                <w:rFonts w:hint="default" w:ascii="Times New Roman" w:hAnsi="Times New Roman" w:eastAsia="Times New Roman"/>
                <w:color w:val="auto"/>
                <w:sz w:val="24"/>
                <w:szCs w:val="24"/>
                <w:lang w:val="zh-CN"/>
              </w:rPr>
              <w:t>植物。</w:t>
            </w:r>
          </w:p>
          <w:p w14:paraId="706768D6">
            <w:pPr>
              <w:keepNext w:val="0"/>
              <w:keepLines w:val="0"/>
              <w:pageBreakBefore w:val="0"/>
              <w:widowControl/>
              <w:kinsoku w:val="0"/>
              <w:wordWrap/>
              <w:overflowPunct/>
              <w:topLinePunct w:val="0"/>
              <w:autoSpaceDE w:val="0"/>
              <w:autoSpaceDN w:val="0"/>
              <w:bidi w:val="0"/>
              <w:adjustRightInd w:val="0"/>
              <w:snapToGrid w:val="0"/>
              <w:spacing w:beforeLines="0" w:afterLines="0" w:line="360" w:lineRule="auto"/>
              <w:ind w:firstLine="480" w:firstLineChars="200"/>
              <w:textAlignment w:val="baseline"/>
              <w:rPr>
                <w:rFonts w:hint="default" w:ascii="Times New Roman" w:hAnsi="Times New Roman" w:eastAsia="Times New Roman"/>
                <w:color w:val="auto"/>
                <w:sz w:val="24"/>
                <w:szCs w:val="24"/>
                <w:lang w:val="zh-CN"/>
              </w:rPr>
            </w:pPr>
            <w:r>
              <w:rPr>
                <w:rFonts w:hint="default" w:ascii="Times New Roman" w:hAnsi="Times New Roman" w:eastAsia="Times New Roman"/>
                <w:color w:val="auto"/>
                <w:sz w:val="24"/>
                <w:szCs w:val="24"/>
                <w:lang w:val="zh-CN"/>
              </w:rPr>
              <w:t>（2）施工过程中严格规定各类工作人员的活动范围，使之限于在各工区和生活区范围内活动，最大限度减少对荒漠植物生存环境的践踏破坏。</w:t>
            </w:r>
          </w:p>
          <w:p w14:paraId="64040498">
            <w:pPr>
              <w:keepNext w:val="0"/>
              <w:keepLines w:val="0"/>
              <w:pageBreakBefore w:val="0"/>
              <w:widowControl/>
              <w:kinsoku w:val="0"/>
              <w:wordWrap/>
              <w:overflowPunct/>
              <w:topLinePunct w:val="0"/>
              <w:autoSpaceDE w:val="0"/>
              <w:autoSpaceDN w:val="0"/>
              <w:bidi w:val="0"/>
              <w:adjustRightInd w:val="0"/>
              <w:snapToGrid w:val="0"/>
              <w:spacing w:beforeLines="0" w:afterLines="0" w:line="360" w:lineRule="auto"/>
              <w:ind w:firstLine="480" w:firstLineChars="200"/>
              <w:textAlignment w:val="baseline"/>
              <w:rPr>
                <w:rFonts w:hint="default" w:ascii="Times New Roman" w:hAnsi="Times New Roman" w:eastAsia="Times New Roman"/>
                <w:color w:val="auto"/>
                <w:sz w:val="24"/>
                <w:szCs w:val="24"/>
                <w:lang w:val="zh-CN"/>
              </w:rPr>
            </w:pPr>
            <w:r>
              <w:rPr>
                <w:rFonts w:hint="default" w:ascii="Times New Roman" w:hAnsi="Times New Roman" w:eastAsia="Times New Roman"/>
                <w:color w:val="auto"/>
                <w:sz w:val="24"/>
                <w:szCs w:val="24"/>
                <w:lang w:val="zh-CN"/>
              </w:rPr>
              <w:t>（3）确保各环保设施正常运行，避免各种污染物对土壤环境的影响从而进一步影响其上部生长的</w:t>
            </w:r>
            <w:r>
              <w:rPr>
                <w:rFonts w:hint="eastAsia" w:ascii="Times New Roman" w:hAnsi="Times New Roman" w:eastAsia="宋体"/>
                <w:color w:val="auto"/>
                <w:sz w:val="24"/>
                <w:szCs w:val="24"/>
                <w:lang w:val="en-US" w:eastAsia="zh-CN"/>
              </w:rPr>
              <w:t>林地</w:t>
            </w:r>
            <w:r>
              <w:rPr>
                <w:rFonts w:hint="default" w:ascii="Times New Roman" w:hAnsi="Times New Roman" w:eastAsia="Times New Roman"/>
                <w:color w:val="auto"/>
                <w:sz w:val="24"/>
                <w:szCs w:val="24"/>
                <w:lang w:val="zh-CN"/>
              </w:rPr>
              <w:t>植被。</w:t>
            </w:r>
          </w:p>
          <w:p w14:paraId="172A2BCC">
            <w:pPr>
              <w:keepNext w:val="0"/>
              <w:keepLines w:val="0"/>
              <w:pageBreakBefore w:val="0"/>
              <w:widowControl/>
              <w:kinsoku w:val="0"/>
              <w:wordWrap/>
              <w:overflowPunct/>
              <w:topLinePunct w:val="0"/>
              <w:autoSpaceDE w:val="0"/>
              <w:autoSpaceDN w:val="0"/>
              <w:bidi w:val="0"/>
              <w:adjustRightInd w:val="0"/>
              <w:snapToGrid w:val="0"/>
              <w:spacing w:beforeLines="0" w:afterLines="0" w:line="360" w:lineRule="auto"/>
              <w:ind w:firstLine="480" w:firstLineChars="200"/>
              <w:textAlignment w:val="baseline"/>
              <w:rPr>
                <w:rFonts w:hint="default" w:ascii="Times New Roman" w:hAnsi="Times New Roman" w:eastAsia="Times New Roman"/>
                <w:color w:val="auto"/>
                <w:sz w:val="24"/>
                <w:szCs w:val="24"/>
                <w:lang w:val="zh-CN"/>
              </w:rPr>
            </w:pPr>
            <w:r>
              <w:rPr>
                <w:rFonts w:hint="default" w:ascii="Times New Roman" w:hAnsi="Times New Roman" w:eastAsia="Times New Roman"/>
                <w:color w:val="auto"/>
                <w:sz w:val="24"/>
                <w:szCs w:val="24"/>
                <w:lang w:val="zh-CN"/>
              </w:rPr>
              <w:t>（4）井场施工在开挖地表、平整土地时，临时堆土必须进行拦挡，施工完毕，应尽快整理施工现场。</w:t>
            </w:r>
          </w:p>
          <w:p w14:paraId="72FCBBED">
            <w:pPr>
              <w:keepNext w:val="0"/>
              <w:keepLines w:val="0"/>
              <w:pageBreakBefore w:val="0"/>
              <w:widowControl/>
              <w:kinsoku w:val="0"/>
              <w:wordWrap/>
              <w:overflowPunct/>
              <w:topLinePunct w:val="0"/>
              <w:autoSpaceDE w:val="0"/>
              <w:autoSpaceDN w:val="0"/>
              <w:bidi w:val="0"/>
              <w:adjustRightInd w:val="0"/>
              <w:snapToGrid w:val="0"/>
              <w:spacing w:beforeLines="0" w:afterLines="0" w:line="360" w:lineRule="auto"/>
              <w:ind w:firstLine="480" w:firstLineChars="200"/>
              <w:textAlignment w:val="baseline"/>
              <w:rPr>
                <w:rFonts w:hint="eastAsia" w:ascii="Times New Roman" w:hAnsi="Times New Roman" w:eastAsia="宋体"/>
                <w:color w:val="auto"/>
                <w:sz w:val="24"/>
                <w:szCs w:val="24"/>
                <w:lang w:val="en-US" w:eastAsia="zh-CN"/>
              </w:rPr>
            </w:pPr>
            <w:r>
              <w:rPr>
                <w:rFonts w:hint="default" w:ascii="Times New Roman" w:hAnsi="Times New Roman" w:eastAsia="Times New Roman"/>
                <w:color w:val="auto"/>
                <w:sz w:val="24"/>
                <w:szCs w:val="24"/>
                <w:lang w:val="zh-CN"/>
              </w:rPr>
              <w:t>（5）强化风险意识，制定切实可行的风险防范与应急预案，最大限度降低风险概率，避免可能发生的油品泄漏事故对荒漠野生植物生存环境造成威胁。</w:t>
            </w:r>
            <w:r>
              <w:rPr>
                <w:rFonts w:hint="eastAsia" w:ascii="Times New Roman" w:hAnsi="Times New Roman" w:eastAsia="宋体"/>
                <w:color w:val="auto"/>
                <w:sz w:val="24"/>
                <w:szCs w:val="24"/>
                <w:lang w:val="en-US" w:eastAsia="zh-CN"/>
              </w:rPr>
              <w:t xml:space="preserve">     </w:t>
            </w:r>
          </w:p>
          <w:p w14:paraId="0155FA05">
            <w:pPr>
              <w:keepNext w:val="0"/>
              <w:keepLines w:val="0"/>
              <w:pageBreakBefore w:val="0"/>
              <w:widowControl/>
              <w:kinsoku w:val="0"/>
              <w:wordWrap/>
              <w:overflowPunct/>
              <w:topLinePunct w:val="0"/>
              <w:autoSpaceDE w:val="0"/>
              <w:autoSpaceDN w:val="0"/>
              <w:bidi w:val="0"/>
              <w:adjustRightInd w:val="0"/>
              <w:snapToGrid w:val="0"/>
              <w:spacing w:beforeLines="0" w:afterLines="0" w:line="360" w:lineRule="auto"/>
              <w:ind w:firstLine="480" w:firstLineChars="200"/>
              <w:textAlignment w:val="baseline"/>
              <w:rPr>
                <w:rFonts w:hint="default" w:ascii="Times New Roman" w:hAnsi="Times New Roman" w:eastAsia="宋体" w:cs="Times New Roman"/>
                <w:b/>
                <w:bCs/>
                <w:color w:val="auto"/>
                <w:sz w:val="24"/>
                <w:szCs w:val="24"/>
                <w:highlight w:val="none"/>
              </w:rPr>
            </w:pPr>
            <w:r>
              <w:rPr>
                <w:rFonts w:hint="eastAsia" w:ascii="Times New Roman" w:hAnsi="Times New Roman" w:eastAsia="宋体"/>
                <w:color w:val="auto"/>
                <w:sz w:val="24"/>
                <w:szCs w:val="24"/>
                <w:lang w:val="en-US" w:eastAsia="zh-CN"/>
              </w:rPr>
              <w:t xml:space="preserve"> </w:t>
            </w:r>
            <w:r>
              <w:rPr>
                <w:rFonts w:hint="default" w:ascii="Times New Roman" w:hAnsi="Times New Roman" w:eastAsia="Times New Roman"/>
                <w:color w:val="auto"/>
                <w:sz w:val="24"/>
                <w:szCs w:val="24"/>
                <w:lang w:val="zh-CN"/>
              </w:rPr>
              <w:t>（6）加强对施工人员和职工的教育，强化保护野生植物的观念，不得随意踩踏野生植物。</w:t>
            </w:r>
          </w:p>
          <w:bookmarkEnd w:id="23"/>
          <w:bookmarkEnd w:id="24"/>
          <w:p w14:paraId="5E025E09">
            <w:pPr>
              <w:pStyle w:val="20"/>
              <w:widowControl w:val="0"/>
              <w:ind w:left="0" w:leftChars="0" w:firstLine="0" w:firstLineChars="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1.2</w:t>
            </w:r>
            <w:r>
              <w:rPr>
                <w:rFonts w:hint="default" w:ascii="Times New Roman" w:hAnsi="Times New Roman" w:eastAsia="宋体" w:cs="Times New Roman"/>
                <w:b/>
                <w:bCs/>
                <w:color w:val="auto"/>
                <w:sz w:val="24"/>
                <w:szCs w:val="24"/>
                <w:highlight w:val="none"/>
              </w:rPr>
              <w:t>对野生动物的生态环保措施要求</w:t>
            </w:r>
          </w:p>
          <w:p w14:paraId="196C6F70">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本项目位于准噶尔盆地区域，地貌以沙丘为主，地表植被以</w:t>
            </w:r>
            <w:r>
              <w:rPr>
                <w:rFonts w:hint="eastAsia" w:ascii="Times New Roman" w:hAnsi="Times New Roman" w:eastAsia="宋体" w:cs="Times New Roman"/>
                <w:color w:val="auto"/>
                <w:sz w:val="24"/>
                <w:szCs w:val="24"/>
                <w:highlight w:val="none"/>
                <w:lang w:eastAsia="zh-CN"/>
              </w:rPr>
              <w:t>稀疏</w:t>
            </w:r>
            <w:r>
              <w:rPr>
                <w:rFonts w:hint="eastAsia" w:ascii="Times New Roman" w:hAnsi="Times New Roman" w:eastAsia="宋体" w:cs="Times New Roman"/>
                <w:color w:val="auto"/>
                <w:sz w:val="24"/>
                <w:szCs w:val="24"/>
                <w:highlight w:val="none"/>
                <w:lang w:val="en-US" w:eastAsia="zh-CN"/>
              </w:rPr>
              <w:t>乔木、</w:t>
            </w:r>
            <w:r>
              <w:rPr>
                <w:rFonts w:hint="default" w:ascii="Times New Roman" w:hAnsi="Times New Roman" w:eastAsia="宋体" w:cs="Times New Roman"/>
                <w:color w:val="auto"/>
                <w:sz w:val="24"/>
                <w:szCs w:val="24"/>
                <w:highlight w:val="none"/>
              </w:rPr>
              <w:t>灌木和草本植物为主，野生动物资源有限，种类主要为适应干旱气候的小型鸟类（如麻雀）、啮齿类（如鼠类）、爬行动物和其他小型兽类。各井场周边人类活动较少，区域生态原貌保存较好，具备一定的野生动物栖息条件。因此，在项目施工过程中应特别注意对野生动物活动环境的保护，最大限度减缓人为施工干扰，落实以下生态保护措施：</w:t>
            </w:r>
          </w:p>
          <w:p w14:paraId="0E718094">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①施工期避让原则</w:t>
            </w:r>
          </w:p>
          <w:p w14:paraId="173D8918">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施工单位在组织钻前准备和进场作业时，应尽量避开野生动物繁殖、迁徙及活动频繁时段（如春秋季节）和区域，避免因施工噪声、照明、车辆进出等干扰野生动物的正常生活节律。</w:t>
            </w:r>
          </w:p>
          <w:p w14:paraId="03FBAE8A">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②噪声与光照控制</w:t>
            </w:r>
          </w:p>
          <w:p w14:paraId="4ABE9212">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施工期应优先采用低噪声设备，并严格限制夜间施工。钻井设备夜间作业时应采用定向照明，避免强光直射周边自然区域，防止对野生动物视觉和作息造成干扰。</w:t>
            </w:r>
          </w:p>
          <w:p w14:paraId="3CCE672C">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③物理隔离与区域封闭管理</w:t>
            </w:r>
          </w:p>
          <w:p w14:paraId="4BE234D6">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防止施工人员随意进入周边未扰动区域，影响野生动物活动，施工单位应对井场作业区设置隔离围挡，明确施工边界。野外施工生活区与作业区应分设，集中布设，限制活动范围，减少对野生动物生境的占用和破坏。</w:t>
            </w:r>
          </w:p>
          <w:p w14:paraId="3BB48675">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④禁止捕猎及使用毒性化学物品</w:t>
            </w:r>
          </w:p>
          <w:p w14:paraId="704AEA39">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严禁施工人员猎捕、驱赶野生动物，严禁私自携带犬类及其他宠物进场，严禁使用鼠药、杀虫剂等对野生动物构成直接毒害风险的药物。</w:t>
            </w:r>
          </w:p>
          <w:p w14:paraId="1DEF65E8">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⑤运输及道路管理</w:t>
            </w:r>
          </w:p>
          <w:p w14:paraId="1C9481CA">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施工车辆运输应限速通行，夜间行车使用近光灯，防止惊扰动物或发生撞击事件。施工便道布设应避开动物活动通道，必要时设置临时警示标识。</w:t>
            </w:r>
          </w:p>
          <w:p w14:paraId="7A512550">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⑥加强环保教育与日常巡查</w:t>
            </w:r>
          </w:p>
          <w:p w14:paraId="0B8C60C3">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施工单位应开展野生动物保护专题培训，提高施工人员生态保护意识。项目管理单位应设立生态保护巡查岗，定期检查是否存在破坏野生动物栖息行为，并建立违规问责机制。</w:t>
            </w:r>
          </w:p>
          <w:p w14:paraId="2780A42A">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⑦生态恢复同步考虑</w:t>
            </w:r>
          </w:p>
          <w:p w14:paraId="41CB7F02">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工程完工后，在实施土地恢复与植被恢复时，应优先恢复本地优势灌草植物种类，为小型野生动物提供可利用的觅食与隐蔽环境，促进区域生态功能的恢复。</w:t>
            </w:r>
          </w:p>
          <w:p w14:paraId="7B367A1C">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上述生态环境保护措施均为技术可行、经济合理、稳定可靠、便于实施的成熟措施，在油气田勘探过程中得到广泛应用。采取上述措施后，可有效减轻对野生动植物及水土流失的不利影响，施工过程中对周围生态环境的破坏可降低至可接受水平。</w:t>
            </w:r>
          </w:p>
          <w:p w14:paraId="5687F3BE">
            <w:pPr>
              <w:pStyle w:val="20"/>
              <w:widowControl w:val="0"/>
              <w:ind w:left="0" w:leftChars="0" w:firstLine="0" w:firstLineChars="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1.3</w:t>
            </w:r>
            <w:r>
              <w:rPr>
                <w:rFonts w:hint="default" w:ascii="Times New Roman" w:hAnsi="Times New Roman" w:eastAsia="宋体" w:cs="Times New Roman"/>
                <w:b/>
                <w:bCs/>
                <w:color w:val="auto"/>
                <w:sz w:val="24"/>
                <w:szCs w:val="24"/>
                <w:highlight w:val="none"/>
              </w:rPr>
              <w:t>井场、道路临时占地保护措施要求</w:t>
            </w:r>
          </w:p>
          <w:p w14:paraId="4150B017">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①无道路区域作业车辆</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一</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字形行驶。</w:t>
            </w:r>
          </w:p>
          <w:p w14:paraId="4F40D752">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②加强对临时占地地表土的保护，临时性占地进行合理规划，严格控制占地面积，尽量选择在植被稀少的区域。</w:t>
            </w:r>
          </w:p>
          <w:p w14:paraId="22B9F3FE">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③本项目临时占地期满后，占地单位需对临时占地进行清理，拆除临时建筑物，清除废弃材料，结合地形恢复场地并平整土地，做到工完料净场地清。</w:t>
            </w:r>
          </w:p>
          <w:p w14:paraId="10C30176">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④施工过程中严格规定车辆和各类工作人员的活动范围，所有车辆采用</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一</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字形作业法，严格控制和管理车辆及重型机械的运行范围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使之限于在施工区范围内活动，最大限度减少对植物生存环境的踩踏破坏，避免破坏植物。</w:t>
            </w:r>
          </w:p>
          <w:p w14:paraId="4F563BA7">
            <w:pPr>
              <w:pStyle w:val="20"/>
              <w:widowControl w:val="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⑤做好施工场地的恢复工作，并按相关规定对植被损失进行生态经济补偿</w:t>
            </w:r>
            <w:r>
              <w:rPr>
                <w:rFonts w:hint="default" w:ascii="Times New Roman" w:hAnsi="Times New Roman" w:eastAsia="宋体" w:cs="Times New Roman"/>
                <w:color w:val="auto"/>
                <w:sz w:val="24"/>
                <w:szCs w:val="24"/>
                <w:highlight w:val="none"/>
                <w:lang w:eastAsia="zh-CN"/>
              </w:rPr>
              <w:t>。</w:t>
            </w:r>
          </w:p>
          <w:p w14:paraId="4E110350">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⑥井场选址及井场布置严格按照《钻前工程及井场布置技术要求》（SY/T5466-2013）中要求执行。</w:t>
            </w:r>
          </w:p>
          <w:p w14:paraId="55661616">
            <w:pPr>
              <w:pStyle w:val="20"/>
              <w:widowControl w:val="0"/>
              <w:ind w:left="0" w:leftChars="0" w:firstLine="0" w:firstLineChars="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1.4</w:t>
            </w:r>
            <w:r>
              <w:rPr>
                <w:rFonts w:hint="default" w:ascii="Times New Roman" w:hAnsi="Times New Roman" w:eastAsia="宋体" w:cs="Times New Roman"/>
                <w:b/>
                <w:bCs/>
                <w:color w:val="auto"/>
                <w:sz w:val="24"/>
                <w:szCs w:val="24"/>
                <w:highlight w:val="none"/>
              </w:rPr>
              <w:t>道路工程施工作业带、井场施工作业范围管控要求</w:t>
            </w:r>
          </w:p>
          <w:p w14:paraId="46676762">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①对油田内的道路合理规划，巡检道路严格控制施工作业带（开挖）面积，并尽量沿道路纵向平行布设，以减少地表破坏，减少土方的暴露面积。</w:t>
            </w:r>
          </w:p>
          <w:p w14:paraId="24AD502B">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②尽量利用原有公路，沿已有车辙行驶，严格执行先修路，后开钻的原则进行勘探。杜绝车辆乱碾乱轧的情况发生。不随意开设便道。</w:t>
            </w:r>
          </w:p>
          <w:p w14:paraId="11318AE3">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③施工机械不得在道路以外行驶和作业，保持地表不被扰动。</w:t>
            </w:r>
          </w:p>
          <w:p w14:paraId="4BD44642">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④施工结束后，临时用地一律平整土地，清除用地范围内的一切固体废弃物。</w:t>
            </w:r>
          </w:p>
          <w:p w14:paraId="7D420AA8">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⑤道路施工的临时用地禁止设置在农田内。</w:t>
            </w:r>
          </w:p>
          <w:p w14:paraId="60D49426">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施工期间应划定施工活动范围，在施工作业带边界拉彩条旗以示明车辆行驶边界，严格控制和管理运输车辆及重型机械的运行线路和范围，不得离开运输道路及随意行驶，由专人负责，以防破坏土壤和植被，加剧土地荒漠化。</w:t>
            </w:r>
          </w:p>
          <w:p w14:paraId="25A238F9">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⑦井场施工在开挖地表、平整土地时，临时堆土必须进行拦挡，施工完毕，应尽快整理施工现场。</w:t>
            </w:r>
          </w:p>
          <w:p w14:paraId="2114A2D1">
            <w:pPr>
              <w:pStyle w:val="20"/>
              <w:widowControl w:val="0"/>
              <w:ind w:left="0" w:leftChars="0" w:firstLine="0" w:firstLineChars="0"/>
              <w:jc w:val="both"/>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1.5农田生态保护措施</w:t>
            </w:r>
          </w:p>
          <w:p w14:paraId="28FBC85E">
            <w:pPr>
              <w:pStyle w:val="20"/>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①</w:t>
            </w:r>
            <w:r>
              <w:rPr>
                <w:rFonts w:ascii="宋体" w:hAnsi="宋体" w:eastAsia="宋体" w:cs="宋体"/>
                <w:b w:val="0"/>
                <w:bCs w:val="0"/>
                <w:color w:val="auto"/>
                <w:sz w:val="24"/>
                <w:szCs w:val="24"/>
              </w:rPr>
              <w:t>控制作业范围，施工机械（主要为挖掘机）需在控制范围内作业，严禁 自行扩大施工用地范围</w:t>
            </w:r>
          </w:p>
          <w:p w14:paraId="4045B570">
            <w:pPr>
              <w:pStyle w:val="20"/>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②</w:t>
            </w:r>
            <w:r>
              <w:rPr>
                <w:rFonts w:ascii="宋体" w:hAnsi="宋体" w:eastAsia="宋体" w:cs="宋体"/>
                <w:b w:val="0"/>
                <w:bCs w:val="0"/>
                <w:color w:val="auto"/>
                <w:sz w:val="24"/>
                <w:szCs w:val="24"/>
              </w:rPr>
              <w:t>耕地区施工应避开农作物生长和收获期，减少农业生产的损失。要保护 农田林网，使农田生态系统的功能相对稳定。</w:t>
            </w:r>
          </w:p>
          <w:p w14:paraId="60E0D293">
            <w:pPr>
              <w:pStyle w:val="20"/>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Times New Roman" w:hAnsi="Times New Roman" w:eastAsia="Times New Roman"/>
                <w:color w:val="auto"/>
                <w:sz w:val="24"/>
                <w:szCs w:val="24"/>
                <w:lang w:val="zh-CN"/>
              </w:rPr>
            </w:pPr>
            <w:r>
              <w:rPr>
                <w:rFonts w:hint="eastAsia" w:ascii="Times New Roman" w:hAnsi="Times New Roman" w:eastAsia="宋体"/>
                <w:color w:val="auto"/>
                <w:sz w:val="24"/>
                <w:szCs w:val="24"/>
                <w:lang w:val="en-US" w:eastAsia="zh-CN"/>
              </w:rPr>
              <w:t>③</w:t>
            </w:r>
            <w:r>
              <w:rPr>
                <w:rFonts w:hint="default" w:ascii="Times New Roman" w:hAnsi="Times New Roman" w:eastAsia="Times New Roman"/>
                <w:color w:val="auto"/>
                <w:sz w:val="24"/>
                <w:szCs w:val="24"/>
                <w:lang w:val="zh-CN"/>
              </w:rPr>
              <w:t>在耕地中施工时，可将表层 25cm 的土壤集中堆放，施工结束后地表土壤作为生态恢复用土，分层开挖、分层堆放，以保持耕地肥力和作物正常生长。</w:t>
            </w:r>
          </w:p>
          <w:p w14:paraId="401A0C0C">
            <w:pPr>
              <w:pStyle w:val="20"/>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④</w:t>
            </w:r>
            <w:r>
              <w:rPr>
                <w:rFonts w:ascii="宋体" w:hAnsi="宋体" w:eastAsia="宋体" w:cs="宋体"/>
                <w:b w:val="0"/>
                <w:bCs w:val="0"/>
                <w:color w:val="auto"/>
                <w:sz w:val="24"/>
                <w:szCs w:val="24"/>
              </w:rPr>
              <w:t>施工结束后做好耕地的恢复工作。清理施工作业区域内产生的废弃物。 应按国务院颁发的《土地复垦条例》、国土资源部颁发的《土地复垦条例实施办 法》的规定进行复垦。凡受到施工车辆、机械破坏的地方，都要及时修整，恢复 原貌，植被（自然的、人工的）破坏应在施工结束后的当年或来年予以恢复</w:t>
            </w:r>
            <w:r>
              <w:rPr>
                <w:rFonts w:hint="eastAsia" w:ascii="宋体" w:hAnsi="宋体" w:eastAsia="宋体" w:cs="宋体"/>
                <w:b w:val="0"/>
                <w:bCs w:val="0"/>
                <w:color w:val="auto"/>
                <w:sz w:val="24"/>
                <w:szCs w:val="24"/>
                <w:lang w:eastAsia="zh-CN"/>
              </w:rPr>
              <w:t>。</w:t>
            </w:r>
          </w:p>
          <w:p w14:paraId="5DFDA280">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Times New Roman"/>
                <w:color w:val="auto"/>
                <w:sz w:val="24"/>
                <w:szCs w:val="24"/>
                <w:lang w:val="zh-CN"/>
              </w:rPr>
            </w:pPr>
            <w:r>
              <w:rPr>
                <w:rFonts w:hint="eastAsia" w:ascii="宋体" w:hAnsi="宋体" w:eastAsia="宋体" w:cs="宋体"/>
                <w:b w:val="0"/>
                <w:bCs w:val="0"/>
                <w:color w:val="auto"/>
                <w:sz w:val="24"/>
                <w:szCs w:val="24"/>
                <w:lang w:val="en-US" w:eastAsia="zh-CN"/>
              </w:rPr>
              <w:t>⑤</w:t>
            </w:r>
            <w:r>
              <w:rPr>
                <w:rFonts w:hint="default" w:ascii="Times New Roman" w:hAnsi="Times New Roman" w:eastAsia="Times New Roman"/>
                <w:color w:val="auto"/>
                <w:sz w:val="24"/>
                <w:szCs w:val="24"/>
                <w:lang w:val="zh-CN"/>
              </w:rPr>
              <w:t>严禁施工车辆在耕地区到处乱碾乱压，应严格限制在已有的道路和作业区行驶，防止对周围土壤和作物产生破坏。</w:t>
            </w:r>
          </w:p>
          <w:p w14:paraId="7BF541D6">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Times New Roman"/>
                <w:color w:val="auto"/>
                <w:sz w:val="24"/>
                <w:szCs w:val="24"/>
                <w:lang w:val="zh-CN"/>
              </w:rPr>
            </w:pPr>
            <w:r>
              <w:rPr>
                <w:rFonts w:hint="eastAsia" w:ascii="Times New Roman" w:hAnsi="Times New Roman" w:eastAsia="宋体"/>
                <w:color w:val="auto"/>
                <w:sz w:val="24"/>
                <w:szCs w:val="24"/>
                <w:lang w:val="en-US" w:eastAsia="zh-CN"/>
              </w:rPr>
              <w:t>⑥</w:t>
            </w:r>
            <w:r>
              <w:rPr>
                <w:rFonts w:hint="default" w:ascii="Times New Roman" w:hAnsi="Times New Roman" w:eastAsia="Times New Roman"/>
                <w:color w:val="auto"/>
                <w:sz w:val="24"/>
                <w:szCs w:val="24"/>
                <w:lang w:val="zh-CN"/>
              </w:rPr>
              <w:t>废弃的施工原料均运至规定的地点进行存放，禁止向施工区域附近的耕地内倾倒。</w:t>
            </w:r>
          </w:p>
          <w:p w14:paraId="0757DC25">
            <w:pPr>
              <w:pStyle w:val="20"/>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olor w:val="auto"/>
                <w:sz w:val="24"/>
                <w:szCs w:val="24"/>
                <w:lang w:val="en-US" w:eastAsia="zh-CN"/>
              </w:rPr>
              <w:t>⑦</w:t>
            </w:r>
            <w:r>
              <w:rPr>
                <w:rFonts w:hint="default" w:ascii="Times New Roman" w:hAnsi="Times New Roman" w:eastAsia="Times New Roman"/>
                <w:color w:val="auto"/>
                <w:sz w:val="24"/>
                <w:szCs w:val="24"/>
                <w:lang w:val="zh-CN"/>
              </w:rPr>
              <w:t>加强对施工人员的教育、监督和管理，积极倡导文明施工。</w:t>
            </w:r>
          </w:p>
          <w:p w14:paraId="526B8F6B">
            <w:pPr>
              <w:pStyle w:val="20"/>
              <w:widowControl w:val="0"/>
              <w:ind w:left="0" w:leftChars="0" w:firstLine="0" w:firstLineChars="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w:t>
            </w:r>
            <w:r>
              <w:rPr>
                <w:rFonts w:hint="eastAsia"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生态恢复方案</w:t>
            </w:r>
          </w:p>
          <w:p w14:paraId="449BCAD0">
            <w:pPr>
              <w:pStyle w:val="20"/>
              <w:widowControl w:val="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根据《关于加强沙区建设项目环境影响评价工作的通知》、《陆上石油天然气开采业绿色矿山建设规范》（DZ/T 0317-2018）</w:t>
            </w:r>
            <w:r>
              <w:rPr>
                <w:rFonts w:hint="default" w:ascii="Times New Roman" w:hAnsi="Times New Roman" w:eastAsia="宋体" w:cs="Times New Roman"/>
                <w:color w:val="auto"/>
                <w:sz w:val="24"/>
                <w:szCs w:val="24"/>
                <w:highlight w:val="none"/>
                <w:lang w:val="en-US" w:eastAsia="zh-CN"/>
              </w:rPr>
              <w:t>的有</w:t>
            </w:r>
            <w:r>
              <w:rPr>
                <w:rFonts w:hint="eastAsia" w:ascii="Times New Roman" w:hAnsi="Times New Roman" w:eastAsia="宋体" w:cs="Times New Roman"/>
                <w:color w:val="auto"/>
                <w:sz w:val="24"/>
                <w:szCs w:val="24"/>
                <w:highlight w:val="none"/>
                <w:lang w:val="en-US" w:eastAsia="zh-CN"/>
              </w:rPr>
              <w:t>关</w:t>
            </w:r>
            <w:r>
              <w:rPr>
                <w:rFonts w:hint="default" w:ascii="Times New Roman" w:hAnsi="Times New Roman" w:eastAsia="宋体" w:cs="Times New Roman"/>
                <w:color w:val="auto"/>
                <w:sz w:val="24"/>
                <w:szCs w:val="24"/>
                <w:highlight w:val="none"/>
                <w:lang w:val="en-US" w:eastAsia="zh-CN"/>
              </w:rPr>
              <w:t>要求进行生态恢复。</w:t>
            </w:r>
            <w:r>
              <w:rPr>
                <w:rFonts w:hint="default" w:ascii="Times New Roman" w:hAnsi="Times New Roman" w:eastAsia="宋体" w:cs="Times New Roman"/>
                <w:color w:val="auto"/>
                <w:sz w:val="24"/>
                <w:szCs w:val="24"/>
                <w:highlight w:val="none"/>
              </w:rPr>
              <w:t>施工前需对占地范围内表土进行剥离，剥离后用砂石料对井场和探临道路进行铺垫，剥离表土单独堆放，用于完井后临时占地的恢复。施工结束后，施工单位应负责及时清理现场，做到井场整洁、无杂物，完井后施工机械、设备及时撤离，对生活营地和探临道路等占地进行清理平整，废水和固体废物全部妥善处置，禁止现场遗留；尽量利用井场及探临道路施工时产生的表层土对临时占地进行覆盖，植被主要靠自然恢复。施工为分段施工，建议</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边施工、边修复</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具体措施如下：</w:t>
            </w:r>
          </w:p>
          <w:p w14:paraId="23A96A64">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（1）井场生态恢复措施</w:t>
            </w:r>
          </w:p>
          <w:p w14:paraId="4D3D9AA8">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陆上石油天然气开采业绿色矿山建设规范》（DZ/T0317-2018）所有施工范围需进行生态环境保护与恢复治理。工程施工结束后，应对井场临时占地内的土地进行平整，恢复原有地貌。充分利用前期已收集的表土覆盖于井场表层，覆盖厚度根据植被类型和场地用途确定。减少植被破坏，减缓水土流失，抵制沙漠化发展将起到一定的积极作用。</w:t>
            </w:r>
          </w:p>
          <w:p w14:paraId="711FD56E">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（2）道路生态恢复措施</w:t>
            </w:r>
          </w:p>
          <w:p w14:paraId="7A3FD9D7">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开挖路基及取弃土工程均应根据道路施工进度有计划地进行表土剥离并保存。工程结束后，弃土应及时回填、平整、压实，并利用堆存的表土对临时占地进行植被和景观恢复，与原有地貌和景观协调。临时占地的土壤恢复按照《土壤环境质量农用地土壤污染风险管控标准（试行）》（GB15618-2018）管理控制。</w:t>
            </w:r>
          </w:p>
          <w:p w14:paraId="65FF612B">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（3）水土流失防治措施</w:t>
            </w:r>
          </w:p>
          <w:p w14:paraId="1CE6FB6C">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施工时，首先要特别注意保护地表与植被，划定施工活动范围，严格控制和管理车辆及重型机械的行驶范围，所有车辆采用“一”字形作业法，避免并行开辟新路，以减少风蚀沙化活动的范围；施工中严格按照施工占地要求，划定适宜的堆料场。路基修筑开挖等作业避免在大风天施工；严格按规划的施工范围进行施工作业，不得随意开辟施工便道。施工车辆不得随意驶离便道。施工后期，及时做好施工后期的迹地恢复工作，包括土地平整，创造局部小环境以利于植被的恢复等。建设单位在保证做到以上措施的情况下，对防止风沙流动、促进生态环境的恢复会起到良好作用，可将水土流失的程度降低到最小限度。</w:t>
            </w:r>
          </w:p>
          <w:p w14:paraId="31C5B770">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）闭井期生态修复措施</w:t>
            </w:r>
          </w:p>
          <w:p w14:paraId="2E8CBC58">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根据《矿山生态环境保护与恢复治理技术规范</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试行</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》(HJ651-2013)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《陆上石油天然气开采业绿色矿山建设规范》（DZ/T0317-2018）和《废弃井封井回填</w:t>
            </w:r>
            <w:r>
              <w:rPr>
                <w:rFonts w:hint="eastAsia" w:ascii="Times New Roman" w:hAnsi="Times New Roman" w:eastAsia="宋体" w:cs="Times New Roman"/>
                <w:color w:val="auto"/>
                <w:sz w:val="24"/>
                <w:szCs w:val="24"/>
                <w:highlight w:val="none"/>
                <w:lang w:eastAsia="zh-CN"/>
              </w:rPr>
              <w:t>技术</w:t>
            </w:r>
            <w:r>
              <w:rPr>
                <w:rFonts w:hint="default" w:ascii="Times New Roman" w:hAnsi="Times New Roman" w:eastAsia="宋体" w:cs="Times New Roman"/>
                <w:color w:val="auto"/>
                <w:sz w:val="24"/>
                <w:szCs w:val="24"/>
                <w:highlight w:val="none"/>
              </w:rPr>
              <w:t>指南（试行）》中的相关要求，勘探活动结束后，应根据景观相似原则，对勘探活动造成的土壤、植被和地表景观破坏进行恢复。</w:t>
            </w:r>
          </w:p>
          <w:p w14:paraId="66701B81">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①对水文地质条件及道路安全有影响或重要建筑物附近的钻孔或坑井应予回填封闭，并恢复其原有生态功能。</w:t>
            </w:r>
          </w:p>
          <w:p w14:paraId="2A0A6B60">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②井场道路用地应严格控制占地面积和范围。</w:t>
            </w:r>
          </w:p>
          <w:p w14:paraId="4165A0F7">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道路建设及取弃土工程，均应根据道路施工进度有计划地进行表土剥离并保存，必要时应设置截排水沟、挡土墙等相应保护措施。井场道路取弃土工程结束后，弃土场应及时回填、整平、压实，并利用堆存的表土进行植被和景观恢复。道路建设施工结束后，临时占地应及时恢复，与原有地貌和景观协调。</w:t>
            </w:r>
          </w:p>
          <w:p w14:paraId="45D305FF">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④对项目区域不再使用的各项临时建（构）筑物和基础设施应全部拆除，并进行景观和植被恢复。转为其他用途的，应开展污染场地调查、风险评估与修复治理。</w:t>
            </w:r>
          </w:p>
          <w:p w14:paraId="242A4C86">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⑤试油期伴生气燃烧放空应远离耕地、植被等。</w:t>
            </w:r>
          </w:p>
          <w:p w14:paraId="4D37EF91">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⑥勘探后的封闭井应将井口封堵完整，采取遮挡和防护措施，并设立警示牌。</w:t>
            </w:r>
          </w:p>
          <w:p w14:paraId="2D8FA308">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《废弃井封井回填</w:t>
            </w:r>
            <w:r>
              <w:rPr>
                <w:rFonts w:hint="eastAsia" w:ascii="Times New Roman" w:hAnsi="Times New Roman" w:eastAsia="宋体" w:cs="Times New Roman"/>
                <w:color w:val="auto"/>
                <w:sz w:val="24"/>
                <w:szCs w:val="24"/>
                <w:highlight w:val="none"/>
                <w:lang w:eastAsia="zh-CN"/>
              </w:rPr>
              <w:t>技术</w:t>
            </w:r>
            <w:r>
              <w:rPr>
                <w:rFonts w:hint="default" w:ascii="Times New Roman" w:hAnsi="Times New Roman" w:eastAsia="宋体" w:cs="Times New Roman"/>
                <w:color w:val="auto"/>
                <w:sz w:val="24"/>
                <w:szCs w:val="24"/>
                <w:highlight w:val="none"/>
              </w:rPr>
              <w:t>指南（试行）》中的相关要求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封井回填</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①回填前，资料不全的井，应根据现场情况，开展调查工作，摸清废弃井（筒）管现状。②回填时，应根据不同环境风险等级对应的要求开展回填工作，或采用更严格的回填要求进行回填；回填材料应无污染，不得使用可能对地下水造成污染的材料。③回填后，应开展井盖封堵或密闭填充，确保地表污染物不进入井内，各层位地下水不连通。建设单位将作为生态修复实施的主体。</w:t>
            </w:r>
          </w:p>
          <w:p w14:paraId="49ABF77F">
            <w:pPr>
              <w:pStyle w:val="20"/>
              <w:widowControl w:val="0"/>
              <w:numPr>
                <w:ilvl w:val="0"/>
                <w:numId w:val="0"/>
              </w:numPr>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补偿措施</w:t>
            </w:r>
          </w:p>
          <w:p w14:paraId="69B8ADEA">
            <w:pPr>
              <w:pStyle w:val="20"/>
              <w:widowControl w:val="0"/>
              <w:numPr>
                <w:ilvl w:val="0"/>
                <w:numId w:val="0"/>
              </w:numPr>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依法依规办理用地审批手续，并对因项目实施造成的生态损失予以经济补偿，足额缴纳生态经济补偿费。</w:t>
            </w:r>
          </w:p>
          <w:p w14:paraId="17409B63">
            <w:pPr>
              <w:widowControl/>
              <w:snapToGrid w:val="0"/>
              <w:spacing w:line="50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上述生态环境保护措施均为技术可行、经济合理、稳定可靠、便于实施的成熟措施，在油气田勘探过程中得到广泛应用。采取上述措施后，可有效减轻对野生动植物及水土流失的不利影响，施工过程中对周围生态环境的破坏可降低至可接受水平。</w:t>
            </w:r>
          </w:p>
          <w:p w14:paraId="6CB025C7">
            <w:pPr>
              <w:widowControl/>
              <w:snapToGrid w:val="0"/>
              <w:spacing w:line="500" w:lineRule="exact"/>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井场防沙治沙防治措施</w:t>
            </w:r>
          </w:p>
          <w:p w14:paraId="122C75C5">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本次评价要求建设单位严格按照《中华人民共和国防沙治沙法》（2018）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《关于加强沙区建设项目环境影响评价工作的通知》（新环环评发〔2020〕138号）</w:t>
            </w:r>
            <w:r>
              <w:rPr>
                <w:rFonts w:hint="default" w:ascii="Times New Roman" w:hAnsi="Times New Roman" w:eastAsia="宋体" w:cs="Times New Roman"/>
                <w:color w:val="auto"/>
                <w:sz w:val="24"/>
                <w:szCs w:val="24"/>
                <w:highlight w:val="none"/>
                <w:lang w:val="en-US" w:eastAsia="zh-CN"/>
              </w:rPr>
              <w:t>和</w:t>
            </w:r>
            <w:r>
              <w:rPr>
                <w:rFonts w:hint="default" w:ascii="Times New Roman" w:hAnsi="Times New Roman" w:eastAsia="宋体" w:cs="Times New Roman"/>
                <w:color w:val="auto"/>
                <w:sz w:val="24"/>
                <w:szCs w:val="24"/>
                <w:highlight w:val="none"/>
              </w:rPr>
              <w:t>《新疆维吾尔自治区实施〈中华人民共和国防沙治沙法〉办法》中有关规定，执行以下防沙治沙措施：</w:t>
            </w:r>
          </w:p>
          <w:p w14:paraId="6857C881">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val="en-US" w:eastAsia="zh-CN"/>
              </w:rPr>
              <w:t>加强</w:t>
            </w:r>
            <w:r>
              <w:rPr>
                <w:rFonts w:hint="default" w:ascii="Times New Roman" w:hAnsi="Times New Roman" w:eastAsia="宋体" w:cs="Times New Roman"/>
                <w:color w:val="auto"/>
                <w:sz w:val="24"/>
                <w:szCs w:val="24"/>
                <w:highlight w:val="none"/>
              </w:rPr>
              <w:t>宣传《中华人民共和国防沙治沙法》</w:t>
            </w:r>
            <w:r>
              <w:rPr>
                <w:rFonts w:hint="default" w:ascii="Times New Roman" w:hAnsi="Times New Roman" w:eastAsia="宋体" w:cs="Times New Roman"/>
                <w:color w:val="auto"/>
                <w:sz w:val="24"/>
                <w:szCs w:val="24"/>
                <w:highlight w:val="none"/>
                <w:lang w:val="en-US" w:eastAsia="zh-CN"/>
              </w:rPr>
              <w:t>和</w:t>
            </w:r>
            <w:r>
              <w:rPr>
                <w:rFonts w:hint="default" w:ascii="Times New Roman" w:hAnsi="Times New Roman" w:eastAsia="宋体" w:cs="Times New Roman"/>
                <w:color w:val="auto"/>
                <w:sz w:val="24"/>
                <w:szCs w:val="24"/>
                <w:highlight w:val="none"/>
              </w:rPr>
              <w:t>《新疆维吾尔自治区实施〈中华人民共和国防沙治沙法〉办法》，使施工人员知法、懂法、守法，自觉保护林草植被，自觉履行防治义务；</w:t>
            </w:r>
          </w:p>
          <w:p w14:paraId="5F661631">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）优化施工组织，缩短施工时间，避免在大风天气作业，避免造成土壤风蚀影响；</w:t>
            </w:r>
          </w:p>
          <w:p w14:paraId="21EBE0DF">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严格控制井场、道路等工程的临时占地，按施工方案严格控制扰动范围；</w:t>
            </w:r>
          </w:p>
          <w:p w14:paraId="32FB6D6D">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道路施工时，划定施工活动范围，严格控制和管理车辆及重型机械的运行范围，所有车辆采用“一”字型作业法，临探道路应选取最短路径与油田现有公路相连接，不开辟新路，以减少风蚀沙化活动的范围；</w:t>
            </w:r>
          </w:p>
          <w:p w14:paraId="1BF1FCE9">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应在施工场地外围迎风面一侧设置移动式围挡，最大限度减少因风力作用加重局部区域沙化；</w:t>
            </w:r>
          </w:p>
          <w:p w14:paraId="2B658589">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施工结束时，应拆除并移走全部施工设备，清理所有施工固废，将井场、道路等临时占地范围进行平整，并覆土压实覆盖一层砾石，防止风蚀现象发生；</w:t>
            </w:r>
          </w:p>
          <w:p w14:paraId="2897FB61">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为减少因施工破坏植被造成局部区域的沙化，本环评要求建设单位和施工人员须征得当地林业管理部门的批准后方可开展施工作业。建议尽可能完整保存拟建选址区域的原生植株，在施工期结束后恢复原有植被或栽种同类沙地植物，最大限度减少沙化的可能性；</w:t>
            </w:r>
          </w:p>
          <w:p w14:paraId="56C39FCA">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对于无植被生长的纯沙地区域，在施工结束时建议对遭受扰动的临时占地区域设置草方格进行固沙，阻止沙化进一步发展；</w:t>
            </w:r>
          </w:p>
          <w:p w14:paraId="47176E5D">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施工过程中及施工期结束土壤环境恢复过程中发现临时占用土地出现沙化或者沙化程度加重的，应当及时报告当地生态环境部门和人民政府，并根据专业意见开展防沙治沙措施；</w:t>
            </w:r>
          </w:p>
          <w:p w14:paraId="00FC1CE1">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通过采取上述措施，可将项目建设对所在区域土壤环境造成的水土流失和沙化影响降至可接受水平。</w:t>
            </w:r>
          </w:p>
          <w:p w14:paraId="368CA55E">
            <w:pPr>
              <w:pStyle w:val="20"/>
              <w:widowControl w:val="0"/>
              <w:ind w:left="0" w:leftChars="0" w:firstLine="0" w:firstLineChars="0"/>
              <w:rPr>
                <w:rFonts w:hint="default" w:ascii="Times New Roman" w:hAnsi="Times New Roman" w:eastAsia="宋体" w:cs="Times New Roman"/>
                <w:b/>
                <w:bCs/>
                <w:color w:val="auto"/>
                <w:sz w:val="24"/>
                <w:szCs w:val="24"/>
                <w:highlight w:val="none"/>
              </w:rPr>
            </w:pPr>
            <w:bookmarkStart w:id="25" w:name="OLE_LINK48"/>
            <w:r>
              <w:rPr>
                <w:rFonts w:hint="default" w:ascii="Times New Roman" w:hAnsi="Times New Roman" w:eastAsia="宋体" w:cs="Times New Roman"/>
                <w:b/>
                <w:bCs/>
                <w:color w:val="auto"/>
                <w:sz w:val="24"/>
                <w:szCs w:val="24"/>
                <w:highlight w:val="none"/>
              </w:rPr>
              <w:t>3</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大气污染防治措施</w:t>
            </w:r>
          </w:p>
          <w:bookmarkEnd w:id="25"/>
          <w:p w14:paraId="1D97D900">
            <w:pPr>
              <w:pStyle w:val="20"/>
              <w:widowControl w:val="0"/>
              <w:jc w:val="both"/>
              <w:rPr>
                <w:rFonts w:hint="default" w:ascii="Times New Roman" w:hAnsi="Times New Roman" w:eastAsia="宋体" w:cs="Times New Roman"/>
                <w:color w:val="auto"/>
                <w:sz w:val="24"/>
                <w:szCs w:val="24"/>
                <w:highlight w:val="none"/>
              </w:rPr>
            </w:pPr>
            <w:bookmarkStart w:id="26" w:name="OLE_LINK49"/>
            <w:bookmarkStart w:id="27" w:name="_Hlk176185340"/>
            <w:r>
              <w:rPr>
                <w:rFonts w:hint="default" w:ascii="Times New Roman" w:hAnsi="Times New Roman" w:eastAsia="宋体" w:cs="Times New Roman"/>
                <w:color w:val="auto"/>
                <w:sz w:val="24"/>
                <w:szCs w:val="24"/>
                <w:highlight w:val="none"/>
              </w:rPr>
              <w:t>（1）使用符合国家标准的油品，加强机械、车辆的维护。</w:t>
            </w:r>
          </w:p>
          <w:bookmarkEnd w:id="26"/>
          <w:p w14:paraId="2FD05EBE">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（2）施工现场运输车辆应低速慢行、不得超载，并采取密闭或遮盖措施；车辆沿道路行驶，不得随意开设便道。</w:t>
            </w:r>
          </w:p>
          <w:p w14:paraId="7B5A6C55">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（3）易起尘物料在运输、存放时应加盖遮盖物，最大限度防止扬尘扩散。</w:t>
            </w:r>
          </w:p>
          <w:p w14:paraId="3ED8FDE3">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试油期产生的伴生气气量不稳定，不具备回收利用条件，经排气管线充分燃烧后排放。应定期检查伴生气燃烧设备，加强燃烧设备的运营维护，确保伴生气充分燃烧，以减轻燃烧废气对区域大气环境质量的不良影响。</w:t>
            </w:r>
          </w:p>
          <w:p w14:paraId="294AB8C5">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（5）试油期加强采出液储罐管理、装卸必须采取密闭装载方式，尽可能减少无组织挥发性有机物的排放。</w:t>
            </w:r>
          </w:p>
          <w:p w14:paraId="7125388A">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（6）</w:t>
            </w:r>
            <w:r>
              <w:rPr>
                <w:rFonts w:hint="default" w:ascii="Times New Roman" w:hAnsi="Times New Roman" w:eastAsia="宋体" w:cs="Times New Roman"/>
                <w:color w:val="auto"/>
                <w:spacing w:val="-4"/>
                <w:sz w:val="24"/>
                <w:szCs w:val="24"/>
                <w:highlight w:val="none"/>
              </w:rPr>
              <w:t>柴油储罐采用固定顶罐，井场内柴油罐容积为</w:t>
            </w:r>
            <w:r>
              <w:rPr>
                <w:rFonts w:hint="default" w:ascii="Times New Roman" w:hAnsi="Times New Roman" w:eastAsia="宋体" w:cs="Times New Roman"/>
                <w:color w:val="auto"/>
                <w:spacing w:val="-4"/>
                <w:sz w:val="24"/>
                <w:szCs w:val="24"/>
                <w:highlight w:val="none"/>
                <w:lang w:val="en-US" w:eastAsia="zh-CN"/>
              </w:rPr>
              <w:t>2</w:t>
            </w:r>
            <w:r>
              <w:rPr>
                <w:rFonts w:hint="default" w:ascii="Times New Roman" w:hAnsi="Times New Roman" w:eastAsia="宋体" w:cs="Times New Roman"/>
                <w:color w:val="auto"/>
                <w:spacing w:val="-4"/>
                <w:sz w:val="24"/>
                <w:szCs w:val="24"/>
                <w:highlight w:val="none"/>
              </w:rPr>
              <w:t>0m</w:t>
            </w:r>
            <w:r>
              <w:rPr>
                <w:rFonts w:hint="default" w:ascii="Times New Roman" w:hAnsi="Times New Roman" w:eastAsia="宋体" w:cs="Times New Roman"/>
                <w:color w:val="auto"/>
                <w:spacing w:val="-4"/>
                <w:sz w:val="24"/>
                <w:szCs w:val="24"/>
                <w:highlight w:val="none"/>
                <w:vertAlign w:val="superscript"/>
              </w:rPr>
              <w:t>3</w:t>
            </w:r>
            <w:r>
              <w:rPr>
                <w:rFonts w:hint="default" w:ascii="Times New Roman" w:hAnsi="Times New Roman" w:eastAsia="宋体" w:cs="Times New Roman"/>
                <w:color w:val="auto"/>
                <w:spacing w:val="-4"/>
                <w:sz w:val="24"/>
                <w:szCs w:val="24"/>
                <w:highlight w:val="none"/>
              </w:rPr>
              <w:t>，小于75m</w:t>
            </w:r>
            <w:r>
              <w:rPr>
                <w:rFonts w:hint="default" w:ascii="Times New Roman" w:hAnsi="Times New Roman" w:eastAsia="宋体" w:cs="Times New Roman"/>
                <w:color w:val="auto"/>
                <w:spacing w:val="-4"/>
                <w:sz w:val="24"/>
                <w:szCs w:val="24"/>
                <w:highlight w:val="none"/>
                <w:vertAlign w:val="superscript"/>
              </w:rPr>
              <w:t>3</w:t>
            </w:r>
            <w:r>
              <w:rPr>
                <w:rFonts w:hint="default" w:ascii="Times New Roman" w:hAnsi="Times New Roman" w:eastAsia="宋体" w:cs="Times New Roman"/>
                <w:color w:val="auto"/>
                <w:spacing w:val="-4"/>
                <w:sz w:val="24"/>
                <w:szCs w:val="24"/>
                <w:highlight w:val="none"/>
              </w:rPr>
              <w:t>，且柴油真实蒸气压小于27.6kPa，按照《挥发性有机物无组织排放控制标准》（GB37822-2019）中要求可不采取油罐烃蒸气回收措施。施工期应加强储罐的检修和维护，柴油储罐罐体应保持完好，不应有孔洞；储罐附件开口（孔），除采样、计量和例行检查、维护和其他正常活动外，应密闭；定期监测呼吸阀的定压是否符合设定要求</w:t>
            </w:r>
            <w:r>
              <w:rPr>
                <w:rFonts w:hint="default" w:ascii="Times New Roman" w:hAnsi="Times New Roman" w:eastAsia="宋体" w:cs="Times New Roman"/>
                <w:color w:val="auto"/>
                <w:sz w:val="24"/>
                <w:szCs w:val="24"/>
                <w:highlight w:val="none"/>
              </w:rPr>
              <w:t>。</w:t>
            </w:r>
          </w:p>
          <w:p w14:paraId="09798614">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（7）水基钻井岩屑暂存于罐中，及时转运。</w:t>
            </w:r>
          </w:p>
          <w:p w14:paraId="6A99CD94">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以上防治措施，简单可行，具有可操作性，施工扬尘影响能够减缓到可以接受的程度。</w:t>
            </w:r>
          </w:p>
          <w:bookmarkEnd w:id="27"/>
          <w:p w14:paraId="4B551317">
            <w:pPr>
              <w:widowControl/>
              <w:numPr>
                <w:ilvl w:val="0"/>
                <w:numId w:val="7"/>
              </w:numPr>
              <w:snapToGrid w:val="0"/>
              <w:spacing w:line="500" w:lineRule="exact"/>
              <w:rPr>
                <w:rFonts w:hint="default" w:ascii="Times New Roman" w:hAnsi="Times New Roman" w:eastAsia="宋体" w:cs="Times New Roman"/>
                <w:b/>
                <w:bCs/>
                <w:color w:val="auto"/>
                <w:sz w:val="24"/>
                <w:szCs w:val="24"/>
                <w:highlight w:val="none"/>
              </w:rPr>
            </w:pPr>
            <w:bookmarkStart w:id="28" w:name="_Hlk136795800"/>
            <w:r>
              <w:rPr>
                <w:rFonts w:hint="default" w:ascii="Times New Roman" w:hAnsi="Times New Roman" w:eastAsia="宋体" w:cs="Times New Roman"/>
                <w:b/>
                <w:bCs/>
                <w:color w:val="auto"/>
                <w:sz w:val="24"/>
                <w:szCs w:val="24"/>
                <w:highlight w:val="none"/>
              </w:rPr>
              <w:t>水污染防治措施</w:t>
            </w:r>
          </w:p>
          <w:p w14:paraId="0D457FE0">
            <w:pPr>
              <w:widowControl/>
              <w:numPr>
                <w:ilvl w:val="0"/>
                <w:numId w:val="0"/>
              </w:numPr>
              <w:snapToGrid w:val="0"/>
              <w:spacing w:line="500" w:lineRule="exact"/>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4.1生活污水</w:t>
            </w:r>
          </w:p>
          <w:p w14:paraId="1C1297DF">
            <w:pPr>
              <w:widowControl/>
              <w:snapToGrid w:val="0"/>
              <w:spacing w:line="500" w:lineRule="exact"/>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4.1</w:t>
            </w: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生活污水</w:t>
            </w:r>
            <w:r>
              <w:rPr>
                <w:rFonts w:hint="eastAsia" w:ascii="Times New Roman" w:hAnsi="Times New Roman" w:eastAsia="宋体" w:cs="Times New Roman"/>
                <w:b/>
                <w:bCs/>
                <w:color w:val="auto"/>
                <w:sz w:val="24"/>
                <w:szCs w:val="24"/>
                <w:highlight w:val="none"/>
                <w:lang w:val="en-US" w:eastAsia="zh-CN"/>
              </w:rPr>
              <w:t>基本情况及其去向</w:t>
            </w:r>
          </w:p>
          <w:p w14:paraId="619A4537">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施工期生活污水产生量约</w:t>
            </w:r>
            <w:r>
              <w:rPr>
                <w:rFonts w:hint="eastAsia" w:ascii="Times New Roman" w:hAnsi="Times New Roman" w:eastAsia="宋体" w:cs="Times New Roman"/>
                <w:color w:val="auto"/>
                <w:sz w:val="24"/>
                <w:szCs w:val="24"/>
                <w:highlight w:val="none"/>
                <w:lang w:val="en-US" w:eastAsia="zh-CN"/>
              </w:rPr>
              <w:t>840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，排入生活营地临时防渗收集池暂存，定期由</w:t>
            </w:r>
            <w:r>
              <w:rPr>
                <w:rFonts w:hint="eastAsia" w:ascii="Times New Roman" w:hAnsi="Times New Roman" w:eastAsia="宋体" w:cs="Times New Roman"/>
                <w:color w:val="auto"/>
                <w:sz w:val="24"/>
                <w:szCs w:val="24"/>
                <w:highlight w:val="none"/>
                <w:lang w:val="en-US" w:eastAsia="zh-CN"/>
              </w:rPr>
              <w:t>施工队采用</w:t>
            </w:r>
            <w:r>
              <w:rPr>
                <w:rFonts w:hint="default" w:ascii="Times New Roman" w:hAnsi="Times New Roman" w:eastAsia="宋体" w:cs="Times New Roman"/>
                <w:color w:val="auto"/>
                <w:sz w:val="24"/>
                <w:szCs w:val="24"/>
                <w:highlight w:val="none"/>
              </w:rPr>
              <w:t>密闭式吸污罐车抽出后运至吉木萨尔县污水处理厂处理。生活污水收集池采用HDPE防渗膜防渗，完井后撤除防渗膜对防渗池进行填埋。</w:t>
            </w:r>
          </w:p>
          <w:p w14:paraId="44ADD27E">
            <w:pPr>
              <w:widowControl/>
              <w:snapToGrid w:val="0"/>
              <w:spacing w:line="500" w:lineRule="exact"/>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4.1.2生活污水拉运方案的可行性分析</w:t>
            </w:r>
          </w:p>
          <w:p w14:paraId="3271876A">
            <w:pPr>
              <w:widowControl w:val="0"/>
              <w:snapToGrid w:val="0"/>
              <w:spacing w:line="500" w:lineRule="exact"/>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区域内防渗收集池与距离约20km，运输距离较短，施工队操作较为方便，施工期生活污水主要污染物成分与污水处理厂处理污染物成分一致，同时避免了生活污水乱排，符合环保要求，因此生活污水拉运方案具有可行性。</w:t>
            </w:r>
          </w:p>
          <w:p w14:paraId="7D2D0447">
            <w:pPr>
              <w:widowControl w:val="0"/>
              <w:snapToGrid w:val="0"/>
              <w:spacing w:line="500" w:lineRule="exact"/>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4.1.3</w:t>
            </w:r>
            <w:r>
              <w:rPr>
                <w:rFonts w:hint="eastAsia" w:ascii="Times New Roman" w:hAnsi="Times New Roman" w:eastAsia="宋体" w:cs="Times New Roman"/>
                <w:b/>
                <w:bCs/>
                <w:color w:val="auto"/>
                <w:sz w:val="24"/>
                <w:szCs w:val="24"/>
                <w:highlight w:val="none"/>
                <w:lang w:val="en-US" w:eastAsia="zh-CN"/>
              </w:rPr>
              <w:t>吉</w:t>
            </w:r>
            <w:r>
              <w:rPr>
                <w:rFonts w:hint="default" w:ascii="Times New Roman" w:hAnsi="Times New Roman" w:eastAsia="宋体" w:cs="Times New Roman"/>
                <w:b/>
                <w:bCs/>
                <w:color w:val="auto"/>
                <w:sz w:val="24"/>
                <w:szCs w:val="24"/>
                <w:highlight w:val="none"/>
                <w:lang w:val="en-US" w:eastAsia="zh-CN"/>
              </w:rPr>
              <w:t>木萨尔县污水处理厂</w:t>
            </w:r>
            <w:r>
              <w:rPr>
                <w:rFonts w:hint="eastAsia" w:ascii="Times New Roman" w:hAnsi="Times New Roman" w:eastAsia="宋体" w:cs="Times New Roman"/>
                <w:b/>
                <w:bCs/>
                <w:color w:val="auto"/>
                <w:sz w:val="24"/>
                <w:szCs w:val="24"/>
                <w:highlight w:val="none"/>
                <w:lang w:val="en-US" w:eastAsia="zh-CN"/>
              </w:rPr>
              <w:t>的依托可行性分析</w:t>
            </w:r>
          </w:p>
          <w:p w14:paraId="70510303">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吉</w:t>
            </w:r>
            <w:r>
              <w:rPr>
                <w:rFonts w:hint="default" w:ascii="Times New Roman" w:hAnsi="Times New Roman" w:eastAsia="宋体" w:cs="Times New Roman"/>
                <w:color w:val="auto"/>
                <w:sz w:val="24"/>
                <w:szCs w:val="24"/>
                <w:highlight w:val="none"/>
              </w:rPr>
              <w:t>木萨尔县污水处理厂工程位于吉木萨尔县城东北15km处（张家庄子村北500m）。设计规模为处理污水量3万m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/d处理设施，实际建设规模为处理污水量1万m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/d。污水处理工艺采用</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强化脱氮改良A2/O+絮凝沉淀滤布滤池工艺</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，污泥处理工艺采用带式压榨脱水一体机浓缩脱水，消毒工艺采用紫外线消毒。项目处理能力1万m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/d，目前试运行中实际处理量在0.6～0.7万m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尾水输入北部荒漠地带做生态林用水。吉木萨尔县污水处理厂由新疆绿格洁瑞环境检测技术有限公司进行验收，验收监测期间，尾水排放浓度符合《城镇污水处理厂污染物排放标准》（GB18918-2002）中的一级A标准的要求。本项目施工期生活污水量</w:t>
            </w:r>
            <w:r>
              <w:rPr>
                <w:rFonts w:hint="default" w:ascii="Times New Roman" w:hAnsi="Times New Roman" w:eastAsia="宋体" w:cs="Times New Roman"/>
                <w:color w:val="auto"/>
                <w:sz w:val="24"/>
                <w:szCs w:val="24"/>
                <w:highlight w:val="none"/>
                <w:lang w:val="en-US" w:eastAsia="zh-CN"/>
              </w:rPr>
              <w:t>总共为2520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，吉木萨尔县污水处理厂剩余处理能力0.3～0.4万m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/d，可以满足本工程施工期生活污水处理需求。</w:t>
            </w:r>
          </w:p>
          <w:p w14:paraId="41B0EE79">
            <w:pPr>
              <w:widowControl w:val="0"/>
              <w:snapToGrid w:val="0"/>
              <w:spacing w:line="500" w:lineRule="exac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4.2</w:t>
            </w:r>
            <w:r>
              <w:rPr>
                <w:rFonts w:hint="default" w:ascii="Times New Roman" w:hAnsi="Times New Roman" w:eastAsia="宋体" w:cs="Times New Roman"/>
                <w:b/>
                <w:bCs/>
                <w:color w:val="auto"/>
                <w:sz w:val="24"/>
                <w:szCs w:val="24"/>
                <w:highlight w:val="none"/>
              </w:rPr>
              <w:t>试油废水</w:t>
            </w:r>
          </w:p>
          <w:p w14:paraId="3C24376C">
            <w:pPr>
              <w:widowControl w:val="0"/>
              <w:snapToGrid w:val="0"/>
              <w:spacing w:line="500" w:lineRule="exact"/>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4.2.1试油废水基本情况及其去向</w:t>
            </w:r>
          </w:p>
          <w:p w14:paraId="1C375AF3">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试油期产生的洗井废水和压裂返排液</w:t>
            </w:r>
            <w:r>
              <w:rPr>
                <w:rFonts w:hint="eastAsia" w:ascii="Times New Roman" w:hAnsi="Times New Roman" w:eastAsia="宋体" w:cs="Times New Roman"/>
                <w:color w:val="auto"/>
                <w:sz w:val="24"/>
                <w:szCs w:val="24"/>
                <w:highlight w:val="none"/>
                <w:lang w:val="en-US" w:eastAsia="zh-CN"/>
              </w:rPr>
              <w:t>产生量3606.8m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rPr>
              <w:t>由专用方罐收集后，拉运至吉</w:t>
            </w:r>
            <w:r>
              <w:rPr>
                <w:rFonts w:hint="default" w:ascii="Times New Roman" w:hAnsi="Times New Roman" w:eastAsia="宋体" w:cs="Times New Roman"/>
                <w:color w:val="auto"/>
                <w:sz w:val="24"/>
                <w:szCs w:val="24"/>
                <w:highlight w:val="none"/>
                <w:lang w:val="en-US" w:eastAsia="zh-CN"/>
              </w:rPr>
              <w:t>康</w:t>
            </w:r>
            <w:r>
              <w:rPr>
                <w:rFonts w:hint="default" w:ascii="Times New Roman" w:hAnsi="Times New Roman" w:eastAsia="宋体" w:cs="Times New Roman"/>
                <w:color w:val="auto"/>
                <w:sz w:val="24"/>
                <w:szCs w:val="24"/>
                <w:highlight w:val="none"/>
              </w:rPr>
              <w:t>脱水站进行处理，处理达标后全部回注，不外排。</w:t>
            </w:r>
          </w:p>
          <w:p w14:paraId="14BEF9A0">
            <w:pPr>
              <w:widowControl w:val="0"/>
              <w:snapToGrid w:val="0"/>
              <w:spacing w:line="500" w:lineRule="exact"/>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4.2.2</w:t>
            </w:r>
            <w:r>
              <w:rPr>
                <w:rFonts w:hint="default" w:ascii="Times New Roman" w:hAnsi="Times New Roman" w:eastAsia="宋体" w:cs="Times New Roman"/>
                <w:b/>
                <w:bCs/>
                <w:color w:val="auto"/>
                <w:sz w:val="24"/>
                <w:szCs w:val="24"/>
                <w:highlight w:val="none"/>
              </w:rPr>
              <w:t>吉</w:t>
            </w:r>
            <w:r>
              <w:rPr>
                <w:rFonts w:hint="default" w:ascii="Times New Roman" w:hAnsi="Times New Roman" w:eastAsia="宋体" w:cs="Times New Roman"/>
                <w:b/>
                <w:bCs/>
                <w:color w:val="auto"/>
                <w:sz w:val="24"/>
                <w:szCs w:val="24"/>
                <w:highlight w:val="none"/>
                <w:lang w:val="en-US" w:eastAsia="zh-CN"/>
              </w:rPr>
              <w:t>康</w:t>
            </w:r>
            <w:r>
              <w:rPr>
                <w:rFonts w:hint="default" w:ascii="Times New Roman" w:hAnsi="Times New Roman" w:eastAsia="宋体" w:cs="Times New Roman"/>
                <w:b/>
                <w:bCs/>
                <w:color w:val="auto"/>
                <w:sz w:val="24"/>
                <w:szCs w:val="24"/>
                <w:highlight w:val="none"/>
              </w:rPr>
              <w:t>脱水站</w:t>
            </w:r>
            <w:r>
              <w:rPr>
                <w:rFonts w:hint="eastAsia" w:ascii="Times New Roman" w:hAnsi="Times New Roman" w:eastAsia="宋体" w:cs="Times New Roman"/>
                <w:b/>
                <w:bCs/>
                <w:color w:val="auto"/>
                <w:sz w:val="24"/>
                <w:szCs w:val="24"/>
                <w:highlight w:val="none"/>
                <w:lang w:val="en-US" w:eastAsia="zh-CN"/>
              </w:rPr>
              <w:t>的依托可行性分析</w:t>
            </w:r>
          </w:p>
          <w:p w14:paraId="68BA41B6">
            <w:pPr>
              <w:pStyle w:val="16"/>
              <w:keepNext w:val="0"/>
              <w:keepLines w:val="0"/>
              <w:pageBreakBefore w:val="0"/>
              <w:widowControl w:val="0"/>
              <w:kinsoku w:val="0"/>
              <w:wordWrap/>
              <w:overflowPunct/>
              <w:topLinePunct w:val="0"/>
              <w:autoSpaceDE w:val="0"/>
              <w:autoSpaceDN w:val="0"/>
              <w:bidi w:val="0"/>
              <w:adjustRightInd w:val="0"/>
              <w:snapToGrid w:val="0"/>
              <w:spacing w:line="360" w:lineRule="auto"/>
              <w:ind w:right="0" w:firstLine="476" w:firstLineChars="200"/>
              <w:jc w:val="both"/>
              <w:textAlignment w:val="baseline"/>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rPr>
              <w:t>吉康脱水站</w:t>
            </w:r>
            <w:r>
              <w:rPr>
                <w:rFonts w:hint="default" w:ascii="Times New Roman" w:hAnsi="Times New Roman" w:cs="Times New Roman"/>
                <w:color w:val="auto"/>
                <w:spacing w:val="-1"/>
                <w:sz w:val="24"/>
                <w:szCs w:val="24"/>
                <w:highlight w:val="none"/>
                <w:lang w:val="en-US" w:eastAsia="zh-CN"/>
              </w:rPr>
              <w:t>主要服务于</w:t>
            </w:r>
            <w:r>
              <w:rPr>
                <w:rFonts w:hint="default" w:ascii="Times New Roman" w:hAnsi="Times New Roman" w:eastAsia="宋体" w:cs="Times New Roman"/>
                <w:color w:val="auto"/>
                <w:spacing w:val="-1"/>
                <w:sz w:val="24"/>
                <w:szCs w:val="24"/>
                <w:highlight w:val="none"/>
              </w:rPr>
              <w:t>吉康油田萨探1块二叠系井井子沟组油藏开发先导试验工程</w:t>
            </w:r>
            <w:r>
              <w:rPr>
                <w:rFonts w:hint="default" w:ascii="Times New Roman" w:hAnsi="Times New Roman" w:cs="Times New Roman"/>
                <w:color w:val="auto"/>
                <w:spacing w:val="-1"/>
                <w:sz w:val="24"/>
                <w:szCs w:val="24"/>
                <w:highlight w:val="none"/>
                <w:lang w:val="en-US" w:eastAsia="zh-CN"/>
              </w:rPr>
              <w:t>项目，根据新疆维吾尔自治区生态环境厅《关于吉康油田萨探1块二叠系井井子沟组油藏开发先导试验工程环境影响报告书的批复》（新环审〔2024〕200号）及环评文件，</w:t>
            </w:r>
            <w:r>
              <w:rPr>
                <w:rFonts w:hint="eastAsia" w:ascii="Times New Roman" w:hAnsi="Times New Roman" w:cs="Times New Roman"/>
                <w:color w:val="auto"/>
                <w:spacing w:val="-1"/>
                <w:sz w:val="24"/>
                <w:szCs w:val="24"/>
                <w:highlight w:val="none"/>
                <w:lang w:val="en-US" w:eastAsia="zh-CN"/>
              </w:rPr>
              <w:t>吉康脱水站</w:t>
            </w:r>
            <w:r>
              <w:rPr>
                <w:rFonts w:hint="default" w:ascii="Times New Roman" w:hAnsi="Times New Roman" w:cs="Times New Roman"/>
                <w:color w:val="auto"/>
                <w:spacing w:val="-1"/>
                <w:sz w:val="24"/>
                <w:szCs w:val="24"/>
                <w:highlight w:val="none"/>
                <w:lang w:val="en-US" w:eastAsia="zh-CN"/>
              </w:rPr>
              <w:t>中心地理坐标为</w:t>
            </w:r>
            <w:r>
              <w:rPr>
                <w:rFonts w:hint="eastAsia" w:ascii="Times New Roman" w:hAnsi="Times New Roman" w:cs="Times New Roman"/>
                <w:color w:val="auto"/>
                <w:spacing w:val="-1"/>
                <w:sz w:val="24"/>
                <w:szCs w:val="24"/>
                <w:highlight w:val="none"/>
                <w:lang w:val="en-US" w:eastAsia="zh-CN"/>
              </w:rPr>
              <w:t>：</w:t>
            </w:r>
            <w:r>
              <w:rPr>
                <w:rFonts w:hint="default" w:ascii="Times New Roman" w:hAnsi="Times New Roman" w:cs="Times New Roman"/>
                <w:color w:val="auto"/>
                <w:spacing w:val="-1"/>
                <w:sz w:val="24"/>
                <w:szCs w:val="24"/>
                <w:highlight w:val="none"/>
                <w:lang w:val="en-US" w:eastAsia="zh-CN"/>
              </w:rPr>
              <w:t>东经89.23768566</w:t>
            </w:r>
            <w:r>
              <w:rPr>
                <w:rFonts w:hint="eastAsia" w:ascii="Times New Roman" w:hAnsi="Times New Roman" w:cs="Times New Roman"/>
                <w:color w:val="auto"/>
                <w:spacing w:val="-1"/>
                <w:sz w:val="24"/>
                <w:szCs w:val="24"/>
                <w:highlight w:val="none"/>
                <w:lang w:val="en-US" w:eastAsia="zh-CN"/>
              </w:rPr>
              <w:t>°</w:t>
            </w:r>
            <w:r>
              <w:rPr>
                <w:rFonts w:hint="default" w:ascii="Times New Roman" w:hAnsi="Times New Roman" w:cs="Times New Roman"/>
                <w:color w:val="auto"/>
                <w:spacing w:val="-1"/>
                <w:sz w:val="24"/>
                <w:szCs w:val="24"/>
                <w:highlight w:val="none"/>
                <w:lang w:val="en-US" w:eastAsia="zh-CN"/>
              </w:rPr>
              <w:t>，北纬43.92677273</w:t>
            </w:r>
            <w:r>
              <w:rPr>
                <w:rFonts w:hint="eastAsia" w:ascii="Times New Roman" w:hAnsi="Times New Roman" w:cs="Times New Roman"/>
                <w:color w:val="auto"/>
                <w:spacing w:val="-1"/>
                <w:sz w:val="24"/>
                <w:szCs w:val="24"/>
                <w:highlight w:val="none"/>
                <w:lang w:val="en-US" w:eastAsia="zh-CN"/>
              </w:rPr>
              <w:t>°</w:t>
            </w:r>
            <w:r>
              <w:rPr>
                <w:rFonts w:hint="default" w:ascii="Times New Roman" w:hAnsi="Times New Roman" w:cs="Times New Roman"/>
                <w:color w:val="auto"/>
                <w:spacing w:val="-1"/>
                <w:sz w:val="24"/>
                <w:szCs w:val="24"/>
                <w:highlight w:val="none"/>
                <w:lang w:val="en-US" w:eastAsia="zh-CN"/>
              </w:rPr>
              <w:t>，主要建设内容包括扩建吉康脱水站（新建设计日处理规模2000立方米的一体化污水处理撬装装置，新建日注水能力700立方米的注水站），原油处理规模为19.3×10</w:t>
            </w:r>
            <w:r>
              <w:rPr>
                <w:rFonts w:hint="default" w:ascii="Times New Roman" w:hAnsi="Times New Roman" w:cs="Times New Roman"/>
                <w:color w:val="auto"/>
                <w:spacing w:val="-1"/>
                <w:sz w:val="24"/>
                <w:szCs w:val="24"/>
                <w:highlight w:val="none"/>
                <w:vertAlign w:val="superscript"/>
                <w:lang w:val="en-US" w:eastAsia="zh-CN"/>
              </w:rPr>
              <w:t>4</w:t>
            </w:r>
            <w:r>
              <w:rPr>
                <w:rFonts w:hint="default" w:ascii="Times New Roman" w:hAnsi="Times New Roman" w:cs="Times New Roman"/>
                <w:color w:val="auto"/>
                <w:spacing w:val="-1"/>
                <w:sz w:val="24"/>
                <w:szCs w:val="24"/>
                <w:highlight w:val="none"/>
                <w:lang w:val="en-US" w:eastAsia="zh-CN"/>
              </w:rPr>
              <w:t>t/a。一体化污水处理撬装装置位于吉康脱水站内，该撬装装置设计处理规模2000m</w:t>
            </w:r>
            <w:r>
              <w:rPr>
                <w:rFonts w:hint="default" w:ascii="Times New Roman" w:hAnsi="Times New Roman" w:cs="Times New Roman"/>
                <w:color w:val="auto"/>
                <w:spacing w:val="-1"/>
                <w:sz w:val="24"/>
                <w:szCs w:val="24"/>
                <w:highlight w:val="none"/>
                <w:vertAlign w:val="superscript"/>
                <w:lang w:val="en-US" w:eastAsia="zh-CN"/>
              </w:rPr>
              <w:t>3</w:t>
            </w:r>
            <w:r>
              <w:rPr>
                <w:rFonts w:hint="default" w:ascii="Times New Roman" w:hAnsi="Times New Roman" w:cs="Times New Roman"/>
                <w:color w:val="auto"/>
                <w:spacing w:val="-1"/>
                <w:sz w:val="24"/>
                <w:szCs w:val="24"/>
                <w:highlight w:val="none"/>
                <w:lang w:val="en-US" w:eastAsia="zh-CN"/>
              </w:rPr>
              <w:t>/d，采用</w:t>
            </w:r>
            <w:r>
              <w:rPr>
                <w:rFonts w:hint="eastAsia" w:ascii="Times New Roman" w:hAnsi="Times New Roman" w:cs="Times New Roman"/>
                <w:color w:val="auto"/>
                <w:spacing w:val="-1"/>
                <w:sz w:val="24"/>
                <w:szCs w:val="24"/>
                <w:highlight w:val="none"/>
                <w:lang w:val="en-US" w:eastAsia="zh-CN"/>
              </w:rPr>
              <w:t>“</w:t>
            </w:r>
            <w:r>
              <w:rPr>
                <w:rFonts w:hint="default" w:ascii="Times New Roman" w:hAnsi="Times New Roman" w:cs="Times New Roman"/>
                <w:color w:val="auto"/>
                <w:spacing w:val="-1"/>
                <w:sz w:val="24"/>
                <w:szCs w:val="24"/>
                <w:highlight w:val="none"/>
                <w:lang w:val="en-US" w:eastAsia="zh-CN"/>
              </w:rPr>
              <w:t>预除油+GEM三相涡流混合气浮＋石英砂、核桃壳、超滤膜三级过滤</w:t>
            </w:r>
            <w:r>
              <w:rPr>
                <w:rFonts w:hint="eastAsia" w:ascii="Times New Roman" w:hAnsi="Times New Roman" w:cs="Times New Roman"/>
                <w:color w:val="auto"/>
                <w:spacing w:val="-1"/>
                <w:sz w:val="24"/>
                <w:szCs w:val="24"/>
                <w:highlight w:val="none"/>
                <w:lang w:val="en-US" w:eastAsia="zh-CN"/>
              </w:rPr>
              <w:t>”</w:t>
            </w:r>
            <w:r>
              <w:rPr>
                <w:rFonts w:hint="default" w:ascii="Times New Roman" w:hAnsi="Times New Roman" w:cs="Times New Roman"/>
                <w:color w:val="auto"/>
                <w:spacing w:val="-1"/>
                <w:sz w:val="24"/>
                <w:szCs w:val="24"/>
                <w:highlight w:val="none"/>
                <w:lang w:val="en-US" w:eastAsia="zh-CN"/>
              </w:rPr>
              <w:t>工艺，废水处理达到《碎屑岩油藏注水水质指标技术要求及分析方法》（SY/T5329-2022）中Ⅳ</w:t>
            </w:r>
            <w:r>
              <w:rPr>
                <w:rFonts w:hint="eastAsia" w:ascii="Times New Roman" w:hAnsi="Times New Roman" w:cs="Times New Roman"/>
                <w:color w:val="auto"/>
                <w:spacing w:val="-1"/>
                <w:sz w:val="24"/>
                <w:szCs w:val="24"/>
                <w:highlight w:val="none"/>
                <w:lang w:val="en-US" w:eastAsia="zh-CN"/>
              </w:rPr>
              <w:t>级</w:t>
            </w:r>
            <w:r>
              <w:rPr>
                <w:rFonts w:hint="default" w:ascii="Times New Roman" w:hAnsi="Times New Roman" w:cs="Times New Roman"/>
                <w:color w:val="auto"/>
                <w:spacing w:val="-1"/>
                <w:sz w:val="24"/>
                <w:szCs w:val="24"/>
                <w:highlight w:val="none"/>
                <w:lang w:val="en-US" w:eastAsia="zh-CN"/>
              </w:rPr>
              <w:t>标准后</w:t>
            </w:r>
            <w:r>
              <w:rPr>
                <w:rFonts w:hint="eastAsia" w:ascii="Times New Roman" w:hAnsi="Times New Roman" w:cs="Times New Roman"/>
                <w:color w:val="auto"/>
                <w:spacing w:val="-1"/>
                <w:sz w:val="24"/>
                <w:szCs w:val="24"/>
                <w:highlight w:val="none"/>
                <w:lang w:val="en-US" w:eastAsia="zh-CN"/>
              </w:rPr>
              <w:t>（空气渗透率大于1.1）</w:t>
            </w:r>
            <w:r>
              <w:rPr>
                <w:rFonts w:hint="default" w:ascii="Times New Roman" w:hAnsi="Times New Roman" w:cs="Times New Roman"/>
                <w:color w:val="auto"/>
                <w:spacing w:val="-1"/>
                <w:sz w:val="24"/>
                <w:szCs w:val="24"/>
                <w:highlight w:val="none"/>
                <w:lang w:val="en-US" w:eastAsia="zh-CN"/>
              </w:rPr>
              <w:t>，回注吉康油田萨探1井区，回注后多余污水进行注水吞吐或外运。该脱水站</w:t>
            </w:r>
            <w:r>
              <w:rPr>
                <w:rFonts w:hint="default" w:ascii="Times New Roman" w:hAnsi="Times New Roman" w:eastAsia="宋体" w:cs="Times New Roman"/>
                <w:color w:val="auto"/>
                <w:spacing w:val="-1"/>
                <w:sz w:val="24"/>
                <w:szCs w:val="24"/>
                <w:highlight w:val="none"/>
              </w:rPr>
              <w:t>工程于20</w:t>
            </w:r>
            <w:r>
              <w:rPr>
                <w:rFonts w:hint="default" w:ascii="Times New Roman" w:hAnsi="Times New Roman" w:cs="Times New Roman"/>
                <w:color w:val="auto"/>
                <w:spacing w:val="-1"/>
                <w:sz w:val="24"/>
                <w:szCs w:val="24"/>
                <w:highlight w:val="none"/>
                <w:lang w:val="en-US" w:eastAsia="zh-CN"/>
              </w:rPr>
              <w:t>24</w:t>
            </w:r>
            <w:r>
              <w:rPr>
                <w:rFonts w:hint="default" w:ascii="Times New Roman" w:hAnsi="Times New Roman" w:eastAsia="宋体" w:cs="Times New Roman"/>
                <w:color w:val="auto"/>
                <w:spacing w:val="-1"/>
                <w:sz w:val="24"/>
                <w:szCs w:val="24"/>
                <w:highlight w:val="none"/>
              </w:rPr>
              <w:t>年</w:t>
            </w:r>
            <w:r>
              <w:rPr>
                <w:rFonts w:hint="default" w:ascii="Times New Roman" w:hAnsi="Times New Roman" w:cs="Times New Roman"/>
                <w:color w:val="auto"/>
                <w:spacing w:val="-1"/>
                <w:sz w:val="24"/>
                <w:szCs w:val="24"/>
                <w:highlight w:val="none"/>
                <w:lang w:val="en-US" w:eastAsia="zh-CN"/>
              </w:rPr>
              <w:t>9</w:t>
            </w:r>
            <w:r>
              <w:rPr>
                <w:rFonts w:hint="default" w:ascii="Times New Roman" w:hAnsi="Times New Roman" w:eastAsia="宋体" w:cs="Times New Roman"/>
                <w:color w:val="auto"/>
                <w:spacing w:val="-1"/>
                <w:sz w:val="24"/>
                <w:szCs w:val="24"/>
                <w:highlight w:val="none"/>
              </w:rPr>
              <w:t>月</w:t>
            </w:r>
            <w:r>
              <w:rPr>
                <w:rFonts w:hint="default" w:ascii="Times New Roman" w:hAnsi="Times New Roman" w:cs="Times New Roman"/>
                <w:color w:val="auto"/>
                <w:spacing w:val="-1"/>
                <w:sz w:val="24"/>
                <w:szCs w:val="24"/>
                <w:highlight w:val="none"/>
                <w:lang w:val="en-US" w:eastAsia="zh-CN"/>
              </w:rPr>
              <w:t>18日取得环评批复，</w:t>
            </w:r>
            <w:r>
              <w:rPr>
                <w:rFonts w:hint="default" w:ascii="Times New Roman" w:hAnsi="Times New Roman" w:eastAsia="Times New Roman" w:cs="Times New Roman"/>
                <w:color w:val="auto"/>
                <w:spacing w:val="-3"/>
                <w:sz w:val="24"/>
                <w:szCs w:val="24"/>
              </w:rPr>
              <w:t>2024</w:t>
            </w:r>
            <w:r>
              <w:rPr>
                <w:rFonts w:hint="default" w:ascii="Times New Roman" w:hAnsi="Times New Roman" w:eastAsia="Times New Roman" w:cs="Times New Roman"/>
                <w:color w:val="auto"/>
                <w:spacing w:val="30"/>
                <w:sz w:val="24"/>
                <w:szCs w:val="24"/>
              </w:rPr>
              <w:t xml:space="preserve"> </w:t>
            </w:r>
            <w:r>
              <w:rPr>
                <w:rFonts w:hint="default" w:ascii="Times New Roman" w:hAnsi="Times New Roman" w:eastAsia="宋体" w:cs="Times New Roman"/>
                <w:color w:val="auto"/>
                <w:spacing w:val="-3"/>
                <w:sz w:val="24"/>
                <w:szCs w:val="24"/>
              </w:rPr>
              <w:t xml:space="preserve">年 </w:t>
            </w:r>
            <w:r>
              <w:rPr>
                <w:rFonts w:hint="default" w:ascii="Times New Roman" w:hAnsi="Times New Roman" w:eastAsia="Times New Roman" w:cs="Times New Roman"/>
                <w:color w:val="auto"/>
                <w:spacing w:val="-3"/>
                <w:sz w:val="24"/>
                <w:szCs w:val="24"/>
              </w:rPr>
              <w:t>1</w:t>
            </w:r>
            <w:r>
              <w:rPr>
                <w:rFonts w:hint="default" w:ascii="Times New Roman" w:hAnsi="Times New Roman" w:eastAsia="Times New Roman" w:cs="Times New Roman"/>
                <w:color w:val="auto"/>
                <w:spacing w:val="34"/>
                <w:sz w:val="24"/>
                <w:szCs w:val="24"/>
              </w:rPr>
              <w:t xml:space="preserve"> </w:t>
            </w:r>
            <w:r>
              <w:rPr>
                <w:rFonts w:hint="default" w:ascii="Times New Roman" w:hAnsi="Times New Roman" w:eastAsia="宋体" w:cs="Times New Roman"/>
                <w:color w:val="auto"/>
                <w:spacing w:val="-3"/>
                <w:sz w:val="24"/>
                <w:szCs w:val="24"/>
              </w:rPr>
              <w:t xml:space="preserve">月 </w:t>
            </w:r>
            <w:r>
              <w:rPr>
                <w:rFonts w:hint="default" w:ascii="Times New Roman" w:hAnsi="Times New Roman" w:eastAsia="Times New Roman" w:cs="Times New Roman"/>
                <w:color w:val="auto"/>
                <w:spacing w:val="-3"/>
                <w:sz w:val="24"/>
                <w:szCs w:val="24"/>
              </w:rPr>
              <w:t>22</w:t>
            </w:r>
            <w:r>
              <w:rPr>
                <w:rFonts w:hint="default" w:ascii="Times New Roman" w:hAnsi="Times New Roman" w:eastAsia="Times New Roman" w:cs="Times New Roman"/>
                <w:color w:val="auto"/>
                <w:sz w:val="24"/>
                <w:szCs w:val="24"/>
              </w:rPr>
              <w:t xml:space="preserve"> </w:t>
            </w:r>
            <w:r>
              <w:rPr>
                <w:rFonts w:hint="default" w:ascii="Times New Roman" w:hAnsi="Times New Roman" w:eastAsia="宋体" w:cs="Times New Roman"/>
                <w:color w:val="auto"/>
                <w:spacing w:val="-27"/>
                <w:sz w:val="24"/>
                <w:szCs w:val="24"/>
              </w:rPr>
              <w:t>日</w:t>
            </w:r>
            <w:r>
              <w:rPr>
                <w:rFonts w:hint="default" w:ascii="Times New Roman" w:hAnsi="Times New Roman" w:eastAsia="宋体" w:cs="Times New Roman"/>
                <w:color w:val="auto"/>
                <w:spacing w:val="-27"/>
                <w:sz w:val="24"/>
                <w:szCs w:val="24"/>
                <w:lang w:val="en-US" w:eastAsia="zh-CN"/>
              </w:rPr>
              <w:t>取得了竣工环保验收意见，同年3月正式投入运营。</w:t>
            </w:r>
          </w:p>
          <w:p w14:paraId="683A53EA">
            <w:pPr>
              <w:pStyle w:val="16"/>
              <w:keepNext w:val="0"/>
              <w:keepLines w:val="0"/>
              <w:pageBreakBefore w:val="0"/>
              <w:widowControl w:val="0"/>
              <w:kinsoku w:val="0"/>
              <w:wordWrap/>
              <w:overflowPunct/>
              <w:topLinePunct w:val="0"/>
              <w:autoSpaceDE w:val="0"/>
              <w:autoSpaceDN w:val="0"/>
              <w:bidi w:val="0"/>
              <w:adjustRightInd w:val="0"/>
              <w:snapToGrid w:val="0"/>
              <w:spacing w:line="360" w:lineRule="auto"/>
              <w:ind w:left="0" w:right="0" w:firstLine="476"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pacing w:val="-1"/>
                <w:sz w:val="24"/>
                <w:szCs w:val="24"/>
                <w:highlight w:val="none"/>
              </w:rPr>
              <w:t>本项目</w:t>
            </w:r>
            <w:r>
              <w:rPr>
                <w:rFonts w:hint="default" w:ascii="Times New Roman" w:hAnsi="Times New Roman" w:cs="Times New Roman"/>
                <w:color w:val="auto"/>
                <w:spacing w:val="-1"/>
                <w:sz w:val="24"/>
                <w:szCs w:val="24"/>
                <w:highlight w:val="none"/>
                <w:lang w:val="en-US" w:eastAsia="zh-CN"/>
              </w:rPr>
              <w:t>20口评价井</w:t>
            </w:r>
            <w:r>
              <w:rPr>
                <w:rFonts w:hint="eastAsia" w:ascii="Times New Roman" w:hAnsi="Times New Roman" w:cs="Times New Roman"/>
                <w:color w:val="auto"/>
                <w:spacing w:val="-1"/>
                <w:sz w:val="24"/>
                <w:szCs w:val="24"/>
                <w:highlight w:val="none"/>
                <w:lang w:val="en-US" w:eastAsia="zh-CN"/>
              </w:rPr>
              <w:t>距离吉康脱水站最远距离约4km</w:t>
            </w:r>
            <w:r>
              <w:rPr>
                <w:rFonts w:hint="default" w:ascii="Times New Roman" w:hAnsi="Times New Roman" w:cs="Times New Roman"/>
                <w:color w:val="auto"/>
                <w:spacing w:val="-1"/>
                <w:sz w:val="24"/>
                <w:szCs w:val="24"/>
                <w:highlight w:val="none"/>
                <w:lang w:val="en-US" w:eastAsia="zh-CN"/>
              </w:rPr>
              <w:t>，</w:t>
            </w:r>
            <w:r>
              <w:rPr>
                <w:rFonts w:hint="eastAsia" w:ascii="Times New Roman" w:hAnsi="Times New Roman" w:cs="Times New Roman"/>
                <w:color w:val="auto"/>
                <w:spacing w:val="-1"/>
                <w:sz w:val="24"/>
                <w:szCs w:val="24"/>
                <w:highlight w:val="none"/>
                <w:lang w:val="en-US" w:eastAsia="zh-CN"/>
              </w:rPr>
              <w:t>距离较近，运输距离方便，</w:t>
            </w:r>
            <w:r>
              <w:rPr>
                <w:rFonts w:hint="default" w:ascii="Times New Roman" w:hAnsi="Times New Roman" w:eastAsia="宋体" w:cs="Times New Roman"/>
                <w:color w:val="auto"/>
                <w:sz w:val="24"/>
                <w:szCs w:val="24"/>
                <w:highlight w:val="none"/>
                <w:lang w:val="en-US" w:eastAsia="en-US" w:bidi="ar"/>
              </w:rPr>
              <w:t>试油期井下作业</w:t>
            </w:r>
            <w:r>
              <w:rPr>
                <w:rFonts w:hint="default" w:ascii="Times New Roman" w:hAnsi="Times New Roman" w:cs="Times New Roman"/>
                <w:color w:val="auto"/>
                <w:spacing w:val="-1"/>
                <w:sz w:val="24"/>
                <w:szCs w:val="24"/>
                <w:highlight w:val="none"/>
                <w:lang w:val="en-US" w:eastAsia="zh-CN"/>
              </w:rPr>
              <w:t>废压裂液产生量为3064.2m</w:t>
            </w:r>
            <w:r>
              <w:rPr>
                <w:rFonts w:hint="default" w:ascii="Times New Roman" w:hAnsi="Times New Roman" w:cs="Times New Roman"/>
                <w:color w:val="auto"/>
                <w:spacing w:val="-1"/>
                <w:sz w:val="24"/>
                <w:szCs w:val="24"/>
                <w:highlight w:val="none"/>
                <w:vertAlign w:val="superscript"/>
                <w:lang w:val="en-US" w:eastAsia="zh-CN"/>
              </w:rPr>
              <w:t>3</w:t>
            </w:r>
            <w:r>
              <w:rPr>
                <w:rFonts w:hint="default" w:ascii="Times New Roman" w:hAnsi="Times New Roman" w:cs="Times New Roman"/>
                <w:color w:val="auto"/>
                <w:spacing w:val="-1"/>
                <w:sz w:val="24"/>
                <w:szCs w:val="24"/>
                <w:highlight w:val="none"/>
                <w:lang w:val="en-US" w:eastAsia="zh-CN"/>
              </w:rPr>
              <w:t>，洗井废水产生量为542.6t</w:t>
            </w:r>
            <w:r>
              <w:rPr>
                <w:rFonts w:hint="default" w:ascii="Times New Roman" w:hAnsi="Times New Roman" w:eastAsia="宋体" w:cs="Times New Roman"/>
                <w:color w:val="auto"/>
                <w:spacing w:val="-1"/>
                <w:sz w:val="24"/>
                <w:szCs w:val="24"/>
                <w:highlight w:val="none"/>
              </w:rPr>
              <w:t>，</w:t>
            </w:r>
            <w:r>
              <w:rPr>
                <w:rFonts w:hint="default" w:ascii="Times New Roman" w:hAnsi="Times New Roman" w:cs="Times New Roman"/>
                <w:color w:val="auto"/>
                <w:spacing w:val="-1"/>
                <w:sz w:val="24"/>
                <w:szCs w:val="24"/>
                <w:highlight w:val="none"/>
                <w:lang w:val="en-US" w:eastAsia="zh-CN"/>
              </w:rPr>
              <w:t>吉康脱水站一体化污水处理撬装装置</w:t>
            </w:r>
            <w:r>
              <w:rPr>
                <w:rFonts w:hint="default" w:ascii="Times New Roman" w:hAnsi="Times New Roman" w:eastAsia="宋体" w:cs="Times New Roman"/>
                <w:color w:val="auto"/>
                <w:spacing w:val="-1"/>
                <w:sz w:val="24"/>
                <w:szCs w:val="24"/>
                <w:highlight w:val="none"/>
              </w:rPr>
              <w:t>处理能力</w:t>
            </w:r>
            <w:r>
              <w:rPr>
                <w:rFonts w:hint="default" w:ascii="Times New Roman" w:hAnsi="Times New Roman" w:cs="Times New Roman"/>
                <w:color w:val="auto"/>
                <w:spacing w:val="-1"/>
                <w:sz w:val="24"/>
                <w:szCs w:val="24"/>
                <w:highlight w:val="none"/>
                <w:lang w:val="en-US" w:eastAsia="zh-CN"/>
              </w:rPr>
              <w:t>2000</w:t>
            </w:r>
            <w:r>
              <w:rPr>
                <w:rFonts w:hint="default" w:ascii="Times New Roman" w:hAnsi="Times New Roman" w:eastAsia="宋体" w:cs="Times New Roman"/>
                <w:color w:val="auto"/>
                <w:spacing w:val="-1"/>
                <w:sz w:val="24"/>
                <w:szCs w:val="24"/>
                <w:highlight w:val="none"/>
              </w:rPr>
              <w:t>m</w:t>
            </w:r>
            <w:r>
              <w:rPr>
                <w:rFonts w:hint="default" w:ascii="Times New Roman" w:hAnsi="Times New Roman" w:eastAsia="宋体" w:cs="Times New Roman"/>
                <w:color w:val="auto"/>
                <w:spacing w:val="-1"/>
                <w:sz w:val="24"/>
                <w:szCs w:val="24"/>
                <w:highlight w:val="none"/>
                <w:vertAlign w:val="superscript"/>
              </w:rPr>
              <w:t>3</w:t>
            </w:r>
            <w:r>
              <w:rPr>
                <w:rFonts w:hint="default" w:ascii="Times New Roman" w:hAnsi="Times New Roman" w:eastAsia="宋体" w:cs="Times New Roman"/>
                <w:color w:val="auto"/>
                <w:spacing w:val="-1"/>
                <w:sz w:val="24"/>
                <w:szCs w:val="24"/>
                <w:highlight w:val="none"/>
              </w:rPr>
              <w:t>/d，可以满足本工程</w:t>
            </w:r>
            <w:r>
              <w:rPr>
                <w:rFonts w:hint="default" w:ascii="Times New Roman" w:hAnsi="Times New Roman" w:cs="Times New Roman"/>
                <w:color w:val="auto"/>
                <w:spacing w:val="-1"/>
                <w:sz w:val="24"/>
                <w:szCs w:val="24"/>
                <w:highlight w:val="none"/>
                <w:lang w:val="en-US" w:eastAsia="zh-CN"/>
              </w:rPr>
              <w:t>试油</w:t>
            </w:r>
            <w:r>
              <w:rPr>
                <w:rFonts w:hint="default" w:ascii="Times New Roman" w:hAnsi="Times New Roman" w:eastAsia="宋体" w:cs="Times New Roman"/>
                <w:color w:val="auto"/>
                <w:spacing w:val="-1"/>
                <w:sz w:val="24"/>
                <w:szCs w:val="24"/>
                <w:highlight w:val="none"/>
              </w:rPr>
              <w:t>期洗井废水和压裂返排液处理需求</w:t>
            </w:r>
            <w:r>
              <w:rPr>
                <w:rFonts w:hint="eastAsia" w:ascii="Times New Roman" w:hAnsi="Times New Roman" w:cs="Times New Roman"/>
                <w:color w:val="auto"/>
                <w:spacing w:val="-1"/>
                <w:sz w:val="24"/>
                <w:szCs w:val="24"/>
                <w:highlight w:val="none"/>
                <w:lang w:eastAsia="zh-CN"/>
              </w:rPr>
              <w:t>，</w:t>
            </w:r>
            <w:r>
              <w:rPr>
                <w:rFonts w:hint="eastAsia" w:ascii="Times New Roman" w:hAnsi="Times New Roman" w:cs="Times New Roman"/>
                <w:color w:val="auto"/>
                <w:spacing w:val="-1"/>
                <w:sz w:val="24"/>
                <w:szCs w:val="24"/>
                <w:highlight w:val="none"/>
                <w:lang w:val="en-US" w:eastAsia="zh-CN"/>
              </w:rPr>
              <w:t>因此，项目依托吉康脱水站处理可行。</w:t>
            </w:r>
          </w:p>
          <w:p w14:paraId="76C45FC8">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4.3废水运输至</w:t>
            </w:r>
            <w:r>
              <w:rPr>
                <w:rFonts w:hint="default" w:ascii="Times New Roman" w:hAnsi="Times New Roman" w:eastAsia="宋体" w:cs="Times New Roman"/>
                <w:b/>
                <w:bCs/>
                <w:color w:val="auto"/>
                <w:sz w:val="24"/>
                <w:szCs w:val="24"/>
                <w:highlight w:val="none"/>
              </w:rPr>
              <w:t>吉</w:t>
            </w:r>
            <w:r>
              <w:rPr>
                <w:rFonts w:hint="default" w:ascii="Times New Roman" w:hAnsi="Times New Roman" w:eastAsia="宋体" w:cs="Times New Roman"/>
                <w:b/>
                <w:bCs/>
                <w:color w:val="auto"/>
                <w:sz w:val="24"/>
                <w:szCs w:val="24"/>
                <w:highlight w:val="none"/>
                <w:lang w:val="en-US" w:eastAsia="zh-CN"/>
              </w:rPr>
              <w:t>康</w:t>
            </w:r>
            <w:r>
              <w:rPr>
                <w:rFonts w:hint="default" w:ascii="Times New Roman" w:hAnsi="Times New Roman" w:eastAsia="宋体" w:cs="Times New Roman"/>
                <w:b/>
                <w:bCs/>
                <w:color w:val="auto"/>
                <w:sz w:val="24"/>
                <w:szCs w:val="24"/>
                <w:highlight w:val="none"/>
              </w:rPr>
              <w:t>脱水</w:t>
            </w:r>
            <w:r>
              <w:rPr>
                <w:rFonts w:hint="eastAsia" w:ascii="Times New Roman" w:hAnsi="Times New Roman" w:eastAsia="宋体" w:cs="Times New Roman"/>
                <w:b/>
                <w:bCs/>
                <w:color w:val="auto"/>
                <w:sz w:val="24"/>
                <w:szCs w:val="24"/>
                <w:highlight w:val="none"/>
                <w:lang w:val="en-US" w:eastAsia="zh-CN"/>
              </w:rPr>
              <w:t>站处理后回注的保障性措施</w:t>
            </w:r>
          </w:p>
          <w:p w14:paraId="13393C58">
            <w:pPr>
              <w:keepNext w:val="0"/>
              <w:keepLines w:val="0"/>
              <w:pageBreakBefore w:val="0"/>
              <w:widowControl/>
              <w:kinsoku w:val="0"/>
              <w:wordWrap/>
              <w:overflowPunct/>
              <w:topLinePunct w:val="0"/>
              <w:autoSpaceDE w:val="0"/>
              <w:autoSpaceDN w:val="0"/>
              <w:bidi w:val="0"/>
              <w:adjustRightInd w:val="0"/>
              <w:snapToGrid w:val="0"/>
              <w:spacing w:line="360" w:lineRule="auto"/>
              <w:ind w:left="39" w:right="33" w:firstLine="496" w:firstLineChars="200"/>
              <w:textAlignment w:val="baseline"/>
              <w:rPr>
                <w:rFonts w:ascii="宋体" w:hAnsi="宋体" w:eastAsia="宋体" w:cs="宋体"/>
                <w:color w:val="auto"/>
                <w:sz w:val="24"/>
                <w:szCs w:val="24"/>
              </w:rPr>
            </w:pPr>
            <w:r>
              <w:rPr>
                <w:rFonts w:ascii="宋体" w:hAnsi="宋体" w:eastAsia="宋体" w:cs="宋体"/>
                <w:color w:val="auto"/>
                <w:spacing w:val="4"/>
                <w:sz w:val="24"/>
                <w:szCs w:val="24"/>
              </w:rPr>
              <w:t>据《关于进一步加强石油天然气行业环境影响评价管理的通知》（环办环评函</w:t>
            </w:r>
            <w:r>
              <w:rPr>
                <w:rFonts w:ascii="宋体" w:hAnsi="宋体" w:eastAsia="宋体" w:cs="宋体"/>
                <w:color w:val="auto"/>
                <w:spacing w:val="16"/>
                <w:sz w:val="24"/>
                <w:szCs w:val="24"/>
              </w:rPr>
              <w:t xml:space="preserve"> </w:t>
            </w:r>
            <w:r>
              <w:rPr>
                <w:rFonts w:ascii="宋体" w:hAnsi="宋体" w:eastAsia="宋体" w:cs="宋体"/>
                <w:color w:val="auto"/>
                <w:spacing w:val="-4"/>
                <w:sz w:val="24"/>
                <w:szCs w:val="24"/>
              </w:rPr>
              <w:t>〔</w:t>
            </w:r>
            <w:r>
              <w:rPr>
                <w:rFonts w:ascii="Times New Roman" w:hAnsi="Times New Roman" w:eastAsia="Times New Roman" w:cs="Times New Roman"/>
                <w:color w:val="auto"/>
                <w:spacing w:val="-4"/>
                <w:sz w:val="24"/>
                <w:szCs w:val="24"/>
              </w:rPr>
              <w:t>2019</w:t>
            </w:r>
            <w:r>
              <w:rPr>
                <w:rFonts w:ascii="宋体" w:hAnsi="宋体" w:eastAsia="宋体" w:cs="宋体"/>
                <w:color w:val="auto"/>
                <w:spacing w:val="-4"/>
                <w:sz w:val="24"/>
                <w:szCs w:val="24"/>
              </w:rPr>
              <w:t>〕</w:t>
            </w:r>
            <w:r>
              <w:rPr>
                <w:rFonts w:ascii="Times New Roman" w:hAnsi="Times New Roman" w:eastAsia="Times New Roman" w:cs="Times New Roman"/>
                <w:color w:val="auto"/>
                <w:spacing w:val="-4"/>
                <w:sz w:val="24"/>
                <w:szCs w:val="24"/>
              </w:rPr>
              <w:t>910</w:t>
            </w:r>
            <w:r>
              <w:rPr>
                <w:rFonts w:ascii="Times New Roman" w:hAnsi="Times New Roman" w:eastAsia="Times New Roman" w:cs="Times New Roman"/>
                <w:color w:val="auto"/>
                <w:spacing w:val="68"/>
                <w:w w:val="101"/>
                <w:sz w:val="24"/>
                <w:szCs w:val="24"/>
              </w:rPr>
              <w:t xml:space="preserve"> </w:t>
            </w:r>
            <w:r>
              <w:rPr>
                <w:rFonts w:ascii="宋体" w:hAnsi="宋体" w:eastAsia="宋体" w:cs="宋体"/>
                <w:color w:val="auto"/>
                <w:spacing w:val="-4"/>
                <w:sz w:val="24"/>
                <w:szCs w:val="24"/>
              </w:rPr>
              <w:t>号）要求：“涉及废水回注的，</w:t>
            </w:r>
            <w:r>
              <w:rPr>
                <w:rFonts w:ascii="宋体" w:hAnsi="宋体" w:eastAsia="宋体" w:cs="宋体"/>
                <w:color w:val="auto"/>
                <w:spacing w:val="-29"/>
                <w:sz w:val="24"/>
                <w:szCs w:val="24"/>
              </w:rPr>
              <w:t xml:space="preserve"> </w:t>
            </w:r>
            <w:r>
              <w:rPr>
                <w:rFonts w:ascii="宋体" w:hAnsi="宋体" w:eastAsia="宋体" w:cs="宋体"/>
                <w:color w:val="auto"/>
                <w:spacing w:val="-4"/>
                <w:sz w:val="24"/>
                <w:szCs w:val="24"/>
              </w:rPr>
              <w:t>应当论证回注的环境可行性，采取切实可</w:t>
            </w:r>
            <w:r>
              <w:rPr>
                <w:rFonts w:ascii="宋体" w:hAnsi="宋体" w:eastAsia="宋体" w:cs="宋体"/>
                <w:color w:val="auto"/>
                <w:sz w:val="24"/>
                <w:szCs w:val="24"/>
              </w:rPr>
              <w:t xml:space="preserve"> </w:t>
            </w:r>
            <w:r>
              <w:rPr>
                <w:rFonts w:ascii="宋体" w:hAnsi="宋体" w:eastAsia="宋体" w:cs="宋体"/>
                <w:color w:val="auto"/>
                <w:spacing w:val="5"/>
                <w:sz w:val="24"/>
                <w:szCs w:val="24"/>
              </w:rPr>
              <w:t>行的地下水污染防治和监控措施，不得回注与油气开采无关的</w:t>
            </w:r>
            <w:r>
              <w:rPr>
                <w:rFonts w:ascii="宋体" w:hAnsi="宋体" w:eastAsia="宋体" w:cs="宋体"/>
                <w:color w:val="auto"/>
                <w:spacing w:val="4"/>
                <w:sz w:val="24"/>
                <w:szCs w:val="24"/>
              </w:rPr>
              <w:t>废水，严禁造成地下水</w:t>
            </w:r>
            <w:r>
              <w:rPr>
                <w:rFonts w:ascii="宋体" w:hAnsi="宋体" w:eastAsia="宋体" w:cs="宋体"/>
                <w:color w:val="auto"/>
                <w:spacing w:val="5"/>
                <w:sz w:val="24"/>
                <w:szCs w:val="24"/>
              </w:rPr>
              <w:t>污染。在相关行业污染控制标准发布前，回注的开采废水应当</w:t>
            </w:r>
            <w:r>
              <w:rPr>
                <w:rFonts w:ascii="宋体" w:hAnsi="宋体" w:eastAsia="宋体" w:cs="宋体"/>
                <w:color w:val="auto"/>
                <w:spacing w:val="4"/>
                <w:sz w:val="24"/>
                <w:szCs w:val="24"/>
              </w:rPr>
              <w:t>经处理并符合《碎屑岩</w:t>
            </w:r>
            <w:r>
              <w:rPr>
                <w:rFonts w:ascii="宋体" w:hAnsi="宋体" w:eastAsia="宋体" w:cs="宋体"/>
                <w:color w:val="auto"/>
                <w:spacing w:val="-2"/>
                <w:sz w:val="24"/>
                <w:szCs w:val="24"/>
              </w:rPr>
              <w:t>油藏注水水质推荐指标及分析方法》（</w:t>
            </w:r>
            <w:r>
              <w:rPr>
                <w:rFonts w:ascii="Times New Roman" w:hAnsi="Times New Roman" w:eastAsia="Times New Roman" w:cs="Times New Roman"/>
                <w:color w:val="auto"/>
                <w:spacing w:val="-2"/>
                <w:sz w:val="24"/>
                <w:szCs w:val="24"/>
              </w:rPr>
              <w:t>SY/T</w:t>
            </w:r>
            <w:r>
              <w:rPr>
                <w:rFonts w:ascii="Times New Roman" w:hAnsi="Times New Roman" w:eastAsia="Times New Roman" w:cs="Times New Roman"/>
                <w:color w:val="auto"/>
                <w:spacing w:val="-3"/>
                <w:sz w:val="24"/>
                <w:szCs w:val="24"/>
              </w:rPr>
              <w:t>5329</w:t>
            </w:r>
            <w:r>
              <w:rPr>
                <w:rFonts w:ascii="宋体" w:hAnsi="宋体" w:eastAsia="宋体" w:cs="宋体"/>
                <w:color w:val="auto"/>
                <w:spacing w:val="-3"/>
                <w:sz w:val="24"/>
                <w:szCs w:val="24"/>
              </w:rPr>
              <w:t>）等相关标准要求后回注，同步采取切</w:t>
            </w:r>
            <w:r>
              <w:rPr>
                <w:rFonts w:ascii="宋体" w:hAnsi="宋体" w:eastAsia="宋体" w:cs="宋体"/>
                <w:color w:val="auto"/>
                <w:spacing w:val="5"/>
                <w:sz w:val="24"/>
                <w:szCs w:val="24"/>
              </w:rPr>
              <w:t>实可行措施防治污染。回注目的层应当为地质构造封闭地层，</w:t>
            </w:r>
            <w:r>
              <w:rPr>
                <w:rFonts w:ascii="宋体" w:hAnsi="宋体" w:eastAsia="宋体" w:cs="宋体"/>
                <w:color w:val="auto"/>
                <w:spacing w:val="4"/>
                <w:sz w:val="24"/>
                <w:szCs w:val="24"/>
              </w:rPr>
              <w:t>一般应当回注到现役油</w:t>
            </w:r>
            <w:r>
              <w:rPr>
                <w:rFonts w:ascii="宋体" w:hAnsi="宋体" w:eastAsia="宋体" w:cs="宋体"/>
                <w:color w:val="auto"/>
                <w:spacing w:val="-1"/>
                <w:sz w:val="24"/>
                <w:szCs w:val="24"/>
              </w:rPr>
              <w:t>气藏或枯竭废弃油气藏。”</w:t>
            </w:r>
          </w:p>
          <w:p w14:paraId="416689C6">
            <w:pPr>
              <w:keepNext w:val="0"/>
              <w:keepLines w:val="0"/>
              <w:pageBreakBefore w:val="0"/>
              <w:widowControl/>
              <w:kinsoku w:val="0"/>
              <w:wordWrap/>
              <w:overflowPunct/>
              <w:topLinePunct w:val="0"/>
              <w:autoSpaceDE w:val="0"/>
              <w:autoSpaceDN w:val="0"/>
              <w:bidi w:val="0"/>
              <w:adjustRightInd w:val="0"/>
              <w:snapToGrid w:val="0"/>
              <w:spacing w:line="360" w:lineRule="auto"/>
              <w:ind w:left="37" w:right="26" w:firstLine="500" w:firstLineChars="200"/>
              <w:jc w:val="both"/>
              <w:textAlignment w:val="baseline"/>
              <w:rPr>
                <w:rFonts w:hint="eastAsia" w:ascii="宋体" w:hAnsi="宋体" w:eastAsia="宋体" w:cs="宋体"/>
                <w:color w:val="auto"/>
                <w:spacing w:val="-2"/>
                <w:sz w:val="24"/>
                <w:szCs w:val="24"/>
                <w:lang w:val="en-US" w:eastAsia="zh-CN"/>
              </w:rPr>
            </w:pPr>
            <w:r>
              <w:rPr>
                <w:rFonts w:ascii="宋体" w:hAnsi="宋体" w:eastAsia="宋体" w:cs="宋体"/>
                <w:color w:val="auto"/>
                <w:spacing w:val="5"/>
                <w:sz w:val="24"/>
                <w:szCs w:val="24"/>
              </w:rPr>
              <w:t>本项目回注的采出水经吉康脱水站一体化污水撬装装置处理达到《碎屑岩油藏注</w:t>
            </w:r>
            <w:r>
              <w:rPr>
                <w:rFonts w:ascii="宋体" w:hAnsi="宋体" w:eastAsia="宋体" w:cs="宋体"/>
                <w:color w:val="auto"/>
                <w:sz w:val="24"/>
                <w:szCs w:val="24"/>
              </w:rPr>
              <w:t xml:space="preserve"> </w:t>
            </w:r>
            <w:r>
              <w:rPr>
                <w:rFonts w:ascii="宋体" w:hAnsi="宋体" w:eastAsia="宋体" w:cs="宋体"/>
                <w:color w:val="auto"/>
                <w:spacing w:val="2"/>
                <w:sz w:val="24"/>
                <w:szCs w:val="24"/>
              </w:rPr>
              <w:t>水水质指标技术要求及分析方法》（</w:t>
            </w:r>
            <w:r>
              <w:rPr>
                <w:rFonts w:ascii="Times New Roman" w:hAnsi="Times New Roman" w:eastAsia="Times New Roman" w:cs="Times New Roman"/>
                <w:color w:val="auto"/>
                <w:sz w:val="24"/>
                <w:szCs w:val="24"/>
              </w:rPr>
              <w:t>SY</w:t>
            </w:r>
            <w:r>
              <w:rPr>
                <w:rFonts w:ascii="Times New Roman" w:hAnsi="Times New Roman" w:eastAsia="Times New Roman" w:cs="Times New Roman"/>
                <w:color w:val="auto"/>
                <w:spacing w:val="2"/>
                <w:sz w:val="24"/>
                <w:szCs w:val="24"/>
              </w:rPr>
              <w:t>/T5329</w:t>
            </w:r>
            <w:r>
              <w:rPr>
                <w:rFonts w:ascii="Times New Roman" w:hAnsi="Times New Roman" w:eastAsia="Times New Roman" w:cs="Times New Roman"/>
                <w:color w:val="auto"/>
                <w:spacing w:val="1"/>
                <w:sz w:val="24"/>
                <w:szCs w:val="24"/>
              </w:rPr>
              <w:t>-2022</w:t>
            </w:r>
            <w:r>
              <w:rPr>
                <w:rFonts w:ascii="宋体" w:hAnsi="宋体" w:eastAsia="宋体" w:cs="宋体"/>
                <w:color w:val="auto"/>
                <w:spacing w:val="1"/>
                <w:sz w:val="24"/>
                <w:szCs w:val="24"/>
              </w:rPr>
              <w:t>）标准要求，根据建设单位提供的</w:t>
            </w:r>
            <w:r>
              <w:rPr>
                <w:rFonts w:ascii="宋体" w:hAnsi="宋体" w:eastAsia="宋体" w:cs="宋体"/>
                <w:color w:val="auto"/>
                <w:spacing w:val="5"/>
                <w:sz w:val="24"/>
                <w:szCs w:val="24"/>
              </w:rPr>
              <w:t>开发利用方案，回注层系与本次拟开发含油层位于同一层系，属于</w:t>
            </w:r>
            <w:r>
              <w:rPr>
                <w:rFonts w:ascii="宋体" w:hAnsi="宋体" w:eastAsia="宋体" w:cs="宋体"/>
                <w:color w:val="auto"/>
                <w:spacing w:val="4"/>
                <w:sz w:val="24"/>
                <w:szCs w:val="24"/>
              </w:rPr>
              <w:t>现役油藏，地质构</w:t>
            </w:r>
            <w:r>
              <w:rPr>
                <w:rFonts w:ascii="宋体" w:hAnsi="宋体" w:eastAsia="宋体" w:cs="宋体"/>
                <w:color w:val="auto"/>
                <w:sz w:val="24"/>
                <w:szCs w:val="24"/>
              </w:rPr>
              <w:t xml:space="preserve"> </w:t>
            </w:r>
            <w:r>
              <w:rPr>
                <w:rFonts w:ascii="宋体" w:hAnsi="宋体" w:eastAsia="宋体" w:cs="宋体"/>
                <w:color w:val="auto"/>
                <w:spacing w:val="1"/>
                <w:sz w:val="24"/>
                <w:szCs w:val="24"/>
              </w:rPr>
              <w:t xml:space="preserve">造封闭，回注深度可达到 </w:t>
            </w:r>
            <w:r>
              <w:rPr>
                <w:rFonts w:ascii="Times New Roman" w:hAnsi="Times New Roman" w:eastAsia="Times New Roman" w:cs="Times New Roman"/>
                <w:color w:val="auto"/>
                <w:spacing w:val="1"/>
                <w:sz w:val="24"/>
                <w:szCs w:val="24"/>
              </w:rPr>
              <w:t>3500m~3800m</w:t>
            </w:r>
            <w:r>
              <w:rPr>
                <w:rFonts w:ascii="宋体" w:hAnsi="宋体" w:eastAsia="宋体" w:cs="宋体"/>
                <w:color w:val="auto"/>
                <w:spacing w:val="1"/>
                <w:sz w:val="24"/>
                <w:szCs w:val="24"/>
              </w:rPr>
              <w:t>，回注油层与地下水处于不同层系，远远超出</w:t>
            </w:r>
            <w:r>
              <w:rPr>
                <w:rFonts w:ascii="宋体" w:hAnsi="宋体" w:eastAsia="宋体" w:cs="宋体"/>
                <w:color w:val="auto"/>
                <w:spacing w:val="5"/>
                <w:sz w:val="24"/>
                <w:szCs w:val="24"/>
              </w:rPr>
              <w:t>含水层的深度。本项目采取了切实可行的地下水污染防治措施，</w:t>
            </w:r>
            <w:r>
              <w:rPr>
                <w:rFonts w:ascii="宋体" w:hAnsi="宋体" w:eastAsia="宋体" w:cs="宋体"/>
                <w:color w:val="auto"/>
                <w:spacing w:val="4"/>
                <w:sz w:val="24"/>
                <w:szCs w:val="24"/>
              </w:rPr>
              <w:t>在钻井过程中对潜水</w:t>
            </w:r>
            <w:r>
              <w:rPr>
                <w:rFonts w:ascii="宋体" w:hAnsi="宋体" w:eastAsia="宋体" w:cs="宋体"/>
                <w:color w:val="auto"/>
                <w:spacing w:val="5"/>
                <w:sz w:val="24"/>
                <w:szCs w:val="24"/>
              </w:rPr>
              <w:t>所在的地层进行了水泥浆固井，固井深度远远超过了承压水埋深</w:t>
            </w:r>
            <w:r>
              <w:rPr>
                <w:rFonts w:ascii="宋体" w:hAnsi="宋体" w:eastAsia="宋体" w:cs="宋体"/>
                <w:color w:val="auto"/>
                <w:spacing w:val="4"/>
                <w:sz w:val="24"/>
                <w:szCs w:val="24"/>
              </w:rPr>
              <w:t>，可以确保井壁不会</w:t>
            </w:r>
            <w:r>
              <w:rPr>
                <w:rFonts w:ascii="宋体" w:hAnsi="宋体" w:eastAsia="宋体" w:cs="宋体"/>
                <w:color w:val="auto"/>
                <w:spacing w:val="5"/>
                <w:sz w:val="24"/>
                <w:szCs w:val="24"/>
              </w:rPr>
              <w:t>发生侧漏，有效隔离含水层与井内回注水的交换，有效保护地下</w:t>
            </w:r>
            <w:r>
              <w:rPr>
                <w:rFonts w:ascii="宋体" w:hAnsi="宋体" w:eastAsia="宋体" w:cs="宋体"/>
                <w:color w:val="auto"/>
                <w:spacing w:val="4"/>
                <w:sz w:val="24"/>
                <w:szCs w:val="24"/>
              </w:rPr>
              <w:t>水层。</w:t>
            </w:r>
          </w:p>
          <w:bookmarkEnd w:id="28"/>
          <w:p w14:paraId="08788FF6">
            <w:pPr>
              <w:widowControl/>
              <w:tabs>
                <w:tab w:val="left" w:pos="4584"/>
              </w:tabs>
              <w:adjustRightInd w:val="0"/>
              <w:snapToGrid w:val="0"/>
              <w:spacing w:line="500" w:lineRule="exact"/>
              <w:jc w:val="left"/>
              <w:rPr>
                <w:rFonts w:hint="default" w:ascii="Times New Roman" w:hAnsi="Times New Roman" w:eastAsia="宋体" w:cs="Times New Roman"/>
                <w:b/>
                <w:bCs/>
                <w:color w:val="auto"/>
                <w:spacing w:val="-2"/>
                <w:sz w:val="24"/>
                <w:szCs w:val="24"/>
                <w:highlight w:val="none"/>
              </w:rPr>
            </w:pPr>
            <w:r>
              <w:rPr>
                <w:rFonts w:hint="eastAsia" w:ascii="Times New Roman" w:hAnsi="Times New Roman" w:eastAsia="宋体" w:cs="Times New Roman"/>
                <w:b/>
                <w:bCs/>
                <w:color w:val="auto"/>
                <w:spacing w:val="-2"/>
                <w:sz w:val="24"/>
                <w:szCs w:val="24"/>
                <w:highlight w:val="none"/>
                <w:lang w:val="en-US" w:eastAsia="zh-CN"/>
              </w:rPr>
              <w:t>5.</w:t>
            </w:r>
            <w:r>
              <w:rPr>
                <w:rFonts w:hint="default" w:ascii="Times New Roman" w:hAnsi="Times New Roman" w:eastAsia="宋体" w:cs="Times New Roman"/>
                <w:b/>
                <w:bCs/>
                <w:color w:val="auto"/>
                <w:spacing w:val="-2"/>
                <w:sz w:val="24"/>
                <w:szCs w:val="24"/>
                <w:highlight w:val="none"/>
              </w:rPr>
              <w:t>地下水和土壤环境保护措施</w:t>
            </w:r>
          </w:p>
          <w:p w14:paraId="1E09A16F">
            <w:pPr>
              <w:widowControl/>
              <w:tabs>
                <w:tab w:val="left" w:pos="4584"/>
              </w:tabs>
              <w:adjustRightInd w:val="0"/>
              <w:snapToGrid w:val="0"/>
              <w:spacing w:line="500" w:lineRule="exact"/>
              <w:ind w:firstLine="464" w:firstLineChars="200"/>
              <w:jc w:val="both"/>
              <w:rPr>
                <w:rFonts w:hint="default" w:ascii="Times New Roman" w:hAnsi="Times New Roman" w:eastAsia="宋体" w:cs="Times New Roman"/>
                <w:color w:val="auto"/>
                <w:spacing w:val="-4"/>
                <w:sz w:val="24"/>
                <w:szCs w:val="24"/>
                <w:highlight w:val="none"/>
                <w:lang w:eastAsia="zh-CN"/>
              </w:rPr>
            </w:pPr>
            <w:r>
              <w:rPr>
                <w:rFonts w:hint="default" w:ascii="Times New Roman" w:hAnsi="Times New Roman" w:eastAsia="宋体" w:cs="Times New Roman"/>
                <w:color w:val="auto"/>
                <w:spacing w:val="-4"/>
                <w:sz w:val="24"/>
                <w:szCs w:val="24"/>
                <w:highlight w:val="none"/>
              </w:rPr>
              <w:t>根据《环境影响评价技术导则 地下水环境》（HJ610-2016）和《石油化工工程防渗技术规范》（GB/T50934-2013）的相关规定，本工程拟对厂区进行分区地下水污染防治</w:t>
            </w:r>
            <w:r>
              <w:rPr>
                <w:rFonts w:hint="default" w:ascii="Times New Roman" w:hAnsi="Times New Roman" w:eastAsia="宋体" w:cs="Times New Roman"/>
                <w:color w:val="auto"/>
                <w:spacing w:val="-4"/>
                <w:sz w:val="24"/>
                <w:szCs w:val="24"/>
                <w:highlight w:val="none"/>
                <w:lang w:eastAsia="zh-CN"/>
              </w:rPr>
              <w:t>。</w:t>
            </w:r>
          </w:p>
          <w:p w14:paraId="20823649">
            <w:pPr>
              <w:widowControl/>
              <w:tabs>
                <w:tab w:val="left" w:pos="4584"/>
              </w:tabs>
              <w:adjustRightInd w:val="0"/>
              <w:snapToGrid w:val="0"/>
              <w:spacing w:line="500" w:lineRule="exact"/>
              <w:ind w:firstLine="464" w:firstLineChars="200"/>
              <w:jc w:val="both"/>
              <w:rPr>
                <w:rFonts w:hint="default" w:ascii="Times New Roman" w:hAnsi="Times New Roman" w:eastAsia="宋体" w:cs="Times New Roman"/>
                <w:color w:val="auto"/>
                <w:spacing w:val="-4"/>
                <w:sz w:val="24"/>
                <w:szCs w:val="24"/>
                <w:highlight w:val="none"/>
              </w:rPr>
            </w:pPr>
            <w:r>
              <w:rPr>
                <w:rFonts w:hint="default" w:ascii="Times New Roman" w:hAnsi="Times New Roman" w:eastAsia="宋体" w:cs="Times New Roman"/>
                <w:color w:val="auto"/>
                <w:spacing w:val="-4"/>
                <w:sz w:val="24"/>
                <w:szCs w:val="24"/>
                <w:highlight w:val="none"/>
              </w:rPr>
              <w:t>（1）施工期间钻井井场分为重点防渗区、一般防渗区和简单防渗区。其中柴油储罐、发电房、废料场、不落地系统、</w:t>
            </w:r>
            <w:r>
              <w:rPr>
                <w:rFonts w:hint="default" w:ascii="Times New Roman" w:hAnsi="Times New Roman" w:eastAsia="宋体" w:cs="Times New Roman"/>
                <w:color w:val="auto"/>
                <w:spacing w:val="-4"/>
                <w:sz w:val="24"/>
                <w:szCs w:val="24"/>
                <w:highlight w:val="none"/>
                <w:lang w:val="en-US" w:eastAsia="zh-CN"/>
              </w:rPr>
              <w:t>泥浆</w:t>
            </w:r>
            <w:r>
              <w:rPr>
                <w:rFonts w:hint="default" w:ascii="Times New Roman" w:hAnsi="Times New Roman" w:eastAsia="宋体" w:cs="Times New Roman"/>
                <w:color w:val="auto"/>
                <w:spacing w:val="-4"/>
                <w:sz w:val="24"/>
                <w:szCs w:val="24"/>
                <w:highlight w:val="none"/>
              </w:rPr>
              <w:t>储罐区、岩屑储罐区、钻井井口、危险废物</w:t>
            </w:r>
            <w:r>
              <w:rPr>
                <w:rFonts w:hint="eastAsia" w:ascii="Times New Roman" w:hAnsi="Times New Roman" w:eastAsia="宋体" w:cs="Times New Roman"/>
                <w:color w:val="auto"/>
                <w:spacing w:val="-4"/>
                <w:sz w:val="24"/>
                <w:szCs w:val="24"/>
                <w:highlight w:val="none"/>
                <w:lang w:eastAsia="zh-CN"/>
              </w:rPr>
              <w:t>、</w:t>
            </w:r>
            <w:r>
              <w:rPr>
                <w:rFonts w:hint="default" w:ascii="Times New Roman" w:hAnsi="Times New Roman" w:eastAsia="宋体" w:cs="Times New Roman"/>
                <w:color w:val="auto"/>
                <w:spacing w:val="-4"/>
                <w:sz w:val="24"/>
                <w:szCs w:val="24"/>
                <w:highlight w:val="none"/>
              </w:rPr>
              <w:t>应急放喷池</w:t>
            </w:r>
            <w:r>
              <w:rPr>
                <w:rFonts w:hint="eastAsia" w:ascii="Times New Roman" w:hAnsi="Times New Roman" w:eastAsia="宋体" w:cs="Times New Roman"/>
                <w:color w:val="auto"/>
                <w:spacing w:val="-4"/>
                <w:sz w:val="24"/>
                <w:szCs w:val="24"/>
                <w:highlight w:val="none"/>
                <w:lang w:val="en-US" w:eastAsia="zh-CN"/>
              </w:rPr>
              <w:t>及其油品储存区</w:t>
            </w:r>
            <w:r>
              <w:rPr>
                <w:rFonts w:hint="default" w:ascii="Times New Roman" w:hAnsi="Times New Roman" w:eastAsia="宋体" w:cs="Times New Roman"/>
                <w:color w:val="auto"/>
                <w:spacing w:val="-4"/>
                <w:sz w:val="24"/>
                <w:szCs w:val="24"/>
                <w:highlight w:val="none"/>
                <w:lang w:val="en-US" w:eastAsia="zh-CN"/>
              </w:rPr>
              <w:t>等</w:t>
            </w:r>
            <w:r>
              <w:rPr>
                <w:rFonts w:hint="default" w:ascii="Times New Roman" w:hAnsi="Times New Roman" w:eastAsia="宋体" w:cs="Times New Roman"/>
                <w:color w:val="auto"/>
                <w:spacing w:val="-4"/>
                <w:sz w:val="24"/>
                <w:szCs w:val="24"/>
                <w:highlight w:val="none"/>
              </w:rPr>
              <w:t>区域为重点防渗区，采用防渗膜进行防渗，</w:t>
            </w:r>
            <w:r>
              <w:rPr>
                <w:rFonts w:hint="default" w:ascii="Times New Roman" w:hAnsi="Times New Roman" w:eastAsia="宋体" w:cs="Times New Roman"/>
                <w:color w:val="auto"/>
                <w:spacing w:val="-4"/>
                <w:sz w:val="24"/>
                <w:szCs w:val="24"/>
                <w:highlight w:val="none"/>
                <w:lang w:val="en-US" w:eastAsia="zh-CN"/>
              </w:rPr>
              <w:t>满足</w:t>
            </w:r>
            <w:r>
              <w:rPr>
                <w:rFonts w:hint="default" w:ascii="Times New Roman" w:hAnsi="Times New Roman" w:eastAsia="宋体" w:cs="Times New Roman"/>
                <w:color w:val="auto"/>
                <w:spacing w:val="-4"/>
                <w:sz w:val="24"/>
                <w:szCs w:val="24"/>
                <w:highlight w:val="none"/>
              </w:rPr>
              <w:t>等效黏土防渗层Mb≥6.0m，K＜1×10</w:t>
            </w:r>
            <w:r>
              <w:rPr>
                <w:rFonts w:hint="default" w:ascii="Times New Roman" w:hAnsi="Times New Roman" w:eastAsia="宋体" w:cs="Times New Roman"/>
                <w:color w:val="auto"/>
                <w:spacing w:val="-4"/>
                <w:sz w:val="24"/>
                <w:szCs w:val="24"/>
                <w:highlight w:val="none"/>
                <w:vertAlign w:val="superscript"/>
              </w:rPr>
              <w:t>-7</w:t>
            </w:r>
            <w:r>
              <w:rPr>
                <w:rFonts w:hint="default" w:ascii="Times New Roman" w:hAnsi="Times New Roman" w:eastAsia="宋体" w:cs="Times New Roman"/>
                <w:color w:val="auto"/>
                <w:spacing w:val="-4"/>
                <w:sz w:val="24"/>
                <w:szCs w:val="24"/>
                <w:highlight w:val="none"/>
              </w:rPr>
              <w:t>cm/s的防渗性能；材料房和生活污水收集池区域为一般防渗区，铺设HDPE防渗膜（等效黏土防渗层Mb≥1.5m，K≤1×10</w:t>
            </w:r>
            <w:r>
              <w:rPr>
                <w:rFonts w:hint="default" w:ascii="Times New Roman" w:hAnsi="Times New Roman" w:eastAsia="宋体" w:cs="Times New Roman"/>
                <w:color w:val="auto"/>
                <w:spacing w:val="-4"/>
                <w:sz w:val="24"/>
                <w:szCs w:val="24"/>
                <w:highlight w:val="none"/>
                <w:vertAlign w:val="superscript"/>
              </w:rPr>
              <w:t>-7</w:t>
            </w:r>
            <w:r>
              <w:rPr>
                <w:rFonts w:hint="default" w:ascii="Times New Roman" w:hAnsi="Times New Roman" w:eastAsia="宋体" w:cs="Times New Roman"/>
                <w:color w:val="auto"/>
                <w:spacing w:val="-4"/>
                <w:sz w:val="24"/>
                <w:szCs w:val="24"/>
                <w:highlight w:val="none"/>
              </w:rPr>
              <w:t>cm/s）；水罐区、</w:t>
            </w:r>
            <w:r>
              <w:rPr>
                <w:rFonts w:hint="default" w:ascii="Times New Roman" w:hAnsi="Times New Roman" w:eastAsia="宋体" w:cs="Times New Roman"/>
                <w:color w:val="auto"/>
                <w:spacing w:val="-4"/>
                <w:sz w:val="24"/>
                <w:szCs w:val="24"/>
                <w:highlight w:val="none"/>
                <w:lang w:val="en-US" w:eastAsia="zh-CN"/>
              </w:rPr>
              <w:t>库</w:t>
            </w:r>
            <w:r>
              <w:rPr>
                <w:rFonts w:hint="default" w:ascii="Times New Roman" w:hAnsi="Times New Roman" w:eastAsia="宋体" w:cs="Times New Roman"/>
                <w:color w:val="auto"/>
                <w:spacing w:val="-4"/>
                <w:sz w:val="24"/>
                <w:szCs w:val="24"/>
                <w:highlight w:val="none"/>
              </w:rPr>
              <w:t>房和值班房等其他区域为简单防渗区。</w:t>
            </w:r>
          </w:p>
          <w:p w14:paraId="56E0AE72">
            <w:pPr>
              <w:widowControl/>
              <w:tabs>
                <w:tab w:val="left" w:pos="4584"/>
              </w:tabs>
              <w:adjustRightInd w:val="0"/>
              <w:snapToGrid w:val="0"/>
              <w:spacing w:line="500" w:lineRule="exact"/>
              <w:ind w:firstLine="464" w:firstLineChars="200"/>
              <w:jc w:val="both"/>
              <w:rPr>
                <w:rFonts w:hint="default" w:ascii="Times New Roman" w:hAnsi="Times New Roman" w:eastAsia="宋体" w:cs="Times New Roman"/>
                <w:color w:val="auto"/>
                <w:spacing w:val="-4"/>
                <w:sz w:val="24"/>
                <w:szCs w:val="24"/>
                <w:highlight w:val="none"/>
              </w:rPr>
            </w:pPr>
            <w:r>
              <w:rPr>
                <w:rFonts w:hint="default" w:ascii="Times New Roman" w:hAnsi="Times New Roman" w:eastAsia="宋体" w:cs="Times New Roman"/>
                <w:color w:val="auto"/>
                <w:spacing w:val="-4"/>
                <w:sz w:val="24"/>
                <w:szCs w:val="24"/>
                <w:highlight w:val="none"/>
              </w:rPr>
              <w:t>试油井场分为重点防渗区和简单防渗区。其中发电房、采出液储罐、试油废水罐和应急放喷池（应急放喷池仅在事故状态下开挖）为重点防渗区，铺设HDPE防渗膜，值班房为简单防渗区。分区防渗情况详见表</w:t>
            </w:r>
            <w:r>
              <w:rPr>
                <w:rFonts w:hint="default" w:ascii="Times New Roman" w:hAnsi="Times New Roman" w:eastAsia="宋体" w:cs="Times New Roman"/>
                <w:color w:val="auto"/>
                <w:spacing w:val="-4"/>
                <w:sz w:val="24"/>
                <w:szCs w:val="24"/>
                <w:highlight w:val="none"/>
                <w:lang w:val="en-US" w:eastAsia="zh-CN"/>
              </w:rPr>
              <w:t>5-1</w:t>
            </w:r>
            <w:r>
              <w:rPr>
                <w:rFonts w:hint="default" w:ascii="Times New Roman" w:hAnsi="Times New Roman" w:eastAsia="宋体" w:cs="Times New Roman"/>
                <w:color w:val="auto"/>
                <w:spacing w:val="-4"/>
                <w:sz w:val="24"/>
                <w:szCs w:val="24"/>
                <w:highlight w:val="none"/>
              </w:rPr>
              <w:t>。</w:t>
            </w:r>
          </w:p>
          <w:p w14:paraId="6BE75862">
            <w:pPr>
              <w:pStyle w:val="5"/>
              <w:widowControl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 xml:space="preserve">5-1 </w:t>
            </w:r>
            <w:r>
              <w:rPr>
                <w:rFonts w:hint="default" w:ascii="Times New Roman" w:hAnsi="Times New Roman" w:eastAsia="宋体" w:cs="Times New Roman"/>
                <w:b/>
                <w:bCs/>
                <w:color w:val="auto"/>
                <w:highlight w:val="none"/>
              </w:rPr>
              <w:t>项目分区防渗表</w:t>
            </w:r>
          </w:p>
          <w:tbl>
            <w:tblPr>
              <w:tblStyle w:val="23"/>
              <w:tblW w:w="83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00"/>
              <w:gridCol w:w="1264"/>
              <w:gridCol w:w="2837"/>
              <w:gridCol w:w="3177"/>
            </w:tblGrid>
            <w:tr w14:paraId="6E97CC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1100" w:type="dxa"/>
                  <w:tcBorders>
                    <w:top w:val="single" w:color="auto" w:sz="4" w:space="0"/>
                    <w:left w:val="single" w:color="auto" w:sz="0" w:space="0"/>
                  </w:tcBorders>
                  <w:vAlign w:val="center"/>
                </w:tcPr>
                <w:p w14:paraId="7C9A28B9">
                  <w:pPr>
                    <w:pStyle w:val="21"/>
                    <w:contextualSpacing/>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时期</w:t>
                  </w:r>
                </w:p>
              </w:tc>
              <w:tc>
                <w:tcPr>
                  <w:tcW w:w="1264" w:type="dxa"/>
                  <w:tcBorders>
                    <w:top w:val="single" w:color="auto" w:sz="4" w:space="0"/>
                  </w:tcBorders>
                  <w:vAlign w:val="center"/>
                </w:tcPr>
                <w:p w14:paraId="3094EAE1">
                  <w:pPr>
                    <w:pStyle w:val="21"/>
                    <w:contextualSpacing/>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防渗分区</w:t>
                  </w:r>
                </w:p>
              </w:tc>
              <w:tc>
                <w:tcPr>
                  <w:tcW w:w="2837" w:type="dxa"/>
                  <w:tcBorders>
                    <w:top w:val="single" w:color="auto" w:sz="4" w:space="0"/>
                  </w:tcBorders>
                  <w:vAlign w:val="center"/>
                </w:tcPr>
                <w:p w14:paraId="6F0DE5B5">
                  <w:pPr>
                    <w:pStyle w:val="21"/>
                    <w:contextualSpacing/>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生产单元</w:t>
                  </w:r>
                </w:p>
              </w:tc>
              <w:tc>
                <w:tcPr>
                  <w:tcW w:w="3177" w:type="dxa"/>
                  <w:tcBorders>
                    <w:top w:val="single" w:color="auto" w:sz="4" w:space="0"/>
                    <w:right w:val="single" w:color="auto" w:sz="4" w:space="0"/>
                  </w:tcBorders>
                  <w:vAlign w:val="center"/>
                </w:tcPr>
                <w:p w14:paraId="0F4DEA2D">
                  <w:pPr>
                    <w:pStyle w:val="21"/>
                    <w:contextualSpacing/>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防渗性能要求</w:t>
                  </w:r>
                </w:p>
              </w:tc>
            </w:tr>
            <w:tr w14:paraId="14C4FB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1100" w:type="dxa"/>
                  <w:vMerge w:val="restart"/>
                  <w:tcBorders>
                    <w:left w:val="single" w:color="auto" w:sz="4" w:space="0"/>
                  </w:tcBorders>
                  <w:vAlign w:val="center"/>
                </w:tcPr>
                <w:p w14:paraId="0CCA6725">
                  <w:pPr>
                    <w:pStyle w:val="21"/>
                    <w:contextualSpacing/>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钻井井场</w:t>
                  </w:r>
                </w:p>
              </w:tc>
              <w:tc>
                <w:tcPr>
                  <w:tcW w:w="1264" w:type="dxa"/>
                  <w:vAlign w:val="center"/>
                </w:tcPr>
                <w:p w14:paraId="0C790767">
                  <w:pPr>
                    <w:pStyle w:val="21"/>
                    <w:contextualSpacing/>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一般防渗区</w:t>
                  </w:r>
                </w:p>
              </w:tc>
              <w:tc>
                <w:tcPr>
                  <w:tcW w:w="2837" w:type="dxa"/>
                  <w:vAlign w:val="center"/>
                </w:tcPr>
                <w:p w14:paraId="2B0F596C">
                  <w:pPr>
                    <w:pStyle w:val="21"/>
                    <w:contextualSpacing/>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材料</w:t>
                  </w:r>
                  <w:r>
                    <w:rPr>
                      <w:rFonts w:hint="default" w:ascii="Times New Roman" w:hAnsi="Times New Roman" w:eastAsia="宋体" w:cs="Times New Roman"/>
                      <w:color w:val="auto"/>
                      <w:highlight w:val="none"/>
                      <w:lang w:val="en-US" w:eastAsia="zh-CN"/>
                    </w:rPr>
                    <w:t>储存区、放喷管线、钻井区</w:t>
                  </w:r>
                </w:p>
              </w:tc>
              <w:tc>
                <w:tcPr>
                  <w:tcW w:w="3177" w:type="dxa"/>
                  <w:tcBorders>
                    <w:right w:val="single" w:color="auto" w:sz="4" w:space="0"/>
                  </w:tcBorders>
                  <w:vAlign w:val="center"/>
                </w:tcPr>
                <w:p w14:paraId="0F90DA32">
                  <w:pPr>
                    <w:pStyle w:val="21"/>
                    <w:contextualSpacing/>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等效黏土防渗层MB≥1.5m，K≤1.0×10</w:t>
                  </w:r>
                  <w:r>
                    <w:rPr>
                      <w:rFonts w:hint="default" w:ascii="Times New Roman" w:hAnsi="Times New Roman" w:eastAsia="宋体" w:cs="Times New Roman"/>
                      <w:color w:val="auto"/>
                      <w:highlight w:val="none"/>
                      <w:vertAlign w:val="superscript"/>
                    </w:rPr>
                    <w:t>-7</w:t>
                  </w:r>
                  <w:r>
                    <w:rPr>
                      <w:rFonts w:hint="default" w:ascii="Times New Roman" w:hAnsi="Times New Roman" w:eastAsia="宋体" w:cs="Times New Roman"/>
                      <w:color w:val="auto"/>
                      <w:highlight w:val="none"/>
                    </w:rPr>
                    <w:t>cm/s</w:t>
                  </w:r>
                  <w:r>
                    <w:rPr>
                      <w:rFonts w:hint="default" w:ascii="Times New Roman" w:hAnsi="Times New Roman" w:eastAsia="宋体" w:cs="Times New Roman"/>
                      <w:color w:val="auto"/>
                      <w:szCs w:val="18"/>
                      <w:highlight w:val="none"/>
                      <w:lang w:val="zh-CN"/>
                    </w:rPr>
                    <w:t>，或参照GB16889执行</w:t>
                  </w:r>
                </w:p>
              </w:tc>
            </w:tr>
            <w:tr w14:paraId="5A7988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1100" w:type="dxa"/>
                  <w:vMerge w:val="continue"/>
                  <w:tcBorders>
                    <w:left w:val="single" w:color="auto" w:sz="4" w:space="0"/>
                  </w:tcBorders>
                  <w:vAlign w:val="center"/>
                </w:tcPr>
                <w:p w14:paraId="7B90582A">
                  <w:pPr>
                    <w:pStyle w:val="21"/>
                    <w:contextualSpacing/>
                    <w:rPr>
                      <w:rFonts w:hint="default" w:ascii="Times New Roman" w:hAnsi="Times New Roman" w:eastAsia="宋体" w:cs="Times New Roman"/>
                      <w:color w:val="auto"/>
                      <w:highlight w:val="none"/>
                    </w:rPr>
                  </w:pPr>
                </w:p>
              </w:tc>
              <w:tc>
                <w:tcPr>
                  <w:tcW w:w="1264" w:type="dxa"/>
                  <w:vAlign w:val="center"/>
                </w:tcPr>
                <w:p w14:paraId="60230E4F">
                  <w:pPr>
                    <w:pStyle w:val="21"/>
                    <w:contextualSpacing/>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重点防渗区</w:t>
                  </w:r>
                </w:p>
              </w:tc>
              <w:tc>
                <w:tcPr>
                  <w:tcW w:w="2837" w:type="dxa"/>
                  <w:vAlign w:val="center"/>
                </w:tcPr>
                <w:p w14:paraId="38961A6C">
                  <w:pPr>
                    <w:pStyle w:val="21"/>
                    <w:contextualSpacing/>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柴油罐</w:t>
                  </w:r>
                  <w:r>
                    <w:rPr>
                      <w:rFonts w:hint="default" w:ascii="Times New Roman" w:hAnsi="Times New Roman" w:eastAsia="宋体" w:cs="Times New Roman"/>
                      <w:color w:val="auto"/>
                      <w:highlight w:val="none"/>
                      <w:lang w:val="en-US" w:eastAsia="zh-CN"/>
                    </w:rPr>
                    <w:t>区</w:t>
                  </w:r>
                  <w:r>
                    <w:rPr>
                      <w:rFonts w:hint="default" w:ascii="Times New Roman" w:hAnsi="Times New Roman" w:eastAsia="宋体" w:cs="Times New Roman"/>
                      <w:color w:val="auto"/>
                      <w:highlight w:val="none"/>
                    </w:rPr>
                    <w:t>、发电</w:t>
                  </w:r>
                  <w:r>
                    <w:rPr>
                      <w:rFonts w:hint="default" w:ascii="Times New Roman" w:hAnsi="Times New Roman" w:eastAsia="宋体" w:cs="Times New Roman"/>
                      <w:color w:val="auto"/>
                      <w:highlight w:val="none"/>
                      <w:lang w:val="en-US" w:eastAsia="zh-CN"/>
                    </w:rPr>
                    <w:t>机</w:t>
                  </w:r>
                  <w:r>
                    <w:rPr>
                      <w:rFonts w:hint="default" w:ascii="Times New Roman" w:hAnsi="Times New Roman" w:eastAsia="宋体" w:cs="Times New Roman"/>
                      <w:color w:val="auto"/>
                      <w:highlight w:val="none"/>
                    </w:rPr>
                    <w:t>房、不落地系统、</w:t>
                  </w:r>
                  <w:r>
                    <w:rPr>
                      <w:rFonts w:hint="default" w:ascii="Times New Roman" w:hAnsi="Times New Roman" w:eastAsia="宋体" w:cs="Times New Roman"/>
                      <w:color w:val="auto"/>
                      <w:highlight w:val="none"/>
                      <w:lang w:val="en-US" w:eastAsia="zh-CN"/>
                    </w:rPr>
                    <w:t>泥浆</w:t>
                  </w:r>
                  <w:r>
                    <w:rPr>
                      <w:rFonts w:hint="default" w:ascii="Times New Roman" w:hAnsi="Times New Roman" w:eastAsia="宋体" w:cs="Times New Roman"/>
                      <w:color w:val="auto"/>
                      <w:highlight w:val="none"/>
                    </w:rPr>
                    <w:t>罐区</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岩屑罐区、危险废物、放喷池</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油品储存区</w:t>
                  </w:r>
                </w:p>
              </w:tc>
              <w:tc>
                <w:tcPr>
                  <w:tcW w:w="3177" w:type="dxa"/>
                  <w:tcBorders>
                    <w:right w:val="single" w:color="auto" w:sz="4" w:space="0"/>
                  </w:tcBorders>
                  <w:vAlign w:val="center"/>
                </w:tcPr>
                <w:p w14:paraId="6DDAFE60">
                  <w:pPr>
                    <w:pStyle w:val="21"/>
                    <w:contextualSpacing/>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18"/>
                      <w:highlight w:val="none"/>
                      <w:lang w:val="zh-CN"/>
                    </w:rPr>
                    <w:t>等效黏土防渗层Mb≥</w:t>
                  </w:r>
                  <w:r>
                    <w:rPr>
                      <w:rFonts w:hint="default" w:ascii="Times New Roman" w:hAnsi="Times New Roman" w:eastAsia="宋体" w:cs="Times New Roman"/>
                      <w:color w:val="auto"/>
                      <w:szCs w:val="18"/>
                      <w:highlight w:val="none"/>
                    </w:rPr>
                    <w:t>6.0</w:t>
                  </w:r>
                  <w:r>
                    <w:rPr>
                      <w:rFonts w:hint="default" w:ascii="Times New Roman" w:hAnsi="Times New Roman" w:eastAsia="宋体" w:cs="Times New Roman"/>
                      <w:color w:val="auto"/>
                      <w:szCs w:val="18"/>
                      <w:highlight w:val="none"/>
                      <w:lang w:val="zh-CN"/>
                    </w:rPr>
                    <w:t>m，K＜1×10</w:t>
                  </w:r>
                  <w:r>
                    <w:rPr>
                      <w:rFonts w:hint="default" w:ascii="Times New Roman" w:hAnsi="Times New Roman" w:eastAsia="宋体" w:cs="Times New Roman"/>
                      <w:color w:val="auto"/>
                      <w:szCs w:val="18"/>
                      <w:highlight w:val="none"/>
                      <w:vertAlign w:val="superscript"/>
                      <w:lang w:val="zh-CN"/>
                    </w:rPr>
                    <w:t>-7</w:t>
                  </w:r>
                  <w:r>
                    <w:rPr>
                      <w:rFonts w:hint="default" w:ascii="Times New Roman" w:hAnsi="Times New Roman" w:eastAsia="宋体" w:cs="Times New Roman"/>
                      <w:color w:val="auto"/>
                      <w:szCs w:val="18"/>
                      <w:highlight w:val="none"/>
                      <w:lang w:val="zh-CN"/>
                    </w:rPr>
                    <w:t>cm/s，或参照GB</w:t>
                  </w:r>
                  <w:r>
                    <w:rPr>
                      <w:rFonts w:hint="default" w:ascii="Times New Roman" w:hAnsi="Times New Roman" w:eastAsia="宋体" w:cs="Times New Roman"/>
                      <w:color w:val="auto"/>
                      <w:szCs w:val="18"/>
                      <w:highlight w:val="none"/>
                    </w:rPr>
                    <w:t>18598</w:t>
                  </w:r>
                  <w:r>
                    <w:rPr>
                      <w:rFonts w:hint="default" w:ascii="Times New Roman" w:hAnsi="Times New Roman" w:eastAsia="宋体" w:cs="Times New Roman"/>
                      <w:color w:val="auto"/>
                      <w:szCs w:val="18"/>
                      <w:highlight w:val="none"/>
                      <w:lang w:val="zh-CN"/>
                    </w:rPr>
                    <w:t>执行</w:t>
                  </w:r>
                </w:p>
              </w:tc>
            </w:tr>
            <w:tr w14:paraId="18B1E9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1100" w:type="dxa"/>
                  <w:vMerge w:val="continue"/>
                  <w:tcBorders>
                    <w:left w:val="single" w:color="auto" w:sz="4" w:space="0"/>
                  </w:tcBorders>
                  <w:vAlign w:val="center"/>
                </w:tcPr>
                <w:p w14:paraId="47306250">
                  <w:pPr>
                    <w:pStyle w:val="21"/>
                    <w:contextualSpacing/>
                    <w:rPr>
                      <w:rFonts w:hint="default" w:ascii="Times New Roman" w:hAnsi="Times New Roman" w:eastAsia="宋体" w:cs="Times New Roman"/>
                      <w:color w:val="auto"/>
                      <w:highlight w:val="none"/>
                    </w:rPr>
                  </w:pPr>
                </w:p>
              </w:tc>
              <w:tc>
                <w:tcPr>
                  <w:tcW w:w="1264" w:type="dxa"/>
                  <w:vAlign w:val="center"/>
                </w:tcPr>
                <w:p w14:paraId="4C4F7655">
                  <w:pPr>
                    <w:pStyle w:val="21"/>
                    <w:contextualSpacing/>
                    <w:rPr>
                      <w:rFonts w:hint="default" w:ascii="Times New Roman" w:hAnsi="Times New Roman" w:eastAsia="宋体" w:cs="Times New Roman"/>
                      <w:color w:val="auto"/>
                      <w:highlight w:val="none"/>
                    </w:rPr>
                  </w:pPr>
                  <w:r>
                    <w:rPr>
                      <w:rFonts w:hint="default" w:ascii="Times New Roman" w:hAnsi="Times New Roman" w:eastAsia="宋体" w:cs="Times New Roman"/>
                      <w:color w:val="auto"/>
                      <w:spacing w:val="-4"/>
                      <w:highlight w:val="none"/>
                    </w:rPr>
                    <w:t>简单防渗区</w:t>
                  </w:r>
                </w:p>
              </w:tc>
              <w:tc>
                <w:tcPr>
                  <w:tcW w:w="2837" w:type="dxa"/>
                  <w:vAlign w:val="center"/>
                </w:tcPr>
                <w:p w14:paraId="643C65DB">
                  <w:pPr>
                    <w:pStyle w:val="21"/>
                    <w:contextualSpacing/>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水罐区、值班房、</w:t>
                  </w:r>
                  <w:r>
                    <w:rPr>
                      <w:rFonts w:hint="default" w:ascii="Times New Roman" w:hAnsi="Times New Roman" w:eastAsia="宋体" w:cs="Times New Roman"/>
                      <w:color w:val="auto"/>
                      <w:highlight w:val="none"/>
                      <w:lang w:val="en-US" w:eastAsia="zh-CN"/>
                    </w:rPr>
                    <w:t>库</w:t>
                  </w:r>
                  <w:r>
                    <w:rPr>
                      <w:rFonts w:hint="default" w:ascii="Times New Roman" w:hAnsi="Times New Roman" w:eastAsia="宋体" w:cs="Times New Roman"/>
                      <w:color w:val="auto"/>
                      <w:highlight w:val="none"/>
                    </w:rPr>
                    <w:t>房</w:t>
                  </w:r>
                </w:p>
              </w:tc>
              <w:tc>
                <w:tcPr>
                  <w:tcW w:w="3177" w:type="dxa"/>
                  <w:tcBorders>
                    <w:right w:val="single" w:color="auto" w:sz="4" w:space="0"/>
                  </w:tcBorders>
                  <w:vAlign w:val="center"/>
                </w:tcPr>
                <w:p w14:paraId="1C9C36A2">
                  <w:pPr>
                    <w:pStyle w:val="21"/>
                    <w:contextualSpacing/>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一般地面硬化</w:t>
                  </w:r>
                </w:p>
              </w:tc>
            </w:tr>
            <w:tr w14:paraId="300314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1100" w:type="dxa"/>
                  <w:tcBorders>
                    <w:left w:val="single" w:color="auto" w:sz="4" w:space="0"/>
                  </w:tcBorders>
                  <w:vAlign w:val="center"/>
                </w:tcPr>
                <w:p w14:paraId="79E62532">
                  <w:pPr>
                    <w:pStyle w:val="21"/>
                    <w:contextualSpacing/>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生活营地</w:t>
                  </w:r>
                </w:p>
              </w:tc>
              <w:tc>
                <w:tcPr>
                  <w:tcW w:w="1264" w:type="dxa"/>
                  <w:vAlign w:val="center"/>
                </w:tcPr>
                <w:p w14:paraId="57D7A5C5">
                  <w:pPr>
                    <w:pStyle w:val="21"/>
                    <w:contextualSpacing/>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一般防渗区</w:t>
                  </w:r>
                </w:p>
              </w:tc>
              <w:tc>
                <w:tcPr>
                  <w:tcW w:w="2837" w:type="dxa"/>
                  <w:vAlign w:val="center"/>
                </w:tcPr>
                <w:p w14:paraId="4F1B1622">
                  <w:pPr>
                    <w:pStyle w:val="21"/>
                    <w:contextualSpacing/>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生活污水收集池</w:t>
                  </w:r>
                </w:p>
              </w:tc>
              <w:tc>
                <w:tcPr>
                  <w:tcW w:w="3177" w:type="dxa"/>
                  <w:tcBorders>
                    <w:right w:val="single" w:color="auto" w:sz="4" w:space="0"/>
                  </w:tcBorders>
                  <w:vAlign w:val="center"/>
                </w:tcPr>
                <w:p w14:paraId="2C0E7171">
                  <w:pPr>
                    <w:pStyle w:val="21"/>
                    <w:contextualSpacing/>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等效黏土防渗层MB≥1.5m，K≤1.0×10</w:t>
                  </w:r>
                  <w:r>
                    <w:rPr>
                      <w:rFonts w:hint="default" w:ascii="Times New Roman" w:hAnsi="Times New Roman" w:eastAsia="宋体" w:cs="Times New Roman"/>
                      <w:color w:val="auto"/>
                      <w:highlight w:val="none"/>
                      <w:vertAlign w:val="superscript"/>
                    </w:rPr>
                    <w:t>-7</w:t>
                  </w:r>
                  <w:r>
                    <w:rPr>
                      <w:rFonts w:hint="default" w:ascii="Times New Roman" w:hAnsi="Times New Roman" w:eastAsia="宋体" w:cs="Times New Roman"/>
                      <w:color w:val="auto"/>
                      <w:highlight w:val="none"/>
                    </w:rPr>
                    <w:t>cm/s</w:t>
                  </w:r>
                  <w:r>
                    <w:rPr>
                      <w:rFonts w:hint="default" w:ascii="Times New Roman" w:hAnsi="Times New Roman" w:eastAsia="宋体" w:cs="Times New Roman"/>
                      <w:color w:val="auto"/>
                      <w:szCs w:val="18"/>
                      <w:highlight w:val="none"/>
                      <w:lang w:val="zh-CN"/>
                    </w:rPr>
                    <w:t>，或参照GB16889执行</w:t>
                  </w:r>
                </w:p>
              </w:tc>
            </w:tr>
            <w:tr w14:paraId="2F4EEE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1100" w:type="dxa"/>
                  <w:vMerge w:val="restart"/>
                  <w:tcBorders>
                    <w:left w:val="single" w:color="auto" w:sz="4" w:space="0"/>
                  </w:tcBorders>
                  <w:vAlign w:val="center"/>
                </w:tcPr>
                <w:p w14:paraId="1A463575">
                  <w:pPr>
                    <w:pStyle w:val="21"/>
                    <w:contextualSpacing/>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试油井场</w:t>
                  </w:r>
                </w:p>
              </w:tc>
              <w:tc>
                <w:tcPr>
                  <w:tcW w:w="1264" w:type="dxa"/>
                  <w:vAlign w:val="center"/>
                </w:tcPr>
                <w:p w14:paraId="442A67F8">
                  <w:pPr>
                    <w:pStyle w:val="21"/>
                    <w:contextualSpacing/>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重点防渗区</w:t>
                  </w:r>
                </w:p>
              </w:tc>
              <w:tc>
                <w:tcPr>
                  <w:tcW w:w="2837" w:type="dxa"/>
                  <w:vAlign w:val="center"/>
                </w:tcPr>
                <w:p w14:paraId="60C07836">
                  <w:pPr>
                    <w:pStyle w:val="21"/>
                    <w:contextualSpacing/>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发电房、采出液储罐</w:t>
                  </w:r>
                  <w:r>
                    <w:rPr>
                      <w:rFonts w:hint="default" w:ascii="Times New Roman" w:hAnsi="Times New Roman" w:eastAsia="宋体" w:cs="Times New Roman"/>
                      <w:color w:val="auto"/>
                      <w:highlight w:val="none"/>
                      <w:lang w:val="en-US" w:eastAsia="zh-CN"/>
                    </w:rPr>
                    <w:t>区</w:t>
                  </w:r>
                  <w:r>
                    <w:rPr>
                      <w:rFonts w:hint="default" w:ascii="Times New Roman" w:hAnsi="Times New Roman" w:eastAsia="宋体" w:cs="Times New Roman"/>
                      <w:color w:val="auto"/>
                      <w:highlight w:val="none"/>
                    </w:rPr>
                    <w:t>、试油废水罐、危险废物、放喷池</w:t>
                  </w:r>
                </w:p>
              </w:tc>
              <w:tc>
                <w:tcPr>
                  <w:tcW w:w="3177" w:type="dxa"/>
                  <w:tcBorders>
                    <w:right w:val="single" w:color="auto" w:sz="4" w:space="0"/>
                  </w:tcBorders>
                  <w:vAlign w:val="center"/>
                </w:tcPr>
                <w:p w14:paraId="5A8C5759">
                  <w:pPr>
                    <w:pStyle w:val="21"/>
                    <w:contextualSpacing/>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18"/>
                      <w:highlight w:val="none"/>
                      <w:lang w:val="zh-CN"/>
                    </w:rPr>
                    <w:t>等效黏土防渗层Mb≥</w:t>
                  </w:r>
                  <w:r>
                    <w:rPr>
                      <w:rFonts w:hint="default" w:ascii="Times New Roman" w:hAnsi="Times New Roman" w:eastAsia="宋体" w:cs="Times New Roman"/>
                      <w:color w:val="auto"/>
                      <w:szCs w:val="18"/>
                      <w:highlight w:val="none"/>
                    </w:rPr>
                    <w:t>6.0</w:t>
                  </w:r>
                  <w:r>
                    <w:rPr>
                      <w:rFonts w:hint="default" w:ascii="Times New Roman" w:hAnsi="Times New Roman" w:eastAsia="宋体" w:cs="Times New Roman"/>
                      <w:color w:val="auto"/>
                      <w:szCs w:val="18"/>
                      <w:highlight w:val="none"/>
                      <w:lang w:val="zh-CN"/>
                    </w:rPr>
                    <w:t>m，K＜1×10</w:t>
                  </w:r>
                  <w:r>
                    <w:rPr>
                      <w:rFonts w:hint="default" w:ascii="Times New Roman" w:hAnsi="Times New Roman" w:eastAsia="宋体" w:cs="Times New Roman"/>
                      <w:color w:val="auto"/>
                      <w:szCs w:val="18"/>
                      <w:highlight w:val="none"/>
                      <w:vertAlign w:val="superscript"/>
                      <w:lang w:val="zh-CN"/>
                    </w:rPr>
                    <w:t>-7</w:t>
                  </w:r>
                  <w:r>
                    <w:rPr>
                      <w:rFonts w:hint="default" w:ascii="Times New Roman" w:hAnsi="Times New Roman" w:eastAsia="宋体" w:cs="Times New Roman"/>
                      <w:color w:val="auto"/>
                      <w:szCs w:val="18"/>
                      <w:highlight w:val="none"/>
                      <w:lang w:val="zh-CN"/>
                    </w:rPr>
                    <w:t>cm/s，或参照GB</w:t>
                  </w:r>
                  <w:r>
                    <w:rPr>
                      <w:rFonts w:hint="default" w:ascii="Times New Roman" w:hAnsi="Times New Roman" w:eastAsia="宋体" w:cs="Times New Roman"/>
                      <w:color w:val="auto"/>
                      <w:szCs w:val="18"/>
                      <w:highlight w:val="none"/>
                    </w:rPr>
                    <w:t>18598</w:t>
                  </w:r>
                  <w:r>
                    <w:rPr>
                      <w:rFonts w:hint="default" w:ascii="Times New Roman" w:hAnsi="Times New Roman" w:eastAsia="宋体" w:cs="Times New Roman"/>
                      <w:color w:val="auto"/>
                      <w:szCs w:val="18"/>
                      <w:highlight w:val="none"/>
                      <w:lang w:val="zh-CN"/>
                    </w:rPr>
                    <w:t>执行</w:t>
                  </w:r>
                </w:p>
              </w:tc>
            </w:tr>
            <w:tr w14:paraId="2B268E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1100" w:type="dxa"/>
                  <w:vMerge w:val="continue"/>
                  <w:tcBorders>
                    <w:left w:val="single" w:color="auto" w:sz="4" w:space="0"/>
                    <w:bottom w:val="single" w:color="auto" w:sz="4" w:space="0"/>
                  </w:tcBorders>
                  <w:vAlign w:val="center"/>
                </w:tcPr>
                <w:p w14:paraId="540D544A">
                  <w:pPr>
                    <w:pStyle w:val="21"/>
                    <w:contextualSpacing/>
                    <w:rPr>
                      <w:rFonts w:hint="default" w:ascii="Times New Roman" w:hAnsi="Times New Roman" w:eastAsia="宋体" w:cs="Times New Roman"/>
                      <w:color w:val="auto"/>
                      <w:highlight w:val="none"/>
                    </w:rPr>
                  </w:pPr>
                </w:p>
              </w:tc>
              <w:tc>
                <w:tcPr>
                  <w:tcW w:w="1264" w:type="dxa"/>
                  <w:tcBorders>
                    <w:bottom w:val="single" w:color="auto" w:sz="4" w:space="0"/>
                  </w:tcBorders>
                  <w:vAlign w:val="center"/>
                </w:tcPr>
                <w:p w14:paraId="5A5AD90E">
                  <w:pPr>
                    <w:pStyle w:val="21"/>
                    <w:contextualSpacing/>
                    <w:rPr>
                      <w:rFonts w:hint="default" w:ascii="Times New Roman" w:hAnsi="Times New Roman" w:eastAsia="宋体" w:cs="Times New Roman"/>
                      <w:color w:val="auto"/>
                      <w:highlight w:val="none"/>
                    </w:rPr>
                  </w:pPr>
                  <w:r>
                    <w:rPr>
                      <w:rFonts w:hint="default" w:ascii="Times New Roman" w:hAnsi="Times New Roman" w:eastAsia="宋体" w:cs="Times New Roman"/>
                      <w:color w:val="auto"/>
                      <w:spacing w:val="-4"/>
                      <w:highlight w:val="none"/>
                    </w:rPr>
                    <w:t>简单防渗区</w:t>
                  </w:r>
                </w:p>
              </w:tc>
              <w:tc>
                <w:tcPr>
                  <w:tcW w:w="2837" w:type="dxa"/>
                  <w:tcBorders>
                    <w:bottom w:val="single" w:color="auto" w:sz="4" w:space="0"/>
                  </w:tcBorders>
                  <w:vAlign w:val="center"/>
                </w:tcPr>
                <w:p w14:paraId="58E695C7">
                  <w:pPr>
                    <w:pStyle w:val="21"/>
                    <w:contextualSpacing/>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库房、</w:t>
                  </w:r>
                  <w:r>
                    <w:rPr>
                      <w:rFonts w:hint="default" w:ascii="Times New Roman" w:hAnsi="Times New Roman" w:eastAsia="宋体" w:cs="Times New Roman"/>
                      <w:color w:val="auto"/>
                      <w:highlight w:val="none"/>
                    </w:rPr>
                    <w:t>值班房</w:t>
                  </w:r>
                </w:p>
              </w:tc>
              <w:tc>
                <w:tcPr>
                  <w:tcW w:w="3177" w:type="dxa"/>
                  <w:tcBorders>
                    <w:bottom w:val="single" w:color="auto" w:sz="4" w:space="0"/>
                    <w:right w:val="single" w:color="auto" w:sz="4" w:space="0"/>
                  </w:tcBorders>
                  <w:vAlign w:val="center"/>
                </w:tcPr>
                <w:p w14:paraId="4249193B">
                  <w:pPr>
                    <w:pStyle w:val="21"/>
                    <w:contextualSpacing/>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一般地面硬化</w:t>
                  </w:r>
                </w:p>
              </w:tc>
            </w:tr>
          </w:tbl>
          <w:p w14:paraId="017C3930">
            <w:pPr>
              <w:widowControl/>
              <w:tabs>
                <w:tab w:val="left" w:pos="4584"/>
              </w:tabs>
              <w:adjustRightInd w:val="0"/>
              <w:snapToGrid w:val="0"/>
              <w:spacing w:line="500" w:lineRule="exact"/>
              <w:ind w:firstLine="464" w:firstLineChars="200"/>
              <w:rPr>
                <w:rFonts w:hint="default" w:ascii="Times New Roman" w:hAnsi="Times New Roman" w:eastAsia="宋体" w:cs="Times New Roman"/>
                <w:color w:val="auto"/>
                <w:spacing w:val="-4"/>
                <w:sz w:val="24"/>
                <w:szCs w:val="24"/>
                <w:highlight w:val="none"/>
                <w:lang w:bidi="ar"/>
              </w:rPr>
            </w:pPr>
            <w:r>
              <w:rPr>
                <w:rFonts w:hint="default" w:ascii="Times New Roman" w:hAnsi="Times New Roman" w:eastAsia="宋体" w:cs="Times New Roman"/>
                <w:color w:val="auto"/>
                <w:spacing w:val="-4"/>
                <w:sz w:val="24"/>
                <w:szCs w:val="24"/>
                <w:highlight w:val="none"/>
                <w:lang w:bidi="ar"/>
              </w:rPr>
              <w:t>建设单位应监督施工单位严格按照表</w:t>
            </w:r>
            <w:r>
              <w:rPr>
                <w:rFonts w:hint="default" w:ascii="Times New Roman" w:hAnsi="Times New Roman" w:eastAsia="宋体" w:cs="Times New Roman"/>
                <w:color w:val="auto"/>
                <w:spacing w:val="-4"/>
                <w:sz w:val="24"/>
                <w:szCs w:val="24"/>
                <w:highlight w:val="none"/>
                <w:lang w:val="en-US" w:eastAsia="zh-CN" w:bidi="ar"/>
              </w:rPr>
              <w:t>5-1</w:t>
            </w:r>
            <w:r>
              <w:rPr>
                <w:rFonts w:hint="default" w:ascii="Times New Roman" w:hAnsi="Times New Roman" w:eastAsia="宋体" w:cs="Times New Roman"/>
                <w:color w:val="auto"/>
                <w:spacing w:val="-4"/>
                <w:sz w:val="24"/>
                <w:szCs w:val="24"/>
                <w:highlight w:val="none"/>
                <w:lang w:bidi="ar"/>
              </w:rPr>
              <w:t>的分区防渗要求执行，以确保防渗措施的落实和有效性。</w:t>
            </w:r>
          </w:p>
          <w:p w14:paraId="707EC67C">
            <w:pPr>
              <w:pStyle w:val="20"/>
              <w:widowControl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（2）钻井时采用套管与地层隔离开、并在套管与地层之间注入水泥进行固井，水泥浆返至地面，封隔疏松地层和水层。</w:t>
            </w:r>
          </w:p>
          <w:p w14:paraId="0BF659C4">
            <w:pPr>
              <w:pStyle w:val="20"/>
              <w:widowControl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本项目钻井过程中采用下套管注水泥固井的完井方式进行水泥固井，将含水层与井筒分隔开，一开环空水泥浆均返至地面，对含水层进行了固封处理，同时严格要求套管下入深度、确保固井质量等措施，可有效控制钻井液在含水层中的漏失。钻井时严格落实套管下入深度合格和固井质量合格，同时定期检查固井质量，发现固井质量不合格应及时采取措施，保证固井质量合格，可有效防止地下水污染。</w:t>
            </w:r>
          </w:p>
          <w:p w14:paraId="23FBEF54">
            <w:pPr>
              <w:pStyle w:val="20"/>
              <w:widowControl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（4）对产生的洗井废水、压裂返排液、生活污水、钻井岩屑、沾油废防渗材料、废润滑油、废润滑油桶及生活垃圾严格管理，禁止乱排。</w:t>
            </w:r>
          </w:p>
          <w:p w14:paraId="26126417">
            <w:pPr>
              <w:pStyle w:val="20"/>
              <w:widowControl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废水均得以妥善处置，最终实现达标排放或回用，固体废物均得到妥善处置。地下水、土壤环境保护措施均为技术可行、经济合理、稳定可靠、便于实施的成熟措施，在钻井过程中得到广泛应用。采取上述措施后，钻试工程不会对地下水环境和土壤环境造成不利影响。</w:t>
            </w:r>
          </w:p>
          <w:p w14:paraId="0E1690DD">
            <w:pPr>
              <w:widowControl w:val="0"/>
              <w:snapToGrid w:val="0"/>
              <w:spacing w:line="500" w:lineRule="exact"/>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5.1</w:t>
            </w:r>
            <w:r>
              <w:rPr>
                <w:rFonts w:hint="default" w:ascii="Times New Roman" w:hAnsi="Times New Roman" w:eastAsia="宋体" w:cs="Times New Roman"/>
                <w:b/>
                <w:bCs/>
                <w:color w:val="auto"/>
                <w:sz w:val="24"/>
                <w:szCs w:val="24"/>
                <w:highlight w:val="none"/>
              </w:rPr>
              <w:t>废（污）水拉运处理管控措施和要求</w:t>
            </w:r>
          </w:p>
          <w:p w14:paraId="26BCF8EF">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台账管理：必须建立废（污）水处理台账，详细记录废水来源、处理时间、处理方法、处理效果等信息。台账应由专人负责管理，并保证其真实性和完整性。</w:t>
            </w:r>
          </w:p>
          <w:p w14:paraId="048AB485">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全过程控制：应严格控制废（污）水处理的全过程，确保不出现二次污染对于每一环节，应有明确的处理标准和操作规程，并设立专门的监测点进行质量抽查，一旦发现异常，立即进行处理，防止问题扩大。</w:t>
            </w:r>
          </w:p>
          <w:p w14:paraId="3ACE80D2">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防止肆意排放：所有废（污）水在拉运和处理过程中，必须按照国家或地方的相关法规和标准进行，防止肆意排放应设立专门的排放管道或区域，确保废水不直接排入环境。</w:t>
            </w:r>
          </w:p>
          <w:p w14:paraId="130ADF98">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人员培训：对从事废（污）水处理的人员进行专业培训确保他们了解处理流程和处理设备的使用方法，能够独立处理常见问题，</w:t>
            </w:r>
          </w:p>
          <w:p w14:paraId="587EF95A">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安全防护：处理废（污）水时，应做好安全防护工作，如佩戴专门的面具、手套等防护用具，避免直接接触废水。另外，应定期检查处理设备的运行状况，确保其正常运行</w:t>
            </w:r>
            <w:r>
              <w:rPr>
                <w:rFonts w:hint="default" w:ascii="Times New Roman" w:hAnsi="Times New Roman" w:eastAsia="宋体" w:cs="Times New Roman"/>
                <w:color w:val="auto"/>
                <w:sz w:val="24"/>
                <w:szCs w:val="24"/>
                <w:highlight w:val="none"/>
                <w:lang w:eastAsia="zh-CN"/>
              </w:rPr>
              <w:t>。</w:t>
            </w:r>
          </w:p>
          <w:p w14:paraId="6013DF91">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应急预案：制定废（污）水处理的应急预案，对于突发情况，有相应的应对措施应急预</w:t>
            </w:r>
            <w:r>
              <w:rPr>
                <w:rFonts w:hint="eastAsia" w:ascii="Times New Roman" w:hAnsi="Times New Roman" w:eastAsia="宋体" w:cs="Times New Roman"/>
                <w:color w:val="auto"/>
                <w:sz w:val="24"/>
                <w:szCs w:val="24"/>
                <w:highlight w:val="none"/>
                <w:lang w:val="en-US" w:eastAsia="zh-CN"/>
              </w:rPr>
              <w:t>案</w:t>
            </w:r>
            <w:r>
              <w:rPr>
                <w:rFonts w:hint="default" w:ascii="Times New Roman" w:hAnsi="Times New Roman" w:eastAsia="宋体" w:cs="Times New Roman"/>
                <w:color w:val="auto"/>
                <w:sz w:val="24"/>
                <w:szCs w:val="24"/>
                <w:highlight w:val="none"/>
              </w:rPr>
              <w:t>应定期进行演练，确保预案的有效性。</w:t>
            </w:r>
          </w:p>
          <w:p w14:paraId="7E25B156">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记录保存：对废水处理的各个阶段都应有相应的记录并加以保存，以便日后查看和跟踪</w:t>
            </w:r>
            <w:r>
              <w:rPr>
                <w:rFonts w:hint="default" w:ascii="Times New Roman" w:hAnsi="Times New Roman" w:eastAsia="宋体" w:cs="Times New Roman"/>
                <w:color w:val="auto"/>
                <w:sz w:val="24"/>
                <w:szCs w:val="24"/>
                <w:highlight w:val="none"/>
                <w:lang w:eastAsia="zh-CN"/>
              </w:rPr>
              <w:t>。</w:t>
            </w:r>
          </w:p>
          <w:p w14:paraId="5C353B8D">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综上所述，项目废水在采取上述措施后不会对水环境产生不利影响。</w:t>
            </w:r>
          </w:p>
          <w:p w14:paraId="3EA13C89">
            <w:pPr>
              <w:pStyle w:val="20"/>
              <w:widowControl w:val="0"/>
              <w:ind w:left="0" w:leftChars="0" w:firstLine="0" w:firstLineChars="0"/>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噪声污染防治措施</w:t>
            </w:r>
          </w:p>
          <w:p w14:paraId="2C539832">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机械采用低噪声设备；加强设备维护及保养，对噪声较大的设备采取基础减震措施；加强施工场地管理，合理疏导进入施工区的车辆，禁止运输车辆随意高声鸣笛。在采取上述措施后，施工场界噪声可满足《建筑施工场界环境噪声排放标准》（GB12523-2011）中表1的噪声排放限值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昼间70dB（A）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夜间55dB（A）</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不会对区域声环境产生明显影响。</w:t>
            </w:r>
          </w:p>
          <w:p w14:paraId="7183491D">
            <w:pPr>
              <w:widowControl w:val="0"/>
              <w:snapToGrid w:val="0"/>
              <w:spacing w:line="500" w:lineRule="exact"/>
              <w:rPr>
                <w:rFonts w:hint="default" w:ascii="Times New Roman" w:hAnsi="Times New Roman" w:eastAsia="宋体" w:cs="Times New Roman"/>
                <w:b/>
                <w:bCs/>
                <w:color w:val="auto"/>
                <w:sz w:val="24"/>
                <w:szCs w:val="24"/>
                <w:highlight w:val="none"/>
              </w:rPr>
            </w:pPr>
            <w:bookmarkStart w:id="29" w:name="_Hlk143015311"/>
            <w:bookmarkStart w:id="30" w:name="_Hlk183349956"/>
            <w:bookmarkStart w:id="31" w:name="_Hlk136795812"/>
            <w:r>
              <w:rPr>
                <w:rFonts w:hint="eastAsia" w:ascii="Times New Roman" w:hAnsi="Times New Roman" w:eastAsia="宋体" w:cs="Times New Roman"/>
                <w:b/>
                <w:bCs/>
                <w:color w:val="auto"/>
                <w:sz w:val="24"/>
                <w:szCs w:val="24"/>
                <w:highlight w:val="none"/>
                <w:lang w:val="en-US" w:eastAsia="zh-CN" w:bidi="ar"/>
              </w:rPr>
              <w:t>7</w:t>
            </w:r>
            <w:r>
              <w:rPr>
                <w:rFonts w:hint="default" w:ascii="Times New Roman" w:hAnsi="Times New Roman" w:eastAsia="宋体" w:cs="Times New Roman"/>
                <w:b/>
                <w:bCs/>
                <w:color w:val="auto"/>
                <w:sz w:val="24"/>
                <w:szCs w:val="24"/>
                <w:highlight w:val="none"/>
                <w:lang w:val="en-US" w:eastAsia="zh-CN" w:bidi="ar"/>
              </w:rPr>
              <w:t>.</w:t>
            </w:r>
            <w:r>
              <w:rPr>
                <w:rFonts w:hint="default" w:ascii="Times New Roman" w:hAnsi="Times New Roman" w:eastAsia="宋体" w:cs="Times New Roman"/>
                <w:b/>
                <w:bCs/>
                <w:color w:val="auto"/>
                <w:sz w:val="24"/>
                <w:szCs w:val="24"/>
                <w:highlight w:val="none"/>
                <w:lang w:bidi="ar"/>
              </w:rPr>
              <w:t>固体废物处置措施</w:t>
            </w:r>
          </w:p>
          <w:bookmarkEnd w:id="29"/>
          <w:bookmarkEnd w:id="30"/>
          <w:p w14:paraId="6A3F8974">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本项目产生的固体废物主要为生活垃圾、水基钻井</w:t>
            </w:r>
            <w:r>
              <w:rPr>
                <w:rFonts w:hint="default" w:ascii="Times New Roman" w:hAnsi="Times New Roman" w:eastAsia="宋体" w:cs="Times New Roman"/>
                <w:color w:val="auto"/>
                <w:sz w:val="24"/>
                <w:szCs w:val="24"/>
                <w:highlight w:val="none"/>
                <w:lang w:val="en-US" w:eastAsia="zh-CN"/>
              </w:rPr>
              <w:t>泥浆</w:t>
            </w:r>
            <w:r>
              <w:rPr>
                <w:rFonts w:hint="default" w:ascii="Times New Roman" w:hAnsi="Times New Roman" w:eastAsia="宋体" w:cs="Times New Roman"/>
                <w:color w:val="auto"/>
                <w:sz w:val="24"/>
                <w:szCs w:val="24"/>
                <w:highlight w:val="none"/>
              </w:rPr>
              <w:t>岩屑、油基钻井</w:t>
            </w:r>
            <w:r>
              <w:rPr>
                <w:rFonts w:hint="default" w:ascii="Times New Roman" w:hAnsi="Times New Roman" w:eastAsia="宋体" w:cs="Times New Roman"/>
                <w:color w:val="auto"/>
                <w:sz w:val="24"/>
                <w:szCs w:val="24"/>
                <w:highlight w:val="none"/>
                <w:lang w:val="en-US" w:eastAsia="zh-CN"/>
              </w:rPr>
              <w:t>泥浆</w:t>
            </w:r>
            <w:r>
              <w:rPr>
                <w:rFonts w:hint="default" w:ascii="Times New Roman" w:hAnsi="Times New Roman" w:eastAsia="宋体" w:cs="Times New Roman"/>
                <w:color w:val="auto"/>
                <w:sz w:val="24"/>
                <w:szCs w:val="24"/>
                <w:highlight w:val="none"/>
              </w:rPr>
              <w:t>岩屑</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落地油、</w:t>
            </w:r>
            <w:r>
              <w:rPr>
                <w:rFonts w:hint="default" w:ascii="Times New Roman" w:hAnsi="Times New Roman" w:eastAsia="宋体" w:cs="Times New Roman"/>
                <w:color w:val="auto"/>
                <w:sz w:val="24"/>
                <w:szCs w:val="24"/>
                <w:highlight w:val="none"/>
              </w:rPr>
              <w:t>废防渗材料</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废润滑油、废润滑油桶、机械设备废油等</w:t>
            </w:r>
            <w:r>
              <w:rPr>
                <w:rFonts w:hint="default" w:ascii="Times New Roman" w:hAnsi="Times New Roman" w:eastAsia="宋体" w:cs="Times New Roman"/>
                <w:color w:val="auto"/>
                <w:sz w:val="24"/>
                <w:szCs w:val="24"/>
                <w:highlight w:val="none"/>
              </w:rPr>
              <w:t>。</w:t>
            </w:r>
          </w:p>
          <w:p w14:paraId="5C38167C">
            <w:pPr>
              <w:widowControl w:val="0"/>
              <w:snapToGrid w:val="0"/>
              <w:spacing w:line="500" w:lineRule="exact"/>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7.1固体废物产生及其处置情况</w:t>
            </w:r>
          </w:p>
          <w:p w14:paraId="065CE4DC">
            <w:pPr>
              <w:widowControl w:val="0"/>
              <w:snapToGrid w:val="0"/>
              <w:spacing w:line="500" w:lineRule="exact"/>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生活垃圾</w:t>
            </w:r>
          </w:p>
          <w:p w14:paraId="3A7E20BB">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井场和生活营地设置生活垃圾收集箱，集中收集后拉运至吉木萨尔县生活垃圾填埋场处置。</w:t>
            </w:r>
          </w:p>
          <w:p w14:paraId="7CE0E4ED">
            <w:pPr>
              <w:widowControl w:val="0"/>
              <w:snapToGrid w:val="0"/>
              <w:spacing w:line="500" w:lineRule="exact"/>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7.1.2</w:t>
            </w:r>
            <w:r>
              <w:rPr>
                <w:rFonts w:hint="default" w:ascii="Times New Roman" w:hAnsi="Times New Roman" w:eastAsia="宋体" w:cs="Times New Roman"/>
                <w:b/>
                <w:bCs/>
                <w:color w:val="auto"/>
                <w:sz w:val="24"/>
                <w:szCs w:val="24"/>
                <w:highlight w:val="none"/>
              </w:rPr>
              <w:t>水基钻井</w:t>
            </w:r>
            <w:r>
              <w:rPr>
                <w:rFonts w:hint="default" w:ascii="Times New Roman" w:hAnsi="Times New Roman" w:eastAsia="宋体" w:cs="Times New Roman"/>
                <w:b/>
                <w:bCs/>
                <w:color w:val="auto"/>
                <w:sz w:val="24"/>
                <w:szCs w:val="24"/>
                <w:highlight w:val="none"/>
                <w:lang w:val="en-US" w:eastAsia="zh-CN"/>
              </w:rPr>
              <w:t>泥浆</w:t>
            </w:r>
            <w:r>
              <w:rPr>
                <w:rFonts w:hint="eastAsia" w:ascii="Times New Roman" w:hAnsi="Times New Roman" w:eastAsia="宋体" w:cs="Times New Roman"/>
                <w:b/>
                <w:bCs/>
                <w:color w:val="auto"/>
                <w:sz w:val="24"/>
                <w:szCs w:val="24"/>
                <w:highlight w:val="none"/>
                <w:lang w:val="en-US" w:eastAsia="zh-CN"/>
              </w:rPr>
              <w:t>、钻井</w:t>
            </w:r>
            <w:r>
              <w:rPr>
                <w:rFonts w:hint="default" w:ascii="Times New Roman" w:hAnsi="Times New Roman" w:eastAsia="宋体" w:cs="Times New Roman"/>
                <w:b/>
                <w:bCs/>
                <w:color w:val="auto"/>
                <w:sz w:val="24"/>
                <w:szCs w:val="24"/>
                <w:highlight w:val="none"/>
              </w:rPr>
              <w:t>岩屑</w:t>
            </w:r>
          </w:p>
          <w:p w14:paraId="13859EE7">
            <w:pPr>
              <w:widowControl w:val="0"/>
              <w:snapToGrid w:val="0"/>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采用水基钻井液钻井时井筒返排的钻井</w:t>
            </w:r>
            <w:r>
              <w:rPr>
                <w:rFonts w:hint="default" w:ascii="Times New Roman" w:hAnsi="Times New Roman" w:eastAsia="宋体" w:cs="Times New Roman"/>
                <w:color w:val="auto"/>
                <w:sz w:val="24"/>
                <w:szCs w:val="24"/>
                <w:highlight w:val="none"/>
                <w:lang w:val="en-US" w:eastAsia="zh-CN"/>
              </w:rPr>
              <w:t>泥浆</w:t>
            </w:r>
            <w:r>
              <w:rPr>
                <w:rFonts w:hint="default" w:ascii="Times New Roman" w:hAnsi="Times New Roman" w:eastAsia="宋体" w:cs="Times New Roman"/>
                <w:color w:val="auto"/>
                <w:sz w:val="24"/>
                <w:szCs w:val="24"/>
                <w:highlight w:val="none"/>
              </w:rPr>
              <w:t>及岩屑经不落地设备分离，分离出的液相回用于钻井液配置，</w:t>
            </w:r>
            <w:r>
              <w:rPr>
                <w:rFonts w:hint="eastAsia" w:ascii="Times New Roman" w:hAnsi="Times New Roman" w:eastAsia="宋体" w:cs="Times New Roman"/>
                <w:color w:val="auto"/>
                <w:sz w:val="24"/>
                <w:szCs w:val="24"/>
                <w:highlight w:val="none"/>
                <w:lang w:val="en-US" w:eastAsia="zh-CN"/>
              </w:rPr>
              <w:t>导眼和一开段</w:t>
            </w:r>
            <w:r>
              <w:rPr>
                <w:rFonts w:hint="default" w:ascii="Times New Roman" w:hAnsi="Times New Roman" w:eastAsia="宋体" w:cs="Times New Roman"/>
                <w:color w:val="auto"/>
                <w:sz w:val="24"/>
                <w:szCs w:val="24"/>
                <w:highlight w:val="none"/>
              </w:rPr>
              <w:t>分离出的</w:t>
            </w:r>
            <w:r>
              <w:rPr>
                <w:rFonts w:hint="default" w:ascii="Times New Roman" w:hAnsi="Times New Roman" w:eastAsia="宋体" w:cs="Times New Roman"/>
                <w:color w:val="auto"/>
                <w:sz w:val="24"/>
                <w:szCs w:val="24"/>
                <w:highlight w:val="none"/>
                <w:lang w:val="en-US" w:eastAsia="zh-CN"/>
              </w:rPr>
              <w:t>固相</w:t>
            </w:r>
            <w:r>
              <w:rPr>
                <w:rFonts w:hint="default" w:ascii="Times New Roman" w:hAnsi="Times New Roman" w:eastAsia="宋体" w:cs="Times New Roman"/>
                <w:color w:val="auto"/>
                <w:sz w:val="24"/>
                <w:szCs w:val="24"/>
                <w:highlight w:val="none"/>
              </w:rPr>
              <w:t>进</w:t>
            </w:r>
            <w:r>
              <w:rPr>
                <w:rFonts w:hint="eastAsia" w:ascii="Times New Roman" w:hAnsi="Times New Roman" w:eastAsia="宋体" w:cs="Times New Roman"/>
                <w:color w:val="auto"/>
                <w:sz w:val="24"/>
                <w:szCs w:val="24"/>
                <w:highlight w:val="none"/>
                <w:lang w:val="en-US" w:eastAsia="zh-CN"/>
              </w:rPr>
              <w:t>水基岩屑</w:t>
            </w:r>
            <w:r>
              <w:rPr>
                <w:rFonts w:hint="default" w:ascii="Times New Roman" w:hAnsi="Times New Roman" w:eastAsia="宋体" w:cs="Times New Roman"/>
                <w:color w:val="auto"/>
                <w:sz w:val="24"/>
                <w:szCs w:val="24"/>
                <w:highlight w:val="none"/>
              </w:rPr>
              <w:t>专用储罐暂存，委托有资质的直接拉运处置</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三开段分离出的固相因沾染二开段的油基钻井液，按照危险废物处置，</w:t>
            </w:r>
            <w:r>
              <w:rPr>
                <w:rFonts w:hint="default" w:ascii="Times New Roman" w:hAnsi="Times New Roman" w:eastAsia="宋体" w:cs="Times New Roman"/>
                <w:color w:val="auto"/>
                <w:sz w:val="24"/>
                <w:szCs w:val="24"/>
                <w:highlight w:val="none"/>
              </w:rPr>
              <w:t>暂存于防渗密闭的油基岩屑专用方罐中</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并定期交由新疆中建环能北庭环保科技有限公司进行转运处置。水基钻井岩屑处理工艺流程如下图所示。</w:t>
            </w:r>
          </w:p>
          <w:p w14:paraId="4742D92F">
            <w:pPr>
              <w:widowControl w:val="0"/>
              <w:snapToGrid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drawing>
                <wp:inline distT="0" distB="0" distL="0" distR="0">
                  <wp:extent cx="4924425" cy="1295400"/>
                  <wp:effectExtent l="0" t="0" r="9525" b="0"/>
                  <wp:docPr id="102536043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60433" name="图片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924425" cy="1295400"/>
                          </a:xfrm>
                          <a:prstGeom prst="rect">
                            <a:avLst/>
                          </a:prstGeom>
                          <a:noFill/>
                          <a:ln>
                            <a:noFill/>
                          </a:ln>
                        </pic:spPr>
                      </pic:pic>
                    </a:graphicData>
                  </a:graphic>
                </wp:inline>
              </w:drawing>
            </w:r>
          </w:p>
          <w:p w14:paraId="0220BAB2">
            <w:pPr>
              <w:pStyle w:val="5"/>
              <w:widowControl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图</w:t>
            </w:r>
            <w:r>
              <w:rPr>
                <w:rFonts w:hint="eastAsia" w:ascii="Times New Roman" w:hAnsi="Times New Roman" w:eastAsia="宋体" w:cs="Times New Roman"/>
                <w:b/>
                <w:bCs/>
                <w:color w:val="auto"/>
                <w:highlight w:val="none"/>
                <w:lang w:val="en-US" w:eastAsia="zh-CN"/>
              </w:rPr>
              <w:t>7</w:t>
            </w:r>
            <w:r>
              <w:rPr>
                <w:rFonts w:hint="default" w:ascii="Times New Roman" w:hAnsi="Times New Roman" w:eastAsia="宋体" w:cs="Times New Roman"/>
                <w:b/>
                <w:bCs/>
                <w:color w:val="auto"/>
                <w:highlight w:val="none"/>
                <w:lang w:val="en-US" w:eastAsia="zh-CN"/>
              </w:rPr>
              <w:t xml:space="preserve">-1 </w:t>
            </w:r>
            <w:r>
              <w:rPr>
                <w:rFonts w:hint="default" w:ascii="Times New Roman" w:hAnsi="Times New Roman" w:eastAsia="宋体" w:cs="Times New Roman"/>
                <w:b/>
                <w:bCs/>
                <w:color w:val="auto"/>
                <w:highlight w:val="none"/>
              </w:rPr>
              <w:t>水基钻井岩屑处理工艺流程图</w:t>
            </w:r>
          </w:p>
          <w:p w14:paraId="0F12D93D">
            <w:pPr>
              <w:widowControl w:val="0"/>
              <w:snapToGrid w:val="0"/>
              <w:spacing w:line="500" w:lineRule="exact"/>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7.1.3</w:t>
            </w:r>
            <w:r>
              <w:rPr>
                <w:rFonts w:hint="default" w:ascii="Times New Roman" w:hAnsi="Times New Roman" w:eastAsia="宋体" w:cs="Times New Roman"/>
                <w:b/>
                <w:bCs/>
                <w:color w:val="auto"/>
                <w:sz w:val="24"/>
                <w:szCs w:val="24"/>
                <w:highlight w:val="none"/>
              </w:rPr>
              <w:t>油基钻井</w:t>
            </w:r>
            <w:r>
              <w:rPr>
                <w:rFonts w:hint="default" w:ascii="Times New Roman" w:hAnsi="Times New Roman" w:eastAsia="宋体" w:cs="Times New Roman"/>
                <w:b/>
                <w:bCs/>
                <w:color w:val="auto"/>
                <w:sz w:val="24"/>
                <w:szCs w:val="24"/>
                <w:highlight w:val="none"/>
                <w:lang w:val="en-US" w:eastAsia="zh-CN"/>
              </w:rPr>
              <w:t>泥浆</w:t>
            </w:r>
            <w:r>
              <w:rPr>
                <w:rFonts w:hint="default" w:ascii="Times New Roman" w:hAnsi="Times New Roman" w:eastAsia="宋体" w:cs="Times New Roman"/>
                <w:b/>
                <w:bCs/>
                <w:color w:val="auto"/>
                <w:sz w:val="24"/>
                <w:szCs w:val="24"/>
                <w:highlight w:val="none"/>
              </w:rPr>
              <w:t>岩屑</w:t>
            </w:r>
          </w:p>
          <w:p w14:paraId="27D9EB22">
            <w:pPr>
              <w:widowControl w:val="0"/>
              <w:snapToGrid w:val="0"/>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采用</w:t>
            </w:r>
            <w:r>
              <w:rPr>
                <w:rFonts w:hint="eastAsia" w:ascii="Times New Roman" w:hAnsi="Times New Roman" w:eastAsia="宋体" w:cs="Times New Roman"/>
                <w:color w:val="auto"/>
                <w:sz w:val="24"/>
                <w:szCs w:val="24"/>
                <w:highlight w:val="none"/>
                <w:lang w:val="en-US" w:eastAsia="zh-CN"/>
              </w:rPr>
              <w:t>二开段</w:t>
            </w:r>
            <w:r>
              <w:rPr>
                <w:rFonts w:hint="default" w:ascii="Times New Roman" w:hAnsi="Times New Roman" w:eastAsia="宋体" w:cs="Times New Roman"/>
                <w:color w:val="auto"/>
                <w:sz w:val="24"/>
                <w:szCs w:val="24"/>
                <w:highlight w:val="none"/>
              </w:rPr>
              <w:t>油基钻井液钻井时井筒返排的钻井液及岩屑经井口振动筛、清洁器、离心机等设备进行初步分离后，进入不落地系统处理，固体经甩干机进行第一次固液分离，再由离心机对甩干机排出的液体进行第二次固液分离，实现深度分离，分离出的液相回用于钻井液配制，分离出的固相属于HW08类危险废物（废物代码：071-002-08），暂存于防渗密闭的油基岩屑专用方罐中，分类管理，标识清晰，并定期交由新疆中建环能北庭环保科技有限公司进行转运处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工艺流程见下图。</w:t>
            </w:r>
          </w:p>
          <w:p w14:paraId="6B0CFABE">
            <w:pPr>
              <w:widowControl w:val="0"/>
              <w:snapToGrid w:val="0"/>
              <w:spacing w:line="240" w:lineRule="auto"/>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4382770" cy="2063115"/>
                  <wp:effectExtent l="0" t="0" r="17780" b="13335"/>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
                          <pic:cNvPicPr>
                            <a:picLocks noChangeAspect="1"/>
                          </pic:cNvPicPr>
                        </pic:nvPicPr>
                        <pic:blipFill>
                          <a:blip r:embed="rId24"/>
                          <a:stretch>
                            <a:fillRect/>
                          </a:stretch>
                        </pic:blipFill>
                        <pic:spPr>
                          <a:xfrm>
                            <a:off x="0" y="0"/>
                            <a:ext cx="4382770" cy="2063115"/>
                          </a:xfrm>
                          <a:prstGeom prst="rect">
                            <a:avLst/>
                          </a:prstGeom>
                        </pic:spPr>
                      </pic:pic>
                    </a:graphicData>
                  </a:graphic>
                </wp:inline>
              </w:drawing>
            </w:r>
          </w:p>
          <w:p w14:paraId="3ACEFABE">
            <w:pPr>
              <w:keepNext w:val="0"/>
              <w:keepLines w:val="0"/>
              <w:widowControl/>
              <w:suppressLineNumbers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snapToGrid w:val="0"/>
                <w:color w:val="auto"/>
                <w:kern w:val="0"/>
                <w:sz w:val="21"/>
                <w:szCs w:val="21"/>
                <w:highlight w:val="none"/>
                <w:lang w:val="en-US" w:eastAsia="zh-CN" w:bidi="ar"/>
              </w:rPr>
              <w:t>图</w:t>
            </w:r>
            <w:r>
              <w:rPr>
                <w:rFonts w:hint="eastAsia" w:ascii="Times New Roman" w:hAnsi="Times New Roman" w:eastAsia="宋体" w:cs="Times New Roman"/>
                <w:b/>
                <w:bCs/>
                <w:snapToGrid w:val="0"/>
                <w:color w:val="auto"/>
                <w:kern w:val="0"/>
                <w:sz w:val="21"/>
                <w:szCs w:val="21"/>
                <w:highlight w:val="none"/>
                <w:lang w:val="en-US" w:eastAsia="zh-CN" w:bidi="ar"/>
              </w:rPr>
              <w:t>7</w:t>
            </w:r>
            <w:r>
              <w:rPr>
                <w:rFonts w:hint="default" w:ascii="Times New Roman" w:hAnsi="Times New Roman" w:eastAsia="宋体" w:cs="Times New Roman"/>
                <w:b/>
                <w:bCs/>
                <w:snapToGrid w:val="0"/>
                <w:color w:val="auto"/>
                <w:kern w:val="0"/>
                <w:sz w:val="21"/>
                <w:szCs w:val="21"/>
                <w:highlight w:val="none"/>
                <w:lang w:val="en-US" w:eastAsia="zh-CN" w:bidi="ar"/>
              </w:rPr>
              <w:t>-2 油基钻井岩屑不落地处理工艺流程图</w:t>
            </w:r>
          </w:p>
          <w:p w14:paraId="0BA0556F">
            <w:pPr>
              <w:widowControl w:val="0"/>
              <w:snapToGrid w:val="0"/>
              <w:spacing w:line="500" w:lineRule="exact"/>
              <w:jc w:val="both"/>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7.1.4</w:t>
            </w:r>
            <w:r>
              <w:rPr>
                <w:rFonts w:hint="default" w:ascii="Times New Roman" w:hAnsi="Times New Roman" w:eastAsia="宋体" w:cs="Times New Roman"/>
                <w:b/>
                <w:bCs/>
                <w:color w:val="auto"/>
                <w:sz w:val="24"/>
                <w:szCs w:val="24"/>
                <w:highlight w:val="none"/>
              </w:rPr>
              <w:t>沾油废防渗材料</w:t>
            </w:r>
          </w:p>
          <w:p w14:paraId="0E8F91C6">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施工结束后清理场地时产生的未沾油防渗材料由施工单位集中回收利用，</w:t>
            </w:r>
            <w:r>
              <w:rPr>
                <w:rFonts w:hint="default" w:ascii="Times New Roman" w:hAnsi="Times New Roman" w:eastAsia="宋体" w:cs="Times New Roman"/>
                <w:color w:val="auto"/>
                <w:spacing w:val="-1"/>
                <w:sz w:val="24"/>
                <w:szCs w:val="24"/>
                <w:highlight w:val="none"/>
              </w:rPr>
              <w:t>沾油的</w:t>
            </w:r>
            <w:r>
              <w:rPr>
                <w:rFonts w:hint="default" w:ascii="Times New Roman" w:hAnsi="Times New Roman" w:eastAsia="宋体" w:cs="Times New Roman"/>
                <w:color w:val="auto"/>
                <w:sz w:val="24"/>
                <w:szCs w:val="24"/>
                <w:highlight w:val="none"/>
              </w:rPr>
              <w:t>废防渗材料属于《国家危险废物名录》（2025年版）中的</w:t>
            </w:r>
            <w:r>
              <w:rPr>
                <w:rFonts w:hint="default" w:ascii="Times New Roman" w:hAnsi="Times New Roman" w:eastAsia="宋体" w:cs="Times New Roman"/>
                <w:color w:val="auto"/>
                <w:spacing w:val="-1"/>
                <w:sz w:val="24"/>
                <w:szCs w:val="24"/>
                <w:highlight w:val="none"/>
              </w:rPr>
              <w:t>HW08废矿物油与含矿物油类危险废物（废物代码为900-249-08，危险特</w:t>
            </w:r>
            <w:r>
              <w:rPr>
                <w:rFonts w:hint="default" w:ascii="Times New Roman" w:hAnsi="Times New Roman" w:eastAsia="宋体" w:cs="Times New Roman"/>
                <w:color w:val="auto"/>
                <w:spacing w:val="-2"/>
                <w:sz w:val="24"/>
                <w:szCs w:val="24"/>
                <w:highlight w:val="none"/>
              </w:rPr>
              <w:t>性为毒性和易燃性</w:t>
            </w:r>
            <w:r>
              <w:rPr>
                <w:rFonts w:hint="default" w:ascii="Times New Roman" w:hAnsi="Times New Roman" w:eastAsia="宋体" w:cs="Times New Roman"/>
                <w:color w:val="auto"/>
                <w:spacing w:val="4"/>
                <w:sz w:val="24"/>
                <w:szCs w:val="24"/>
                <w:highlight w:val="none"/>
              </w:rPr>
              <w:t>），</w:t>
            </w:r>
            <w:r>
              <w:rPr>
                <w:rFonts w:hint="default" w:ascii="Times New Roman" w:hAnsi="Times New Roman" w:eastAsia="宋体" w:cs="Times New Roman"/>
                <w:color w:val="auto"/>
                <w:sz w:val="24"/>
                <w:szCs w:val="24"/>
                <w:highlight w:val="none"/>
              </w:rPr>
              <w:t>收集后</w:t>
            </w:r>
            <w:r>
              <w:rPr>
                <w:rFonts w:hint="default" w:ascii="Times New Roman" w:hAnsi="Times New Roman" w:eastAsia="宋体" w:cs="Times New Roman"/>
                <w:color w:val="auto"/>
                <w:sz w:val="24"/>
                <w:szCs w:val="24"/>
                <w:highlight w:val="none"/>
                <w:lang w:val="en-US" w:eastAsia="zh-CN"/>
              </w:rPr>
              <w:t>委托</w:t>
            </w:r>
            <w:r>
              <w:rPr>
                <w:rFonts w:hint="default" w:ascii="Times New Roman" w:hAnsi="Times New Roman" w:eastAsia="宋体" w:cs="Times New Roman"/>
                <w:color w:val="auto"/>
                <w:sz w:val="24"/>
                <w:szCs w:val="24"/>
                <w:highlight w:val="none"/>
              </w:rPr>
              <w:t>具有相应危险废物处置资质的单位进行接收、转运和处置。</w:t>
            </w:r>
          </w:p>
          <w:p w14:paraId="55C4E86F">
            <w:pPr>
              <w:widowControl w:val="0"/>
              <w:snapToGrid w:val="0"/>
              <w:spacing w:line="500" w:lineRule="exact"/>
              <w:jc w:val="both"/>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7.1.5</w:t>
            </w:r>
            <w:r>
              <w:rPr>
                <w:rFonts w:hint="default" w:ascii="Times New Roman" w:hAnsi="Times New Roman" w:eastAsia="宋体" w:cs="Times New Roman"/>
                <w:b/>
                <w:bCs/>
                <w:color w:val="auto"/>
                <w:sz w:val="24"/>
                <w:szCs w:val="24"/>
                <w:highlight w:val="none"/>
              </w:rPr>
              <w:t>废润滑油、废润滑油桶</w:t>
            </w:r>
          </w:p>
          <w:p w14:paraId="7285EF01">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钻井期间使用的机械设备运行过程中需进行维护、保养、维修等工作，以使其能正常运转，此过程中将产生少量的废油，如废润滑油等。施工过程中机械、设备检修和维护过程中产生的废润滑油、废润滑油桶分区暂存在</w:t>
            </w:r>
            <w:r>
              <w:rPr>
                <w:rFonts w:hint="eastAsia" w:ascii="Times New Roman" w:hAnsi="Times New Roman" w:eastAsia="宋体" w:cs="Times New Roman"/>
                <w:color w:val="auto"/>
                <w:sz w:val="24"/>
                <w:szCs w:val="24"/>
                <w:highlight w:val="none"/>
                <w:lang w:val="en-US" w:eastAsia="zh-CN"/>
              </w:rPr>
              <w:t>危废贮存点</w:t>
            </w:r>
            <w:r>
              <w:rPr>
                <w:rFonts w:hint="default" w:ascii="Times New Roman" w:hAnsi="Times New Roman" w:eastAsia="宋体" w:cs="Times New Roman"/>
                <w:color w:val="auto"/>
                <w:sz w:val="24"/>
                <w:szCs w:val="24"/>
                <w:highlight w:val="none"/>
              </w:rPr>
              <w:t>，委托有资质单位</w:t>
            </w:r>
            <w:r>
              <w:rPr>
                <w:rFonts w:hint="default" w:ascii="Times New Roman" w:hAnsi="Times New Roman" w:eastAsia="宋体" w:cs="Times New Roman"/>
                <w:color w:val="auto"/>
                <w:sz w:val="24"/>
                <w:szCs w:val="24"/>
                <w:highlight w:val="none"/>
                <w:lang w:val="en-US" w:eastAsia="zh-CN"/>
              </w:rPr>
              <w:t>定期</w:t>
            </w:r>
            <w:r>
              <w:rPr>
                <w:rFonts w:hint="default" w:ascii="Times New Roman" w:hAnsi="Times New Roman" w:eastAsia="宋体" w:cs="Times New Roman"/>
                <w:color w:val="auto"/>
                <w:sz w:val="24"/>
                <w:szCs w:val="24"/>
                <w:highlight w:val="none"/>
              </w:rPr>
              <w:t>进行处置。</w:t>
            </w:r>
          </w:p>
          <w:p w14:paraId="1910BD83">
            <w:pPr>
              <w:widowControl w:val="0"/>
              <w:snapToGrid w:val="0"/>
              <w:spacing w:line="500" w:lineRule="exact"/>
              <w:jc w:val="both"/>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7.1.6</w:t>
            </w:r>
            <w:r>
              <w:rPr>
                <w:rFonts w:hint="default" w:ascii="Times New Roman" w:hAnsi="Times New Roman" w:eastAsia="宋体" w:cs="Times New Roman"/>
                <w:b/>
                <w:bCs/>
                <w:color w:val="auto"/>
                <w:sz w:val="24"/>
                <w:szCs w:val="24"/>
                <w:highlight w:val="none"/>
              </w:rPr>
              <w:t>落地油</w:t>
            </w:r>
          </w:p>
          <w:p w14:paraId="433EC49F">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本工程钻井期和试油期间事故状态下可能产生少量落地原油和含油污泥，落地油要求100%回收，落地原油和含油污泥按照《国家危险废物名录》（2025年</w:t>
            </w:r>
            <w:r>
              <w:rPr>
                <w:rFonts w:hint="eastAsia" w:ascii="Times New Roman" w:hAnsi="Times New Roman" w:eastAsia="宋体" w:cs="Times New Roman"/>
                <w:color w:val="auto"/>
                <w:sz w:val="24"/>
                <w:szCs w:val="24"/>
                <w:highlight w:val="none"/>
                <w:lang w:val="en-US" w:eastAsia="zh-CN"/>
              </w:rPr>
              <w:t>版</w:t>
            </w:r>
            <w:r>
              <w:rPr>
                <w:rFonts w:hint="default" w:ascii="Times New Roman" w:hAnsi="Times New Roman" w:eastAsia="宋体" w:cs="Times New Roman"/>
                <w:color w:val="auto"/>
                <w:sz w:val="24"/>
                <w:szCs w:val="24"/>
                <w:highlight w:val="none"/>
              </w:rPr>
              <w:t>）、《危险废物环境管理指南</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陆上</w:t>
            </w:r>
            <w:r>
              <w:rPr>
                <w:rFonts w:hint="eastAsia" w:ascii="Times New Roman" w:hAnsi="Times New Roman" w:eastAsia="宋体" w:cs="Times New Roman"/>
                <w:color w:val="auto"/>
                <w:sz w:val="24"/>
                <w:szCs w:val="24"/>
                <w:highlight w:val="none"/>
                <w:lang w:val="en-US" w:eastAsia="zh-CN"/>
              </w:rPr>
              <w:t>石</w:t>
            </w:r>
            <w:r>
              <w:rPr>
                <w:rFonts w:hint="default" w:ascii="Times New Roman" w:hAnsi="Times New Roman" w:eastAsia="宋体" w:cs="Times New Roman"/>
                <w:color w:val="auto"/>
                <w:sz w:val="24"/>
                <w:szCs w:val="24"/>
                <w:highlight w:val="none"/>
              </w:rPr>
              <w:t>油天然气开采》（生态环境部公告2021年第74号），</w:t>
            </w:r>
            <w:r>
              <w:rPr>
                <w:rFonts w:hint="default" w:ascii="Times New Roman" w:hAnsi="Times New Roman" w:eastAsia="宋体" w:cs="Times New Roman"/>
                <w:color w:val="auto"/>
                <w:sz w:val="24"/>
                <w:szCs w:val="24"/>
                <w:highlight w:val="none"/>
                <w:lang w:val="en-US" w:eastAsia="zh-CN"/>
              </w:rPr>
              <w:t>落地油泥</w:t>
            </w:r>
            <w:r>
              <w:rPr>
                <w:rFonts w:hint="default" w:ascii="Times New Roman" w:hAnsi="Times New Roman" w:eastAsia="宋体" w:cs="Times New Roman"/>
                <w:color w:val="auto"/>
                <w:sz w:val="24"/>
                <w:szCs w:val="24"/>
                <w:highlight w:val="none"/>
              </w:rPr>
              <w:t>属于《国家危险废物名录》（2025年）中的HW08废矿物油与含矿物油类危险废物，废物代码为071-001-08，</w:t>
            </w:r>
            <w:r>
              <w:rPr>
                <w:rFonts w:hint="eastAsia" w:ascii="Times New Roman" w:hAnsi="Times New Roman" w:eastAsia="宋体" w:cs="Times New Roman"/>
                <w:color w:val="auto"/>
                <w:sz w:val="24"/>
                <w:szCs w:val="24"/>
                <w:highlight w:val="none"/>
                <w:lang w:val="en-US" w:eastAsia="zh-CN"/>
              </w:rPr>
              <w:t>落地油100%回收。</w:t>
            </w:r>
          </w:p>
          <w:p w14:paraId="6221125C">
            <w:pPr>
              <w:widowControl w:val="0"/>
              <w:snapToGrid w:val="0"/>
              <w:spacing w:line="500" w:lineRule="exact"/>
              <w:jc w:val="both"/>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7.1.7</w:t>
            </w:r>
            <w:r>
              <w:rPr>
                <w:rFonts w:hint="default" w:ascii="Times New Roman" w:hAnsi="Times New Roman" w:eastAsia="宋体" w:cs="Times New Roman"/>
                <w:b/>
                <w:bCs/>
                <w:color w:val="auto"/>
                <w:sz w:val="24"/>
                <w:szCs w:val="24"/>
                <w:highlight w:val="none"/>
              </w:rPr>
              <w:t>机械设备废油</w:t>
            </w:r>
          </w:p>
          <w:p w14:paraId="22CE7B00">
            <w:pPr>
              <w:keepNext w:val="0"/>
              <w:keepLines w:val="0"/>
              <w:pageBreakBefore w:val="0"/>
              <w:widowControl w:val="0"/>
              <w:kinsoku/>
              <w:wordWrap/>
              <w:overflowPunct w:val="0"/>
              <w:topLinePunct w:val="0"/>
              <w:autoSpaceDE w:val="0"/>
              <w:autoSpaceDN w:val="0"/>
              <w:bidi w:val="0"/>
              <w:adjustRightInd w:val="0"/>
              <w:snapToGrid w:val="0"/>
              <w:spacing w:line="500" w:lineRule="exact"/>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钻井期间使用的机械设备运行过程中需进行维护、保养、维修等工作，以使其能正常运转，此过程中将产生少量的废油，如废液压油、废润滑油、废机油等。钻井期间产生的废油由建设单位委托有危险废物处理资质单位进行处置。</w:t>
            </w:r>
          </w:p>
          <w:p w14:paraId="089F9999">
            <w:pPr>
              <w:keepNext w:val="0"/>
              <w:keepLines w:val="0"/>
              <w:pageBreakBefore w:val="0"/>
              <w:widowControl w:val="0"/>
              <w:kinsoku/>
              <w:wordWrap/>
              <w:overflowPunct w:val="0"/>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7.2固废处置可行性分析</w:t>
            </w:r>
          </w:p>
          <w:p w14:paraId="2C41ACF0">
            <w:pPr>
              <w:pStyle w:val="16"/>
              <w:widowControl w:val="0"/>
              <w:spacing w:line="360" w:lineRule="auto"/>
              <w:jc w:val="both"/>
              <w:rPr>
                <w:rFonts w:hint="default" w:ascii="Times New Roman" w:hAnsi="Times New Roman" w:cs="Times New Roman"/>
                <w:b/>
                <w:bCs/>
                <w:color w:val="auto"/>
                <w:spacing w:val="-1"/>
                <w:sz w:val="24"/>
                <w:szCs w:val="24"/>
                <w:highlight w:val="none"/>
                <w:lang w:val="en-US" w:eastAsia="zh-CN"/>
              </w:rPr>
            </w:pPr>
            <w:r>
              <w:rPr>
                <w:rFonts w:hint="eastAsia" w:ascii="Times New Roman" w:hAnsi="Times New Roman" w:cs="Times New Roman"/>
                <w:b/>
                <w:bCs/>
                <w:color w:val="auto"/>
                <w:spacing w:val="-1"/>
                <w:sz w:val="24"/>
                <w:szCs w:val="24"/>
                <w:highlight w:val="none"/>
                <w:lang w:val="en-US" w:eastAsia="zh-CN"/>
              </w:rPr>
              <w:t>7.2.1</w:t>
            </w:r>
            <w:r>
              <w:rPr>
                <w:rFonts w:hint="default" w:ascii="Times New Roman" w:hAnsi="Times New Roman" w:cs="Times New Roman"/>
                <w:b/>
                <w:bCs/>
                <w:color w:val="auto"/>
                <w:spacing w:val="-1"/>
                <w:sz w:val="24"/>
                <w:szCs w:val="24"/>
                <w:highlight w:val="none"/>
                <w:lang w:val="en-US" w:eastAsia="zh-CN"/>
              </w:rPr>
              <w:t>生活垃圾处置依托可行性分析</w:t>
            </w:r>
          </w:p>
          <w:p w14:paraId="74836DBF">
            <w:pPr>
              <w:pStyle w:val="16"/>
              <w:widowControl w:val="0"/>
              <w:spacing w:line="360" w:lineRule="auto"/>
              <w:ind w:firstLine="476"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吉木萨尔县生活垃圾填埋场位于吉木萨尔县城西北约9.5km处，乌奇公路北</w:t>
            </w:r>
            <w:r>
              <w:rPr>
                <w:rFonts w:hint="default" w:ascii="Times New Roman" w:hAnsi="Times New Roman" w:eastAsia="宋体" w:cs="Times New Roman"/>
                <w:color w:val="auto"/>
                <w:sz w:val="24"/>
                <w:szCs w:val="24"/>
                <w:highlight w:val="none"/>
              </w:rPr>
              <w:t>约7km处，吉木萨尔县至三台镇乡道北约2km处。吉木</w:t>
            </w:r>
            <w:r>
              <w:rPr>
                <w:rFonts w:hint="default" w:ascii="Times New Roman" w:hAnsi="Times New Roman" w:eastAsia="宋体" w:cs="Times New Roman"/>
                <w:color w:val="auto"/>
                <w:spacing w:val="-1"/>
                <w:sz w:val="24"/>
                <w:szCs w:val="24"/>
                <w:highlight w:val="none"/>
              </w:rPr>
              <w:t>萨尔县生活垃圾填埋场与本项目相距1</w:t>
            </w:r>
            <w:r>
              <w:rPr>
                <w:rFonts w:hint="default" w:ascii="Times New Roman" w:hAnsi="Times New Roman" w:cs="Times New Roman"/>
                <w:color w:val="auto"/>
                <w:spacing w:val="-1"/>
                <w:sz w:val="24"/>
                <w:szCs w:val="24"/>
                <w:highlight w:val="none"/>
                <w:lang w:val="en-US" w:eastAsia="zh-CN"/>
              </w:rPr>
              <w:t>2</w:t>
            </w:r>
            <w:r>
              <w:rPr>
                <w:rFonts w:hint="default" w:ascii="Times New Roman" w:hAnsi="Times New Roman" w:eastAsia="宋体" w:cs="Times New Roman"/>
                <w:color w:val="auto"/>
                <w:spacing w:val="-1"/>
                <w:sz w:val="24"/>
                <w:szCs w:val="24"/>
                <w:highlight w:val="none"/>
              </w:rPr>
              <w:t>km。2010年5月吉木萨尔县建设局委托自治区环境保护技术咨询中</w:t>
            </w:r>
            <w:r>
              <w:rPr>
                <w:rFonts w:hint="default" w:ascii="Times New Roman" w:hAnsi="Times New Roman" w:eastAsia="宋体" w:cs="Times New Roman"/>
                <w:color w:val="auto"/>
                <w:sz w:val="24"/>
                <w:szCs w:val="24"/>
                <w:highlight w:val="none"/>
              </w:rPr>
              <w:t>心编制《吉木萨尔县生活垃圾处理工程环境影响报告书》，</w:t>
            </w:r>
            <w:r>
              <w:rPr>
                <w:rFonts w:hint="default" w:ascii="Times New Roman" w:hAnsi="Times New Roman" w:eastAsia="宋体" w:cs="Times New Roman"/>
                <w:color w:val="auto"/>
                <w:spacing w:val="-1"/>
                <w:sz w:val="24"/>
                <w:szCs w:val="24"/>
                <w:highlight w:val="none"/>
              </w:rPr>
              <w:t>2010年8月11日，新</w:t>
            </w:r>
            <w:r>
              <w:rPr>
                <w:rFonts w:hint="default" w:ascii="Times New Roman" w:hAnsi="Times New Roman" w:eastAsia="宋体" w:cs="Times New Roman"/>
                <w:color w:val="auto"/>
                <w:spacing w:val="-2"/>
                <w:sz w:val="24"/>
                <w:szCs w:val="24"/>
                <w:highlight w:val="none"/>
              </w:rPr>
              <w:t>疆维吾尔自治区环境保护厅出具《关于吉木萨尔县生活</w:t>
            </w:r>
            <w:r>
              <w:rPr>
                <w:rFonts w:hint="default" w:ascii="Times New Roman" w:hAnsi="Times New Roman" w:eastAsia="宋体" w:cs="Times New Roman"/>
                <w:color w:val="auto"/>
                <w:spacing w:val="-3"/>
                <w:sz w:val="24"/>
                <w:szCs w:val="24"/>
                <w:highlight w:val="none"/>
              </w:rPr>
              <w:t>垃圾处理工程环境影响报</w:t>
            </w:r>
            <w:r>
              <w:rPr>
                <w:rFonts w:hint="default" w:ascii="Times New Roman" w:hAnsi="Times New Roman" w:eastAsia="宋体" w:cs="Times New Roman"/>
                <w:color w:val="auto"/>
                <w:sz w:val="24"/>
                <w:szCs w:val="24"/>
                <w:highlight w:val="none"/>
              </w:rPr>
              <w:t>告书的批复》</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新环函评价20101452号</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上述</w:t>
            </w:r>
            <w:r>
              <w:rPr>
                <w:rFonts w:hint="default" w:ascii="Times New Roman" w:hAnsi="Times New Roman" w:eastAsia="宋体" w:cs="Times New Roman"/>
                <w:color w:val="auto"/>
                <w:sz w:val="24"/>
                <w:szCs w:val="24"/>
                <w:highlight w:val="none"/>
              </w:rPr>
              <w:t>垃圾填埋场工程于20</w:t>
            </w:r>
            <w:r>
              <w:rPr>
                <w:rFonts w:hint="default" w:ascii="Times New Roman" w:hAnsi="Times New Roman" w:eastAsia="宋体" w:cs="Times New Roman"/>
                <w:color w:val="auto"/>
                <w:spacing w:val="-1"/>
                <w:sz w:val="24"/>
                <w:szCs w:val="24"/>
                <w:highlight w:val="none"/>
              </w:rPr>
              <w:t>14年11月建成后正式投入使用。2015年9月29日昌吉回族自治州环境保护局(现昌吉回族自治州生</w:t>
            </w:r>
            <w:r>
              <w:rPr>
                <w:rFonts w:hint="default" w:ascii="Times New Roman" w:hAnsi="Times New Roman" w:eastAsia="宋体" w:cs="Times New Roman"/>
                <w:color w:val="auto"/>
                <w:spacing w:val="-2"/>
                <w:sz w:val="24"/>
                <w:szCs w:val="24"/>
                <w:highlight w:val="none"/>
              </w:rPr>
              <w:t>态环</w:t>
            </w:r>
            <w:r>
              <w:rPr>
                <w:rFonts w:hint="default" w:ascii="Times New Roman" w:hAnsi="Times New Roman" w:eastAsia="宋体" w:cs="Times New Roman"/>
                <w:color w:val="auto"/>
                <w:spacing w:val="-1"/>
                <w:sz w:val="24"/>
                <w:szCs w:val="24"/>
                <w:highlight w:val="none"/>
              </w:rPr>
              <w:t>境局)以昌州环函〔2015〕358号文对该项目作出竣工环境保护意见，同意通</w:t>
            </w:r>
            <w:r>
              <w:rPr>
                <w:rFonts w:hint="default" w:ascii="Times New Roman" w:hAnsi="Times New Roman" w:eastAsia="宋体" w:cs="Times New Roman"/>
                <w:color w:val="auto"/>
                <w:spacing w:val="-2"/>
                <w:sz w:val="24"/>
                <w:szCs w:val="24"/>
                <w:highlight w:val="none"/>
              </w:rPr>
              <w:t>过竣工环境保护验收。该填埋场生活垃圾清运处理量100t/d。有效库容63万m</w:t>
            </w:r>
            <w:r>
              <w:rPr>
                <w:rFonts w:hint="default" w:ascii="Times New Roman" w:hAnsi="Times New Roman" w:eastAsia="宋体" w:cs="Times New Roman"/>
                <w:color w:val="auto"/>
                <w:spacing w:val="-2"/>
                <w:position w:val="8"/>
                <w:sz w:val="15"/>
                <w:szCs w:val="15"/>
                <w:highlight w:val="none"/>
              </w:rPr>
              <w:t>3</w:t>
            </w:r>
            <w:r>
              <w:rPr>
                <w:rFonts w:hint="default" w:ascii="Times New Roman" w:hAnsi="Times New Roman" w:eastAsia="宋体" w:cs="Times New Roman"/>
                <w:color w:val="auto"/>
                <w:spacing w:val="-2"/>
                <w:sz w:val="24"/>
                <w:szCs w:val="24"/>
                <w:highlight w:val="none"/>
              </w:rPr>
              <w:t>，服务</w:t>
            </w:r>
            <w:r>
              <w:rPr>
                <w:rFonts w:hint="default" w:ascii="Times New Roman" w:hAnsi="Times New Roman" w:eastAsia="宋体" w:cs="Times New Roman"/>
                <w:color w:val="auto"/>
                <w:spacing w:val="-1"/>
                <w:sz w:val="24"/>
                <w:szCs w:val="24"/>
                <w:highlight w:val="none"/>
              </w:rPr>
              <w:t>年限11年，处理工艺为卫生填埋。</w:t>
            </w:r>
          </w:p>
          <w:p w14:paraId="2C49D056">
            <w:pPr>
              <w:pStyle w:val="16"/>
              <w:widowControl w:val="0"/>
              <w:spacing w:before="38" w:line="359" w:lineRule="auto"/>
              <w:ind w:left="3" w:right="4" w:firstLine="480"/>
              <w:jc w:val="both"/>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z w:val="24"/>
                <w:szCs w:val="24"/>
                <w:highlight w:val="none"/>
              </w:rPr>
              <w:t>本项目施工期生活垃圾</w:t>
            </w:r>
            <w:r>
              <w:rPr>
                <w:rFonts w:hint="default" w:ascii="Times New Roman" w:hAnsi="Times New Roman" w:eastAsia="宋体" w:cs="Times New Roman"/>
                <w:color w:val="auto"/>
                <w:sz w:val="24"/>
                <w:szCs w:val="24"/>
                <w:highlight w:val="none"/>
                <w:lang w:val="en-US" w:eastAsia="zh-CN"/>
              </w:rPr>
              <w:t>共</w:t>
            </w:r>
            <w:r>
              <w:rPr>
                <w:rFonts w:hint="default" w:ascii="Times New Roman" w:hAnsi="Times New Roman" w:eastAsia="宋体" w:cs="Times New Roman"/>
                <w:color w:val="auto"/>
                <w:sz w:val="24"/>
                <w:szCs w:val="24"/>
                <w:highlight w:val="none"/>
              </w:rPr>
              <w:t>产生量</w:t>
            </w:r>
            <w:r>
              <w:rPr>
                <w:rFonts w:hint="default" w:ascii="Times New Roman" w:hAnsi="Times New Roman" w:cs="Times New Roman"/>
                <w:color w:val="auto"/>
                <w:sz w:val="24"/>
                <w:szCs w:val="24"/>
                <w:highlight w:val="none"/>
                <w:lang w:val="en-US" w:eastAsia="zh-CN"/>
              </w:rPr>
              <w:t>50.4</w:t>
            </w:r>
            <w:r>
              <w:rPr>
                <w:rFonts w:hint="default" w:ascii="Times New Roman" w:hAnsi="Times New Roman" w:eastAsia="宋体" w:cs="Times New Roman"/>
                <w:color w:val="auto"/>
                <w:sz w:val="24"/>
                <w:szCs w:val="24"/>
                <w:highlight w:val="none"/>
              </w:rPr>
              <w:t>t，占填埋场填埋量比例极小，吉木萨尔县生活垃圾填埋场可以满足本工程施工期生活垃圾填埋需求。</w:t>
            </w:r>
          </w:p>
          <w:p w14:paraId="7E396019">
            <w:pPr>
              <w:pStyle w:val="16"/>
              <w:widowControl w:val="0"/>
              <w:spacing w:before="38" w:line="359" w:lineRule="auto"/>
              <w:ind w:right="4"/>
              <w:jc w:val="both"/>
              <w:rPr>
                <w:rFonts w:hint="default" w:ascii="Times New Roman" w:hAnsi="Times New Roman" w:cs="Times New Roman"/>
                <w:b/>
                <w:bCs/>
                <w:color w:val="auto"/>
                <w:spacing w:val="-2"/>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7.2.2</w:t>
            </w:r>
            <w:r>
              <w:rPr>
                <w:rFonts w:hint="default" w:ascii="Times New Roman" w:hAnsi="Times New Roman" w:eastAsia="宋体" w:cs="Times New Roman"/>
                <w:b/>
                <w:bCs/>
                <w:color w:val="auto"/>
                <w:spacing w:val="-2"/>
                <w:sz w:val="24"/>
                <w:szCs w:val="24"/>
                <w:highlight w:val="none"/>
              </w:rPr>
              <w:t>岩屑</w:t>
            </w:r>
            <w:r>
              <w:rPr>
                <w:rFonts w:hint="default" w:ascii="Times New Roman" w:hAnsi="Times New Roman" w:cs="Times New Roman"/>
                <w:b/>
                <w:bCs/>
                <w:color w:val="auto"/>
                <w:spacing w:val="-2"/>
                <w:sz w:val="24"/>
                <w:szCs w:val="24"/>
                <w:highlight w:val="none"/>
                <w:lang w:val="en-US" w:eastAsia="zh-CN"/>
              </w:rPr>
              <w:t>处置依托可行性分析</w:t>
            </w:r>
          </w:p>
          <w:p w14:paraId="2B64EEC0">
            <w:pPr>
              <w:pStyle w:val="16"/>
              <w:keepNext w:val="0"/>
              <w:keepLines w:val="0"/>
              <w:pageBreakBefore w:val="0"/>
              <w:widowControl w:val="0"/>
              <w:numPr>
                <w:ilvl w:val="0"/>
                <w:numId w:val="8"/>
              </w:numPr>
              <w:kinsoku w:val="0"/>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2"/>
                <w:sz w:val="24"/>
                <w:szCs w:val="24"/>
                <w:highlight w:val="none"/>
              </w:rPr>
              <w:t>环保手续履行情况</w:t>
            </w:r>
          </w:p>
          <w:p w14:paraId="2DFEE358">
            <w:pPr>
              <w:pStyle w:val="16"/>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leftChars="200" w:right="0" w:rightChars="0"/>
              <w:jc w:val="both"/>
              <w:textAlignment w:val="baseline"/>
              <w:rPr>
                <w:rFonts w:hint="default" w:ascii="Times New Roman" w:hAnsi="Times New Roman" w:eastAsia="宋体" w:cs="Times New Roman"/>
                <w:color w:val="auto"/>
                <w:spacing w:val="-2"/>
                <w:sz w:val="24"/>
                <w:szCs w:val="24"/>
                <w:highlight w:val="none"/>
                <w:lang w:val="en-US" w:eastAsia="zh-CN"/>
              </w:rPr>
            </w:pPr>
            <w:r>
              <w:rPr>
                <w:rFonts w:hint="eastAsia" w:ascii="Times New Roman" w:hAnsi="Times New Roman" w:cs="Times New Roman"/>
                <w:color w:val="auto"/>
                <w:spacing w:val="-2"/>
                <w:sz w:val="24"/>
                <w:szCs w:val="24"/>
                <w:highlight w:val="none"/>
                <w:lang w:val="en-US" w:eastAsia="zh-CN"/>
              </w:rPr>
              <w:t>项目岩屑处理单位环保手续履行情况见表4-3和表4-4。</w:t>
            </w:r>
          </w:p>
          <w:p w14:paraId="7B08ECE4">
            <w:pPr>
              <w:pStyle w:val="16"/>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240" w:lineRule="auto"/>
              <w:ind w:leftChars="0" w:right="0" w:rightChars="0"/>
              <w:jc w:val="center"/>
              <w:textAlignment w:val="baseline"/>
              <w:rPr>
                <w:rFonts w:hint="default" w:ascii="Times New Roman" w:hAnsi="Times New Roman" w:eastAsia="宋体" w:cs="Times New Roman"/>
                <w:b/>
                <w:bCs/>
                <w:color w:val="auto"/>
                <w:spacing w:val="6"/>
                <w:sz w:val="21"/>
                <w:szCs w:val="21"/>
                <w:highlight w:val="none"/>
              </w:rPr>
            </w:pPr>
            <w:r>
              <w:rPr>
                <w:rFonts w:hint="default" w:ascii="Times New Roman" w:hAnsi="Times New Roman" w:eastAsia="宋体" w:cs="Times New Roman"/>
                <w:b/>
                <w:bCs/>
                <w:color w:val="auto"/>
                <w:spacing w:val="17"/>
                <w:sz w:val="21"/>
                <w:szCs w:val="21"/>
                <w:highlight w:val="none"/>
              </w:rPr>
              <w:t>表</w:t>
            </w:r>
            <w:r>
              <w:rPr>
                <w:rFonts w:hint="default" w:ascii="Times New Roman" w:hAnsi="Times New Roman" w:eastAsia="宋体" w:cs="Times New Roman"/>
                <w:b/>
                <w:bCs/>
                <w:color w:val="auto"/>
                <w:spacing w:val="17"/>
                <w:sz w:val="21"/>
                <w:szCs w:val="21"/>
                <w:highlight w:val="none"/>
                <w:lang w:val="en-US" w:eastAsia="zh-CN"/>
              </w:rPr>
              <w:t xml:space="preserve">4-3 </w:t>
            </w:r>
            <w:r>
              <w:rPr>
                <w:rFonts w:hint="default" w:ascii="Times New Roman" w:hAnsi="Times New Roman" w:eastAsia="宋体" w:cs="Times New Roman"/>
                <w:b/>
                <w:bCs/>
                <w:color w:val="auto"/>
                <w:spacing w:val="17"/>
                <w:sz w:val="21"/>
                <w:szCs w:val="21"/>
                <w:highlight w:val="none"/>
              </w:rPr>
              <w:t>新疆中建环能北庭环保科技有限公司建设项目概况汇总一览表</w:t>
            </w:r>
          </w:p>
          <w:tbl>
            <w:tblPr>
              <w:tblStyle w:val="15"/>
              <w:tblW w:w="8389"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86"/>
              <w:gridCol w:w="2499"/>
              <w:gridCol w:w="771"/>
              <w:gridCol w:w="769"/>
              <w:gridCol w:w="748"/>
              <w:gridCol w:w="1916"/>
            </w:tblGrid>
            <w:tr w14:paraId="20099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1686" w:type="dxa"/>
                  <w:tcBorders>
                    <w:top w:val="single" w:color="000000" w:sz="8" w:space="0"/>
                  </w:tcBorders>
                  <w:vAlign w:val="center"/>
                </w:tcPr>
                <w:p w14:paraId="06532D76">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7"/>
                      <w:sz w:val="21"/>
                      <w:szCs w:val="21"/>
                      <w:highlight w:val="none"/>
                    </w:rPr>
                    <w:t>建设项目名称</w:t>
                  </w:r>
                </w:p>
              </w:tc>
              <w:tc>
                <w:tcPr>
                  <w:tcW w:w="2499" w:type="dxa"/>
                  <w:tcBorders>
                    <w:top w:val="single" w:color="000000" w:sz="8" w:space="0"/>
                  </w:tcBorders>
                  <w:vAlign w:val="center"/>
                </w:tcPr>
                <w:p w14:paraId="274A9034">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7"/>
                      <w:sz w:val="21"/>
                      <w:szCs w:val="21"/>
                      <w:highlight w:val="none"/>
                    </w:rPr>
                    <w:t>实际建设内容</w:t>
                  </w:r>
                </w:p>
              </w:tc>
              <w:tc>
                <w:tcPr>
                  <w:tcW w:w="771" w:type="dxa"/>
                  <w:tcBorders>
                    <w:top w:val="single" w:color="000000" w:sz="8" w:space="0"/>
                  </w:tcBorders>
                  <w:vAlign w:val="center"/>
                </w:tcPr>
                <w:p w14:paraId="607A5211">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6"/>
                      <w:sz w:val="21"/>
                      <w:szCs w:val="21"/>
                      <w:highlight w:val="none"/>
                    </w:rPr>
                    <w:t>运行状</w:t>
                  </w:r>
                  <w:r>
                    <w:rPr>
                      <w:rFonts w:hint="default" w:ascii="Times New Roman" w:hAnsi="Times New Roman" w:eastAsia="宋体" w:cs="Times New Roman"/>
                      <w:b/>
                      <w:bCs/>
                      <w:color w:val="auto"/>
                      <w:sz w:val="21"/>
                      <w:szCs w:val="21"/>
                      <w:highlight w:val="none"/>
                    </w:rPr>
                    <w:t>态</w:t>
                  </w:r>
                </w:p>
              </w:tc>
              <w:tc>
                <w:tcPr>
                  <w:tcW w:w="769" w:type="dxa"/>
                  <w:tcBorders>
                    <w:top w:val="single" w:color="000000" w:sz="8" w:space="0"/>
                  </w:tcBorders>
                  <w:vAlign w:val="center"/>
                </w:tcPr>
                <w:p w14:paraId="1395739C">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6"/>
                      <w:sz w:val="21"/>
                      <w:szCs w:val="21"/>
                      <w:highlight w:val="none"/>
                    </w:rPr>
                    <w:t>开工建</w:t>
                  </w:r>
                  <w:r>
                    <w:rPr>
                      <w:rFonts w:hint="default" w:ascii="Times New Roman" w:hAnsi="Times New Roman" w:eastAsia="宋体" w:cs="Times New Roman"/>
                      <w:b/>
                      <w:bCs/>
                      <w:color w:val="auto"/>
                      <w:spacing w:val="5"/>
                      <w:sz w:val="21"/>
                      <w:szCs w:val="21"/>
                      <w:highlight w:val="none"/>
                    </w:rPr>
                    <w:t>设时间</w:t>
                  </w:r>
                </w:p>
              </w:tc>
              <w:tc>
                <w:tcPr>
                  <w:tcW w:w="748" w:type="dxa"/>
                  <w:tcBorders>
                    <w:top w:val="single" w:color="000000" w:sz="8" w:space="0"/>
                  </w:tcBorders>
                  <w:vAlign w:val="center"/>
                </w:tcPr>
                <w:p w14:paraId="0D926A75">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6"/>
                      <w:sz w:val="21"/>
                      <w:szCs w:val="21"/>
                      <w:highlight w:val="none"/>
                    </w:rPr>
                    <w:t>建成时</w:t>
                  </w:r>
                  <w:r>
                    <w:rPr>
                      <w:rFonts w:hint="default" w:ascii="Times New Roman" w:hAnsi="Times New Roman" w:eastAsia="宋体" w:cs="Times New Roman"/>
                      <w:b/>
                      <w:bCs/>
                      <w:color w:val="auto"/>
                      <w:sz w:val="21"/>
                      <w:szCs w:val="21"/>
                      <w:highlight w:val="none"/>
                    </w:rPr>
                    <w:t>间</w:t>
                  </w:r>
                </w:p>
              </w:tc>
              <w:tc>
                <w:tcPr>
                  <w:tcW w:w="1916" w:type="dxa"/>
                  <w:tcBorders>
                    <w:top w:val="single" w:color="000000" w:sz="8" w:space="0"/>
                    <w:right w:val="single" w:color="000000" w:sz="4" w:space="0"/>
                  </w:tcBorders>
                  <w:vAlign w:val="center"/>
                </w:tcPr>
                <w:p w14:paraId="05C9A85F">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right="82"/>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8"/>
                      <w:sz w:val="21"/>
                      <w:szCs w:val="21"/>
                      <w:highlight w:val="none"/>
                    </w:rPr>
                    <w:t>危险废物经营许</w:t>
                  </w:r>
                  <w:r>
                    <w:rPr>
                      <w:rFonts w:hint="default" w:ascii="Times New Roman" w:hAnsi="Times New Roman" w:eastAsia="宋体" w:cs="Times New Roman"/>
                      <w:b/>
                      <w:bCs/>
                      <w:color w:val="auto"/>
                      <w:spacing w:val="3"/>
                      <w:sz w:val="21"/>
                      <w:szCs w:val="21"/>
                      <w:highlight w:val="none"/>
                    </w:rPr>
                    <w:t>可证</w:t>
                  </w:r>
                </w:p>
              </w:tc>
            </w:tr>
            <w:tr w14:paraId="06ECFB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1686" w:type="dxa"/>
                  <w:vAlign w:val="center"/>
                </w:tcPr>
                <w:p w14:paraId="74346F6F">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中建合资公司利用</w:t>
                  </w:r>
                  <w:r>
                    <w:rPr>
                      <w:rFonts w:hint="default" w:ascii="Times New Roman" w:hAnsi="Times New Roman" w:eastAsia="宋体" w:cs="Times New Roman"/>
                      <w:color w:val="auto"/>
                      <w:spacing w:val="8"/>
                      <w:sz w:val="21"/>
                      <w:szCs w:val="21"/>
                      <w:highlight w:val="none"/>
                    </w:rPr>
                    <w:t>新疆中建西部建设水泥制造有限公司水泥窑协同处置危</w:t>
                  </w:r>
                  <w:r>
                    <w:rPr>
                      <w:rFonts w:hint="default" w:ascii="Times New Roman" w:hAnsi="Times New Roman" w:eastAsia="宋体" w:cs="Times New Roman"/>
                      <w:color w:val="auto"/>
                      <w:spacing w:val="5"/>
                      <w:sz w:val="21"/>
                      <w:szCs w:val="21"/>
                      <w:highlight w:val="none"/>
                    </w:rPr>
                    <w:t>险废物项目</w:t>
                  </w:r>
                </w:p>
              </w:tc>
              <w:tc>
                <w:tcPr>
                  <w:tcW w:w="2499" w:type="dxa"/>
                  <w:vAlign w:val="center"/>
                </w:tcPr>
                <w:p w14:paraId="5F4869CA">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9"/>
                      <w:sz w:val="21"/>
                      <w:szCs w:val="21"/>
                      <w:highlight w:val="none"/>
                    </w:rPr>
                    <w:t>利用新疆中建西部建设水泥</w:t>
                  </w:r>
                  <w:r>
                    <w:rPr>
                      <w:rFonts w:hint="default" w:ascii="Times New Roman" w:hAnsi="Times New Roman" w:eastAsia="宋体" w:cs="Times New Roman"/>
                      <w:color w:val="auto"/>
                      <w:spacing w:val="6"/>
                      <w:sz w:val="21"/>
                      <w:szCs w:val="21"/>
                      <w:highlight w:val="none"/>
                    </w:rPr>
                    <w:t>制造有限公司现有3000t/d熟</w:t>
                  </w:r>
                  <w:r>
                    <w:rPr>
                      <w:rFonts w:hint="default" w:ascii="Times New Roman" w:hAnsi="Times New Roman" w:eastAsia="宋体" w:cs="Times New Roman"/>
                      <w:color w:val="auto"/>
                      <w:spacing w:val="9"/>
                      <w:sz w:val="21"/>
                      <w:szCs w:val="21"/>
                      <w:highlight w:val="none"/>
                    </w:rPr>
                    <w:t>料新型干法水泥生产线协同</w:t>
                  </w:r>
                  <w:r>
                    <w:rPr>
                      <w:rFonts w:hint="default" w:ascii="Times New Roman" w:hAnsi="Times New Roman" w:eastAsia="宋体" w:cs="Times New Roman"/>
                      <w:color w:val="auto"/>
                      <w:spacing w:val="1"/>
                      <w:sz w:val="21"/>
                      <w:szCs w:val="21"/>
                      <w:highlight w:val="none"/>
                    </w:rPr>
                    <w:t>处置10万t/a工业废物，处置工</w:t>
                  </w:r>
                  <w:r>
                    <w:rPr>
                      <w:rFonts w:hint="default" w:ascii="Times New Roman" w:hAnsi="Times New Roman" w:eastAsia="宋体" w:cs="Times New Roman"/>
                      <w:color w:val="auto"/>
                      <w:spacing w:val="7"/>
                      <w:sz w:val="21"/>
                      <w:szCs w:val="21"/>
                      <w:highlight w:val="none"/>
                    </w:rPr>
                    <w:t>业废物为35大类412中危险废</w:t>
                  </w:r>
                  <w:r>
                    <w:rPr>
                      <w:rFonts w:hint="default" w:ascii="Times New Roman" w:hAnsi="Times New Roman" w:eastAsia="宋体" w:cs="Times New Roman"/>
                      <w:color w:val="auto"/>
                      <w:sz w:val="21"/>
                      <w:szCs w:val="21"/>
                      <w:highlight w:val="none"/>
                    </w:rPr>
                    <w:t>物</w:t>
                  </w:r>
                  <w:r>
                    <w:rPr>
                      <w:rFonts w:hint="default" w:ascii="Times New Roman" w:hAnsi="Times New Roman" w:cs="Times New Roman"/>
                      <w:color w:val="auto"/>
                      <w:sz w:val="21"/>
                      <w:szCs w:val="21"/>
                      <w:highlight w:val="none"/>
                      <w:lang w:eastAsia="zh-CN"/>
                    </w:rPr>
                    <w:t>。</w:t>
                  </w:r>
                </w:p>
              </w:tc>
              <w:tc>
                <w:tcPr>
                  <w:tcW w:w="771" w:type="dxa"/>
                  <w:vAlign w:val="center"/>
                </w:tcPr>
                <w:p w14:paraId="4F86608D">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目前正</w:t>
                  </w:r>
                  <w:r>
                    <w:rPr>
                      <w:rFonts w:hint="default" w:ascii="Times New Roman" w:hAnsi="Times New Roman" w:eastAsia="宋体" w:cs="Times New Roman"/>
                      <w:color w:val="auto"/>
                      <w:spacing w:val="5"/>
                      <w:sz w:val="21"/>
                      <w:szCs w:val="21"/>
                      <w:highlight w:val="none"/>
                    </w:rPr>
                    <w:t>常运营</w:t>
                  </w:r>
                </w:p>
              </w:tc>
              <w:tc>
                <w:tcPr>
                  <w:tcW w:w="769" w:type="dxa"/>
                  <w:vAlign w:val="center"/>
                </w:tcPr>
                <w:p w14:paraId="5BCB81CF">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2021.5</w:t>
                  </w:r>
                </w:p>
              </w:tc>
              <w:tc>
                <w:tcPr>
                  <w:tcW w:w="748" w:type="dxa"/>
                  <w:vAlign w:val="center"/>
                </w:tcPr>
                <w:p w14:paraId="3FC52FD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2021.1</w:t>
                  </w:r>
                  <w:r>
                    <w:rPr>
                      <w:rFonts w:hint="default" w:ascii="Times New Roman" w:hAnsi="Times New Roman" w:eastAsia="宋体" w:cs="Times New Roman"/>
                      <w:color w:val="auto"/>
                      <w:sz w:val="21"/>
                      <w:szCs w:val="21"/>
                      <w:highlight w:val="none"/>
                    </w:rPr>
                    <w:t>2</w:t>
                  </w:r>
                </w:p>
              </w:tc>
              <w:tc>
                <w:tcPr>
                  <w:tcW w:w="1916" w:type="dxa"/>
                  <w:tcBorders>
                    <w:right w:val="single" w:color="000000" w:sz="4" w:space="0"/>
                  </w:tcBorders>
                  <w:vAlign w:val="center"/>
                </w:tcPr>
                <w:p w14:paraId="6FCA1201">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2022年3月19日</w:t>
                  </w:r>
                  <w:r>
                    <w:rPr>
                      <w:rFonts w:hint="default" w:ascii="Times New Roman" w:hAnsi="Times New Roman" w:eastAsia="宋体" w:cs="Times New Roman"/>
                      <w:color w:val="auto"/>
                      <w:spacing w:val="5"/>
                      <w:sz w:val="21"/>
                      <w:szCs w:val="21"/>
                      <w:highlight w:val="none"/>
                    </w:rPr>
                    <w:t>由新疆维吾尔自</w:t>
                  </w:r>
                  <w:r>
                    <w:rPr>
                      <w:rFonts w:hint="default" w:ascii="Times New Roman" w:hAnsi="Times New Roman" w:eastAsia="宋体" w:cs="Times New Roman"/>
                      <w:color w:val="auto"/>
                      <w:spacing w:val="8"/>
                      <w:sz w:val="21"/>
                      <w:szCs w:val="21"/>
                      <w:highlight w:val="none"/>
                    </w:rPr>
                    <w:t>治区生态环境厅审核颁发了危险废物经营许可证</w:t>
                  </w:r>
                </w:p>
              </w:tc>
            </w:tr>
            <w:tr w14:paraId="52E43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1686" w:type="dxa"/>
                  <w:vAlign w:val="center"/>
                </w:tcPr>
                <w:p w14:paraId="2051FEA1">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新疆中建环能北庭环保科技有限公司贮存设施改扩建项</w:t>
                  </w:r>
                  <w:r>
                    <w:rPr>
                      <w:rFonts w:hint="default" w:ascii="Times New Roman" w:hAnsi="Times New Roman" w:eastAsia="宋体" w:cs="Times New Roman"/>
                      <w:color w:val="auto"/>
                      <w:sz w:val="21"/>
                      <w:szCs w:val="21"/>
                      <w:highlight w:val="none"/>
                    </w:rPr>
                    <w:t>目</w:t>
                  </w:r>
                </w:p>
              </w:tc>
              <w:tc>
                <w:tcPr>
                  <w:tcW w:w="2499" w:type="dxa"/>
                  <w:vAlign w:val="center"/>
                </w:tcPr>
                <w:p w14:paraId="4904BC73">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2"/>
                      <w:sz w:val="21"/>
                      <w:szCs w:val="21"/>
                      <w:highlight w:val="none"/>
                    </w:rPr>
                    <w:t>建设一座危废贮存池，占地面</w:t>
                  </w:r>
                  <w:r>
                    <w:rPr>
                      <w:rFonts w:hint="default" w:ascii="Times New Roman" w:hAnsi="Times New Roman" w:eastAsia="宋体" w:cs="Times New Roman"/>
                      <w:color w:val="auto"/>
                      <w:spacing w:val="3"/>
                      <w:sz w:val="21"/>
                      <w:szCs w:val="21"/>
                      <w:highlight w:val="none"/>
                    </w:rPr>
                    <w:t>积4950m</w:t>
                  </w:r>
                  <w:r>
                    <w:rPr>
                      <w:rFonts w:hint="default" w:ascii="Times New Roman" w:hAnsi="Times New Roman" w:eastAsia="宋体" w:cs="Times New Roman"/>
                      <w:color w:val="auto"/>
                      <w:spacing w:val="3"/>
                      <w:position w:val="6"/>
                      <w:sz w:val="21"/>
                      <w:szCs w:val="21"/>
                      <w:highlight w:val="none"/>
                      <w:vertAlign w:val="superscript"/>
                    </w:rPr>
                    <w:t>2</w:t>
                  </w:r>
                  <w:r>
                    <w:rPr>
                      <w:rFonts w:hint="default" w:ascii="Times New Roman" w:hAnsi="Times New Roman" w:eastAsia="宋体" w:cs="Times New Roman"/>
                      <w:color w:val="auto"/>
                      <w:spacing w:val="3"/>
                      <w:sz w:val="21"/>
                      <w:szCs w:val="21"/>
                      <w:highlight w:val="none"/>
                    </w:rPr>
                    <w:t>，地下深3m，高出地面0.5m，库容14850m</w:t>
                  </w:r>
                  <w:r>
                    <w:rPr>
                      <w:rFonts w:hint="default" w:ascii="Times New Roman" w:hAnsi="Times New Roman" w:eastAsia="宋体" w:cs="Times New Roman"/>
                      <w:color w:val="auto"/>
                      <w:spacing w:val="3"/>
                      <w:position w:val="6"/>
                      <w:sz w:val="21"/>
                      <w:szCs w:val="21"/>
                      <w:highlight w:val="none"/>
                      <w:vertAlign w:val="superscript"/>
                    </w:rPr>
                    <w:t>3</w:t>
                  </w:r>
                  <w:r>
                    <w:rPr>
                      <w:rFonts w:hint="default" w:ascii="Times New Roman" w:hAnsi="Times New Roman" w:eastAsia="宋体" w:cs="Times New Roman"/>
                      <w:color w:val="auto"/>
                      <w:spacing w:val="3"/>
                      <w:sz w:val="21"/>
                      <w:szCs w:val="21"/>
                      <w:highlight w:val="none"/>
                    </w:rPr>
                    <w:t>，顶</w:t>
                  </w:r>
                  <w:r>
                    <w:rPr>
                      <w:rFonts w:hint="default" w:ascii="Times New Roman" w:hAnsi="Times New Roman" w:eastAsia="宋体" w:cs="Times New Roman"/>
                      <w:color w:val="auto"/>
                      <w:spacing w:val="2"/>
                      <w:sz w:val="21"/>
                      <w:szCs w:val="21"/>
                      <w:highlight w:val="none"/>
                    </w:rPr>
                    <w:t>部设置彩钢棚，主要贮存含油</w:t>
                  </w:r>
                  <w:r>
                    <w:rPr>
                      <w:rFonts w:hint="default" w:ascii="Times New Roman" w:hAnsi="Times New Roman" w:eastAsia="宋体" w:cs="Times New Roman"/>
                      <w:color w:val="auto"/>
                      <w:spacing w:val="8"/>
                      <w:sz w:val="21"/>
                      <w:szCs w:val="21"/>
                      <w:highlight w:val="none"/>
                    </w:rPr>
                    <w:t>率低于5%油基岩屑和废弃钻</w:t>
                  </w:r>
                  <w:r>
                    <w:rPr>
                      <w:rFonts w:hint="default" w:ascii="Times New Roman" w:hAnsi="Times New Roman" w:eastAsia="宋体" w:cs="Times New Roman"/>
                      <w:color w:val="auto"/>
                      <w:spacing w:val="3"/>
                      <w:sz w:val="21"/>
                      <w:szCs w:val="21"/>
                      <w:highlight w:val="none"/>
                    </w:rPr>
                    <w:t>井泥浆危废代码071-002-08，72-001-08</w:t>
                  </w:r>
                  <w:r>
                    <w:rPr>
                      <w:rFonts w:hint="default" w:ascii="Times New Roman" w:hAnsi="Times New Roman" w:cs="Times New Roman"/>
                      <w:color w:val="auto"/>
                      <w:spacing w:val="3"/>
                      <w:sz w:val="21"/>
                      <w:szCs w:val="21"/>
                      <w:highlight w:val="none"/>
                      <w:lang w:eastAsia="zh-CN"/>
                    </w:rPr>
                    <w:t>。</w:t>
                  </w:r>
                </w:p>
              </w:tc>
              <w:tc>
                <w:tcPr>
                  <w:tcW w:w="771" w:type="dxa"/>
                  <w:vAlign w:val="center"/>
                </w:tcPr>
                <w:p w14:paraId="0FADD5F6">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目前正</w:t>
                  </w:r>
                  <w:r>
                    <w:rPr>
                      <w:rFonts w:hint="default" w:ascii="Times New Roman" w:hAnsi="Times New Roman" w:eastAsia="宋体" w:cs="Times New Roman"/>
                      <w:color w:val="auto"/>
                      <w:spacing w:val="5"/>
                      <w:sz w:val="21"/>
                      <w:szCs w:val="21"/>
                      <w:highlight w:val="none"/>
                    </w:rPr>
                    <w:t>常运营</w:t>
                  </w:r>
                </w:p>
              </w:tc>
              <w:tc>
                <w:tcPr>
                  <w:tcW w:w="769" w:type="dxa"/>
                  <w:vAlign w:val="center"/>
                </w:tcPr>
                <w:p w14:paraId="07CF5748">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2023.5</w:t>
                  </w:r>
                </w:p>
              </w:tc>
              <w:tc>
                <w:tcPr>
                  <w:tcW w:w="748" w:type="dxa"/>
                  <w:vAlign w:val="center"/>
                </w:tcPr>
                <w:p w14:paraId="31DA8A8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2024.8</w:t>
                  </w:r>
                </w:p>
              </w:tc>
              <w:tc>
                <w:tcPr>
                  <w:tcW w:w="1916" w:type="dxa"/>
                  <w:tcBorders>
                    <w:right w:val="single" w:color="000000" w:sz="4" w:space="0"/>
                  </w:tcBorders>
                  <w:vAlign w:val="center"/>
                </w:tcPr>
                <w:p w14:paraId="5E027B30">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（证号：</w:t>
                  </w:r>
                  <w:r>
                    <w:rPr>
                      <w:rFonts w:hint="default" w:ascii="Times New Roman" w:hAnsi="Times New Roman" w:eastAsia="宋体" w:cs="Times New Roman"/>
                      <w:color w:val="auto"/>
                      <w:spacing w:val="3"/>
                      <w:sz w:val="21"/>
                      <w:szCs w:val="21"/>
                      <w:highlight w:val="none"/>
                    </w:rPr>
                    <w:t>6523270119）</w:t>
                  </w:r>
                </w:p>
              </w:tc>
            </w:tr>
            <w:tr w14:paraId="76C25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1686" w:type="dxa"/>
                  <w:tcBorders>
                    <w:bottom w:val="single" w:color="000000" w:sz="8" w:space="0"/>
                  </w:tcBorders>
                  <w:vAlign w:val="center"/>
                </w:tcPr>
                <w:p w14:paraId="787FD72A">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新疆中建环能北庭环保科技有限公司含油废物资源化处</w:t>
                  </w:r>
                  <w:r>
                    <w:rPr>
                      <w:rFonts w:hint="default" w:ascii="Times New Roman" w:hAnsi="Times New Roman" w:eastAsia="宋体" w:cs="Times New Roman"/>
                      <w:color w:val="auto"/>
                      <w:spacing w:val="7"/>
                      <w:sz w:val="21"/>
                      <w:szCs w:val="21"/>
                      <w:highlight w:val="none"/>
                    </w:rPr>
                    <w:t>置项目</w:t>
                  </w:r>
                </w:p>
              </w:tc>
              <w:tc>
                <w:tcPr>
                  <w:tcW w:w="2499" w:type="dxa"/>
                  <w:tcBorders>
                    <w:bottom w:val="single" w:color="000000" w:sz="8" w:space="0"/>
                  </w:tcBorders>
                  <w:vAlign w:val="center"/>
                </w:tcPr>
                <w:p w14:paraId="11631307">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8"/>
                      <w:sz w:val="21"/>
                      <w:szCs w:val="21"/>
                      <w:highlight w:val="none"/>
                    </w:rPr>
                    <w:t>一期建设2套热相分离处理装</w:t>
                  </w:r>
                  <w:r>
                    <w:rPr>
                      <w:rFonts w:hint="default" w:ascii="Times New Roman" w:hAnsi="Times New Roman" w:eastAsia="宋体" w:cs="Times New Roman"/>
                      <w:color w:val="auto"/>
                      <w:spacing w:val="2"/>
                      <w:sz w:val="21"/>
                      <w:szCs w:val="21"/>
                      <w:highlight w:val="none"/>
                    </w:rPr>
                    <w:t>置，主要利用处置含油污泥、油基岩屑以及油泥渣，单套处</w:t>
                  </w:r>
                  <w:r>
                    <w:rPr>
                      <w:rFonts w:hint="default" w:ascii="Times New Roman" w:hAnsi="Times New Roman" w:eastAsia="宋体" w:cs="Times New Roman"/>
                      <w:color w:val="auto"/>
                      <w:spacing w:val="6"/>
                      <w:sz w:val="21"/>
                      <w:szCs w:val="21"/>
                      <w:highlight w:val="none"/>
                    </w:rPr>
                    <w:t>置规模为8t/h，建成后年利用</w:t>
                  </w:r>
                  <w:r>
                    <w:rPr>
                      <w:rFonts w:hint="default" w:ascii="Times New Roman" w:hAnsi="Times New Roman" w:eastAsia="宋体" w:cs="Times New Roman"/>
                      <w:color w:val="auto"/>
                      <w:spacing w:val="2"/>
                      <w:sz w:val="21"/>
                      <w:szCs w:val="21"/>
                      <w:highlight w:val="none"/>
                    </w:rPr>
                    <w:t>处置含油污泥、油基岩屑以及</w:t>
                  </w:r>
                  <w:r>
                    <w:rPr>
                      <w:rFonts w:hint="default" w:ascii="Times New Roman" w:hAnsi="Times New Roman" w:eastAsia="宋体" w:cs="Times New Roman"/>
                      <w:color w:val="auto"/>
                      <w:spacing w:val="4"/>
                      <w:sz w:val="21"/>
                      <w:szCs w:val="21"/>
                      <w:highlight w:val="none"/>
                    </w:rPr>
                    <w:t>油泥渣133344t；二期建设1套</w:t>
                  </w:r>
                  <w:r>
                    <w:rPr>
                      <w:rFonts w:hint="default" w:ascii="Times New Roman" w:hAnsi="Times New Roman" w:eastAsia="宋体" w:cs="Times New Roman"/>
                      <w:color w:val="auto"/>
                      <w:spacing w:val="2"/>
                      <w:sz w:val="21"/>
                      <w:szCs w:val="21"/>
                      <w:highlight w:val="none"/>
                    </w:rPr>
                    <w:t>热相分离处理装置，主要处置</w:t>
                  </w:r>
                  <w:r>
                    <w:rPr>
                      <w:rFonts w:hint="default" w:ascii="Times New Roman" w:hAnsi="Times New Roman" w:eastAsia="宋体" w:cs="Times New Roman"/>
                      <w:color w:val="auto"/>
                      <w:spacing w:val="6"/>
                      <w:sz w:val="21"/>
                      <w:szCs w:val="21"/>
                      <w:highlight w:val="none"/>
                    </w:rPr>
                    <w:t>油基岩屑，处置规模为8t/h，</w:t>
                  </w:r>
                  <w:r>
                    <w:rPr>
                      <w:rFonts w:hint="default" w:ascii="Times New Roman" w:hAnsi="Times New Roman" w:eastAsia="宋体" w:cs="Times New Roman"/>
                      <w:color w:val="auto"/>
                      <w:spacing w:val="8"/>
                      <w:sz w:val="21"/>
                      <w:szCs w:val="21"/>
                      <w:highlight w:val="none"/>
                    </w:rPr>
                    <w:t>建成后年利用处置油基岩屑</w:t>
                  </w:r>
                  <w:r>
                    <w:rPr>
                      <w:rFonts w:hint="default" w:ascii="Times New Roman" w:hAnsi="Times New Roman" w:eastAsia="宋体" w:cs="Times New Roman"/>
                      <w:color w:val="auto"/>
                      <w:spacing w:val="2"/>
                      <w:sz w:val="21"/>
                      <w:szCs w:val="21"/>
                      <w:highlight w:val="none"/>
                    </w:rPr>
                    <w:t>66656t</w:t>
                  </w:r>
                  <w:r>
                    <w:rPr>
                      <w:rFonts w:hint="default" w:ascii="Times New Roman" w:hAnsi="Times New Roman" w:cs="Times New Roman"/>
                      <w:color w:val="auto"/>
                      <w:spacing w:val="2"/>
                      <w:sz w:val="21"/>
                      <w:szCs w:val="21"/>
                      <w:highlight w:val="none"/>
                      <w:lang w:eastAsia="zh-CN"/>
                    </w:rPr>
                    <w:t>。</w:t>
                  </w:r>
                </w:p>
              </w:tc>
              <w:tc>
                <w:tcPr>
                  <w:tcW w:w="771" w:type="dxa"/>
                  <w:tcBorders>
                    <w:bottom w:val="single" w:color="000000" w:sz="8" w:space="0"/>
                  </w:tcBorders>
                  <w:vAlign w:val="center"/>
                </w:tcPr>
                <w:p w14:paraId="682B2495">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目前正</w:t>
                  </w:r>
                  <w:r>
                    <w:rPr>
                      <w:rFonts w:hint="default" w:ascii="Times New Roman" w:hAnsi="Times New Roman" w:eastAsia="宋体" w:cs="Times New Roman"/>
                      <w:color w:val="auto"/>
                      <w:spacing w:val="5"/>
                      <w:sz w:val="21"/>
                      <w:szCs w:val="21"/>
                      <w:highlight w:val="none"/>
                    </w:rPr>
                    <w:t>常运营</w:t>
                  </w:r>
                </w:p>
              </w:tc>
              <w:tc>
                <w:tcPr>
                  <w:tcW w:w="769" w:type="dxa"/>
                  <w:tcBorders>
                    <w:bottom w:val="single" w:color="000000" w:sz="8" w:space="0"/>
                  </w:tcBorders>
                  <w:vAlign w:val="center"/>
                </w:tcPr>
                <w:p w14:paraId="11242FA2">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2024.6</w:t>
                  </w:r>
                </w:p>
              </w:tc>
              <w:tc>
                <w:tcPr>
                  <w:tcW w:w="748" w:type="dxa"/>
                  <w:tcBorders>
                    <w:bottom w:val="single" w:color="000000" w:sz="8" w:space="0"/>
                  </w:tcBorders>
                  <w:vAlign w:val="center"/>
                </w:tcPr>
                <w:p w14:paraId="090A0A0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2025.0</w:t>
                  </w:r>
                  <w:r>
                    <w:rPr>
                      <w:rFonts w:hint="default" w:ascii="Times New Roman" w:hAnsi="Times New Roman" w:eastAsia="宋体" w:cs="Times New Roman"/>
                      <w:color w:val="auto"/>
                      <w:sz w:val="21"/>
                      <w:szCs w:val="21"/>
                      <w:highlight w:val="none"/>
                    </w:rPr>
                    <w:t>5</w:t>
                  </w:r>
                </w:p>
              </w:tc>
              <w:tc>
                <w:tcPr>
                  <w:tcW w:w="1916" w:type="dxa"/>
                  <w:tcBorders>
                    <w:bottom w:val="single" w:color="000000" w:sz="8" w:space="0"/>
                    <w:right w:val="single" w:color="000000" w:sz="4" w:space="0"/>
                  </w:tcBorders>
                  <w:vAlign w:val="center"/>
                </w:tcPr>
                <w:p w14:paraId="40B1A116">
                  <w:pPr>
                    <w:pStyle w:val="16"/>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2024年8月2日-8</w:t>
                  </w:r>
                  <w:r>
                    <w:rPr>
                      <w:rFonts w:hint="default" w:ascii="Times New Roman" w:hAnsi="Times New Roman" w:eastAsia="宋体" w:cs="Times New Roman"/>
                      <w:color w:val="auto"/>
                      <w:spacing w:val="7"/>
                      <w:sz w:val="21"/>
                      <w:szCs w:val="21"/>
                      <w:highlight w:val="none"/>
                    </w:rPr>
                    <w:t>月8日由新疆维</w:t>
                  </w:r>
                  <w:r>
                    <w:rPr>
                      <w:rFonts w:hint="default" w:ascii="Times New Roman" w:hAnsi="Times New Roman" w:eastAsia="宋体" w:cs="Times New Roman"/>
                      <w:color w:val="auto"/>
                      <w:spacing w:val="8"/>
                      <w:sz w:val="21"/>
                      <w:szCs w:val="21"/>
                      <w:highlight w:val="none"/>
                    </w:rPr>
                    <w:t>吾尔自治区生态环境厅审核公示</w:t>
                  </w:r>
                  <w:r>
                    <w:rPr>
                      <w:rFonts w:hint="default" w:ascii="Times New Roman" w:hAnsi="Times New Roman" w:eastAsia="宋体" w:cs="Times New Roman"/>
                      <w:color w:val="auto"/>
                      <w:spacing w:val="5"/>
                      <w:sz w:val="21"/>
                      <w:szCs w:val="21"/>
                      <w:highlight w:val="none"/>
                    </w:rPr>
                    <w:t>了危险废物经营</w:t>
                  </w:r>
                  <w:r>
                    <w:rPr>
                      <w:rFonts w:hint="default" w:ascii="Times New Roman" w:hAnsi="Times New Roman" w:eastAsia="宋体" w:cs="Times New Roman"/>
                      <w:color w:val="auto"/>
                      <w:spacing w:val="6"/>
                      <w:sz w:val="21"/>
                      <w:szCs w:val="21"/>
                      <w:highlight w:val="none"/>
                    </w:rPr>
                    <w:t>许可证（证号：</w:t>
                  </w:r>
                  <w:r>
                    <w:rPr>
                      <w:rFonts w:hint="default" w:ascii="Times New Roman" w:hAnsi="Times New Roman" w:eastAsia="宋体" w:cs="Times New Roman"/>
                      <w:color w:val="auto"/>
                      <w:spacing w:val="3"/>
                      <w:sz w:val="21"/>
                      <w:szCs w:val="21"/>
                      <w:highlight w:val="none"/>
                    </w:rPr>
                    <w:t>6523270119）</w:t>
                  </w:r>
                </w:p>
              </w:tc>
            </w:tr>
          </w:tbl>
          <w:p w14:paraId="4EB75069">
            <w:pPr>
              <w:widowControl w:val="0"/>
              <w:jc w:val="center"/>
              <w:rPr>
                <w:rFonts w:hint="default" w:ascii="Times New Roman" w:hAnsi="Times New Roman" w:eastAsia="宋体" w:cs="Times New Roman"/>
                <w:b/>
                <w:bCs/>
                <w:color w:val="auto"/>
                <w:spacing w:val="18"/>
                <w:highlight w:val="none"/>
              </w:rPr>
            </w:pPr>
          </w:p>
          <w:p w14:paraId="2BA826A7">
            <w:pPr>
              <w:widowControl w:val="0"/>
              <w:jc w:val="center"/>
              <w:rPr>
                <w:rFonts w:hint="default" w:ascii="Times New Roman" w:hAnsi="Times New Roman" w:eastAsia="宋体" w:cs="Times New Roman"/>
                <w:b/>
                <w:bCs/>
                <w:color w:val="auto"/>
                <w:spacing w:val="6"/>
                <w:highlight w:val="none"/>
              </w:rPr>
            </w:pPr>
            <w:r>
              <w:rPr>
                <w:rFonts w:hint="default" w:ascii="Times New Roman" w:hAnsi="Times New Roman" w:eastAsia="宋体" w:cs="Times New Roman"/>
                <w:b/>
                <w:bCs/>
                <w:color w:val="auto"/>
                <w:spacing w:val="18"/>
                <w:highlight w:val="none"/>
              </w:rPr>
              <w:t>表</w:t>
            </w:r>
            <w:r>
              <w:rPr>
                <w:rFonts w:hint="default" w:ascii="Times New Roman" w:hAnsi="Times New Roman" w:eastAsia="宋体" w:cs="Times New Roman"/>
                <w:b/>
                <w:bCs/>
                <w:color w:val="auto"/>
                <w:spacing w:val="18"/>
                <w:highlight w:val="none"/>
                <w:lang w:val="en-US" w:eastAsia="zh-CN"/>
              </w:rPr>
              <w:t xml:space="preserve">4-4 </w:t>
            </w:r>
            <w:r>
              <w:rPr>
                <w:rFonts w:hint="default" w:ascii="Times New Roman" w:hAnsi="Times New Roman" w:eastAsia="宋体" w:cs="Times New Roman"/>
                <w:b/>
                <w:bCs/>
                <w:color w:val="auto"/>
                <w:spacing w:val="18"/>
                <w:highlight w:val="none"/>
              </w:rPr>
              <w:t>新疆中建环能北庭环保科技有限</w:t>
            </w:r>
            <w:r>
              <w:rPr>
                <w:rFonts w:hint="default" w:ascii="Times New Roman" w:hAnsi="Times New Roman" w:eastAsia="宋体" w:cs="Times New Roman"/>
                <w:b/>
                <w:bCs/>
                <w:color w:val="auto"/>
                <w:spacing w:val="17"/>
                <w:highlight w:val="none"/>
              </w:rPr>
              <w:t>公司建设项目环保手续履行情况一览表</w:t>
            </w:r>
          </w:p>
          <w:tbl>
            <w:tblPr>
              <w:tblStyle w:val="15"/>
              <w:tblW w:w="841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41"/>
              <w:gridCol w:w="900"/>
              <w:gridCol w:w="735"/>
              <w:gridCol w:w="1080"/>
              <w:gridCol w:w="1530"/>
              <w:gridCol w:w="981"/>
              <w:gridCol w:w="1545"/>
            </w:tblGrid>
            <w:tr w14:paraId="00569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1641" w:type="dxa"/>
                  <w:vMerge w:val="restart"/>
                  <w:tcBorders>
                    <w:top w:val="single" w:color="000000" w:sz="8" w:space="0"/>
                    <w:bottom w:val="nil"/>
                  </w:tcBorders>
                  <w:vAlign w:val="center"/>
                </w:tcPr>
                <w:p w14:paraId="606795EB">
                  <w:pPr>
                    <w:pStyle w:val="16"/>
                    <w:spacing w:before="29" w:line="228" w:lineRule="auto"/>
                    <w:jc w:val="center"/>
                    <w:rPr>
                      <w:rFonts w:hint="default" w:ascii="Times New Roman" w:hAnsi="Times New Roman" w:eastAsia="宋体" w:cs="Times New Roman"/>
                      <w:b/>
                      <w:bCs/>
                      <w:color w:val="auto"/>
                      <w:spacing w:val="8"/>
                      <w:sz w:val="21"/>
                      <w:szCs w:val="21"/>
                      <w:highlight w:val="none"/>
                    </w:rPr>
                  </w:pPr>
                  <w:r>
                    <w:rPr>
                      <w:rFonts w:hint="default" w:ascii="Times New Roman" w:hAnsi="Times New Roman" w:eastAsia="宋体" w:cs="Times New Roman"/>
                      <w:b/>
                      <w:bCs/>
                      <w:color w:val="auto"/>
                      <w:spacing w:val="8"/>
                      <w:sz w:val="21"/>
                      <w:szCs w:val="21"/>
                      <w:highlight w:val="none"/>
                    </w:rPr>
                    <w:t>名称</w:t>
                  </w:r>
                </w:p>
              </w:tc>
              <w:tc>
                <w:tcPr>
                  <w:tcW w:w="2715" w:type="dxa"/>
                  <w:gridSpan w:val="3"/>
                  <w:tcBorders>
                    <w:top w:val="single" w:color="000000" w:sz="8" w:space="0"/>
                  </w:tcBorders>
                  <w:vAlign w:val="center"/>
                </w:tcPr>
                <w:p w14:paraId="28824098">
                  <w:pPr>
                    <w:pStyle w:val="16"/>
                    <w:spacing w:before="29" w:line="228" w:lineRule="auto"/>
                    <w:ind w:left="80"/>
                    <w:jc w:val="center"/>
                    <w:rPr>
                      <w:rFonts w:hint="default" w:ascii="Times New Roman" w:hAnsi="Times New Roman" w:eastAsia="宋体" w:cs="Times New Roman"/>
                      <w:b/>
                      <w:bCs/>
                      <w:color w:val="auto"/>
                      <w:spacing w:val="8"/>
                      <w:sz w:val="21"/>
                      <w:szCs w:val="21"/>
                      <w:highlight w:val="none"/>
                    </w:rPr>
                  </w:pPr>
                  <w:r>
                    <w:rPr>
                      <w:rFonts w:hint="default" w:ascii="Times New Roman" w:hAnsi="Times New Roman" w:eastAsia="宋体" w:cs="Times New Roman"/>
                      <w:b/>
                      <w:bCs/>
                      <w:color w:val="auto"/>
                      <w:spacing w:val="8"/>
                      <w:sz w:val="21"/>
                      <w:szCs w:val="21"/>
                      <w:highlight w:val="none"/>
                    </w:rPr>
                    <w:t>环境影响评价</w:t>
                  </w:r>
                </w:p>
              </w:tc>
              <w:tc>
                <w:tcPr>
                  <w:tcW w:w="1530" w:type="dxa"/>
                  <w:vMerge w:val="restart"/>
                  <w:tcBorders>
                    <w:top w:val="single" w:color="000000" w:sz="8" w:space="0"/>
                    <w:bottom w:val="nil"/>
                  </w:tcBorders>
                  <w:vAlign w:val="center"/>
                </w:tcPr>
                <w:p w14:paraId="3BEC8349">
                  <w:pPr>
                    <w:pStyle w:val="16"/>
                    <w:spacing w:before="29" w:line="228" w:lineRule="auto"/>
                    <w:ind w:left="80"/>
                    <w:jc w:val="center"/>
                    <w:rPr>
                      <w:rFonts w:hint="default" w:ascii="Times New Roman" w:hAnsi="Times New Roman" w:eastAsia="宋体" w:cs="Times New Roman"/>
                      <w:b/>
                      <w:bCs/>
                      <w:color w:val="auto"/>
                      <w:spacing w:val="8"/>
                      <w:sz w:val="21"/>
                      <w:szCs w:val="21"/>
                      <w:highlight w:val="none"/>
                    </w:rPr>
                  </w:pPr>
                  <w:r>
                    <w:rPr>
                      <w:rFonts w:hint="default" w:ascii="Times New Roman" w:hAnsi="Times New Roman" w:eastAsia="宋体" w:cs="Times New Roman"/>
                      <w:b/>
                      <w:bCs/>
                      <w:color w:val="auto"/>
                      <w:spacing w:val="8"/>
                      <w:sz w:val="21"/>
                      <w:szCs w:val="21"/>
                      <w:highlight w:val="none"/>
                    </w:rPr>
                    <w:t>竣工环境保护验收</w:t>
                  </w:r>
                </w:p>
              </w:tc>
              <w:tc>
                <w:tcPr>
                  <w:tcW w:w="981" w:type="dxa"/>
                  <w:vMerge w:val="restart"/>
                  <w:tcBorders>
                    <w:top w:val="single" w:color="000000" w:sz="8" w:space="0"/>
                    <w:bottom w:val="nil"/>
                  </w:tcBorders>
                  <w:vAlign w:val="center"/>
                </w:tcPr>
                <w:p w14:paraId="74A52B11">
                  <w:pPr>
                    <w:pStyle w:val="16"/>
                    <w:spacing w:before="29" w:line="228" w:lineRule="auto"/>
                    <w:jc w:val="center"/>
                    <w:rPr>
                      <w:rFonts w:hint="default" w:ascii="Times New Roman" w:hAnsi="Times New Roman" w:eastAsia="宋体" w:cs="Times New Roman"/>
                      <w:b/>
                      <w:bCs/>
                      <w:color w:val="auto"/>
                      <w:spacing w:val="8"/>
                      <w:sz w:val="21"/>
                      <w:szCs w:val="21"/>
                      <w:highlight w:val="none"/>
                    </w:rPr>
                  </w:pPr>
                  <w:r>
                    <w:rPr>
                      <w:rFonts w:hint="default" w:ascii="Times New Roman" w:hAnsi="Times New Roman" w:eastAsia="宋体" w:cs="Times New Roman"/>
                      <w:b/>
                      <w:bCs/>
                      <w:color w:val="auto"/>
                      <w:spacing w:val="8"/>
                      <w:sz w:val="21"/>
                      <w:szCs w:val="21"/>
                      <w:highlight w:val="none"/>
                    </w:rPr>
                    <w:t>排污许可</w:t>
                  </w:r>
                </w:p>
              </w:tc>
              <w:tc>
                <w:tcPr>
                  <w:tcW w:w="1545" w:type="dxa"/>
                  <w:vMerge w:val="restart"/>
                  <w:tcBorders>
                    <w:top w:val="single" w:color="000000" w:sz="8" w:space="0"/>
                    <w:bottom w:val="nil"/>
                    <w:right w:val="single" w:color="000000" w:sz="4" w:space="0"/>
                  </w:tcBorders>
                  <w:vAlign w:val="center"/>
                </w:tcPr>
                <w:p w14:paraId="33C4D8AF">
                  <w:pPr>
                    <w:pStyle w:val="16"/>
                    <w:spacing w:before="29" w:line="228" w:lineRule="auto"/>
                    <w:ind w:left="80"/>
                    <w:jc w:val="center"/>
                    <w:rPr>
                      <w:rFonts w:hint="default" w:ascii="Times New Roman" w:hAnsi="Times New Roman" w:eastAsia="宋体" w:cs="Times New Roman"/>
                      <w:b/>
                      <w:bCs/>
                      <w:color w:val="auto"/>
                      <w:spacing w:val="8"/>
                      <w:sz w:val="21"/>
                      <w:szCs w:val="21"/>
                      <w:highlight w:val="none"/>
                    </w:rPr>
                  </w:pPr>
                  <w:r>
                    <w:rPr>
                      <w:rFonts w:hint="default" w:ascii="Times New Roman" w:hAnsi="Times New Roman" w:eastAsia="宋体" w:cs="Times New Roman"/>
                      <w:b/>
                      <w:bCs/>
                      <w:color w:val="auto"/>
                      <w:spacing w:val="8"/>
                      <w:sz w:val="21"/>
                      <w:szCs w:val="21"/>
                      <w:highlight w:val="none"/>
                    </w:rPr>
                    <w:t>突发环境事件应急预案备案</w:t>
                  </w:r>
                </w:p>
              </w:tc>
            </w:tr>
            <w:tr w14:paraId="00E64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1641" w:type="dxa"/>
                  <w:vMerge w:val="continue"/>
                  <w:tcBorders>
                    <w:top w:val="nil"/>
                  </w:tcBorders>
                  <w:vAlign w:val="top"/>
                </w:tcPr>
                <w:p w14:paraId="3C410BA5">
                  <w:pPr>
                    <w:pStyle w:val="16"/>
                    <w:spacing w:before="29" w:line="228" w:lineRule="auto"/>
                    <w:ind w:left="80"/>
                    <w:jc w:val="both"/>
                    <w:rPr>
                      <w:rFonts w:hint="default" w:ascii="Times New Roman" w:hAnsi="Times New Roman" w:eastAsia="宋体" w:cs="Times New Roman"/>
                      <w:color w:val="auto"/>
                      <w:spacing w:val="8"/>
                      <w:sz w:val="21"/>
                      <w:szCs w:val="21"/>
                      <w:highlight w:val="none"/>
                    </w:rPr>
                  </w:pPr>
                </w:p>
              </w:tc>
              <w:tc>
                <w:tcPr>
                  <w:tcW w:w="900" w:type="dxa"/>
                  <w:vAlign w:val="center"/>
                </w:tcPr>
                <w:p w14:paraId="2C899822">
                  <w:pPr>
                    <w:pStyle w:val="16"/>
                    <w:spacing w:before="29" w:line="228" w:lineRule="auto"/>
                    <w:ind w:left="80"/>
                    <w:jc w:val="center"/>
                    <w:rPr>
                      <w:rFonts w:hint="default" w:ascii="Times New Roman" w:hAnsi="Times New Roman" w:eastAsia="宋体" w:cs="Times New Roman"/>
                      <w:b/>
                      <w:bCs/>
                      <w:color w:val="auto"/>
                      <w:spacing w:val="8"/>
                      <w:sz w:val="21"/>
                      <w:szCs w:val="21"/>
                      <w:highlight w:val="none"/>
                    </w:rPr>
                  </w:pPr>
                  <w:r>
                    <w:rPr>
                      <w:rFonts w:hint="default" w:ascii="Times New Roman" w:hAnsi="Times New Roman" w:eastAsia="宋体" w:cs="Times New Roman"/>
                      <w:b/>
                      <w:bCs/>
                      <w:color w:val="auto"/>
                      <w:spacing w:val="8"/>
                      <w:sz w:val="21"/>
                      <w:szCs w:val="21"/>
                      <w:highlight w:val="none"/>
                    </w:rPr>
                    <w:t>审批单位</w:t>
                  </w:r>
                </w:p>
              </w:tc>
              <w:tc>
                <w:tcPr>
                  <w:tcW w:w="735" w:type="dxa"/>
                  <w:vAlign w:val="center"/>
                </w:tcPr>
                <w:p w14:paraId="3C6232B2">
                  <w:pPr>
                    <w:pStyle w:val="16"/>
                    <w:spacing w:before="29" w:line="228" w:lineRule="auto"/>
                    <w:ind w:left="80"/>
                    <w:jc w:val="center"/>
                    <w:rPr>
                      <w:rFonts w:hint="default" w:ascii="Times New Roman" w:hAnsi="Times New Roman" w:eastAsia="宋体" w:cs="Times New Roman"/>
                      <w:b/>
                      <w:bCs/>
                      <w:color w:val="auto"/>
                      <w:spacing w:val="8"/>
                      <w:sz w:val="21"/>
                      <w:szCs w:val="21"/>
                      <w:highlight w:val="none"/>
                    </w:rPr>
                  </w:pPr>
                  <w:r>
                    <w:rPr>
                      <w:rFonts w:hint="default" w:ascii="Times New Roman" w:hAnsi="Times New Roman" w:eastAsia="宋体" w:cs="Times New Roman"/>
                      <w:b/>
                      <w:bCs/>
                      <w:color w:val="auto"/>
                      <w:spacing w:val="8"/>
                      <w:sz w:val="21"/>
                      <w:szCs w:val="21"/>
                      <w:highlight w:val="none"/>
                    </w:rPr>
                    <w:t>批准文号</w:t>
                  </w:r>
                </w:p>
              </w:tc>
              <w:tc>
                <w:tcPr>
                  <w:tcW w:w="1080" w:type="dxa"/>
                  <w:vAlign w:val="center"/>
                </w:tcPr>
                <w:p w14:paraId="5BB3F77B">
                  <w:pPr>
                    <w:pStyle w:val="16"/>
                    <w:spacing w:before="29" w:line="228" w:lineRule="auto"/>
                    <w:ind w:left="80"/>
                    <w:jc w:val="center"/>
                    <w:rPr>
                      <w:rFonts w:hint="default" w:ascii="Times New Roman" w:hAnsi="Times New Roman" w:eastAsia="宋体" w:cs="Times New Roman"/>
                      <w:b/>
                      <w:bCs/>
                      <w:color w:val="auto"/>
                      <w:spacing w:val="8"/>
                      <w:sz w:val="21"/>
                      <w:szCs w:val="21"/>
                      <w:highlight w:val="none"/>
                    </w:rPr>
                  </w:pPr>
                  <w:r>
                    <w:rPr>
                      <w:rFonts w:hint="default" w:ascii="Times New Roman" w:hAnsi="Times New Roman" w:eastAsia="宋体" w:cs="Times New Roman"/>
                      <w:b/>
                      <w:bCs/>
                      <w:color w:val="auto"/>
                      <w:spacing w:val="8"/>
                      <w:sz w:val="21"/>
                      <w:szCs w:val="21"/>
                      <w:highlight w:val="none"/>
                    </w:rPr>
                    <w:t>批准时间</w:t>
                  </w:r>
                </w:p>
              </w:tc>
              <w:tc>
                <w:tcPr>
                  <w:tcW w:w="1530" w:type="dxa"/>
                  <w:vMerge w:val="continue"/>
                  <w:tcBorders>
                    <w:top w:val="nil"/>
                  </w:tcBorders>
                  <w:vAlign w:val="top"/>
                </w:tcPr>
                <w:p w14:paraId="327412F2">
                  <w:pPr>
                    <w:pStyle w:val="16"/>
                    <w:spacing w:before="29" w:line="228" w:lineRule="auto"/>
                    <w:ind w:left="80"/>
                    <w:jc w:val="both"/>
                    <w:rPr>
                      <w:rFonts w:hint="default" w:ascii="Times New Roman" w:hAnsi="Times New Roman" w:eastAsia="宋体" w:cs="Times New Roman"/>
                      <w:color w:val="auto"/>
                      <w:spacing w:val="8"/>
                      <w:sz w:val="21"/>
                      <w:szCs w:val="21"/>
                      <w:highlight w:val="none"/>
                    </w:rPr>
                  </w:pPr>
                </w:p>
              </w:tc>
              <w:tc>
                <w:tcPr>
                  <w:tcW w:w="981" w:type="dxa"/>
                  <w:vMerge w:val="continue"/>
                  <w:tcBorders>
                    <w:top w:val="nil"/>
                    <w:bottom w:val="single" w:color="auto" w:sz="4" w:space="0"/>
                  </w:tcBorders>
                  <w:vAlign w:val="top"/>
                </w:tcPr>
                <w:p w14:paraId="29AD49D4">
                  <w:pPr>
                    <w:pStyle w:val="16"/>
                    <w:spacing w:before="29" w:line="228" w:lineRule="auto"/>
                    <w:ind w:left="80"/>
                    <w:jc w:val="both"/>
                    <w:rPr>
                      <w:rFonts w:hint="default" w:ascii="Times New Roman" w:hAnsi="Times New Roman" w:eastAsia="宋体" w:cs="Times New Roman"/>
                      <w:color w:val="auto"/>
                      <w:spacing w:val="8"/>
                      <w:sz w:val="21"/>
                      <w:szCs w:val="21"/>
                      <w:highlight w:val="none"/>
                    </w:rPr>
                  </w:pPr>
                </w:p>
              </w:tc>
              <w:tc>
                <w:tcPr>
                  <w:tcW w:w="1545" w:type="dxa"/>
                  <w:vMerge w:val="continue"/>
                  <w:tcBorders>
                    <w:top w:val="nil"/>
                    <w:bottom w:val="single" w:color="auto" w:sz="4" w:space="0"/>
                    <w:right w:val="single" w:color="000000" w:sz="4" w:space="0"/>
                  </w:tcBorders>
                  <w:vAlign w:val="top"/>
                </w:tcPr>
                <w:p w14:paraId="6AA3469A">
                  <w:pPr>
                    <w:pStyle w:val="16"/>
                    <w:spacing w:before="29" w:line="228" w:lineRule="auto"/>
                    <w:ind w:left="80"/>
                    <w:jc w:val="both"/>
                    <w:rPr>
                      <w:rFonts w:hint="default" w:ascii="Times New Roman" w:hAnsi="Times New Roman" w:eastAsia="宋体" w:cs="Times New Roman"/>
                      <w:color w:val="auto"/>
                      <w:spacing w:val="8"/>
                      <w:sz w:val="21"/>
                      <w:szCs w:val="21"/>
                      <w:highlight w:val="none"/>
                    </w:rPr>
                  </w:pPr>
                </w:p>
              </w:tc>
            </w:tr>
            <w:tr w14:paraId="14ECB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1641" w:type="dxa"/>
                  <w:vAlign w:val="center"/>
                </w:tcPr>
                <w:p w14:paraId="24615C9A">
                  <w:pPr>
                    <w:pStyle w:val="16"/>
                    <w:spacing w:before="29" w:line="228" w:lineRule="auto"/>
                    <w:ind w:left="8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新疆中建环能北庭环保科技有限公司含油废物资源化处置项目</w:t>
                  </w:r>
                </w:p>
              </w:tc>
              <w:tc>
                <w:tcPr>
                  <w:tcW w:w="900" w:type="dxa"/>
                  <w:vAlign w:val="center"/>
                </w:tcPr>
                <w:p w14:paraId="119658B2">
                  <w:pPr>
                    <w:pStyle w:val="16"/>
                    <w:spacing w:before="29" w:line="228" w:lineRule="auto"/>
                    <w:ind w:left="8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新疆维吾尔自治区生态环境厅</w:t>
                  </w:r>
                </w:p>
              </w:tc>
              <w:tc>
                <w:tcPr>
                  <w:tcW w:w="735" w:type="dxa"/>
                  <w:vAlign w:val="center"/>
                </w:tcPr>
                <w:p w14:paraId="22B601FC">
                  <w:pPr>
                    <w:pStyle w:val="16"/>
                    <w:spacing w:before="29" w:line="228" w:lineRule="auto"/>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新环审〔2024〕109号</w:t>
                  </w:r>
                </w:p>
              </w:tc>
              <w:tc>
                <w:tcPr>
                  <w:tcW w:w="1080" w:type="dxa"/>
                  <w:vAlign w:val="center"/>
                </w:tcPr>
                <w:p w14:paraId="69DAD728">
                  <w:pPr>
                    <w:pStyle w:val="16"/>
                    <w:spacing w:before="29" w:line="228" w:lineRule="auto"/>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2024.5.17</w:t>
                  </w:r>
                </w:p>
              </w:tc>
              <w:tc>
                <w:tcPr>
                  <w:tcW w:w="1530" w:type="dxa"/>
                  <w:tcBorders>
                    <w:right w:val="single" w:color="auto" w:sz="4" w:space="0"/>
                  </w:tcBorders>
                  <w:vAlign w:val="center"/>
                </w:tcPr>
                <w:p w14:paraId="3EBECA55">
                  <w:pPr>
                    <w:pStyle w:val="16"/>
                    <w:spacing w:before="29" w:line="228" w:lineRule="auto"/>
                    <w:jc w:val="both"/>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目前正在建设。</w:t>
                  </w:r>
                </w:p>
              </w:tc>
              <w:tc>
                <w:tcPr>
                  <w:tcW w:w="981" w:type="dxa"/>
                  <w:vMerge w:val="restart"/>
                  <w:tcBorders>
                    <w:top w:val="single" w:color="auto" w:sz="4" w:space="0"/>
                    <w:left w:val="single" w:color="auto" w:sz="4" w:space="0"/>
                    <w:right w:val="single" w:color="auto" w:sz="4" w:space="0"/>
                  </w:tcBorders>
                  <w:vAlign w:val="center"/>
                </w:tcPr>
                <w:p w14:paraId="68103748">
                  <w:pPr>
                    <w:pStyle w:val="16"/>
                    <w:spacing w:before="29" w:line="228" w:lineRule="auto"/>
                    <w:jc w:val="both"/>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证书编号：91652327MA78YRKN1J001V</w:t>
                  </w:r>
                </w:p>
              </w:tc>
              <w:tc>
                <w:tcPr>
                  <w:tcW w:w="1545" w:type="dxa"/>
                  <w:vMerge w:val="restart"/>
                  <w:tcBorders>
                    <w:top w:val="single" w:color="auto" w:sz="4" w:space="0"/>
                    <w:left w:val="single" w:color="auto" w:sz="4" w:space="0"/>
                    <w:right w:val="single" w:color="auto" w:sz="4" w:space="0"/>
                  </w:tcBorders>
                  <w:vAlign w:val="center"/>
                </w:tcPr>
                <w:p w14:paraId="193ED70A">
                  <w:pPr>
                    <w:pStyle w:val="16"/>
                    <w:spacing w:before="29" w:line="228" w:lineRule="auto"/>
                    <w:jc w:val="both"/>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2021年12月13日取得昌吉州生态环境局吉木萨尔县分局突发环境应急预案备案文件</w:t>
                  </w:r>
                  <w:r>
                    <w:rPr>
                      <w:rFonts w:hint="default" w:ascii="Times New Roman" w:hAnsi="Times New Roman" w:cs="Times New Roman"/>
                      <w:color w:val="auto"/>
                      <w:spacing w:val="8"/>
                      <w:sz w:val="21"/>
                      <w:szCs w:val="21"/>
                      <w:highlight w:val="none"/>
                      <w:lang w:eastAsia="zh-CN"/>
                    </w:rPr>
                    <w:t>，</w:t>
                  </w:r>
                  <w:r>
                    <w:rPr>
                      <w:rFonts w:hint="default" w:ascii="Times New Roman" w:hAnsi="Times New Roman" w:eastAsia="宋体" w:cs="Times New Roman"/>
                      <w:color w:val="auto"/>
                      <w:spacing w:val="8"/>
                      <w:sz w:val="21"/>
                      <w:szCs w:val="21"/>
                      <w:highlight w:val="none"/>
                    </w:rPr>
                    <w:t>备案编号：652327-2021-001-M</w:t>
                  </w:r>
                </w:p>
              </w:tc>
            </w:tr>
            <w:tr w14:paraId="05B80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1641" w:type="dxa"/>
                  <w:vAlign w:val="center"/>
                </w:tcPr>
                <w:p w14:paraId="074376FC">
                  <w:pPr>
                    <w:pStyle w:val="16"/>
                    <w:spacing w:before="29" w:line="228" w:lineRule="auto"/>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中建合资公司利用新疆中建西部建设水泥制造有限公司水泥窑协同处置危险废物项目</w:t>
                  </w:r>
                </w:p>
              </w:tc>
              <w:tc>
                <w:tcPr>
                  <w:tcW w:w="900" w:type="dxa"/>
                  <w:vAlign w:val="center"/>
                </w:tcPr>
                <w:p w14:paraId="6FE1F692">
                  <w:pPr>
                    <w:pStyle w:val="16"/>
                    <w:spacing w:before="29" w:line="228" w:lineRule="auto"/>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新疆维吾尔自治区生态环境厅</w:t>
                  </w:r>
                </w:p>
              </w:tc>
              <w:tc>
                <w:tcPr>
                  <w:tcW w:w="735" w:type="dxa"/>
                  <w:vAlign w:val="center"/>
                </w:tcPr>
                <w:p w14:paraId="2E264EAE">
                  <w:pPr>
                    <w:pStyle w:val="16"/>
                    <w:spacing w:before="29" w:line="228" w:lineRule="auto"/>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新环审〔2020〕237号</w:t>
                  </w:r>
                </w:p>
              </w:tc>
              <w:tc>
                <w:tcPr>
                  <w:tcW w:w="1080" w:type="dxa"/>
                  <w:vAlign w:val="center"/>
                </w:tcPr>
                <w:p w14:paraId="769A5BB3">
                  <w:pPr>
                    <w:pStyle w:val="16"/>
                    <w:spacing w:before="29" w:line="228" w:lineRule="auto"/>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2020.12.12</w:t>
                  </w:r>
                </w:p>
              </w:tc>
              <w:tc>
                <w:tcPr>
                  <w:tcW w:w="1530" w:type="dxa"/>
                  <w:tcBorders>
                    <w:right w:val="single" w:color="auto" w:sz="4" w:space="0"/>
                  </w:tcBorders>
                  <w:vAlign w:val="center"/>
                </w:tcPr>
                <w:p w14:paraId="173D09AE">
                  <w:pPr>
                    <w:pStyle w:val="16"/>
                    <w:spacing w:before="29" w:line="228" w:lineRule="auto"/>
                    <w:ind w:left="8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2023年8月9日通过</w:t>
                  </w:r>
                  <w:r>
                    <w:rPr>
                      <w:rFonts w:hint="eastAsia" w:ascii="Times New Roman" w:hAnsi="Times New Roman" w:cs="Times New Roman"/>
                      <w:color w:val="auto"/>
                      <w:spacing w:val="8"/>
                      <w:sz w:val="21"/>
                      <w:szCs w:val="21"/>
                      <w:highlight w:val="none"/>
                      <w:lang w:eastAsia="zh-CN"/>
                    </w:rPr>
                    <w:t>“</w:t>
                  </w:r>
                  <w:r>
                    <w:rPr>
                      <w:rFonts w:hint="default" w:ascii="Times New Roman" w:hAnsi="Times New Roman" w:eastAsia="宋体" w:cs="Times New Roman"/>
                      <w:color w:val="auto"/>
                      <w:spacing w:val="8"/>
                      <w:sz w:val="21"/>
                      <w:szCs w:val="21"/>
                      <w:highlight w:val="none"/>
                    </w:rPr>
                    <w:t>中建合资公司利用新疆中建西部建设水泥制造有限公司水泥窑协同处置危险废物项目</w:t>
                  </w:r>
                  <w:r>
                    <w:rPr>
                      <w:rFonts w:hint="eastAsia" w:ascii="Times New Roman" w:hAnsi="Times New Roman" w:cs="Times New Roman"/>
                      <w:color w:val="auto"/>
                      <w:spacing w:val="8"/>
                      <w:sz w:val="21"/>
                      <w:szCs w:val="21"/>
                      <w:highlight w:val="none"/>
                      <w:lang w:eastAsia="zh-CN"/>
                    </w:rPr>
                    <w:t>”</w:t>
                  </w:r>
                  <w:r>
                    <w:rPr>
                      <w:rFonts w:hint="default" w:ascii="Times New Roman" w:hAnsi="Times New Roman" w:eastAsia="宋体" w:cs="Times New Roman"/>
                      <w:color w:val="auto"/>
                      <w:spacing w:val="8"/>
                      <w:sz w:val="21"/>
                      <w:szCs w:val="21"/>
                      <w:highlight w:val="none"/>
                    </w:rPr>
                    <w:t>自主竣工环境保护验收。</w:t>
                  </w:r>
                </w:p>
              </w:tc>
              <w:tc>
                <w:tcPr>
                  <w:tcW w:w="981" w:type="dxa"/>
                  <w:vMerge w:val="continue"/>
                  <w:tcBorders>
                    <w:left w:val="single" w:color="auto" w:sz="4" w:space="0"/>
                    <w:right w:val="single" w:color="auto" w:sz="4" w:space="0"/>
                  </w:tcBorders>
                  <w:vAlign w:val="top"/>
                </w:tcPr>
                <w:p w14:paraId="04715E11">
                  <w:pPr>
                    <w:pStyle w:val="16"/>
                    <w:spacing w:before="29" w:line="228" w:lineRule="auto"/>
                    <w:ind w:left="80"/>
                    <w:jc w:val="both"/>
                    <w:rPr>
                      <w:rFonts w:hint="default" w:ascii="Times New Roman" w:hAnsi="Times New Roman" w:eastAsia="宋体" w:cs="Times New Roman"/>
                      <w:color w:val="auto"/>
                      <w:spacing w:val="8"/>
                      <w:sz w:val="21"/>
                      <w:szCs w:val="21"/>
                      <w:highlight w:val="none"/>
                    </w:rPr>
                  </w:pPr>
                </w:p>
              </w:tc>
              <w:tc>
                <w:tcPr>
                  <w:tcW w:w="1545" w:type="dxa"/>
                  <w:vMerge w:val="continue"/>
                  <w:tcBorders>
                    <w:left w:val="single" w:color="auto" w:sz="4" w:space="0"/>
                    <w:right w:val="single" w:color="auto" w:sz="4" w:space="0"/>
                  </w:tcBorders>
                  <w:vAlign w:val="top"/>
                </w:tcPr>
                <w:p w14:paraId="6AB1AB6A">
                  <w:pPr>
                    <w:pStyle w:val="16"/>
                    <w:spacing w:before="29" w:line="228" w:lineRule="auto"/>
                    <w:ind w:left="80"/>
                    <w:jc w:val="both"/>
                    <w:rPr>
                      <w:rFonts w:hint="default" w:ascii="Times New Roman" w:hAnsi="Times New Roman" w:eastAsia="宋体" w:cs="Times New Roman"/>
                      <w:color w:val="auto"/>
                      <w:spacing w:val="8"/>
                      <w:sz w:val="21"/>
                      <w:szCs w:val="21"/>
                      <w:highlight w:val="none"/>
                    </w:rPr>
                  </w:pPr>
                </w:p>
              </w:tc>
            </w:tr>
            <w:tr w14:paraId="541F5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1641" w:type="dxa"/>
                  <w:vAlign w:val="center"/>
                </w:tcPr>
                <w:p w14:paraId="36190A82">
                  <w:pPr>
                    <w:pStyle w:val="16"/>
                    <w:spacing w:before="29" w:line="228" w:lineRule="auto"/>
                    <w:jc w:val="both"/>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新疆中建环能北庭环保科技有限公司贮存设施改扩建项目</w:t>
                  </w:r>
                </w:p>
              </w:tc>
              <w:tc>
                <w:tcPr>
                  <w:tcW w:w="900" w:type="dxa"/>
                  <w:vAlign w:val="center"/>
                </w:tcPr>
                <w:p w14:paraId="6957A5EA">
                  <w:pPr>
                    <w:pStyle w:val="16"/>
                    <w:spacing w:before="29" w:line="228" w:lineRule="auto"/>
                    <w:jc w:val="both"/>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昌吉回族自治州生态环境局</w:t>
                  </w:r>
                </w:p>
              </w:tc>
              <w:tc>
                <w:tcPr>
                  <w:tcW w:w="735" w:type="dxa"/>
                  <w:vAlign w:val="center"/>
                </w:tcPr>
                <w:p w14:paraId="36B9F2DD">
                  <w:pPr>
                    <w:pStyle w:val="16"/>
                    <w:spacing w:before="29" w:line="228" w:lineRule="auto"/>
                    <w:jc w:val="both"/>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昌州环评</w:t>
                  </w:r>
                </w:p>
                <w:p w14:paraId="627B32DA">
                  <w:pPr>
                    <w:pStyle w:val="16"/>
                    <w:spacing w:before="29" w:line="228" w:lineRule="auto"/>
                    <w:jc w:val="both"/>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2024〕40</w:t>
                  </w:r>
                </w:p>
                <w:p w14:paraId="2BA06591">
                  <w:pPr>
                    <w:pStyle w:val="16"/>
                    <w:spacing w:before="29" w:line="228" w:lineRule="auto"/>
                    <w:jc w:val="both"/>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号</w:t>
                  </w:r>
                </w:p>
              </w:tc>
              <w:tc>
                <w:tcPr>
                  <w:tcW w:w="1080" w:type="dxa"/>
                  <w:vAlign w:val="center"/>
                </w:tcPr>
                <w:p w14:paraId="16B5FA88">
                  <w:pPr>
                    <w:pStyle w:val="16"/>
                    <w:spacing w:before="29" w:line="228" w:lineRule="auto"/>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2024.2.</w:t>
                  </w:r>
                </w:p>
                <w:p w14:paraId="79B269AC">
                  <w:pPr>
                    <w:pStyle w:val="16"/>
                    <w:spacing w:before="29" w:line="228" w:lineRule="auto"/>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18</w:t>
                  </w:r>
                </w:p>
              </w:tc>
              <w:tc>
                <w:tcPr>
                  <w:tcW w:w="1530" w:type="dxa"/>
                  <w:tcBorders>
                    <w:right w:val="single" w:color="auto" w:sz="4" w:space="0"/>
                  </w:tcBorders>
                  <w:vAlign w:val="center"/>
                </w:tcPr>
                <w:p w14:paraId="3E0DA0B3">
                  <w:pPr>
                    <w:pStyle w:val="16"/>
                    <w:spacing w:before="29" w:line="228" w:lineRule="auto"/>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目前正在建设</w:t>
                  </w:r>
                </w:p>
              </w:tc>
              <w:tc>
                <w:tcPr>
                  <w:tcW w:w="981" w:type="dxa"/>
                  <w:vMerge w:val="continue"/>
                  <w:tcBorders>
                    <w:left w:val="single" w:color="auto" w:sz="4" w:space="0"/>
                    <w:bottom w:val="single" w:color="auto" w:sz="4" w:space="0"/>
                    <w:right w:val="single" w:color="auto" w:sz="4" w:space="0"/>
                  </w:tcBorders>
                  <w:vAlign w:val="top"/>
                </w:tcPr>
                <w:p w14:paraId="4F2681A8">
                  <w:pPr>
                    <w:pStyle w:val="16"/>
                    <w:spacing w:before="29" w:line="228" w:lineRule="auto"/>
                    <w:ind w:left="80"/>
                    <w:jc w:val="both"/>
                    <w:rPr>
                      <w:rFonts w:hint="default" w:ascii="Times New Roman" w:hAnsi="Times New Roman" w:eastAsia="宋体" w:cs="Times New Roman"/>
                      <w:color w:val="auto"/>
                      <w:spacing w:val="8"/>
                      <w:sz w:val="21"/>
                      <w:szCs w:val="21"/>
                      <w:highlight w:val="none"/>
                    </w:rPr>
                  </w:pPr>
                </w:p>
              </w:tc>
              <w:tc>
                <w:tcPr>
                  <w:tcW w:w="1545" w:type="dxa"/>
                  <w:vMerge w:val="continue"/>
                  <w:tcBorders>
                    <w:left w:val="single" w:color="auto" w:sz="4" w:space="0"/>
                    <w:bottom w:val="single" w:color="auto" w:sz="4" w:space="0"/>
                    <w:right w:val="single" w:color="auto" w:sz="4" w:space="0"/>
                  </w:tcBorders>
                  <w:vAlign w:val="top"/>
                </w:tcPr>
                <w:p w14:paraId="60459A1D">
                  <w:pPr>
                    <w:pStyle w:val="16"/>
                    <w:spacing w:before="29" w:line="228" w:lineRule="auto"/>
                    <w:ind w:left="80"/>
                    <w:jc w:val="both"/>
                    <w:rPr>
                      <w:rFonts w:hint="default" w:ascii="Times New Roman" w:hAnsi="Times New Roman" w:eastAsia="宋体" w:cs="Times New Roman"/>
                      <w:color w:val="auto"/>
                      <w:spacing w:val="8"/>
                      <w:sz w:val="21"/>
                      <w:szCs w:val="21"/>
                      <w:highlight w:val="none"/>
                    </w:rPr>
                  </w:pPr>
                </w:p>
              </w:tc>
            </w:tr>
          </w:tbl>
          <w:p w14:paraId="79867B18">
            <w:pPr>
              <w:pStyle w:val="16"/>
              <w:widowControl w:val="0"/>
              <w:spacing w:before="1" w:line="359" w:lineRule="auto"/>
              <w:ind w:left="5" w:right="3" w:firstLine="487"/>
              <w:jc w:val="both"/>
              <w:rPr>
                <w:rFonts w:hint="default" w:ascii="Times New Roman" w:hAnsi="Times New Roman" w:eastAsia="宋体" w:cs="Times New Roman"/>
                <w:b w:val="0"/>
                <w:bCs w:val="0"/>
                <w:color w:val="auto"/>
                <w:sz w:val="24"/>
                <w:szCs w:val="24"/>
                <w:highlight w:val="none"/>
                <w:lang w:val="en-US" w:eastAsia="zh-CN" w:bidi="ar"/>
              </w:rPr>
            </w:pPr>
            <w:r>
              <w:rPr>
                <w:rFonts w:hint="default" w:ascii="Times New Roman" w:hAnsi="Times New Roman" w:eastAsia="宋体" w:cs="Times New Roman"/>
                <w:color w:val="auto"/>
                <w:spacing w:val="-1"/>
                <w:sz w:val="24"/>
                <w:szCs w:val="24"/>
                <w:highlight w:val="none"/>
              </w:rPr>
              <w:t>（</w:t>
            </w:r>
            <w:r>
              <w:rPr>
                <w:rFonts w:hint="eastAsia" w:ascii="Times New Roman" w:hAnsi="Times New Roman" w:cs="Times New Roman"/>
                <w:color w:val="auto"/>
                <w:spacing w:val="-1"/>
                <w:sz w:val="24"/>
                <w:szCs w:val="24"/>
                <w:highlight w:val="none"/>
                <w:lang w:val="en-US" w:eastAsia="zh-CN"/>
              </w:rPr>
              <w:t>2</w:t>
            </w:r>
            <w:r>
              <w:rPr>
                <w:rFonts w:hint="default" w:ascii="Times New Roman" w:hAnsi="Times New Roman" w:eastAsia="宋体" w:cs="Times New Roman"/>
                <w:color w:val="auto"/>
                <w:spacing w:val="-1"/>
                <w:sz w:val="24"/>
                <w:szCs w:val="24"/>
                <w:highlight w:val="none"/>
              </w:rPr>
              <w:t>）新疆中建环能北庭</w:t>
            </w:r>
            <w:r>
              <w:rPr>
                <w:rFonts w:hint="default" w:ascii="Times New Roman" w:hAnsi="Times New Roman" w:eastAsia="宋体" w:cs="Times New Roman"/>
                <w:b w:val="0"/>
                <w:bCs w:val="0"/>
                <w:color w:val="auto"/>
                <w:sz w:val="24"/>
                <w:szCs w:val="24"/>
                <w:highlight w:val="none"/>
                <w:lang w:val="en-US" w:eastAsia="zh-CN" w:bidi="ar"/>
              </w:rPr>
              <w:t>环保科技有限公司概况</w:t>
            </w:r>
          </w:p>
          <w:p w14:paraId="228C2AAF">
            <w:pPr>
              <w:pStyle w:val="16"/>
              <w:widowControl w:val="0"/>
              <w:spacing w:before="1" w:line="359" w:lineRule="auto"/>
              <w:ind w:left="5" w:right="3" w:firstLine="487"/>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bidi="ar"/>
              </w:rPr>
              <w:t>含油废物贮存在具顶的贮存池中，处置时，使用装于挖掘机或装载机上的移动式筛分破碎设</w:t>
            </w:r>
            <w:r>
              <w:rPr>
                <w:rFonts w:hint="default" w:ascii="Times New Roman" w:hAnsi="Times New Roman" w:eastAsia="宋体" w:cs="Times New Roman"/>
                <w:color w:val="auto"/>
                <w:spacing w:val="-2"/>
                <w:sz w:val="24"/>
                <w:szCs w:val="24"/>
                <w:highlight w:val="none"/>
              </w:rPr>
              <w:t>备进行物料筛分、破碎，筛分破碎后的物</w:t>
            </w:r>
            <w:r>
              <w:rPr>
                <w:rFonts w:hint="default" w:ascii="Times New Roman" w:hAnsi="Times New Roman" w:eastAsia="宋体" w:cs="Times New Roman"/>
                <w:color w:val="auto"/>
                <w:spacing w:val="-3"/>
                <w:sz w:val="24"/>
                <w:szCs w:val="24"/>
                <w:highlight w:val="none"/>
              </w:rPr>
              <w:t>料通过装载机上料，上</w:t>
            </w:r>
            <w:r>
              <w:rPr>
                <w:rFonts w:hint="default" w:ascii="Times New Roman" w:hAnsi="Times New Roman" w:eastAsia="宋体" w:cs="Times New Roman"/>
                <w:color w:val="auto"/>
                <w:spacing w:val="-1"/>
                <w:sz w:val="24"/>
                <w:szCs w:val="24"/>
                <w:highlight w:val="none"/>
              </w:rPr>
              <w:t>料系统采用开放式料斗，密闭的裙边皮带进行物料输送，</w:t>
            </w:r>
            <w:r>
              <w:rPr>
                <w:rFonts w:hint="default" w:ascii="Times New Roman" w:hAnsi="Times New Roman" w:eastAsia="宋体" w:cs="Times New Roman"/>
                <w:color w:val="auto"/>
                <w:spacing w:val="-2"/>
                <w:sz w:val="24"/>
                <w:szCs w:val="24"/>
                <w:highlight w:val="none"/>
              </w:rPr>
              <w:t>含油污泥和油泥渣贮存在危险废物中</w:t>
            </w:r>
            <w:r>
              <w:rPr>
                <w:rFonts w:hint="default" w:ascii="Times New Roman" w:hAnsi="Times New Roman" w:eastAsia="宋体" w:cs="Times New Roman"/>
                <w:color w:val="auto"/>
                <w:spacing w:val="-3"/>
                <w:sz w:val="24"/>
                <w:szCs w:val="24"/>
                <w:highlight w:val="none"/>
              </w:rPr>
              <w:t>，处置时，使用短倒车拉运至上</w:t>
            </w:r>
            <w:r>
              <w:rPr>
                <w:rFonts w:hint="default" w:ascii="Times New Roman" w:hAnsi="Times New Roman" w:eastAsia="宋体" w:cs="Times New Roman"/>
                <w:color w:val="auto"/>
                <w:spacing w:val="-2"/>
                <w:sz w:val="24"/>
                <w:szCs w:val="24"/>
                <w:highlight w:val="none"/>
              </w:rPr>
              <w:t>区，通过移动式筛分破碎设备，进行物料筛分、破碎成</w:t>
            </w:r>
            <w:r>
              <w:rPr>
                <w:rFonts w:hint="default" w:ascii="Times New Roman" w:hAnsi="Times New Roman" w:eastAsia="宋体" w:cs="Times New Roman"/>
                <w:color w:val="auto"/>
                <w:spacing w:val="-3"/>
                <w:sz w:val="24"/>
                <w:szCs w:val="24"/>
                <w:highlight w:val="none"/>
              </w:rPr>
              <w:t>较松散的状态，然后通</w:t>
            </w:r>
            <w:r>
              <w:rPr>
                <w:rFonts w:hint="default" w:ascii="Times New Roman" w:hAnsi="Times New Roman" w:eastAsia="宋体" w:cs="Times New Roman"/>
                <w:color w:val="auto"/>
                <w:sz w:val="24"/>
                <w:szCs w:val="24"/>
                <w:highlight w:val="none"/>
              </w:rPr>
              <w:t>过装载机上料，上料系统采用开放式料斗，密闭</w:t>
            </w:r>
            <w:r>
              <w:rPr>
                <w:rFonts w:hint="default" w:ascii="Times New Roman" w:hAnsi="Times New Roman" w:eastAsia="宋体" w:cs="Times New Roman"/>
                <w:color w:val="auto"/>
                <w:spacing w:val="-1"/>
                <w:sz w:val="24"/>
                <w:szCs w:val="24"/>
                <w:highlight w:val="none"/>
              </w:rPr>
              <w:t>的裙边皮带进行物料输送。</w:t>
            </w:r>
          </w:p>
          <w:p w14:paraId="744979B9">
            <w:pPr>
              <w:pStyle w:val="16"/>
              <w:widowControl w:val="0"/>
              <w:spacing w:before="2" w:line="359" w:lineRule="auto"/>
              <w:ind w:left="5" w:right="3" w:firstLine="478"/>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物料进入热相分离设备后经过隔氧间接加热（炉内温度</w:t>
            </w:r>
            <w:r>
              <w:rPr>
                <w:rFonts w:hint="default" w:ascii="Times New Roman" w:hAnsi="Times New Roman" w:eastAsia="宋体" w:cs="Times New Roman"/>
                <w:color w:val="auto"/>
                <w:spacing w:val="-1"/>
                <w:sz w:val="24"/>
                <w:szCs w:val="24"/>
                <w:highlight w:val="none"/>
              </w:rPr>
              <w:t>控制在350-550℃可</w:t>
            </w:r>
            <w:r>
              <w:rPr>
                <w:rFonts w:hint="default" w:ascii="Times New Roman" w:hAnsi="Times New Roman" w:eastAsia="宋体" w:cs="Times New Roman"/>
                <w:color w:val="auto"/>
                <w:spacing w:val="-2"/>
                <w:sz w:val="24"/>
                <w:szCs w:val="24"/>
                <w:highlight w:val="none"/>
              </w:rPr>
              <w:t>调）分解为固态物和气态物，固态物即还原土（或废渣</w:t>
            </w:r>
            <w:r>
              <w:rPr>
                <w:rFonts w:hint="default" w:ascii="Times New Roman" w:hAnsi="Times New Roman" w:eastAsia="宋体" w:cs="Times New Roman"/>
                <w:color w:val="auto"/>
                <w:spacing w:val="-10"/>
                <w:sz w:val="24"/>
                <w:szCs w:val="24"/>
                <w:highlight w:val="none"/>
              </w:rPr>
              <w:t>），</w:t>
            </w:r>
            <w:r>
              <w:rPr>
                <w:rFonts w:hint="default" w:ascii="Times New Roman" w:hAnsi="Times New Roman" w:eastAsia="宋体" w:cs="Times New Roman"/>
                <w:color w:val="auto"/>
                <w:spacing w:val="-2"/>
                <w:sz w:val="24"/>
                <w:szCs w:val="24"/>
                <w:highlight w:val="none"/>
              </w:rPr>
              <w:t>气态物即为热相分离混合气体；还原土（或废渣）经出料密封装置进入排</w:t>
            </w:r>
            <w:r>
              <w:rPr>
                <w:rFonts w:hint="default" w:ascii="Times New Roman" w:hAnsi="Times New Roman" w:eastAsia="宋体" w:cs="Times New Roman"/>
                <w:color w:val="auto"/>
                <w:spacing w:val="-3"/>
                <w:sz w:val="24"/>
                <w:szCs w:val="24"/>
                <w:highlight w:val="none"/>
              </w:rPr>
              <w:t>料设备，由喷淋螺旋输送机</w:t>
            </w:r>
            <w:r>
              <w:rPr>
                <w:rFonts w:hint="default" w:ascii="Times New Roman" w:hAnsi="Times New Roman" w:eastAsia="宋体" w:cs="Times New Roman"/>
                <w:color w:val="auto"/>
                <w:spacing w:val="-2"/>
                <w:sz w:val="24"/>
                <w:szCs w:val="24"/>
                <w:highlight w:val="none"/>
              </w:rPr>
              <w:t>冷却80℃以下输出。</w:t>
            </w:r>
          </w:p>
          <w:p w14:paraId="02CC6576">
            <w:pPr>
              <w:pStyle w:val="16"/>
              <w:keepNext w:val="0"/>
              <w:keepLines w:val="0"/>
              <w:pageBreakBefore w:val="0"/>
              <w:widowControl w:val="0"/>
              <w:kinsoku w:val="0"/>
              <w:wordWrap/>
              <w:overflowPunct/>
              <w:topLinePunct w:val="0"/>
              <w:autoSpaceDE w:val="0"/>
              <w:autoSpaceDN w:val="0"/>
              <w:bidi w:val="0"/>
              <w:adjustRightInd w:val="0"/>
              <w:snapToGrid w:val="0"/>
              <w:spacing w:line="360" w:lineRule="auto"/>
              <w:ind w:left="3" w:firstLine="472" w:firstLineChars="200"/>
              <w:jc w:val="both"/>
              <w:textAlignment w:val="baseline"/>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2"/>
                <w:sz w:val="24"/>
                <w:szCs w:val="24"/>
                <w:highlight w:val="none"/>
              </w:rPr>
              <w:t>热相分离混合气体进入冷凝设备经过喷淋塔</w:t>
            </w:r>
            <w:r>
              <w:rPr>
                <w:rFonts w:hint="default" w:ascii="Times New Roman" w:hAnsi="Times New Roman" w:eastAsia="宋体" w:cs="Times New Roman"/>
                <w:color w:val="auto"/>
                <w:spacing w:val="-3"/>
                <w:sz w:val="24"/>
                <w:szCs w:val="24"/>
                <w:highlight w:val="none"/>
              </w:rPr>
              <w:t>内急速冷却（三级冷凝</w:t>
            </w:r>
            <w:r>
              <w:rPr>
                <w:rFonts w:hint="default" w:ascii="Times New Roman" w:hAnsi="Times New Roman" w:eastAsia="宋体" w:cs="Times New Roman"/>
                <w:color w:val="auto"/>
                <w:spacing w:val="-19"/>
                <w:sz w:val="24"/>
                <w:szCs w:val="24"/>
                <w:highlight w:val="none"/>
              </w:rPr>
              <w:t>），</w:t>
            </w:r>
            <w:r>
              <w:rPr>
                <w:rFonts w:hint="default" w:ascii="Times New Roman" w:hAnsi="Times New Roman" w:eastAsia="宋体" w:cs="Times New Roman"/>
                <w:color w:val="auto"/>
                <w:spacing w:val="-3"/>
                <w:sz w:val="24"/>
                <w:szCs w:val="24"/>
                <w:highlight w:val="none"/>
              </w:rPr>
              <w:t>冷却后液相循环至沉降分离设备中的分离罐进行沉降分离，分离的水经污水处理设施处理达标后回用于冷凝设备喷淋塔补水、排料设备喷淋螺旋输送机冷却以及还原</w:t>
            </w:r>
            <w:r>
              <w:rPr>
                <w:rFonts w:hint="default" w:ascii="Times New Roman" w:hAnsi="Times New Roman" w:eastAsia="宋体" w:cs="Times New Roman"/>
                <w:color w:val="auto"/>
                <w:spacing w:val="-2"/>
                <w:sz w:val="24"/>
                <w:szCs w:val="24"/>
                <w:highlight w:val="none"/>
              </w:rPr>
              <w:t>土抑尘用水，不外排；分离的油品进入回收油罐；分离罐底部的底</w:t>
            </w:r>
            <w:r>
              <w:rPr>
                <w:rFonts w:hint="default" w:ascii="Times New Roman" w:hAnsi="Times New Roman" w:eastAsia="宋体" w:cs="Times New Roman"/>
                <w:color w:val="auto"/>
                <w:spacing w:val="-3"/>
                <w:sz w:val="24"/>
                <w:szCs w:val="24"/>
                <w:highlight w:val="none"/>
              </w:rPr>
              <w:t>泥经刮渣机、排泥泵送入底泥储存罐，从而实现油、水、渣的分离。经过冷凝设备喷淋塔的不凝气（不凝气出口温度约40℃)经工艺风机增压，经过气处理设备气液分离罐对不凝气进行脱水（脱水后的积液进入沉降分离设备）及净化处理返回供热系统与天然气掺烧。</w:t>
            </w:r>
          </w:p>
          <w:p w14:paraId="5BF944B4">
            <w:pPr>
              <w:pStyle w:val="16"/>
              <w:keepNext w:val="0"/>
              <w:keepLines w:val="0"/>
              <w:pageBreakBefore w:val="0"/>
              <w:widowControl w:val="0"/>
              <w:kinsoku w:val="0"/>
              <w:wordWrap/>
              <w:overflowPunct/>
              <w:topLinePunct w:val="0"/>
              <w:autoSpaceDE w:val="0"/>
              <w:autoSpaceDN w:val="0"/>
              <w:bidi w:val="0"/>
              <w:adjustRightInd w:val="0"/>
              <w:snapToGrid w:val="0"/>
              <w:spacing w:line="360" w:lineRule="auto"/>
              <w:ind w:left="3" w:firstLine="468"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w:t>
            </w:r>
            <w:r>
              <w:rPr>
                <w:rFonts w:hint="eastAsia" w:ascii="Times New Roman" w:hAnsi="Times New Roman" w:cs="Times New Roman"/>
                <w:color w:val="auto"/>
                <w:spacing w:val="-3"/>
                <w:sz w:val="24"/>
                <w:szCs w:val="24"/>
                <w:highlight w:val="none"/>
                <w:lang w:val="en-US" w:eastAsia="zh-CN"/>
              </w:rPr>
              <w:t>3</w:t>
            </w:r>
            <w:r>
              <w:rPr>
                <w:rFonts w:hint="default" w:ascii="Times New Roman" w:hAnsi="Times New Roman" w:eastAsia="宋体" w:cs="Times New Roman"/>
                <w:color w:val="auto"/>
                <w:spacing w:val="-3"/>
                <w:sz w:val="24"/>
                <w:szCs w:val="24"/>
                <w:highlight w:val="none"/>
              </w:rPr>
              <w:t>）依托可行性分析</w:t>
            </w:r>
          </w:p>
          <w:p w14:paraId="731A83F8">
            <w:pPr>
              <w:pStyle w:val="16"/>
              <w:keepNext w:val="0"/>
              <w:keepLines w:val="0"/>
              <w:pageBreakBefore w:val="0"/>
              <w:widowControl w:val="0"/>
              <w:kinsoku w:val="0"/>
              <w:wordWrap/>
              <w:overflowPunct/>
              <w:topLinePunct w:val="0"/>
              <w:autoSpaceDE w:val="0"/>
              <w:autoSpaceDN w:val="0"/>
              <w:bidi w:val="0"/>
              <w:adjustRightInd w:val="0"/>
              <w:snapToGrid w:val="0"/>
              <w:spacing w:line="360" w:lineRule="auto"/>
              <w:ind w:right="3" w:firstLine="468"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油基泥浆同岩屑一起进入泥浆不落地系统固液分离后，液相循环使用</w:t>
            </w:r>
            <w:r>
              <w:rPr>
                <w:rFonts w:hint="default" w:ascii="Times New Roman" w:hAnsi="Times New Roman" w:eastAsia="宋体" w:cs="Times New Roman"/>
                <w:color w:val="auto"/>
                <w:spacing w:val="-4"/>
                <w:sz w:val="24"/>
                <w:szCs w:val="24"/>
                <w:highlight w:val="none"/>
              </w:rPr>
              <w:t>，固相按照</w:t>
            </w:r>
            <w:r>
              <w:rPr>
                <w:rFonts w:hint="default" w:ascii="Times New Roman" w:hAnsi="Times New Roman" w:eastAsia="宋体" w:cs="Times New Roman"/>
                <w:color w:val="auto"/>
                <w:spacing w:val="-1"/>
                <w:sz w:val="24"/>
                <w:szCs w:val="24"/>
                <w:highlight w:val="none"/>
              </w:rPr>
              <w:t>危险废物进行管理（危废编号为HW08，废物代码为071-002-08），委托有危险</w:t>
            </w:r>
            <w:r>
              <w:rPr>
                <w:rFonts w:hint="default" w:ascii="Times New Roman" w:hAnsi="Times New Roman" w:eastAsia="宋体" w:cs="Times New Roman"/>
                <w:color w:val="auto"/>
                <w:spacing w:val="-2"/>
                <w:sz w:val="24"/>
                <w:szCs w:val="24"/>
                <w:highlight w:val="none"/>
              </w:rPr>
              <w:t>废物处置资质的单位（新疆中建环能北庭环保科技有限公</w:t>
            </w:r>
            <w:r>
              <w:rPr>
                <w:rFonts w:hint="default" w:ascii="Times New Roman" w:hAnsi="Times New Roman" w:eastAsia="宋体" w:cs="Times New Roman"/>
                <w:color w:val="auto"/>
                <w:spacing w:val="-3"/>
                <w:sz w:val="24"/>
                <w:szCs w:val="24"/>
                <w:highlight w:val="none"/>
              </w:rPr>
              <w:t>司）进行妥善处理，处</w:t>
            </w:r>
            <w:r>
              <w:rPr>
                <w:rFonts w:hint="default" w:ascii="Times New Roman" w:hAnsi="Times New Roman" w:eastAsia="宋体" w:cs="Times New Roman"/>
                <w:color w:val="auto"/>
                <w:spacing w:val="-1"/>
                <w:sz w:val="24"/>
                <w:szCs w:val="24"/>
                <w:highlight w:val="none"/>
              </w:rPr>
              <w:t>置协议见附件。新疆中建环能北庭环保科技有限公司处理规模20万吨/年。</w:t>
            </w:r>
          </w:p>
          <w:p w14:paraId="6DCD644D">
            <w:pPr>
              <w:pStyle w:val="16"/>
              <w:keepNext w:val="0"/>
              <w:keepLines w:val="0"/>
              <w:pageBreakBefore w:val="0"/>
              <w:widowControl w:val="0"/>
              <w:kinsoku w:val="0"/>
              <w:wordWrap/>
              <w:overflowPunct/>
              <w:topLinePunct w:val="0"/>
              <w:autoSpaceDE w:val="0"/>
              <w:autoSpaceDN w:val="0"/>
              <w:bidi w:val="0"/>
              <w:adjustRightInd w:val="0"/>
              <w:snapToGrid w:val="0"/>
              <w:spacing w:line="360" w:lineRule="auto"/>
              <w:ind w:firstLine="476"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新疆中建环能北庭环保科技有限公司危险废物单独处置概况</w:t>
            </w:r>
          </w:p>
          <w:p w14:paraId="0951DC2C">
            <w:pPr>
              <w:pStyle w:val="16"/>
              <w:keepNext w:val="0"/>
              <w:keepLines w:val="0"/>
              <w:pageBreakBefore w:val="0"/>
              <w:widowControl w:val="0"/>
              <w:kinsoku w:val="0"/>
              <w:wordWrap/>
              <w:overflowPunct/>
              <w:topLinePunct w:val="0"/>
              <w:autoSpaceDE w:val="0"/>
              <w:autoSpaceDN w:val="0"/>
              <w:bidi w:val="0"/>
              <w:adjustRightInd w:val="0"/>
              <w:snapToGrid w:val="0"/>
              <w:spacing w:line="360" w:lineRule="auto"/>
              <w:ind w:right="3" w:firstLine="472" w:firstLineChars="200"/>
              <w:jc w:val="both"/>
              <w:textAlignment w:val="baseline"/>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2"/>
                <w:sz w:val="24"/>
                <w:szCs w:val="24"/>
                <w:highlight w:val="none"/>
              </w:rPr>
              <w:t>新疆中建环能北庭环保科技有限公司含油废物资</w:t>
            </w:r>
            <w:r>
              <w:rPr>
                <w:rFonts w:hint="default" w:ascii="Times New Roman" w:hAnsi="Times New Roman" w:eastAsia="宋体" w:cs="Times New Roman"/>
                <w:color w:val="auto"/>
                <w:spacing w:val="-3"/>
                <w:sz w:val="24"/>
                <w:szCs w:val="24"/>
                <w:highlight w:val="none"/>
              </w:rPr>
              <w:t>源化处置项目（首次申领）</w:t>
            </w:r>
          </w:p>
          <w:p w14:paraId="56DF17A2">
            <w:pPr>
              <w:pStyle w:val="16"/>
              <w:keepNext w:val="0"/>
              <w:keepLines w:val="0"/>
              <w:pageBreakBefore w:val="0"/>
              <w:widowControl w:val="0"/>
              <w:kinsoku w:val="0"/>
              <w:wordWrap/>
              <w:overflowPunct/>
              <w:topLinePunct w:val="0"/>
              <w:autoSpaceDE w:val="0"/>
              <w:autoSpaceDN w:val="0"/>
              <w:bidi w:val="0"/>
              <w:adjustRightInd w:val="0"/>
              <w:snapToGrid w:val="0"/>
              <w:spacing w:line="360" w:lineRule="auto"/>
              <w:ind w:right="3" w:firstLine="468" w:firstLineChars="200"/>
              <w:jc w:val="both"/>
              <w:textAlignment w:val="baseline"/>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rPr>
              <w:t>公司名称：新疆中建环能北庭环保科技有限公司</w:t>
            </w:r>
          </w:p>
          <w:p w14:paraId="7B11AEE2">
            <w:pPr>
              <w:pStyle w:val="16"/>
              <w:keepNext w:val="0"/>
              <w:keepLines w:val="0"/>
              <w:pageBreakBefore w:val="0"/>
              <w:widowControl w:val="0"/>
              <w:kinsoku w:val="0"/>
              <w:wordWrap/>
              <w:overflowPunct/>
              <w:topLinePunct w:val="0"/>
              <w:autoSpaceDE w:val="0"/>
              <w:autoSpaceDN w:val="0"/>
              <w:bidi w:val="0"/>
              <w:adjustRightInd w:val="0"/>
              <w:snapToGrid w:val="0"/>
              <w:spacing w:line="360" w:lineRule="auto"/>
              <w:ind w:right="3" w:firstLine="468" w:firstLineChars="200"/>
              <w:jc w:val="both"/>
              <w:textAlignment w:val="baseline"/>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rPr>
              <w:t>公司住所：新疆昌吉回族自治州吉木萨尔县北三台循环经济工业园区东盛路6号</w:t>
            </w:r>
          </w:p>
          <w:p w14:paraId="22BD1C4E">
            <w:pPr>
              <w:pStyle w:val="16"/>
              <w:keepNext w:val="0"/>
              <w:keepLines w:val="0"/>
              <w:pageBreakBefore w:val="0"/>
              <w:widowControl w:val="0"/>
              <w:kinsoku w:val="0"/>
              <w:wordWrap/>
              <w:overflowPunct/>
              <w:topLinePunct w:val="0"/>
              <w:autoSpaceDE w:val="0"/>
              <w:autoSpaceDN w:val="0"/>
              <w:bidi w:val="0"/>
              <w:adjustRightInd w:val="0"/>
              <w:snapToGrid w:val="0"/>
              <w:spacing w:line="360" w:lineRule="auto"/>
              <w:ind w:right="3" w:firstLine="472" w:firstLineChars="200"/>
              <w:jc w:val="both"/>
              <w:textAlignment w:val="baseline"/>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2"/>
                <w:sz w:val="24"/>
                <w:szCs w:val="24"/>
                <w:highlight w:val="none"/>
              </w:rPr>
              <w:t>经营设施地址：新疆昌吉回族自治州吉木萨尔县北三台循环经济工业园区东盛路6号（地理坐标为N44°7′55.219″，E88°43′15.688″）</w:t>
            </w:r>
          </w:p>
          <w:p w14:paraId="23965D56">
            <w:pPr>
              <w:pStyle w:val="16"/>
              <w:keepNext w:val="0"/>
              <w:keepLines w:val="0"/>
              <w:pageBreakBefore w:val="0"/>
              <w:widowControl w:val="0"/>
              <w:kinsoku w:val="0"/>
              <w:wordWrap/>
              <w:overflowPunct/>
              <w:topLinePunct w:val="0"/>
              <w:autoSpaceDE w:val="0"/>
              <w:autoSpaceDN w:val="0"/>
              <w:bidi w:val="0"/>
              <w:adjustRightInd w:val="0"/>
              <w:snapToGrid w:val="0"/>
              <w:spacing w:line="360" w:lineRule="auto"/>
              <w:ind w:right="3" w:firstLine="472" w:firstLineChars="200"/>
              <w:jc w:val="both"/>
              <w:textAlignment w:val="baseline"/>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2"/>
                <w:sz w:val="24"/>
                <w:szCs w:val="24"/>
                <w:highlight w:val="none"/>
              </w:rPr>
              <w:t>危险废物经营方式：收集、贮存、利用</w:t>
            </w:r>
          </w:p>
          <w:p w14:paraId="7B53A24C">
            <w:pPr>
              <w:pStyle w:val="16"/>
              <w:keepNext w:val="0"/>
              <w:keepLines w:val="0"/>
              <w:pageBreakBefore w:val="0"/>
              <w:widowControl w:val="0"/>
              <w:kinsoku w:val="0"/>
              <w:wordWrap/>
              <w:overflowPunct/>
              <w:topLinePunct w:val="0"/>
              <w:autoSpaceDE w:val="0"/>
              <w:autoSpaceDN w:val="0"/>
              <w:bidi w:val="0"/>
              <w:adjustRightInd w:val="0"/>
              <w:snapToGrid w:val="0"/>
              <w:spacing w:line="360" w:lineRule="auto"/>
              <w:ind w:right="3" w:firstLine="472"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经营危险废物类别：HW08废矿物油与含矿物油废物（071-001-08</w:t>
            </w:r>
            <w:r>
              <w:rPr>
                <w:rFonts w:hint="default" w:ascii="Times New Roman" w:hAnsi="Times New Roman" w:eastAsia="宋体" w:cs="Times New Roman"/>
                <w:color w:val="auto"/>
                <w:spacing w:val="-1"/>
                <w:sz w:val="24"/>
                <w:szCs w:val="24"/>
                <w:highlight w:val="none"/>
              </w:rPr>
              <w:t>、</w:t>
            </w:r>
            <w:r>
              <w:rPr>
                <w:rFonts w:hint="default" w:ascii="Times New Roman" w:hAnsi="Times New Roman" w:eastAsia="宋体" w:cs="Times New Roman"/>
                <w:color w:val="auto"/>
                <w:spacing w:val="-3"/>
                <w:sz w:val="24"/>
                <w:szCs w:val="24"/>
                <w:highlight w:val="none"/>
              </w:rPr>
              <w:t>071-002-08、072-001-08、251-002-08、251-003-08、251-004-08、251-006-08、</w:t>
            </w:r>
            <w:r>
              <w:rPr>
                <w:rFonts w:hint="default" w:ascii="Times New Roman" w:hAnsi="Times New Roman" w:eastAsia="宋体" w:cs="Times New Roman"/>
                <w:color w:val="auto"/>
                <w:spacing w:val="-2"/>
                <w:sz w:val="24"/>
                <w:szCs w:val="24"/>
                <w:highlight w:val="none"/>
              </w:rPr>
              <w:t>251-010-08、251-011-08、900-210-08</w:t>
            </w:r>
            <w:r>
              <w:rPr>
                <w:rFonts w:hint="default" w:ascii="Times New Roman" w:hAnsi="Times New Roman" w:eastAsia="宋体" w:cs="Times New Roman"/>
                <w:color w:val="auto"/>
                <w:spacing w:val="-3"/>
                <w:sz w:val="24"/>
                <w:szCs w:val="24"/>
                <w:highlight w:val="none"/>
              </w:rPr>
              <w:t>、900-221-08）</w:t>
            </w:r>
          </w:p>
          <w:p w14:paraId="3FD7AB98">
            <w:pPr>
              <w:pStyle w:val="16"/>
              <w:keepNext w:val="0"/>
              <w:keepLines w:val="0"/>
              <w:pageBreakBefore w:val="0"/>
              <w:widowControl w:val="0"/>
              <w:kinsoku w:val="0"/>
              <w:wordWrap/>
              <w:overflowPunct/>
              <w:topLinePunct w:val="0"/>
              <w:autoSpaceDE w:val="0"/>
              <w:autoSpaceDN w:val="0"/>
              <w:bidi w:val="0"/>
              <w:adjustRightInd w:val="0"/>
              <w:snapToGrid w:val="0"/>
              <w:spacing w:line="360" w:lineRule="auto"/>
              <w:ind w:firstLine="472"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危险废物经营规模：20万吨/年</w:t>
            </w:r>
          </w:p>
          <w:p w14:paraId="35CF991E">
            <w:pPr>
              <w:pStyle w:val="16"/>
              <w:keepNext w:val="0"/>
              <w:keepLines w:val="0"/>
              <w:pageBreakBefore w:val="0"/>
              <w:widowControl w:val="0"/>
              <w:kinsoku w:val="0"/>
              <w:wordWrap/>
              <w:overflowPunct/>
              <w:topLinePunct w:val="0"/>
              <w:autoSpaceDE w:val="0"/>
              <w:autoSpaceDN w:val="0"/>
              <w:bidi w:val="0"/>
              <w:adjustRightInd w:val="0"/>
              <w:snapToGrid w:val="0"/>
              <w:spacing w:line="360" w:lineRule="auto"/>
              <w:ind w:firstLine="476" w:firstLineChars="200"/>
              <w:jc w:val="both"/>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目前新疆中建环能北庭环保科技有限公司采用水泥窑协同处置危险废物，水泥窑协同处置10万t/a危险废物项目，其中液态危险废物2万t/a，半固态危险废物5万t/a，固态危险废物3万t/a，剩余处理能力为7万t/a。本工程</w:t>
            </w:r>
            <w:r>
              <w:rPr>
                <w:rFonts w:hint="eastAsia" w:ascii="Times New Roman" w:hAnsi="Times New Roman" w:cs="Times New Roman"/>
                <w:color w:val="auto"/>
                <w:spacing w:val="-1"/>
                <w:sz w:val="24"/>
                <w:szCs w:val="24"/>
                <w:highlight w:val="none"/>
                <w:lang w:val="en-US" w:eastAsia="zh-CN"/>
              </w:rPr>
              <w:t>二开段</w:t>
            </w:r>
            <w:r>
              <w:rPr>
                <w:rFonts w:hint="default" w:ascii="Times New Roman" w:hAnsi="Times New Roman" w:eastAsia="宋体" w:cs="Times New Roman"/>
                <w:color w:val="auto"/>
                <w:spacing w:val="-1"/>
                <w:sz w:val="24"/>
                <w:szCs w:val="24"/>
                <w:highlight w:val="none"/>
              </w:rPr>
              <w:t>油基岩屑产生量</w:t>
            </w:r>
            <w:r>
              <w:rPr>
                <w:rFonts w:hint="default" w:ascii="Times New Roman" w:hAnsi="Times New Roman" w:cs="Times New Roman"/>
                <w:color w:val="auto"/>
                <w:spacing w:val="-1"/>
                <w:sz w:val="24"/>
                <w:szCs w:val="24"/>
                <w:highlight w:val="none"/>
                <w:lang w:val="en-US" w:eastAsia="zh-CN"/>
              </w:rPr>
              <w:t>7591.46</w:t>
            </w:r>
            <w:r>
              <w:rPr>
                <w:rFonts w:hint="default" w:ascii="Times New Roman" w:hAnsi="Times New Roman" w:eastAsia="宋体" w:cs="Times New Roman"/>
                <w:color w:val="auto"/>
                <w:spacing w:val="-1"/>
                <w:sz w:val="24"/>
                <w:szCs w:val="24"/>
                <w:highlight w:val="none"/>
              </w:rPr>
              <w:t>m</w:t>
            </w:r>
            <w:r>
              <w:rPr>
                <w:rFonts w:hint="default" w:ascii="Times New Roman" w:hAnsi="Times New Roman" w:eastAsia="宋体" w:cs="Times New Roman"/>
                <w:color w:val="auto"/>
                <w:spacing w:val="-1"/>
                <w:sz w:val="24"/>
                <w:szCs w:val="24"/>
                <w:highlight w:val="none"/>
                <w:vertAlign w:val="superscript"/>
              </w:rPr>
              <w:t>3</w:t>
            </w:r>
            <w:r>
              <w:rPr>
                <w:rFonts w:hint="default" w:ascii="Times New Roman" w:hAnsi="Times New Roman" w:eastAsia="宋体" w:cs="Times New Roman"/>
                <w:color w:val="auto"/>
                <w:spacing w:val="-1"/>
                <w:sz w:val="24"/>
                <w:szCs w:val="24"/>
                <w:highlight w:val="none"/>
              </w:rPr>
              <w:t>，</w:t>
            </w:r>
            <w:r>
              <w:rPr>
                <w:rFonts w:hint="eastAsia" w:ascii="Times New Roman" w:hAnsi="Times New Roman" w:cs="Times New Roman"/>
                <w:color w:val="auto"/>
                <w:spacing w:val="-1"/>
                <w:sz w:val="24"/>
                <w:szCs w:val="24"/>
                <w:highlight w:val="none"/>
                <w:lang w:val="en-US" w:eastAsia="zh-CN"/>
              </w:rPr>
              <w:t>三开段沾染油基钻井液的水基钻井岩屑产生量为</w:t>
            </w:r>
            <w:r>
              <w:rPr>
                <w:rFonts w:hint="default" w:ascii="Times New Roman" w:hAnsi="Times New Roman" w:cs="Times New Roman"/>
                <w:color w:val="auto"/>
                <w:spacing w:val="-1"/>
                <w:sz w:val="24"/>
                <w:szCs w:val="24"/>
                <w:highlight w:val="none"/>
                <w:lang w:val="en-US" w:eastAsia="zh-CN"/>
              </w:rPr>
              <w:t>3402.25</w:t>
            </w:r>
            <w:r>
              <w:rPr>
                <w:rFonts w:hint="default" w:ascii="Times New Roman" w:hAnsi="Times New Roman" w:eastAsia="宋体" w:cs="Times New Roman"/>
                <w:color w:val="auto"/>
                <w:spacing w:val="-1"/>
                <w:sz w:val="24"/>
                <w:szCs w:val="24"/>
                <w:highlight w:val="none"/>
              </w:rPr>
              <w:t>m</w:t>
            </w:r>
            <w:r>
              <w:rPr>
                <w:rFonts w:hint="default" w:ascii="Times New Roman" w:hAnsi="Times New Roman" w:eastAsia="宋体" w:cs="Times New Roman"/>
                <w:color w:val="auto"/>
                <w:spacing w:val="-1"/>
                <w:sz w:val="24"/>
                <w:szCs w:val="24"/>
                <w:highlight w:val="none"/>
                <w:vertAlign w:val="superscript"/>
              </w:rPr>
              <w:t>3</w:t>
            </w:r>
            <w:r>
              <w:rPr>
                <w:rFonts w:hint="default" w:ascii="Times New Roman" w:hAnsi="Times New Roman" w:eastAsia="宋体" w:cs="Times New Roman"/>
                <w:color w:val="auto"/>
                <w:spacing w:val="-1"/>
                <w:sz w:val="24"/>
                <w:szCs w:val="24"/>
                <w:highlight w:val="none"/>
              </w:rPr>
              <w:t>，废弃油基泥浆</w:t>
            </w:r>
            <w:r>
              <w:rPr>
                <w:rFonts w:hint="default" w:ascii="Times New Roman" w:hAnsi="Times New Roman" w:cs="Times New Roman"/>
                <w:color w:val="auto"/>
                <w:spacing w:val="-1"/>
                <w:sz w:val="24"/>
                <w:szCs w:val="24"/>
                <w:highlight w:val="none"/>
                <w:lang w:val="en-US" w:eastAsia="zh-CN"/>
              </w:rPr>
              <w:t>244.30</w:t>
            </w:r>
            <w:r>
              <w:rPr>
                <w:rFonts w:hint="default" w:ascii="Times New Roman" w:hAnsi="Times New Roman" w:eastAsia="宋体" w:cs="Times New Roman"/>
                <w:color w:val="auto"/>
                <w:spacing w:val="-1"/>
                <w:sz w:val="24"/>
                <w:szCs w:val="24"/>
                <w:highlight w:val="none"/>
              </w:rPr>
              <w:t>m</w:t>
            </w:r>
            <w:r>
              <w:rPr>
                <w:rFonts w:hint="default" w:ascii="Times New Roman" w:hAnsi="Times New Roman" w:eastAsia="宋体" w:cs="Times New Roman"/>
                <w:color w:val="auto"/>
                <w:spacing w:val="-1"/>
                <w:sz w:val="24"/>
                <w:szCs w:val="24"/>
                <w:highlight w:val="none"/>
                <w:vertAlign w:val="superscript"/>
              </w:rPr>
              <w:t>3</w:t>
            </w:r>
            <w:r>
              <w:rPr>
                <w:rFonts w:hint="default" w:ascii="Times New Roman" w:hAnsi="Times New Roman" w:eastAsia="宋体" w:cs="Times New Roman"/>
                <w:color w:val="auto"/>
                <w:spacing w:val="-1"/>
                <w:sz w:val="24"/>
                <w:szCs w:val="24"/>
                <w:highlight w:val="none"/>
              </w:rPr>
              <w:t>。因此，本工程废弃油基泥浆和岩屑</w:t>
            </w:r>
            <w:r>
              <w:rPr>
                <w:rFonts w:hint="eastAsia" w:ascii="Times New Roman" w:hAnsi="Times New Roman" w:cs="Times New Roman"/>
                <w:color w:val="auto"/>
                <w:spacing w:val="-1"/>
                <w:sz w:val="24"/>
                <w:szCs w:val="24"/>
                <w:highlight w:val="none"/>
                <w:lang w:val="en-US" w:eastAsia="zh-CN"/>
              </w:rPr>
              <w:t>处置</w:t>
            </w:r>
            <w:r>
              <w:rPr>
                <w:rFonts w:hint="default" w:ascii="Times New Roman" w:hAnsi="Times New Roman" w:eastAsia="宋体" w:cs="Times New Roman"/>
                <w:color w:val="auto"/>
                <w:spacing w:val="-1"/>
                <w:sz w:val="24"/>
                <w:szCs w:val="24"/>
                <w:highlight w:val="none"/>
              </w:rPr>
              <w:t>依托可行。</w:t>
            </w:r>
          </w:p>
          <w:p w14:paraId="1710E306">
            <w:pPr>
              <w:pStyle w:val="16"/>
              <w:keepNext w:val="0"/>
              <w:keepLines w:val="0"/>
              <w:pageBreakBefore w:val="0"/>
              <w:widowControl w:val="0"/>
              <w:kinsoku w:val="0"/>
              <w:wordWrap/>
              <w:overflowPunct/>
              <w:topLinePunct w:val="0"/>
              <w:autoSpaceDE w:val="0"/>
              <w:autoSpaceDN w:val="0"/>
              <w:bidi w:val="0"/>
              <w:adjustRightInd w:val="0"/>
              <w:snapToGrid w:val="0"/>
              <w:spacing w:line="360" w:lineRule="auto"/>
              <w:ind w:left="3" w:right="4" w:firstLine="472"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综上所述，本工程产生的各类固体废物均可得到妥善处置，不会对周围环境造成不良影响。</w:t>
            </w:r>
          </w:p>
          <w:p w14:paraId="5496CE86">
            <w:pPr>
              <w:widowControl w:val="0"/>
              <w:snapToGrid w:val="0"/>
              <w:spacing w:line="500" w:lineRule="exact"/>
              <w:jc w:val="both"/>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7.3</w:t>
            </w:r>
            <w:r>
              <w:rPr>
                <w:rFonts w:hint="default" w:ascii="Times New Roman" w:hAnsi="Times New Roman" w:eastAsia="宋体" w:cs="Times New Roman"/>
                <w:b/>
                <w:bCs/>
                <w:color w:val="auto"/>
                <w:sz w:val="24"/>
                <w:szCs w:val="24"/>
                <w:highlight w:val="none"/>
              </w:rPr>
              <w:t>危险废物</w:t>
            </w:r>
            <w:r>
              <w:rPr>
                <w:rFonts w:hint="eastAsia" w:ascii="Times New Roman" w:hAnsi="Times New Roman" w:eastAsia="宋体" w:cs="Times New Roman"/>
                <w:b/>
                <w:bCs/>
                <w:color w:val="auto"/>
                <w:sz w:val="24"/>
                <w:szCs w:val="24"/>
                <w:highlight w:val="none"/>
                <w:lang w:val="en-US" w:eastAsia="zh-CN"/>
              </w:rPr>
              <w:t>处置措施</w:t>
            </w:r>
          </w:p>
          <w:p w14:paraId="2A633FDD">
            <w:pPr>
              <w:widowControl w:val="0"/>
              <w:snapToGrid w:val="0"/>
              <w:spacing w:line="50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w:t>
            </w:r>
            <w:r>
              <w:rPr>
                <w:rFonts w:hint="default" w:ascii="Times New Roman" w:hAnsi="Times New Roman" w:eastAsia="宋体" w:cs="Times New Roman"/>
                <w:color w:val="auto"/>
                <w:sz w:val="24"/>
                <w:szCs w:val="24"/>
                <w:highlight w:val="none"/>
                <w:lang w:val="en-US" w:eastAsia="zh-CN"/>
              </w:rPr>
              <w:t>各</w:t>
            </w:r>
            <w:r>
              <w:rPr>
                <w:rFonts w:hint="default" w:ascii="Times New Roman" w:hAnsi="Times New Roman" w:eastAsia="宋体" w:cs="Times New Roman"/>
                <w:color w:val="auto"/>
                <w:sz w:val="24"/>
                <w:szCs w:val="24"/>
                <w:highlight w:val="none"/>
              </w:rPr>
              <w:t>井场内设置一座</w:t>
            </w:r>
            <w:r>
              <w:rPr>
                <w:rFonts w:hint="default" w:ascii="Times New Roman" w:hAnsi="Times New Roman" w:eastAsia="宋体" w:cs="Times New Roman"/>
                <w:color w:val="auto"/>
                <w:sz w:val="24"/>
                <w:szCs w:val="24"/>
                <w:highlight w:val="none"/>
                <w:lang w:val="en-US" w:eastAsia="zh-CN"/>
              </w:rPr>
              <w:t>约15m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危险废物</w:t>
            </w:r>
            <w:r>
              <w:rPr>
                <w:rFonts w:hint="eastAsia" w:ascii="Times New Roman" w:hAnsi="Times New Roman" w:eastAsia="宋体" w:cs="Times New Roman"/>
                <w:color w:val="auto"/>
                <w:sz w:val="24"/>
                <w:szCs w:val="24"/>
                <w:highlight w:val="none"/>
                <w:lang w:val="en-US" w:eastAsia="zh-CN"/>
              </w:rPr>
              <w:t>贮存点</w:t>
            </w:r>
            <w:r>
              <w:rPr>
                <w:rFonts w:hint="default" w:ascii="Times New Roman" w:hAnsi="Times New Roman" w:eastAsia="宋体" w:cs="Times New Roman"/>
                <w:color w:val="auto"/>
                <w:sz w:val="24"/>
                <w:szCs w:val="24"/>
                <w:highlight w:val="none"/>
              </w:rPr>
              <w:t>，其选址符合《危险废物贮存污染控制标准》（GB18597-2023）</w:t>
            </w:r>
            <w:r>
              <w:rPr>
                <w:rFonts w:hint="eastAsia" w:ascii="Times New Roman" w:hAnsi="Times New Roman" w:eastAsia="宋体" w:cs="Times New Roman"/>
                <w:color w:val="auto"/>
                <w:sz w:val="24"/>
                <w:szCs w:val="24"/>
                <w:highlight w:val="none"/>
                <w:lang w:val="en-US" w:eastAsia="zh-CN"/>
              </w:rPr>
              <w:t>中的相关</w:t>
            </w:r>
            <w:r>
              <w:rPr>
                <w:rFonts w:hint="default" w:ascii="Times New Roman" w:hAnsi="Times New Roman" w:eastAsia="宋体" w:cs="Times New Roman"/>
                <w:color w:val="auto"/>
                <w:sz w:val="24"/>
                <w:szCs w:val="24"/>
                <w:highlight w:val="none"/>
              </w:rPr>
              <w:t>要求，建设过程中应严格按照《危险废物贮存污染控制标准》（GB18597-2023）中的相关要求建设，具体要求如下：</w:t>
            </w:r>
            <w:bookmarkEnd w:id="31"/>
            <w:bookmarkStart w:id="32" w:name="_Hlk183361156"/>
            <w:bookmarkStart w:id="33" w:name="_Hlk136792721"/>
          </w:p>
          <w:p w14:paraId="72F5E319">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ascii="宋体" w:hAnsi="宋体" w:eastAsia="宋体" w:cs="宋体"/>
                <w:color w:val="auto"/>
                <w:sz w:val="24"/>
                <w:szCs w:val="24"/>
              </w:rPr>
            </w:pPr>
            <w:r>
              <w:rPr>
                <w:rFonts w:hint="eastAsia" w:ascii="宋体" w:hAnsi="宋体" w:eastAsia="宋体" w:cs="宋体"/>
                <w:color w:val="auto"/>
                <w:sz w:val="24"/>
                <w:szCs w:val="24"/>
                <w:lang w:val="en-US" w:eastAsia="zh-CN"/>
              </w:rPr>
              <w:t>①</w:t>
            </w:r>
            <w:r>
              <w:rPr>
                <w:rFonts w:ascii="宋体" w:hAnsi="宋体" w:eastAsia="宋体" w:cs="宋体"/>
                <w:color w:val="auto"/>
                <w:sz w:val="24"/>
                <w:szCs w:val="24"/>
              </w:rPr>
              <w:t>贮存点应具有固定的区域边界，并应采取与其他区域进行隔离的措施。</w:t>
            </w:r>
          </w:p>
          <w:p w14:paraId="0CFA9B9B">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ascii="宋体" w:hAnsi="宋体" w:eastAsia="宋体" w:cs="宋体"/>
                <w:color w:val="auto"/>
                <w:sz w:val="24"/>
                <w:szCs w:val="24"/>
              </w:rPr>
            </w:pPr>
            <w:r>
              <w:rPr>
                <w:rFonts w:hint="eastAsia" w:ascii="宋体" w:hAnsi="宋体" w:eastAsia="宋体" w:cs="宋体"/>
                <w:color w:val="auto"/>
                <w:sz w:val="24"/>
                <w:szCs w:val="24"/>
                <w:lang w:val="en-US" w:eastAsia="zh-CN"/>
              </w:rPr>
              <w:t>②</w:t>
            </w:r>
            <w:r>
              <w:rPr>
                <w:rFonts w:ascii="宋体" w:hAnsi="宋体" w:eastAsia="宋体" w:cs="宋体"/>
                <w:color w:val="auto"/>
                <w:sz w:val="24"/>
                <w:szCs w:val="24"/>
              </w:rPr>
              <w:t>贮存点应采取防风、防雨、防晒和防止危险废物流失、扬散等措施。</w:t>
            </w:r>
          </w:p>
          <w:p w14:paraId="7D16D5E3">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ascii="宋体" w:hAnsi="宋体" w:eastAsia="宋体" w:cs="宋体"/>
                <w:color w:val="auto"/>
                <w:sz w:val="24"/>
                <w:szCs w:val="24"/>
              </w:rPr>
            </w:pPr>
            <w:r>
              <w:rPr>
                <w:rFonts w:hint="eastAsia" w:ascii="宋体" w:hAnsi="宋体" w:eastAsia="宋体" w:cs="宋体"/>
                <w:color w:val="auto"/>
                <w:sz w:val="24"/>
                <w:szCs w:val="24"/>
                <w:lang w:val="en-US" w:eastAsia="zh-CN"/>
              </w:rPr>
              <w:t>③</w:t>
            </w:r>
            <w:r>
              <w:rPr>
                <w:rFonts w:ascii="宋体" w:hAnsi="宋体" w:eastAsia="宋体" w:cs="宋体"/>
                <w:color w:val="auto"/>
                <w:sz w:val="24"/>
                <w:szCs w:val="24"/>
              </w:rPr>
              <w:t xml:space="preserve"> 贮存点贮存的危险废物应置于容器或包装物中，不应直接散堆。</w:t>
            </w:r>
          </w:p>
          <w:p w14:paraId="2F943A1C">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ascii="宋体" w:hAnsi="宋体" w:eastAsia="宋体" w:cs="宋体"/>
                <w:color w:val="auto"/>
                <w:sz w:val="24"/>
                <w:szCs w:val="24"/>
              </w:rPr>
            </w:pPr>
            <w:r>
              <w:rPr>
                <w:rFonts w:hint="eastAsia" w:ascii="宋体" w:hAnsi="宋体" w:eastAsia="宋体" w:cs="宋体"/>
                <w:color w:val="auto"/>
                <w:sz w:val="24"/>
                <w:szCs w:val="24"/>
                <w:lang w:val="en-US" w:eastAsia="zh-CN"/>
              </w:rPr>
              <w:t>④</w:t>
            </w:r>
            <w:r>
              <w:rPr>
                <w:rFonts w:ascii="宋体" w:hAnsi="宋体" w:eastAsia="宋体" w:cs="宋体"/>
                <w:color w:val="auto"/>
                <w:sz w:val="24"/>
                <w:szCs w:val="24"/>
              </w:rPr>
              <w:t xml:space="preserve"> 贮存点应根据危险废物的形态、物理化学性质、包装形式等，采取防渗、防漏等污染防治措施</w:t>
            </w:r>
          </w:p>
          <w:p w14:paraId="4409C6FB">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⑤</w:t>
            </w:r>
            <w:r>
              <w:rPr>
                <w:rFonts w:ascii="宋体" w:hAnsi="宋体" w:eastAsia="宋体" w:cs="宋体"/>
                <w:color w:val="auto"/>
                <w:sz w:val="24"/>
                <w:szCs w:val="24"/>
              </w:rPr>
              <w:t>贮存点应及时清运贮存的危险废物，</w:t>
            </w:r>
            <w:r>
              <w:rPr>
                <w:rFonts w:hint="default" w:ascii="Times New Roman" w:hAnsi="Times New Roman" w:eastAsia="宋体" w:cs="Times New Roman"/>
                <w:color w:val="auto"/>
                <w:sz w:val="24"/>
                <w:szCs w:val="24"/>
              </w:rPr>
              <w:t>实时贮存量不应超过3吨</w:t>
            </w:r>
            <w:r>
              <w:rPr>
                <w:rFonts w:hint="default" w:ascii="Times New Roman" w:hAnsi="Times New Roman" w:eastAsia="宋体" w:cs="Times New Roman"/>
                <w:color w:val="auto"/>
                <w:sz w:val="24"/>
                <w:szCs w:val="24"/>
                <w:lang w:eastAsia="zh-CN"/>
              </w:rPr>
              <w:t>。</w:t>
            </w:r>
          </w:p>
          <w:p w14:paraId="38E600A1">
            <w:pPr>
              <w:widowControl w:val="0"/>
              <w:snapToGrid w:val="0"/>
              <w:spacing w:line="500" w:lineRule="exact"/>
              <w:jc w:val="both"/>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7.4</w:t>
            </w:r>
            <w:r>
              <w:rPr>
                <w:rFonts w:hint="default" w:ascii="Times New Roman" w:hAnsi="Times New Roman" w:eastAsia="宋体" w:cs="Times New Roman"/>
                <w:b/>
                <w:bCs/>
                <w:color w:val="auto"/>
                <w:sz w:val="24"/>
                <w:szCs w:val="24"/>
                <w:highlight w:val="none"/>
              </w:rPr>
              <w:t>一般工业固体废物环境管理要求</w:t>
            </w:r>
          </w:p>
          <w:p w14:paraId="6EB2508E">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建设单位应落实污染环境防治责任制度，建立健全工业固体废物产生、收集、贮存、运输、利用、处置全过程的污染环境防治责任制度。建立工业固体废物管理台账，如实记录产生工业固体废物的种类、数量、流向、贮存、利用、处置等信息，实现工业固体废物可追溯、可查询。</w:t>
            </w:r>
          </w:p>
          <w:p w14:paraId="2A20A4ED">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②建设单位应与具有固体废物处置资质的单位签订书面合同，在合同中约定污染防治要求，由受托方负责处置水基岩屑。</w:t>
            </w:r>
          </w:p>
          <w:p w14:paraId="6AE6F70A">
            <w:pPr>
              <w:pStyle w:val="20"/>
              <w:widowControl w:val="0"/>
              <w:ind w:left="0" w:leftChars="0" w:firstLine="0" w:firstLineChars="0"/>
              <w:jc w:val="both"/>
              <w:rPr>
                <w:rFonts w:hint="default" w:ascii="Times New Roman" w:hAnsi="Times New Roman" w:eastAsia="宋体" w:cs="Times New Roman"/>
                <w:b/>
                <w:bCs/>
                <w:color w:val="auto"/>
                <w:sz w:val="24"/>
                <w:szCs w:val="24"/>
                <w:highlight w:val="none"/>
              </w:rPr>
            </w:pPr>
            <w:bookmarkStart w:id="34" w:name="_Hlk183363774"/>
            <w:r>
              <w:rPr>
                <w:rFonts w:hint="eastAsia" w:ascii="Times New Roman" w:hAnsi="Times New Roman" w:eastAsia="宋体" w:cs="Times New Roman"/>
                <w:b/>
                <w:bCs/>
                <w:color w:val="auto"/>
                <w:sz w:val="24"/>
                <w:szCs w:val="24"/>
                <w:highlight w:val="none"/>
                <w:lang w:val="en-US" w:eastAsia="zh-CN"/>
              </w:rPr>
              <w:t>7.5</w:t>
            </w:r>
            <w:r>
              <w:rPr>
                <w:rFonts w:hint="default" w:ascii="Times New Roman" w:hAnsi="Times New Roman" w:eastAsia="宋体" w:cs="Times New Roman"/>
                <w:b/>
                <w:bCs/>
                <w:color w:val="auto"/>
                <w:sz w:val="24"/>
                <w:szCs w:val="24"/>
                <w:highlight w:val="none"/>
              </w:rPr>
              <w:t>危险废物环境管理要求</w:t>
            </w:r>
            <w:bookmarkEnd w:id="34"/>
          </w:p>
          <w:p w14:paraId="4FE2A9FA">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建设单位应对废润滑油、废润滑油桶和沾油的废防渗材料按照《危险废物环境管理指南</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陆上石油天然气开采》中的危险废物环境管理要求进行管理，</w:t>
            </w:r>
            <w:bookmarkEnd w:id="32"/>
            <w:r>
              <w:rPr>
                <w:rFonts w:hint="default" w:ascii="Times New Roman" w:hAnsi="Times New Roman" w:eastAsia="宋体" w:cs="Times New Roman"/>
                <w:color w:val="auto"/>
                <w:sz w:val="24"/>
                <w:szCs w:val="24"/>
                <w:highlight w:val="none"/>
              </w:rPr>
              <w:t>具体如下：</w:t>
            </w:r>
          </w:p>
          <w:p w14:paraId="1AA1748A">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①落实污染环境防治责任制度，建立健全工业危险废物产生、收集、贮存、运输、利用、处置全过程的污染环境防治责任制度。</w:t>
            </w:r>
          </w:p>
          <w:p w14:paraId="621D648C">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②落实危险废物识别标志制度，按照《环境保护图形标志固体废物贮存（处置）场》（GB15562.2）</w:t>
            </w:r>
            <w:r>
              <w:rPr>
                <w:rFonts w:hint="eastAsia" w:ascii="Times New Roman" w:hAnsi="Times New Roman" w:eastAsia="宋体" w:cs="Times New Roman"/>
                <w:color w:val="auto"/>
                <w:sz w:val="24"/>
                <w:szCs w:val="24"/>
                <w:highlight w:val="none"/>
                <w:lang w:val="en-US" w:eastAsia="zh-CN"/>
              </w:rPr>
              <w:t>修改单</w:t>
            </w:r>
            <w:r>
              <w:rPr>
                <w:rFonts w:hint="default" w:ascii="Times New Roman" w:hAnsi="Times New Roman" w:eastAsia="宋体" w:cs="Times New Roman"/>
                <w:color w:val="auto"/>
                <w:sz w:val="24"/>
                <w:szCs w:val="24"/>
                <w:highlight w:val="none"/>
              </w:rPr>
              <w:t>、《危险废物识别标志设置技术规范》（HJ1276-2022）等有关规定，对危险废物的容器和收集、贮存、危险废物的场所设置危险废物识别标志。</w:t>
            </w:r>
          </w:p>
          <w:p w14:paraId="690D00B5">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③落实危险废物管理计划制度，按照《</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"https://www.mee.gov.cn/gkml/hbb/bgg/201601/W020160128385366835993.pdf"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危险废物管理计划和</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管理台账制定技术导则》（HJ1259-2022）等有关要求制定危险废物管理计划，并报所在地生态环境主管部门备案。</w:t>
            </w:r>
          </w:p>
          <w:p w14:paraId="67AADED8">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④落实危险废物管理台账及申报制度，建立危险废物管理台账，如实记录有关信息，并通过国家危险废物信息管理系统向所在地生态环境主管部门申报危险废物的种类、产生量、流向、贮存、处置等有关资料。</w:t>
            </w:r>
          </w:p>
          <w:p w14:paraId="6B2F086C">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⑤落实危险废物转移联单制度，转移危险废物的，应当按照《危险废物转移管理办法》的有关规定填写、运行危险废物转移联单。</w:t>
            </w:r>
          </w:p>
          <w:p w14:paraId="24E6090F">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⑥各类危险废物分区暂存在井场设置的危险废物，危废</w:t>
            </w:r>
            <w:r>
              <w:rPr>
                <w:rFonts w:hint="default" w:ascii="Times New Roman" w:hAnsi="Times New Roman" w:eastAsia="宋体" w:cs="Times New Roman"/>
                <w:color w:val="auto"/>
                <w:sz w:val="24"/>
                <w:szCs w:val="24"/>
                <w:highlight w:val="none"/>
                <w:lang w:eastAsia="zh-CN"/>
              </w:rPr>
              <w:t>贮存</w:t>
            </w:r>
            <w:r>
              <w:rPr>
                <w:rFonts w:hint="eastAsia" w:ascii="Times New Roman" w:hAnsi="Times New Roman" w:eastAsia="宋体" w:cs="Times New Roman"/>
                <w:color w:val="auto"/>
                <w:sz w:val="24"/>
                <w:szCs w:val="24"/>
                <w:highlight w:val="none"/>
                <w:lang w:val="en-US" w:eastAsia="zh-CN"/>
              </w:rPr>
              <w:t>点</w:t>
            </w:r>
            <w:r>
              <w:rPr>
                <w:rFonts w:hint="default" w:ascii="Times New Roman" w:hAnsi="Times New Roman" w:eastAsia="宋体" w:cs="Times New Roman"/>
                <w:color w:val="auto"/>
                <w:sz w:val="24"/>
                <w:szCs w:val="24"/>
                <w:highlight w:val="none"/>
              </w:rPr>
              <w:t>建设须满足《危险废物贮存污染控制标准》（GB18597-2023）中的相关要求，具体如下：井场危废</w:t>
            </w:r>
            <w:r>
              <w:rPr>
                <w:rFonts w:hint="default" w:ascii="Times New Roman" w:hAnsi="Times New Roman" w:eastAsia="宋体" w:cs="Times New Roman"/>
                <w:color w:val="auto"/>
                <w:sz w:val="24"/>
                <w:szCs w:val="24"/>
                <w:highlight w:val="none"/>
                <w:lang w:eastAsia="zh-CN"/>
              </w:rPr>
              <w:t>贮存库</w:t>
            </w:r>
            <w:r>
              <w:rPr>
                <w:rFonts w:hint="default" w:ascii="Times New Roman" w:hAnsi="Times New Roman" w:eastAsia="宋体" w:cs="Times New Roman"/>
                <w:color w:val="auto"/>
                <w:sz w:val="24"/>
                <w:szCs w:val="24"/>
                <w:highlight w:val="none"/>
              </w:rPr>
              <w:t>应采取防风、防雨、防晒和防止危险废物流失、扬散等措施；</w:t>
            </w:r>
            <w:r>
              <w:rPr>
                <w:rFonts w:hint="default" w:ascii="Times New Roman" w:hAnsi="Times New Roman" w:eastAsia="宋体" w:cs="Times New Roman"/>
                <w:color w:val="auto"/>
                <w:sz w:val="24"/>
                <w:szCs w:val="24"/>
                <w:highlight w:val="none"/>
                <w:lang w:eastAsia="zh-CN"/>
              </w:rPr>
              <w:t>贮存库</w:t>
            </w:r>
            <w:r>
              <w:rPr>
                <w:rFonts w:hint="default" w:ascii="Times New Roman" w:hAnsi="Times New Roman" w:eastAsia="宋体" w:cs="Times New Roman"/>
                <w:color w:val="auto"/>
                <w:sz w:val="24"/>
                <w:szCs w:val="24"/>
                <w:highlight w:val="none"/>
              </w:rPr>
              <w:t>贮存的危险废物应置于容器或包装物中，不应直接散堆；应根据危险废物的形态、物理化学性质、包装形式等，采取防渗、防漏等污染防治措施；</w:t>
            </w:r>
            <w:r>
              <w:rPr>
                <w:rFonts w:hint="default" w:ascii="Times New Roman" w:hAnsi="Times New Roman" w:eastAsia="宋体" w:cs="Times New Roman"/>
                <w:color w:val="auto"/>
                <w:sz w:val="24"/>
                <w:szCs w:val="24"/>
                <w:highlight w:val="none"/>
                <w:lang w:eastAsia="zh-CN"/>
              </w:rPr>
              <w:t>贮存库</w:t>
            </w:r>
            <w:r>
              <w:rPr>
                <w:rFonts w:hint="default" w:ascii="Times New Roman" w:hAnsi="Times New Roman" w:eastAsia="宋体" w:cs="Times New Roman"/>
                <w:color w:val="auto"/>
                <w:sz w:val="24"/>
                <w:szCs w:val="24"/>
                <w:highlight w:val="none"/>
              </w:rPr>
              <w:t>应及时清运贮存的危险废物，实时贮存量不应超过</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t。各类危险废物定期由依法签订书面合同具有相应危险废物处置资质的单位（受托方）进行接收、转运和处置。</w:t>
            </w:r>
          </w:p>
          <w:bookmarkEnd w:id="33"/>
          <w:p w14:paraId="0045D028">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上述固体废物处置措施均为技术可行和稳定可靠的成熟措施，钻试工程产生的固体废物均得到妥善处置，不会对环境造成不利影响。</w:t>
            </w:r>
          </w:p>
          <w:p w14:paraId="4E571A7F">
            <w:pPr>
              <w:widowControl w:val="0"/>
              <w:snapToGrid w:val="0"/>
              <w:spacing w:line="480" w:lineRule="exact"/>
              <w:jc w:val="both"/>
              <w:rPr>
                <w:rFonts w:hint="default" w:ascii="Times New Roman" w:hAnsi="Times New Roman" w:eastAsia="宋体" w:cs="Times New Roman"/>
                <w:b/>
                <w:bCs/>
                <w:color w:val="auto"/>
                <w:sz w:val="24"/>
                <w:szCs w:val="24"/>
                <w:highlight w:val="none"/>
              </w:rPr>
            </w:pPr>
            <w:bookmarkStart w:id="35" w:name="OLE_LINK66"/>
            <w:r>
              <w:rPr>
                <w:rFonts w:hint="eastAsia"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环境风险应急措施及应急要求</w:t>
            </w:r>
          </w:p>
          <w:bookmarkEnd w:id="35"/>
          <w:p w14:paraId="3E419FC1">
            <w:pPr>
              <w:pStyle w:val="20"/>
              <w:widowControl w:val="0"/>
              <w:ind w:left="0" w:leftChars="0" w:firstLine="0" w:firstLineChars="0"/>
              <w:jc w:val="both"/>
              <w:rPr>
                <w:rFonts w:hint="default"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eastAsia="zh-CN"/>
              </w:rPr>
              <w:t>管理要求</w:t>
            </w:r>
          </w:p>
          <w:p w14:paraId="5680CCF3">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以及施工钻井队结合行业作业规范，设置有专职安全环保管理人员，把安全、环境管理纳入生产管理的各个环节，对防止事故的发生能起到非常积极的作用。现场作业严格按照《石油天然气钻井作业健康、安全与环境管理导则》（Q/SY08053-2017）的要求执行。</w:t>
            </w:r>
          </w:p>
          <w:p w14:paraId="61F38BE7">
            <w:pPr>
              <w:widowControl w:val="0"/>
              <w:snapToGrid w:val="0"/>
              <w:spacing w:line="480" w:lineRule="exact"/>
              <w:jc w:val="both"/>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井喷环境风险防范措施</w:t>
            </w:r>
          </w:p>
          <w:p w14:paraId="3C46FA23">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①设有井控装置，钻井工程中各岗位必须严格分工，定期对井控装置进行维护、保养、检查，保证井控装置及工具灵活可用、始终处于待命状态；落实溢流监测岗位、关井操作岗位和钻井队干部值班制度。</w:t>
            </w:r>
          </w:p>
          <w:p w14:paraId="08506D47">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钻开油层后：落实专人坐岗，观察井口和循环池液面变化，发现溢流、井漏及油气显示等异常情况应立即报告司钻；钻开油层后，每次起下钻（离上次活动时间超过5d）对闸板防喷器及手动锁紧装置开关活动一次，定期对井控装置进行试压；起钻杆时每3～5柱向环空灌满泥浆，起钻铤要连续灌浆，作好记录、校核，若灌入泥浆量大于或小于应灌入量，均应停止起钻作业并进行观察。如有溢流，应立即关井求压。如有井漏，应及时采取相应措施。安排专人观察出口管钻井液返出情况，严禁在空井情况下检修设备；钻开油层后，所有车辆应停放在距井口以外30m，必须进入距井口30m以内的车辆，应安装阻火器，车头朝外停放。</w:t>
            </w:r>
          </w:p>
          <w:p w14:paraId="655E7437">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溢流处理和压井措施：最大允许关井压力应考虑井口装置额定工作压力、套管抗内压强度的80%和薄弱地层破裂压力所允许的关井压力。在允许关井套压内严禁放喷。天然气溢流不允许长时间关井而不作处理。在等候加重材料或在加重过程中，应采取井筒压力控制措施防止井口压力过高。空井溢流关井后，根据溢流的严重程度，可采用置换法和压回法等方法进行处理。</w:t>
            </w:r>
          </w:p>
          <w:p w14:paraId="3BDF0316">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测井、固井、完井等作业时，要严格执行安全操作规程和井控措施，避免发生井下复杂情况和井喷失控事故。电测前井内情况应正常、稳定；测井队到井后应向井队了解井况，确认油气上窜安全作业时间，若电测时间超过等值时间，应中途通井循环再电测。测井队专用剪切工具应放置在钻台上，随时处于待命状态。发生溢流征兆应立即停止电测，尽快起出井内电缆，当危及井控安全时，立即实施剪断电缆并关井。由钻井队队长决定何时切断电缆并进行关井作业，测井队队长负责实施剪断电缆工作。不允许用关闭环形防喷器的方法起电缆。</w:t>
            </w:r>
          </w:p>
          <w:p w14:paraId="7000345C">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lang w:bidi="ar"/>
              </w:rPr>
            </w:pPr>
            <w:bookmarkStart w:id="36" w:name="_Hlk183350582"/>
            <w:r>
              <w:rPr>
                <w:rFonts w:hint="default" w:ascii="Times New Roman" w:hAnsi="Times New Roman" w:eastAsia="宋体" w:cs="Times New Roman"/>
                <w:color w:val="auto"/>
                <w:sz w:val="24"/>
                <w:szCs w:val="24"/>
                <w:highlight w:val="none"/>
                <w:lang w:bidi="ar"/>
              </w:rPr>
              <w:t>⑤一旦发生井喷突发事件，应立即启动相应的环境突发事件专项应急预案，立即关闭井口切断污染源，根据需要建设应急放喷池</w:t>
            </w:r>
            <w:r>
              <w:rPr>
                <w:rFonts w:hint="default" w:ascii="Times New Roman" w:hAnsi="Times New Roman" w:eastAsia="宋体" w:cs="Times New Roman"/>
                <w:color w:val="auto"/>
                <w:sz w:val="24"/>
                <w:szCs w:val="24"/>
                <w:highlight w:val="none"/>
                <w:lang w:eastAsia="zh-CN" w:bidi="ar"/>
              </w:rPr>
              <w:t>，各井场左右两侧各设置1条放喷管线，在井场两侧建设应急放喷池（5m×10m×4.5m），</w:t>
            </w:r>
            <w:r>
              <w:rPr>
                <w:rFonts w:hint="default" w:ascii="Times New Roman" w:hAnsi="Times New Roman" w:eastAsia="宋体" w:cs="Times New Roman"/>
                <w:color w:val="auto"/>
                <w:sz w:val="24"/>
                <w:szCs w:val="24"/>
                <w:highlight w:val="none"/>
                <w:lang w:val="en-US" w:eastAsia="zh-CN" w:bidi="ar"/>
              </w:rPr>
              <w:t>容积约</w:t>
            </w:r>
            <w:r>
              <w:rPr>
                <w:rFonts w:hint="default" w:ascii="Times New Roman" w:hAnsi="Times New Roman" w:eastAsia="宋体" w:cs="Times New Roman"/>
                <w:bCs/>
                <w:color w:val="auto"/>
                <w:sz w:val="24"/>
                <w:szCs w:val="24"/>
                <w:highlight w:val="none"/>
              </w:rPr>
              <w:t>225m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color w:val="auto"/>
                <w:sz w:val="24"/>
                <w:szCs w:val="24"/>
                <w:highlight w:val="none"/>
                <w:lang w:bidi="ar"/>
              </w:rPr>
              <w:t>，控制原油污染面积，对放喷液进行集中收集处理，同时及时通知可能受影响的人员进行疏散；切断一切可能扩大污染范围的环节，严防污染区域的扩大。采取围、堵等措施限制固体废弃物和溢油扩散范围；</w:t>
            </w:r>
            <w:bookmarkStart w:id="37" w:name="_Hlk183363993"/>
            <w:r>
              <w:rPr>
                <w:rFonts w:hint="default" w:ascii="Times New Roman" w:hAnsi="Times New Roman" w:eastAsia="宋体" w:cs="Times New Roman"/>
                <w:color w:val="auto"/>
                <w:sz w:val="24"/>
                <w:szCs w:val="24"/>
                <w:highlight w:val="none"/>
                <w:lang w:bidi="ar"/>
              </w:rPr>
              <w:t>将溢油最大限度地回收，对少量确实无法回收的油以及受污染的土壤形成的落地油，采用铲除油泥层等有效方法，落地油泥用专用罐收集，最终交由有危险废物处置资质的单位处置，以降低残油对生态环境的污染程度；</w:t>
            </w:r>
            <w:bookmarkEnd w:id="37"/>
            <w:r>
              <w:rPr>
                <w:rFonts w:hint="default" w:ascii="Times New Roman" w:hAnsi="Times New Roman" w:eastAsia="宋体" w:cs="Times New Roman"/>
                <w:color w:val="auto"/>
                <w:sz w:val="24"/>
                <w:szCs w:val="24"/>
                <w:highlight w:val="none"/>
                <w:lang w:bidi="ar"/>
              </w:rPr>
              <w:t>同时迅速布点监测，在第一时间确定污染物种类和浓度，出具监测数据，评估污染物转移、扩散速率；对污染状况进行跟踪调查，根据监测数据分析，预测污染迁移强度、速度和影响范围，及时调整对策。</w:t>
            </w:r>
            <w:bookmarkEnd w:id="36"/>
          </w:p>
          <w:p w14:paraId="26EB89F1">
            <w:pPr>
              <w:widowControl w:val="0"/>
              <w:snapToGrid w:val="0"/>
              <w:spacing w:line="480" w:lineRule="exact"/>
              <w:ind w:firstLine="480" w:firstLineChars="200"/>
              <w:jc w:val="both"/>
              <w:rPr>
                <w:rFonts w:hint="default" w:ascii="Times New Roman" w:hAnsi="Times New Roman" w:eastAsia="宋体" w:cs="Times New Roman"/>
                <w:snapToGrid w:val="0"/>
                <w:color w:val="auto"/>
                <w:kern w:val="0"/>
                <w:sz w:val="24"/>
                <w:szCs w:val="24"/>
                <w:highlight w:val="none"/>
                <w:lang w:val="en-US" w:eastAsia="zh-CN" w:bidi="ar"/>
              </w:rPr>
            </w:pPr>
            <w:r>
              <w:rPr>
                <w:rFonts w:hint="default" w:ascii="Times New Roman" w:hAnsi="Times New Roman" w:eastAsia="宋体" w:cs="Times New Roman"/>
                <w:snapToGrid w:val="0"/>
                <w:color w:val="auto"/>
                <w:kern w:val="0"/>
                <w:sz w:val="24"/>
                <w:szCs w:val="24"/>
                <w:highlight w:val="none"/>
                <w:lang w:val="en-US" w:eastAsia="en-US" w:bidi="ar"/>
              </w:rPr>
              <w:t>井喷后土壤污染修复措施主要包括物理修复、化学修复和生物修复三大类，具体措施需根据污染类型和严重程度选择。实施流程</w:t>
            </w:r>
            <w:r>
              <w:rPr>
                <w:rFonts w:hint="default" w:ascii="Times New Roman" w:hAnsi="Times New Roman" w:eastAsia="宋体" w:cs="Times New Roman"/>
                <w:snapToGrid w:val="0"/>
                <w:color w:val="auto"/>
                <w:kern w:val="0"/>
                <w:sz w:val="24"/>
                <w:szCs w:val="24"/>
                <w:highlight w:val="none"/>
                <w:lang w:val="en-US" w:eastAsia="zh-CN" w:bidi="ar"/>
              </w:rPr>
              <w:t>如下：</w:t>
            </w:r>
          </w:p>
          <w:p w14:paraId="269F9785">
            <w:pPr>
              <w:widowControl w:val="0"/>
              <w:snapToGrid w:val="0"/>
              <w:spacing w:line="480" w:lineRule="exact"/>
              <w:ind w:firstLine="480" w:firstLineChars="200"/>
              <w:jc w:val="both"/>
              <w:rPr>
                <w:rFonts w:hint="default" w:ascii="Times New Roman" w:hAnsi="Times New Roman" w:eastAsia="宋体" w:cs="Times New Roman"/>
                <w:snapToGrid w:val="0"/>
                <w:color w:val="auto"/>
                <w:kern w:val="0"/>
                <w:sz w:val="24"/>
                <w:szCs w:val="24"/>
                <w:highlight w:val="none"/>
                <w:lang w:val="en-US" w:eastAsia="en-US" w:bidi="ar"/>
              </w:rPr>
            </w:pPr>
            <w:r>
              <w:rPr>
                <w:rFonts w:hint="default" w:ascii="Times New Roman" w:hAnsi="Times New Roman" w:eastAsia="宋体" w:cs="Times New Roman"/>
                <w:snapToGrid w:val="0"/>
                <w:color w:val="auto"/>
                <w:kern w:val="0"/>
                <w:sz w:val="24"/>
                <w:szCs w:val="24"/>
                <w:highlight w:val="none"/>
                <w:lang w:val="en-US" w:eastAsia="en-US" w:bidi="ar"/>
              </w:rPr>
              <w:t>‌污染评估‌：通过网格采样分析污染物类型及浓度分布，确定风险等级。‌</w:t>
            </w:r>
          </w:p>
          <w:p w14:paraId="050B7200">
            <w:pPr>
              <w:widowControl w:val="0"/>
              <w:snapToGrid w:val="0"/>
              <w:spacing w:line="480" w:lineRule="exact"/>
              <w:ind w:firstLine="480" w:firstLineChars="200"/>
              <w:jc w:val="both"/>
              <w:rPr>
                <w:rFonts w:hint="default" w:ascii="Times New Roman" w:hAnsi="Times New Roman" w:eastAsia="宋体" w:cs="Times New Roman"/>
                <w:snapToGrid w:val="0"/>
                <w:color w:val="auto"/>
                <w:kern w:val="0"/>
                <w:sz w:val="24"/>
                <w:szCs w:val="24"/>
                <w:highlight w:val="none"/>
                <w:lang w:val="en-US" w:eastAsia="en-US" w:bidi="ar"/>
              </w:rPr>
            </w:pPr>
            <w:r>
              <w:rPr>
                <w:rFonts w:hint="default" w:ascii="Times New Roman" w:hAnsi="Times New Roman" w:eastAsia="宋体" w:cs="Times New Roman"/>
                <w:snapToGrid w:val="0"/>
                <w:color w:val="auto"/>
                <w:kern w:val="0"/>
                <w:sz w:val="24"/>
                <w:szCs w:val="24"/>
                <w:highlight w:val="none"/>
                <w:lang w:val="en-US" w:eastAsia="en-US" w:bidi="ar"/>
              </w:rPr>
              <w:t>‌方案设计‌：比选3种以上技术路线，制定工程量及预算。</w:t>
            </w:r>
          </w:p>
          <w:p w14:paraId="645B5D69">
            <w:pPr>
              <w:widowControl w:val="0"/>
              <w:snapToGrid w:val="0"/>
              <w:spacing w:line="480" w:lineRule="exact"/>
              <w:ind w:firstLine="480" w:firstLineChars="200"/>
              <w:jc w:val="both"/>
              <w:rPr>
                <w:rFonts w:hint="default" w:ascii="Times New Roman" w:hAnsi="Times New Roman" w:eastAsia="宋体" w:cs="Times New Roman"/>
                <w:snapToGrid w:val="0"/>
                <w:color w:val="auto"/>
                <w:kern w:val="0"/>
                <w:sz w:val="24"/>
                <w:szCs w:val="24"/>
                <w:highlight w:val="none"/>
                <w:lang w:val="en-US" w:eastAsia="en-US" w:bidi="ar"/>
              </w:rPr>
            </w:pPr>
            <w:r>
              <w:rPr>
                <w:rFonts w:hint="default" w:ascii="Times New Roman" w:hAnsi="Times New Roman" w:eastAsia="宋体" w:cs="Times New Roman"/>
                <w:snapToGrid w:val="0"/>
                <w:color w:val="auto"/>
                <w:kern w:val="0"/>
                <w:sz w:val="24"/>
                <w:szCs w:val="24"/>
                <w:highlight w:val="none"/>
                <w:lang w:val="en-US" w:eastAsia="en-US" w:bidi="ar"/>
              </w:rPr>
              <w:t>‌施工监测‌：实施过程中定期检测效果，确保达标后再利用。</w:t>
            </w:r>
          </w:p>
          <w:p w14:paraId="18B561EF">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⑥试油期产生的伴生气气量不稳定，不具备回收利用条件，经放喷管线充分燃烧后排放；建设单位应定期检查伴生气燃烧设备，加强燃烧设备的运营维护，确保伴生气充分燃烧，减少污染物的排放。</w:t>
            </w:r>
          </w:p>
          <w:p w14:paraId="759A6EEE">
            <w:pPr>
              <w:widowControl w:val="0"/>
              <w:snapToGrid w:val="0"/>
              <w:spacing w:line="480" w:lineRule="exact"/>
              <w:jc w:val="both"/>
              <w:rPr>
                <w:rFonts w:hint="default" w:ascii="Times New Roman" w:hAnsi="Times New Roman" w:eastAsia="宋体" w:cs="Times New Roman"/>
                <w:b/>
                <w:bCs/>
                <w:color w:val="auto"/>
                <w:sz w:val="24"/>
                <w:szCs w:val="24"/>
                <w:highlight w:val="none"/>
              </w:rPr>
            </w:pPr>
            <w:bookmarkStart w:id="38" w:name="OLE_LINK67"/>
            <w:bookmarkStart w:id="39" w:name="_Hlk187171839"/>
            <w:r>
              <w:rPr>
                <w:rFonts w:hint="eastAsia"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储罐泄漏防范措施</w:t>
            </w:r>
          </w:p>
          <w:p w14:paraId="599CBDFC">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①选用质量、防腐措施合格的储罐。安装过程中焊接要经过100%的探伤，安装时应选择刚性不燃的坚固基础作为罐体基础。储罐在投用前，必须严格按照《压力容器安全技术监察规程》进行强度和气密性试验。</w:t>
            </w:r>
          </w:p>
          <w:p w14:paraId="4168B4AB">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②储罐区应严格用火管理，采用有效的避雷装置和接地装置等防止雷电的措施。</w:t>
            </w:r>
          </w:p>
          <w:p w14:paraId="6CEF4952">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③加强储罐和管线接口的检查工作，防止腐蚀穿孔。定期进行壁厚检测，腐蚀余量低于规定的允许值时，要及时进行检修和更换。</w:t>
            </w:r>
          </w:p>
          <w:p w14:paraId="5001C50F">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bookmarkStart w:id="40" w:name="_Hlk183350612"/>
            <w:r>
              <w:rPr>
                <w:rFonts w:hint="default" w:ascii="Times New Roman" w:hAnsi="Times New Roman" w:eastAsia="宋体" w:cs="Times New Roman"/>
                <w:color w:val="auto"/>
                <w:sz w:val="24"/>
                <w:szCs w:val="24"/>
                <w:highlight w:val="none"/>
                <w:lang w:bidi="ar"/>
              </w:rPr>
              <w:t>④</w:t>
            </w:r>
            <w:bookmarkStart w:id="41" w:name="_Hlk183364061"/>
            <w:r>
              <w:rPr>
                <w:rFonts w:hint="default" w:ascii="Times New Roman" w:hAnsi="Times New Roman" w:eastAsia="宋体" w:cs="Times New Roman"/>
                <w:color w:val="auto"/>
                <w:sz w:val="24"/>
                <w:szCs w:val="24"/>
                <w:highlight w:val="none"/>
                <w:lang w:bidi="ar"/>
              </w:rPr>
              <w:t>井场各类储罐、特别是油类物质及危险废物储罐底部均应铺设符合要求的防渗材料，一旦发生泄漏须及时发现并采取有效的堵漏措施，同时对产生的落地油泥用专用罐收集，最终交由有危险废物处置资质的单位处置；加强储罐运输环节的管理，避免出现储罐泄漏风险事故发生。</w:t>
            </w:r>
            <w:bookmarkEnd w:id="40"/>
            <w:bookmarkEnd w:id="41"/>
          </w:p>
          <w:p w14:paraId="43B94C1D">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⑤加强消防安全管理</w:t>
            </w:r>
          </w:p>
          <w:p w14:paraId="229D2157">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定期进行消防培训与实战演练，要求岗位工作人员具有较强的消防安全意识，加强巡检，确保无异常情况出现。</w:t>
            </w:r>
          </w:p>
          <w:bookmarkEnd w:id="38"/>
          <w:p w14:paraId="53A6E06F">
            <w:pPr>
              <w:widowControl w:val="0"/>
              <w:snapToGrid w:val="0"/>
              <w:spacing w:line="480" w:lineRule="exact"/>
              <w:jc w:val="both"/>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井漏防范措施</w:t>
            </w:r>
          </w:p>
          <w:p w14:paraId="113FEB57">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①建立、健全各项安全管理制度以及配套的工艺、设备安全操作规程并严格执行，确保施工质量，防漏、防窜，做好防腐工作。</w:t>
            </w:r>
          </w:p>
          <w:p w14:paraId="446CA627">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②操作人员应密切注意设备运行状况，发现管件破裂刺漏等问题及时处理；作业现场应配备消防设备以备应急救援。</w:t>
            </w:r>
          </w:p>
          <w:p w14:paraId="600631C8">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③严格要求套管下入深度、确保固井质量。</w:t>
            </w:r>
          </w:p>
          <w:p w14:paraId="48A3F24D">
            <w:pPr>
              <w:keepNext w:val="0"/>
              <w:keepLines w:val="0"/>
              <w:pageBreakBefore w:val="0"/>
              <w:widowControl w:val="0"/>
              <w:kinsoku/>
              <w:wordWrap/>
              <w:overflowPunct w:val="0"/>
              <w:topLinePunct w:val="0"/>
              <w:autoSpaceDE w:val="0"/>
              <w:autoSpaceDN w:val="0"/>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④工程施工单位需具备相应资质，加强对施工现场的安全组织管理和监督。</w:t>
            </w:r>
          </w:p>
          <w:p w14:paraId="5CCD01CC">
            <w:pPr>
              <w:widowControl w:val="0"/>
              <w:snapToGrid w:val="0"/>
              <w:spacing w:line="480" w:lineRule="exact"/>
              <w:jc w:val="both"/>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硫化氢防范措施</w:t>
            </w:r>
          </w:p>
          <w:p w14:paraId="58D947CD">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①在钻井、试油作业过程中配备便携式硫化氢监测仪，做好硫化氢监测预警工作，并制定防硫化氢应急预案。当监测到硫化氢浓度大于75mg/m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（50ppm）时，按照含硫油气井作业规程执行。</w:t>
            </w:r>
          </w:p>
          <w:p w14:paraId="742DD765">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②钻井期在作业现场显著位置设置5处风向标；试油期设置2处风向标，并在不同方向上划定2个紧急集合点，并规划撤离路线，发生紧急情况时向上风向撤离。</w:t>
            </w:r>
          </w:p>
          <w:p w14:paraId="3146C5C7">
            <w:pPr>
              <w:pStyle w:val="20"/>
              <w:widowControl w:val="0"/>
              <w:ind w:left="0" w:leftChars="0" w:firstLine="0" w:firstLineChars="0"/>
              <w:jc w:val="both"/>
              <w:rPr>
                <w:rFonts w:hint="default" w:ascii="Times New Roman" w:hAnsi="Times New Roman" w:eastAsia="宋体" w:cs="Times New Roman"/>
                <w:b/>
                <w:bCs/>
                <w:color w:val="auto"/>
                <w:sz w:val="24"/>
                <w:szCs w:val="24"/>
                <w:highlight w:val="none"/>
              </w:rPr>
            </w:pPr>
            <w:bookmarkStart w:id="42" w:name="OLE_LINK68"/>
            <w:r>
              <w:rPr>
                <w:rFonts w:hint="eastAsia"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物料运输环境风险防范措施</w:t>
            </w:r>
          </w:p>
          <w:bookmarkEnd w:id="39"/>
          <w:bookmarkEnd w:id="42"/>
          <w:p w14:paraId="2972BD31">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加强各类储罐运输环节的管理，避免出现储罐泄漏风险事故发生。各类罐车装卸作业过程中，必须严格遵守操作规程，轻装、轻卸、严禁摔碰撞击、重压、倒置，防止钻井废水、柴油等污染物撒漏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使用的工具不得损伤罐体,不能粘有与所装货物相抵触的污染物。操作过程中，有关人员不能擅自离岗机动车辆排气管安装有效的隔热和熄灭火星装置，电路系统应有切断总电源和隔离电火花装置，配备相应的消防器材和工具，防止柴油罐发生火灾爆炸事故。</w:t>
            </w:r>
          </w:p>
          <w:p w14:paraId="2B7DCD39">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运输途中，司机时刻要谨慎行驶，注意适当限速，保持安全车距。危险废物在储存、转移、处理过程中应严格执行《危险废物转移管理办法》（部令第23号）并制定内部转移、转运制度。确保危险废物的运输安全可靠，减少或避免运输过程中的二次污染和可能造成的环境风险。</w:t>
            </w:r>
          </w:p>
          <w:p w14:paraId="4B201D8B">
            <w:pPr>
              <w:widowControl w:val="0"/>
              <w:snapToGrid w:val="0"/>
              <w:spacing w:line="480" w:lineRule="exact"/>
              <w:jc w:val="both"/>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rPr>
              <w:t>环境风险应急预案</w:t>
            </w:r>
          </w:p>
          <w:p w14:paraId="059D676E">
            <w:pPr>
              <w:widowControl w:val="0"/>
              <w:snapToGrid w:val="0"/>
              <w:spacing w:line="480" w:lineRule="exact"/>
              <w:ind w:firstLine="480"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本项目归属中国石油天然气股份有限公司吐哈油田分公司准东采油管理区管辖，应将项目实施区域纳入《中国石油天然气股份有限公司吐哈油田分公司准东采油管理区突发环境事件应急预案》。</w:t>
            </w:r>
          </w:p>
          <w:p w14:paraId="5F63E042">
            <w:pPr>
              <w:widowControl w:val="0"/>
              <w:snapToGrid w:val="0"/>
              <w:spacing w:line="480" w:lineRule="exact"/>
              <w:jc w:val="both"/>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结论</w:t>
            </w:r>
          </w:p>
          <w:p w14:paraId="0C1D76BA">
            <w:pPr>
              <w:widowControl w:val="0"/>
              <w:snapToGrid w:val="0"/>
              <w:spacing w:line="480" w:lineRule="exact"/>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rPr>
              <w:t>施工期发生风险事故的概率较小，且制定了较为周全的风险事故防范措施和事故应急预案，当发生风险事故时立即启动事故应急预案，确保事故不扩大，避免对周边环境造成较大危害。在采取严格的安全防护和风险防范措施后，环境风险可控。</w:t>
            </w:r>
          </w:p>
        </w:tc>
      </w:tr>
      <w:tr w14:paraId="39A87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Align w:val="center"/>
          </w:tcPr>
          <w:p w14:paraId="43EDDF00">
            <w:pPr>
              <w:widowControl w:val="0"/>
              <w:adjustRightInd w:val="0"/>
              <w:snapToGrid w:val="0"/>
              <w:spacing w:line="36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spacing w:val="10"/>
                <w:sz w:val="24"/>
                <w:szCs w:val="24"/>
                <w:highlight w:val="none"/>
              </w:rPr>
              <w:t>运营期生态环境保护措施</w:t>
            </w:r>
          </w:p>
        </w:tc>
        <w:tc>
          <w:tcPr>
            <w:tcW w:w="4728" w:type="pct"/>
            <w:vAlign w:val="center"/>
          </w:tcPr>
          <w:p w14:paraId="38634AB0">
            <w:pPr>
              <w:pStyle w:val="20"/>
              <w:widowControl w:val="0"/>
              <w:jc w:val="both"/>
              <w:rPr>
                <w:rFonts w:hint="default" w:ascii="Times New Roman" w:hAnsi="Times New Roman" w:eastAsia="宋体" w:cs="Times New Roman"/>
                <w:color w:val="auto"/>
                <w:sz w:val="24"/>
                <w:szCs w:val="24"/>
                <w:highlight w:val="none"/>
              </w:rPr>
            </w:pPr>
            <w:bookmarkStart w:id="43" w:name="_Hlk189409650"/>
            <w:bookmarkStart w:id="44" w:name="OLE_LINK30"/>
            <w:r>
              <w:rPr>
                <w:rFonts w:hint="default" w:ascii="Times New Roman" w:hAnsi="Times New Roman" w:eastAsia="宋体" w:cs="Times New Roman"/>
                <w:color w:val="auto"/>
                <w:sz w:val="24"/>
                <w:szCs w:val="24"/>
                <w:highlight w:val="none"/>
              </w:rPr>
              <w:t>根据试采结果决定新钻井是否转为生产井，若可转为生产井，则应当在产能开发建设前对其开展环境影响评价工作，编制环境影响评价文件；若不具备转产条件，则应根据《废弃井封井回填技术指南（试行）》《废弃井及长停井处置指南》（SY/T6646-2017）、《陆上石油天然气生产环境保护推荐作法》（SY/T6628-2005）、《矿山生态环境保护与恢复治理技术规范（试行）》（HJ651-2013）和中国石油天然气股份有限公司吐哈油田分公司准东采油管理区的相关要求对新钻井进行封堵，并拆除相关设施，确保无土壤及地下水环境污染遗留问题、废弃物均得到妥善处置，制定生态恢复方案，并做好以下生态保护措施：</w:t>
            </w:r>
          </w:p>
          <w:bookmarkEnd w:id="43"/>
          <w:p w14:paraId="49C07EDD">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（1）封井材料应无污染，不得使用可能对地下水造成污染的材料。</w:t>
            </w:r>
          </w:p>
          <w:p w14:paraId="01D059A9">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（2）应开展井盖封堵或密闭填充，对废弃井进行封井回填并做好井口处置，确保地表污染物不进入井内，各层位地下水不连通。</w:t>
            </w:r>
          </w:p>
          <w:p w14:paraId="494BC039">
            <w:pPr>
              <w:pStyle w:val="20"/>
              <w:widowControl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（3）确保封井质量合格。</w:t>
            </w:r>
          </w:p>
          <w:p w14:paraId="2C84BFA9">
            <w:pPr>
              <w:pStyle w:val="20"/>
              <w:widowControl w:val="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rPr>
              <w:t>（4）封井作业结束后及时清理作业现场，各个建构筑物和基础设施应全部拆除，做到</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工完、料尽、场地清</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，确保采取的封井措施有效可行。施工区域采用临时占地剥离表土对其进行覆盖，以便植被自然恢复。各个建构筑物和基础设施拆除过程中会产生一定扬尘，应避开大风天气施工。</w:t>
            </w:r>
            <w:bookmarkEnd w:id="44"/>
          </w:p>
        </w:tc>
      </w:tr>
      <w:tr w14:paraId="5E1FB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5" w:hRule="atLeast"/>
          <w:jc w:val="center"/>
        </w:trPr>
        <w:tc>
          <w:tcPr>
            <w:tcW w:w="271" w:type="pct"/>
            <w:vAlign w:val="center"/>
          </w:tcPr>
          <w:p w14:paraId="3D629C52">
            <w:pPr>
              <w:widowControl w:val="0"/>
              <w:adjustRightInd w:val="0"/>
              <w:snapToGrid w:val="0"/>
              <w:spacing w:line="360" w:lineRule="auto"/>
              <w:jc w:val="center"/>
              <w:rPr>
                <w:rFonts w:hint="default" w:ascii="Times New Roman" w:hAnsi="Times New Roman" w:eastAsia="宋体" w:cs="Times New Roman"/>
                <w:bCs/>
                <w:color w:val="auto"/>
                <w:spacing w:val="10"/>
                <w:highlight w:val="none"/>
              </w:rPr>
            </w:pPr>
            <w:r>
              <w:rPr>
                <w:rFonts w:hint="default" w:ascii="Times New Roman" w:hAnsi="Times New Roman" w:eastAsia="宋体" w:cs="Times New Roman"/>
                <w:bCs/>
                <w:color w:val="auto"/>
                <w:sz w:val="24"/>
                <w:szCs w:val="24"/>
                <w:highlight w:val="none"/>
              </w:rPr>
              <w:t>其他</w:t>
            </w:r>
          </w:p>
        </w:tc>
        <w:tc>
          <w:tcPr>
            <w:tcW w:w="4728" w:type="pct"/>
            <w:vAlign w:val="center"/>
          </w:tcPr>
          <w:p w14:paraId="5B54F168">
            <w:pPr>
              <w:widowControl w:val="0"/>
              <w:snapToGrid w:val="0"/>
              <w:spacing w:line="480" w:lineRule="exac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环境管理</w:t>
            </w:r>
          </w:p>
          <w:p w14:paraId="0950BE02">
            <w:pPr>
              <w:widowControl w:val="0"/>
              <w:snapToGrid w:val="0"/>
              <w:spacing w:line="480" w:lineRule="exact"/>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项目实施过程中，在环境管理上建立的健康、安全与环境管理体系（HSE管理体系），落实各项环保和安全措施，减少项目开发对周围环境的影响。本报告提出的环境管理主要内容见下表</w:t>
            </w:r>
            <w:r>
              <w:rPr>
                <w:rFonts w:hint="default" w:ascii="Times New Roman" w:hAnsi="Times New Roman" w:eastAsia="宋体" w:cs="Times New Roman"/>
                <w:color w:val="auto"/>
                <w:sz w:val="24"/>
                <w:szCs w:val="24"/>
                <w:highlight w:val="none"/>
                <w:lang w:val="en-US" w:eastAsia="zh-CN"/>
              </w:rPr>
              <w:t>5-2</w:t>
            </w:r>
            <w:r>
              <w:rPr>
                <w:rFonts w:hint="default" w:ascii="Times New Roman" w:hAnsi="Times New Roman" w:eastAsia="宋体" w:cs="Times New Roman"/>
                <w:color w:val="auto"/>
                <w:sz w:val="24"/>
                <w:szCs w:val="24"/>
                <w:highlight w:val="none"/>
              </w:rPr>
              <w:t>。</w:t>
            </w:r>
          </w:p>
          <w:p w14:paraId="3CFE2CE3">
            <w:pPr>
              <w:pStyle w:val="5"/>
              <w:keepNext/>
              <w:keepLines w:val="0"/>
              <w:pageBreakBefore w:val="0"/>
              <w:widowControl w:val="0"/>
              <w:kinsoku w:val="0"/>
              <w:wordWrap/>
              <w:overflowPunct/>
              <w:topLinePunct w:val="0"/>
              <w:autoSpaceDE w:val="0"/>
              <w:autoSpaceDN w:val="0"/>
              <w:bidi w:val="0"/>
              <w:adjustRightInd w:val="0"/>
              <w:snapToGrid w:val="0"/>
              <w:spacing w:line="240" w:lineRule="auto"/>
              <w:ind w:firstLine="422" w:firstLineChars="200"/>
              <w:textAlignment w:val="baseline"/>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 xml:space="preserve">5-2 </w:t>
            </w:r>
            <w:r>
              <w:rPr>
                <w:rFonts w:hint="default" w:ascii="Times New Roman" w:hAnsi="Times New Roman" w:eastAsia="宋体" w:cs="Times New Roman"/>
                <w:b/>
                <w:bCs/>
                <w:color w:val="auto"/>
                <w:highlight w:val="none"/>
              </w:rPr>
              <w:t>施工期环境保护行动计划表</w:t>
            </w:r>
          </w:p>
          <w:tbl>
            <w:tblPr>
              <w:tblStyle w:val="11"/>
              <w:tblW w:w="497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05"/>
              <w:gridCol w:w="1076"/>
              <w:gridCol w:w="6456"/>
            </w:tblGrid>
            <w:tr w14:paraId="1C7171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72" w:type="pct"/>
                  <w:tcBorders>
                    <w:top w:val="single" w:color="auto" w:sz="4" w:space="0"/>
                    <w:left w:val="single" w:color="auto" w:sz="0" w:space="0"/>
                  </w:tcBorders>
                  <w:tcMar>
                    <w:left w:w="0" w:type="dxa"/>
                    <w:right w:w="0" w:type="dxa"/>
                  </w:tcMar>
                  <w:vAlign w:val="center"/>
                </w:tcPr>
                <w:p w14:paraId="1D118432">
                  <w:pPr>
                    <w:pStyle w:val="25"/>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661" w:type="pct"/>
                  <w:tcBorders>
                    <w:top w:val="single" w:color="auto" w:sz="4" w:space="0"/>
                  </w:tcBorders>
                  <w:tcMar>
                    <w:left w:w="0" w:type="dxa"/>
                    <w:right w:w="0" w:type="dxa"/>
                  </w:tcMar>
                  <w:vAlign w:val="center"/>
                </w:tcPr>
                <w:p w14:paraId="3C84F908">
                  <w:pPr>
                    <w:pStyle w:val="25"/>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影响因素</w:t>
                  </w:r>
                </w:p>
              </w:tc>
              <w:tc>
                <w:tcPr>
                  <w:tcW w:w="3966" w:type="pct"/>
                  <w:tcBorders>
                    <w:top w:val="single" w:color="auto" w:sz="4" w:space="0"/>
                    <w:right w:val="single" w:color="auto" w:sz="4" w:space="0"/>
                  </w:tcBorders>
                  <w:tcMar>
                    <w:left w:w="0" w:type="dxa"/>
                    <w:right w:w="0" w:type="dxa"/>
                  </w:tcMar>
                  <w:vAlign w:val="center"/>
                </w:tcPr>
                <w:p w14:paraId="195E78B6">
                  <w:pPr>
                    <w:pStyle w:val="25"/>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环保措施</w:t>
                  </w:r>
                </w:p>
              </w:tc>
            </w:tr>
            <w:tr w14:paraId="47F20C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72" w:type="pct"/>
                  <w:tcBorders>
                    <w:left w:val="single" w:color="auto" w:sz="4" w:space="0"/>
                  </w:tcBorders>
                  <w:tcMar>
                    <w:left w:w="0" w:type="dxa"/>
                    <w:right w:w="0" w:type="dxa"/>
                  </w:tcMar>
                  <w:vAlign w:val="center"/>
                </w:tcPr>
                <w:p w14:paraId="487EE7C3">
                  <w:pPr>
                    <w:pStyle w:val="2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61" w:type="pct"/>
                  <w:tcMar>
                    <w:left w:w="0" w:type="dxa"/>
                    <w:right w:w="0" w:type="dxa"/>
                  </w:tcMar>
                  <w:vAlign w:val="center"/>
                </w:tcPr>
                <w:p w14:paraId="426813DF">
                  <w:pPr>
                    <w:pStyle w:val="2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3966" w:type="pct"/>
                  <w:tcBorders>
                    <w:right w:val="single" w:color="auto" w:sz="4" w:space="0"/>
                  </w:tcBorders>
                  <w:tcMar>
                    <w:left w:w="0" w:type="dxa"/>
                    <w:right w:w="0" w:type="dxa"/>
                  </w:tcMar>
                  <w:vAlign w:val="center"/>
                </w:tcPr>
                <w:p w14:paraId="67DE4A94">
                  <w:pPr>
                    <w:pStyle w:val="25"/>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施工单位在钻井时应使用符合国家标准的油品，并定期对设备进行保养维护，采出液采用密闭装载方式，柴油储罐采用固定顶罐。</w:t>
                  </w:r>
                </w:p>
              </w:tc>
            </w:tr>
            <w:tr w14:paraId="5CDD7E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9" w:hRule="atLeast"/>
                <w:jc w:val="center"/>
              </w:trPr>
              <w:tc>
                <w:tcPr>
                  <w:tcW w:w="372" w:type="pct"/>
                  <w:tcBorders>
                    <w:left w:val="single" w:color="auto" w:sz="4" w:space="0"/>
                  </w:tcBorders>
                  <w:tcMar>
                    <w:left w:w="0" w:type="dxa"/>
                    <w:right w:w="0" w:type="dxa"/>
                  </w:tcMar>
                  <w:vAlign w:val="center"/>
                </w:tcPr>
                <w:p w14:paraId="037D5E20">
                  <w:pPr>
                    <w:pStyle w:val="2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661" w:type="pct"/>
                  <w:tcMar>
                    <w:left w:w="0" w:type="dxa"/>
                    <w:right w:w="0" w:type="dxa"/>
                  </w:tcMar>
                  <w:vAlign w:val="center"/>
                </w:tcPr>
                <w:p w14:paraId="2D82CBF0">
                  <w:pPr>
                    <w:pStyle w:val="2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3966" w:type="pct"/>
                  <w:tcBorders>
                    <w:right w:val="single" w:color="auto" w:sz="4" w:space="0"/>
                  </w:tcBorders>
                  <w:tcMar>
                    <w:left w:w="0" w:type="dxa"/>
                    <w:right w:w="0" w:type="dxa"/>
                  </w:tcMar>
                  <w:vAlign w:val="center"/>
                </w:tcPr>
                <w:p w14:paraId="5D740D8B">
                  <w:pPr>
                    <w:pStyle w:val="25"/>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施工单位应使用低噪声的施工设备、机械，并定期进行检修和维护，使其处于运行良好的状态。</w:t>
                  </w:r>
                </w:p>
              </w:tc>
            </w:tr>
            <w:tr w14:paraId="627772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00" w:hRule="atLeast"/>
                <w:jc w:val="center"/>
              </w:trPr>
              <w:tc>
                <w:tcPr>
                  <w:tcW w:w="372" w:type="pct"/>
                  <w:tcBorders>
                    <w:left w:val="single" w:color="auto" w:sz="4" w:space="0"/>
                  </w:tcBorders>
                  <w:tcMar>
                    <w:left w:w="0" w:type="dxa"/>
                    <w:right w:w="0" w:type="dxa"/>
                  </w:tcMar>
                  <w:vAlign w:val="center"/>
                </w:tcPr>
                <w:p w14:paraId="79AC4B7B">
                  <w:pPr>
                    <w:pStyle w:val="2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661" w:type="pct"/>
                  <w:tcMar>
                    <w:left w:w="0" w:type="dxa"/>
                    <w:right w:w="0" w:type="dxa"/>
                  </w:tcMar>
                  <w:vAlign w:val="center"/>
                </w:tcPr>
                <w:p w14:paraId="313BEE6D">
                  <w:pPr>
                    <w:pStyle w:val="2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水环境和土壤环境</w:t>
                  </w:r>
                </w:p>
              </w:tc>
              <w:tc>
                <w:tcPr>
                  <w:tcW w:w="3966" w:type="pct"/>
                  <w:tcBorders>
                    <w:right w:val="single" w:color="auto" w:sz="4" w:space="0"/>
                  </w:tcBorders>
                  <w:tcMar>
                    <w:left w:w="0" w:type="dxa"/>
                    <w:right w:w="0" w:type="dxa"/>
                  </w:tcMar>
                  <w:vAlign w:val="center"/>
                </w:tcPr>
                <w:p w14:paraId="733BDB01">
                  <w:pPr>
                    <w:pStyle w:val="25"/>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钻井液采用不落地设备进行处理后回用于钻井液配置，不外排；试油期产生的废水收集至地面储罐后由罐车拉运至吉</w:t>
                  </w:r>
                  <w:r>
                    <w:rPr>
                      <w:rFonts w:hint="default" w:ascii="Times New Roman" w:hAnsi="Times New Roman" w:eastAsia="宋体" w:cs="Times New Roman"/>
                      <w:color w:val="auto"/>
                      <w:sz w:val="21"/>
                      <w:szCs w:val="21"/>
                      <w:highlight w:val="none"/>
                      <w:lang w:val="en-US" w:eastAsia="zh-CN"/>
                    </w:rPr>
                    <w:t>康</w:t>
                  </w:r>
                  <w:r>
                    <w:rPr>
                      <w:rFonts w:hint="default" w:ascii="Times New Roman" w:hAnsi="Times New Roman" w:eastAsia="宋体" w:cs="Times New Roman"/>
                      <w:color w:val="auto"/>
                      <w:sz w:val="21"/>
                      <w:szCs w:val="21"/>
                      <w:highlight w:val="none"/>
                    </w:rPr>
                    <w:t>脱水站处理；生活污水经临时防渗收集池收集暂存，</w:t>
                  </w:r>
                  <w:r>
                    <w:rPr>
                      <w:rFonts w:hint="default" w:ascii="Times New Roman" w:hAnsi="Times New Roman" w:eastAsia="宋体" w:cs="Times New Roman"/>
                      <w:color w:val="auto"/>
                      <w:sz w:val="21"/>
                      <w:szCs w:val="21"/>
                      <w:highlight w:val="none"/>
                      <w:lang w:val="en-US" w:eastAsia="zh-CN"/>
                    </w:rPr>
                    <w:t>定期</w:t>
                  </w:r>
                  <w:r>
                    <w:rPr>
                      <w:rFonts w:hint="default" w:ascii="Times New Roman" w:hAnsi="Times New Roman" w:eastAsia="宋体" w:cs="Times New Roman"/>
                      <w:color w:val="auto"/>
                      <w:sz w:val="21"/>
                      <w:szCs w:val="21"/>
                      <w:highlight w:val="none"/>
                    </w:rPr>
                    <w:t>由吸污车抽出后委托拉运至吉木萨尔县生活污水处理厂处理。关键区域做好符合相关环保要求的防渗措施；提高施工效率，缩短施工时间；工程结束后，做好施工场地的恢复工作。</w:t>
                  </w:r>
                </w:p>
              </w:tc>
            </w:tr>
            <w:tr w14:paraId="0F20C4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74" w:hRule="atLeast"/>
                <w:jc w:val="center"/>
              </w:trPr>
              <w:tc>
                <w:tcPr>
                  <w:tcW w:w="372" w:type="pct"/>
                  <w:tcBorders>
                    <w:left w:val="single" w:color="auto" w:sz="4" w:space="0"/>
                  </w:tcBorders>
                  <w:tcMar>
                    <w:left w:w="0" w:type="dxa"/>
                    <w:right w:w="0" w:type="dxa"/>
                  </w:tcMar>
                  <w:vAlign w:val="center"/>
                </w:tcPr>
                <w:p w14:paraId="4B6F1D43">
                  <w:pPr>
                    <w:pStyle w:val="2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661" w:type="pct"/>
                  <w:tcMar>
                    <w:left w:w="0" w:type="dxa"/>
                    <w:right w:w="0" w:type="dxa"/>
                  </w:tcMar>
                  <w:vAlign w:val="center"/>
                </w:tcPr>
                <w:p w14:paraId="1ED3304C">
                  <w:pPr>
                    <w:pStyle w:val="2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3966" w:type="pct"/>
                  <w:tcBorders>
                    <w:right w:val="single" w:color="auto" w:sz="4" w:space="0"/>
                  </w:tcBorders>
                  <w:tcMar>
                    <w:left w:w="0" w:type="dxa"/>
                    <w:right w:w="0" w:type="dxa"/>
                  </w:tcMar>
                  <w:vAlign w:val="center"/>
                </w:tcPr>
                <w:p w14:paraId="1083CCCC">
                  <w:pPr>
                    <w:pStyle w:val="25"/>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生活垃圾由垃圾箱集中收集后清运至吉木萨尔县生活垃圾填埋场处置。</w:t>
                  </w:r>
                  <w:r>
                    <w:rPr>
                      <w:rFonts w:hint="default" w:ascii="Times New Roman" w:hAnsi="Times New Roman" w:eastAsia="宋体" w:cs="Times New Roman"/>
                      <w:color w:val="auto"/>
                      <w:sz w:val="21"/>
                      <w:szCs w:val="21"/>
                      <w:highlight w:val="none"/>
                      <w:lang w:val="en-US" w:eastAsia="zh-CN"/>
                    </w:rPr>
                    <w:t>水基</w:t>
                  </w:r>
                  <w:r>
                    <w:rPr>
                      <w:rFonts w:hint="default" w:ascii="Times New Roman" w:hAnsi="Times New Roman" w:eastAsia="宋体" w:cs="Times New Roman"/>
                      <w:color w:val="auto"/>
                      <w:sz w:val="21"/>
                      <w:szCs w:val="21"/>
                      <w:highlight w:val="none"/>
                    </w:rPr>
                    <w:t>岩屑</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泥浆在井口采用“振动筛+除砂器+除泥器+离心分离”工艺固液分离后，液相循环使用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分离出</w:t>
                  </w:r>
                  <w:r>
                    <w:rPr>
                      <w:rFonts w:hint="default" w:ascii="Times New Roman" w:hAnsi="Times New Roman" w:eastAsia="宋体" w:cs="Times New Roman"/>
                      <w:color w:val="auto"/>
                      <w:sz w:val="21"/>
                      <w:szCs w:val="21"/>
                      <w:highlight w:val="none"/>
                      <w:lang w:val="en-US" w:eastAsia="zh-CN"/>
                    </w:rPr>
                    <w:t>固相</w:t>
                  </w:r>
                  <w:r>
                    <w:rPr>
                      <w:rFonts w:hint="default" w:ascii="Times New Roman" w:hAnsi="Times New Roman" w:eastAsia="宋体" w:cs="Times New Roman"/>
                      <w:color w:val="auto"/>
                      <w:sz w:val="21"/>
                      <w:szCs w:val="21"/>
                      <w:highlight w:val="none"/>
                    </w:rPr>
                    <w:t>暂存于专用岩屑方罐中，由具备资质的单位及时转运处理，处置过程符合《油气田钻井固体废弃物综合利用污染物控制要求》（DB</w:t>
                  </w: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65/T 3997—2017）相关要求，具备条件的可综合利用。油基泥浆和岩屑一起进入泥浆不落地系统固液分离后，液相循环使用，固相按照危险废物进行管理（危废编号为HW08，废物代码为071-002-08），委托有危废处置资质的单位进行妥善处理。</w:t>
                  </w:r>
                  <w:r>
                    <w:rPr>
                      <w:rFonts w:hint="default" w:ascii="Times New Roman" w:hAnsi="Times New Roman" w:eastAsia="宋体" w:cs="Times New Roman"/>
                      <w:color w:val="auto"/>
                      <w:sz w:val="21"/>
                      <w:szCs w:val="21"/>
                      <w:highlight w:val="none"/>
                      <w:lang w:val="en-US" w:eastAsia="zh-CN"/>
                    </w:rPr>
                    <w:t>粘油</w:t>
                  </w:r>
                  <w:r>
                    <w:rPr>
                      <w:rFonts w:hint="default" w:ascii="Times New Roman" w:hAnsi="Times New Roman" w:eastAsia="宋体" w:cs="Times New Roman"/>
                      <w:color w:val="auto"/>
                      <w:sz w:val="21"/>
                      <w:szCs w:val="21"/>
                      <w:highlight w:val="none"/>
                    </w:rPr>
                    <w:t>废防渗材料、落地油、机械设备废油与废润滑油桶委托有资质单位进行妥善处理</w:t>
                  </w:r>
                  <w:r>
                    <w:rPr>
                      <w:rFonts w:hint="default" w:ascii="Times New Roman" w:hAnsi="Times New Roman" w:eastAsia="宋体" w:cs="Times New Roman"/>
                      <w:color w:val="auto"/>
                      <w:sz w:val="21"/>
                      <w:szCs w:val="21"/>
                      <w:highlight w:val="none"/>
                      <w:lang w:eastAsia="zh-CN"/>
                    </w:rPr>
                    <w:t>。</w:t>
                  </w:r>
                </w:p>
              </w:tc>
            </w:tr>
            <w:tr w14:paraId="437B1A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4" w:hRule="atLeast"/>
                <w:jc w:val="center"/>
              </w:trPr>
              <w:tc>
                <w:tcPr>
                  <w:tcW w:w="372" w:type="pct"/>
                  <w:tcBorders>
                    <w:left w:val="single" w:color="auto" w:sz="4" w:space="0"/>
                  </w:tcBorders>
                  <w:tcMar>
                    <w:left w:w="0" w:type="dxa"/>
                    <w:right w:w="0" w:type="dxa"/>
                  </w:tcMar>
                  <w:vAlign w:val="center"/>
                </w:tcPr>
                <w:p w14:paraId="62D5593E">
                  <w:pPr>
                    <w:pStyle w:val="2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661" w:type="pct"/>
                  <w:tcMar>
                    <w:left w:w="0" w:type="dxa"/>
                    <w:right w:w="0" w:type="dxa"/>
                  </w:tcMar>
                  <w:vAlign w:val="center"/>
                </w:tcPr>
                <w:p w14:paraId="7240791D">
                  <w:pPr>
                    <w:pStyle w:val="2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生态环境</w:t>
                  </w:r>
                </w:p>
              </w:tc>
              <w:tc>
                <w:tcPr>
                  <w:tcW w:w="3966" w:type="pct"/>
                  <w:tcBorders>
                    <w:right w:val="single" w:color="auto" w:sz="4" w:space="0"/>
                  </w:tcBorders>
                  <w:tcMar>
                    <w:left w:w="0" w:type="dxa"/>
                    <w:right w:w="0" w:type="dxa"/>
                  </w:tcMar>
                  <w:vAlign w:val="center"/>
                </w:tcPr>
                <w:p w14:paraId="27DD8E60">
                  <w:pPr>
                    <w:pStyle w:val="25"/>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用地面积按实际征地面积划定，不得超过规定面积；施工车辆严格按规定路线行驶，严禁随意开道，碾压植被、破坏周边农作物、野生植被、扰动土壤，严禁捕杀野生动物；施工结束后应对临时占地进行清理、平整，植被自然恢复。</w:t>
                  </w:r>
                </w:p>
              </w:tc>
            </w:tr>
            <w:tr w14:paraId="3E42CE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08" w:hRule="atLeast"/>
                <w:jc w:val="center"/>
              </w:trPr>
              <w:tc>
                <w:tcPr>
                  <w:tcW w:w="372" w:type="pct"/>
                  <w:tcBorders>
                    <w:left w:val="single" w:color="auto" w:sz="4" w:space="0"/>
                  </w:tcBorders>
                  <w:tcMar>
                    <w:left w:w="0" w:type="dxa"/>
                    <w:right w:w="0" w:type="dxa"/>
                  </w:tcMar>
                  <w:vAlign w:val="center"/>
                </w:tcPr>
                <w:p w14:paraId="6E7DAE16">
                  <w:pPr>
                    <w:pStyle w:val="2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661" w:type="pct"/>
                  <w:tcMar>
                    <w:left w:w="0" w:type="dxa"/>
                    <w:right w:w="0" w:type="dxa"/>
                  </w:tcMar>
                  <w:vAlign w:val="center"/>
                </w:tcPr>
                <w:p w14:paraId="52626A7A">
                  <w:pPr>
                    <w:pStyle w:val="2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环境管理</w:t>
                  </w:r>
                </w:p>
              </w:tc>
              <w:tc>
                <w:tcPr>
                  <w:tcW w:w="3966" w:type="pct"/>
                  <w:tcBorders>
                    <w:right w:val="single" w:color="auto" w:sz="4" w:space="0"/>
                  </w:tcBorders>
                  <w:tcMar>
                    <w:left w:w="0" w:type="dxa"/>
                    <w:right w:w="0" w:type="dxa"/>
                  </w:tcMar>
                  <w:vAlign w:val="center"/>
                </w:tcPr>
                <w:p w14:paraId="297C0559">
                  <w:pPr>
                    <w:pStyle w:val="25"/>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单位应建立环境保护档案，保存施工前后项目区的影像资料，使施工全过程各类污染物产生、去向和各个污染防治措施及实施情况均记录在案。建设单位要求施工单位在钻井工程开工前进行环保自查，建设单位对施工单位钻井期间进行环保日常检查并做好记录；完工交井前，建设单位主管部门现场验收，合格后方可记录为完工，做到工完料净场地清，并做好记录。</w:t>
                  </w:r>
                </w:p>
              </w:tc>
            </w:tr>
          </w:tbl>
          <w:p w14:paraId="6F89B410">
            <w:pPr>
              <w:pStyle w:val="16"/>
              <w:widowControl w:val="0"/>
              <w:spacing w:before="5" w:line="358" w:lineRule="auto"/>
              <w:jc w:val="both"/>
              <w:rPr>
                <w:rFonts w:hint="default" w:ascii="Times New Roman" w:hAnsi="Times New Roman" w:eastAsia="宋体" w:cs="Times New Roman"/>
                <w:b/>
                <w:bCs/>
                <w:snapToGrid w:val="0"/>
                <w:color w:val="auto"/>
                <w:kern w:val="0"/>
                <w:sz w:val="24"/>
                <w:szCs w:val="24"/>
                <w:highlight w:val="none"/>
                <w:lang w:val="en-US" w:eastAsia="en-US" w:bidi="ar-SA"/>
              </w:rPr>
            </w:pPr>
            <w:r>
              <w:rPr>
                <w:rFonts w:hint="default" w:ascii="Times New Roman" w:hAnsi="Times New Roman" w:eastAsia="宋体" w:cs="Times New Roman"/>
                <w:b/>
                <w:bCs/>
                <w:snapToGrid w:val="0"/>
                <w:color w:val="auto"/>
                <w:kern w:val="0"/>
                <w:sz w:val="24"/>
                <w:szCs w:val="24"/>
                <w:highlight w:val="none"/>
                <w:lang w:val="en-US" w:eastAsia="zh-CN" w:bidi="ar-SA"/>
              </w:rPr>
              <w:t>2.</w:t>
            </w:r>
            <w:r>
              <w:rPr>
                <w:rFonts w:hint="default" w:ascii="Times New Roman" w:hAnsi="Times New Roman" w:eastAsia="宋体" w:cs="Times New Roman"/>
                <w:b/>
                <w:bCs/>
                <w:snapToGrid w:val="0"/>
                <w:color w:val="auto"/>
                <w:kern w:val="0"/>
                <w:sz w:val="24"/>
                <w:szCs w:val="24"/>
                <w:highlight w:val="none"/>
                <w:lang w:val="en-US" w:eastAsia="en-US" w:bidi="ar-SA"/>
              </w:rPr>
              <w:t>环境监测计划</w:t>
            </w:r>
          </w:p>
          <w:p w14:paraId="1765BEE9">
            <w:pPr>
              <w:pStyle w:val="16"/>
              <w:widowControl w:val="0"/>
              <w:spacing w:before="5" w:line="358" w:lineRule="auto"/>
              <w:ind w:left="4" w:firstLine="477"/>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根据《</w:t>
            </w:r>
            <w:r>
              <w:rPr>
                <w:rFonts w:hint="default" w:ascii="Times New Roman" w:hAnsi="Times New Roman" w:eastAsia="宋体" w:cs="Times New Roman"/>
                <w:color w:val="auto"/>
                <w:spacing w:val="-2"/>
                <w:sz w:val="24"/>
                <w:szCs w:val="24"/>
                <w:highlight w:val="none"/>
              </w:rPr>
              <w:t>排污许可证申请与核发技术规范总则》（HJ942-2018）、《排污单位自行监测技术指南总则》（HJ819-2017）及《排污单位自行监测技术指南总则》（HJ819-2017</w:t>
            </w:r>
            <w:r>
              <w:rPr>
                <w:rFonts w:hint="default" w:ascii="Times New Roman" w:hAnsi="Times New Roman" w:eastAsia="宋体" w:cs="Times New Roman"/>
                <w:color w:val="auto"/>
                <w:spacing w:val="-15"/>
                <w:sz w:val="24"/>
                <w:szCs w:val="24"/>
                <w:highlight w:val="none"/>
              </w:rPr>
              <w:t>），</w:t>
            </w:r>
            <w:r>
              <w:rPr>
                <w:rFonts w:hint="default" w:ascii="Times New Roman" w:hAnsi="Times New Roman" w:eastAsia="宋体" w:cs="Times New Roman"/>
                <w:color w:val="auto"/>
                <w:spacing w:val="-2"/>
                <w:sz w:val="24"/>
                <w:szCs w:val="24"/>
                <w:highlight w:val="none"/>
              </w:rPr>
              <w:t>并参照《排污单位自行监测技术指南</w:t>
            </w:r>
            <w:r>
              <w:rPr>
                <w:rFonts w:hint="default" w:ascii="Times New Roman" w:hAnsi="Times New Roman" w:cs="Times New Roman"/>
                <w:color w:val="auto"/>
                <w:spacing w:val="-2"/>
                <w:sz w:val="24"/>
                <w:szCs w:val="24"/>
                <w:highlight w:val="none"/>
                <w:lang w:val="en-US" w:eastAsia="zh-CN"/>
              </w:rPr>
              <w:t xml:space="preserve"> </w:t>
            </w:r>
            <w:r>
              <w:rPr>
                <w:rFonts w:hint="default" w:ascii="Times New Roman" w:hAnsi="Times New Roman" w:eastAsia="宋体" w:cs="Times New Roman"/>
                <w:color w:val="auto"/>
                <w:spacing w:val="-2"/>
                <w:sz w:val="24"/>
                <w:szCs w:val="24"/>
                <w:highlight w:val="none"/>
              </w:rPr>
              <w:t>陆上石油天</w:t>
            </w:r>
            <w:r>
              <w:rPr>
                <w:rFonts w:hint="default" w:ascii="Times New Roman" w:hAnsi="Times New Roman" w:eastAsia="宋体" w:cs="Times New Roman"/>
                <w:color w:val="auto"/>
                <w:spacing w:val="-3"/>
                <w:sz w:val="24"/>
                <w:szCs w:val="24"/>
                <w:highlight w:val="none"/>
              </w:rPr>
              <w:t>然气开采工业</w:t>
            </w:r>
            <w:r>
              <w:rPr>
                <w:rFonts w:hint="default" w:ascii="Times New Roman" w:hAnsi="Times New Roman" w:eastAsia="宋体" w:cs="Times New Roman"/>
                <w:color w:val="auto"/>
                <w:spacing w:val="-2"/>
                <w:sz w:val="24"/>
                <w:szCs w:val="24"/>
                <w:highlight w:val="none"/>
              </w:rPr>
              <w:t>》（HJ 1248—2022）完制定自行监测方案并开展监测。自行监测方案按要求向相关生</w:t>
            </w:r>
            <w:r>
              <w:rPr>
                <w:rFonts w:hint="default" w:ascii="Times New Roman" w:hAnsi="Times New Roman" w:eastAsia="宋体" w:cs="Times New Roman"/>
                <w:color w:val="auto"/>
                <w:spacing w:val="-3"/>
                <w:sz w:val="24"/>
                <w:szCs w:val="24"/>
                <w:highlight w:val="none"/>
              </w:rPr>
              <w:t>态环境部门备案。</w:t>
            </w:r>
          </w:p>
          <w:p w14:paraId="036323E9">
            <w:pPr>
              <w:pStyle w:val="16"/>
              <w:widowControl w:val="0"/>
              <w:spacing w:line="357" w:lineRule="auto"/>
              <w:ind w:left="6" w:firstLine="430"/>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5"/>
                <w:sz w:val="24"/>
                <w:szCs w:val="24"/>
                <w:highlight w:val="none"/>
              </w:rPr>
              <w:t>每次监测都应有完整地记录。监测数据应及时整理、统计，按时向管理部门、</w:t>
            </w:r>
            <w:r>
              <w:rPr>
                <w:rFonts w:hint="default" w:ascii="Times New Roman" w:hAnsi="Times New Roman" w:eastAsia="宋体" w:cs="Times New Roman"/>
                <w:color w:val="auto"/>
                <w:spacing w:val="-3"/>
                <w:sz w:val="24"/>
                <w:szCs w:val="24"/>
                <w:highlight w:val="none"/>
              </w:rPr>
              <w:t>调度部门报告，做好监测资料的归档工作。</w:t>
            </w:r>
          </w:p>
          <w:p w14:paraId="5E6293B6">
            <w:pPr>
              <w:pStyle w:val="16"/>
              <w:widowControl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表5-3</w:t>
            </w:r>
            <w:r>
              <w:rPr>
                <w:rFonts w:hint="default" w:ascii="Times New Roman" w:hAnsi="Times New Roman" w:eastAsia="宋体" w:cs="Times New Roman"/>
                <w:b/>
                <w:bCs/>
                <w:color w:val="auto"/>
                <w:spacing w:val="5"/>
                <w:sz w:val="21"/>
                <w:szCs w:val="21"/>
                <w:highlight w:val="none"/>
                <w:lang w:val="en-US" w:eastAsia="zh-CN"/>
              </w:rPr>
              <w:t xml:space="preserve"> </w:t>
            </w:r>
            <w:r>
              <w:rPr>
                <w:rFonts w:hint="default" w:ascii="Times New Roman" w:hAnsi="Times New Roman" w:eastAsia="宋体" w:cs="Times New Roman"/>
                <w:b/>
                <w:bCs/>
                <w:color w:val="auto"/>
                <w:spacing w:val="5"/>
                <w:sz w:val="21"/>
                <w:szCs w:val="21"/>
                <w:highlight w:val="none"/>
              </w:rPr>
              <w:t>环境监测计划表</w:t>
            </w:r>
          </w:p>
          <w:tbl>
            <w:tblPr>
              <w:tblStyle w:val="15"/>
              <w:tblW w:w="835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7"/>
              <w:gridCol w:w="1766"/>
              <w:gridCol w:w="1694"/>
              <w:gridCol w:w="2240"/>
              <w:gridCol w:w="1580"/>
            </w:tblGrid>
            <w:tr w14:paraId="1E0FE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 w:hRule="atLeast"/>
                <w:jc w:val="center"/>
              </w:trPr>
              <w:tc>
                <w:tcPr>
                  <w:tcW w:w="1077" w:type="dxa"/>
                  <w:tcBorders>
                    <w:bottom w:val="single" w:color="auto" w:sz="4" w:space="0"/>
                  </w:tcBorders>
                  <w:vAlign w:val="top"/>
                </w:tcPr>
                <w:p w14:paraId="6D0E30A1">
                  <w:pPr>
                    <w:pStyle w:val="16"/>
                    <w:spacing w:before="167" w:line="228" w:lineRule="auto"/>
                    <w:ind w:left="135"/>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7"/>
                      <w:sz w:val="21"/>
                      <w:szCs w:val="21"/>
                      <w:highlight w:val="none"/>
                    </w:rPr>
                    <w:t>监测对象</w:t>
                  </w:r>
                </w:p>
              </w:tc>
              <w:tc>
                <w:tcPr>
                  <w:tcW w:w="1766" w:type="dxa"/>
                  <w:vAlign w:val="top"/>
                </w:tcPr>
                <w:p w14:paraId="10139BF1">
                  <w:pPr>
                    <w:pStyle w:val="16"/>
                    <w:spacing w:before="167" w:line="228"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7"/>
                      <w:sz w:val="21"/>
                      <w:szCs w:val="21"/>
                      <w:highlight w:val="none"/>
                    </w:rPr>
                    <w:t>监测频率</w:t>
                  </w:r>
                </w:p>
              </w:tc>
              <w:tc>
                <w:tcPr>
                  <w:tcW w:w="1694" w:type="dxa"/>
                  <w:vAlign w:val="top"/>
                </w:tcPr>
                <w:p w14:paraId="161B4CAE">
                  <w:pPr>
                    <w:pStyle w:val="16"/>
                    <w:spacing w:before="168" w:line="228"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7"/>
                      <w:sz w:val="21"/>
                      <w:szCs w:val="21"/>
                      <w:highlight w:val="none"/>
                    </w:rPr>
                    <w:t>监测项目</w:t>
                  </w:r>
                </w:p>
              </w:tc>
              <w:tc>
                <w:tcPr>
                  <w:tcW w:w="2240" w:type="dxa"/>
                  <w:tcBorders>
                    <w:right w:val="single" w:color="auto" w:sz="4" w:space="0"/>
                  </w:tcBorders>
                  <w:vAlign w:val="top"/>
                </w:tcPr>
                <w:p w14:paraId="32FE2CAB">
                  <w:pPr>
                    <w:pStyle w:val="16"/>
                    <w:spacing w:before="167" w:line="229"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7"/>
                      <w:sz w:val="21"/>
                      <w:szCs w:val="21"/>
                      <w:highlight w:val="none"/>
                    </w:rPr>
                    <w:t>监测地点</w:t>
                  </w:r>
                </w:p>
              </w:tc>
              <w:tc>
                <w:tcPr>
                  <w:tcW w:w="1580" w:type="dxa"/>
                  <w:tcBorders>
                    <w:top w:val="single" w:color="auto" w:sz="4" w:space="0"/>
                    <w:left w:val="single" w:color="auto" w:sz="4" w:space="0"/>
                    <w:bottom w:val="single" w:color="auto" w:sz="4" w:space="0"/>
                  </w:tcBorders>
                  <w:vAlign w:val="center"/>
                </w:tcPr>
                <w:p w14:paraId="48931290">
                  <w:pPr>
                    <w:pStyle w:val="16"/>
                    <w:spacing w:before="33" w:line="229"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4"/>
                      <w:sz w:val="21"/>
                      <w:szCs w:val="21"/>
                      <w:highlight w:val="none"/>
                    </w:rPr>
                    <w:t>监测方式</w:t>
                  </w:r>
                </w:p>
              </w:tc>
            </w:tr>
            <w:tr w14:paraId="11251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1077" w:type="dxa"/>
                  <w:tcBorders>
                    <w:top w:val="single" w:color="auto" w:sz="4" w:space="0"/>
                    <w:left w:val="single" w:color="auto" w:sz="4" w:space="0"/>
                    <w:bottom w:val="single" w:color="auto" w:sz="4" w:space="0"/>
                    <w:right w:val="single" w:color="auto" w:sz="4" w:space="0"/>
                  </w:tcBorders>
                  <w:vAlign w:val="center"/>
                </w:tcPr>
                <w:p w14:paraId="165736B4">
                  <w:pPr>
                    <w:pStyle w:val="16"/>
                    <w:spacing w:before="65"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大气</w:t>
                  </w:r>
                </w:p>
              </w:tc>
              <w:tc>
                <w:tcPr>
                  <w:tcW w:w="1766" w:type="dxa"/>
                  <w:tcBorders>
                    <w:left w:val="single" w:color="auto" w:sz="4" w:space="0"/>
                  </w:tcBorders>
                  <w:vAlign w:val="top"/>
                </w:tcPr>
                <w:p w14:paraId="05BCD181">
                  <w:pPr>
                    <w:pStyle w:val="16"/>
                    <w:spacing w:before="168"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pacing w:val="8"/>
                      <w:sz w:val="21"/>
                      <w:szCs w:val="21"/>
                      <w:highlight w:val="none"/>
                      <w:lang w:val="en-US" w:eastAsia="zh-CN"/>
                    </w:rPr>
                    <w:t>钻试期每季度</w:t>
                  </w:r>
                  <w:r>
                    <w:rPr>
                      <w:rFonts w:hint="default" w:ascii="Times New Roman" w:hAnsi="Times New Roman" w:eastAsia="宋体" w:cs="Times New Roman"/>
                      <w:color w:val="auto"/>
                      <w:spacing w:val="8"/>
                      <w:sz w:val="21"/>
                      <w:szCs w:val="21"/>
                      <w:highlight w:val="none"/>
                    </w:rPr>
                    <w:t>一次</w:t>
                  </w:r>
                </w:p>
              </w:tc>
              <w:tc>
                <w:tcPr>
                  <w:tcW w:w="1694" w:type="dxa"/>
                  <w:vAlign w:val="top"/>
                </w:tcPr>
                <w:p w14:paraId="7E58C32D">
                  <w:pPr>
                    <w:spacing w:before="204" w:line="195"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甲烷总烃、H</w:t>
                  </w:r>
                  <w:r>
                    <w:rPr>
                      <w:rFonts w:hint="default" w:ascii="Times New Roman" w:hAnsi="Times New Roman" w:eastAsia="宋体" w:cs="Times New Roman"/>
                      <w:color w:val="auto"/>
                      <w:spacing w:val="-1"/>
                      <w:sz w:val="21"/>
                      <w:szCs w:val="21"/>
                      <w:highlight w:val="none"/>
                      <w:vertAlign w:val="subscript"/>
                    </w:rPr>
                    <w:t>2</w:t>
                  </w:r>
                  <w:r>
                    <w:rPr>
                      <w:rFonts w:hint="default" w:ascii="Times New Roman" w:hAnsi="Times New Roman" w:eastAsia="宋体" w:cs="Times New Roman"/>
                      <w:color w:val="auto"/>
                      <w:spacing w:val="-1"/>
                      <w:sz w:val="21"/>
                      <w:szCs w:val="21"/>
                      <w:highlight w:val="none"/>
                    </w:rPr>
                    <w:t>S</w:t>
                  </w:r>
                </w:p>
              </w:tc>
              <w:tc>
                <w:tcPr>
                  <w:tcW w:w="2240" w:type="dxa"/>
                  <w:vAlign w:val="top"/>
                </w:tcPr>
                <w:p w14:paraId="2557AC07">
                  <w:pPr>
                    <w:pStyle w:val="16"/>
                    <w:spacing w:before="169"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pacing w:val="8"/>
                      <w:sz w:val="21"/>
                      <w:szCs w:val="21"/>
                      <w:highlight w:val="none"/>
                      <w:lang w:val="en-US" w:eastAsia="zh-CN"/>
                    </w:rPr>
                    <w:t>井场</w:t>
                  </w:r>
                  <w:r>
                    <w:rPr>
                      <w:rFonts w:hint="default" w:ascii="Times New Roman" w:hAnsi="Times New Roman" w:eastAsia="宋体" w:cs="Times New Roman"/>
                      <w:color w:val="auto"/>
                      <w:spacing w:val="8"/>
                      <w:sz w:val="21"/>
                      <w:szCs w:val="21"/>
                      <w:highlight w:val="none"/>
                    </w:rPr>
                    <w:t>周围</w:t>
                  </w:r>
                </w:p>
              </w:tc>
              <w:tc>
                <w:tcPr>
                  <w:tcW w:w="1580" w:type="dxa"/>
                  <w:vMerge w:val="restart"/>
                  <w:tcBorders>
                    <w:top w:val="single" w:color="auto" w:sz="4" w:space="0"/>
                    <w:right w:val="single" w:color="auto" w:sz="4" w:space="0"/>
                  </w:tcBorders>
                  <w:vAlign w:val="center"/>
                </w:tcPr>
                <w:p w14:paraId="5C5B8435">
                  <w:pPr>
                    <w:pStyle w:val="16"/>
                    <w:spacing w:before="35" w:line="228" w:lineRule="auto"/>
                    <w:jc w:val="center"/>
                    <w:rPr>
                      <w:rFonts w:hint="default" w:ascii="Times New Roman" w:hAnsi="Times New Roman" w:cs="Times New Roman"/>
                      <w:color w:val="auto"/>
                      <w:spacing w:val="6"/>
                      <w:sz w:val="21"/>
                      <w:szCs w:val="21"/>
                      <w:highlight w:val="none"/>
                      <w:lang w:val="en-US" w:eastAsia="zh-CN"/>
                    </w:rPr>
                  </w:pPr>
                  <w:r>
                    <w:rPr>
                      <w:rFonts w:hint="default" w:ascii="Times New Roman" w:hAnsi="Times New Roman" w:cs="Times New Roman"/>
                      <w:color w:val="auto"/>
                      <w:spacing w:val="6"/>
                      <w:sz w:val="21"/>
                      <w:szCs w:val="21"/>
                      <w:highlight w:val="none"/>
                      <w:lang w:val="en-US" w:eastAsia="zh-CN"/>
                    </w:rPr>
                    <w:t>委托监测</w:t>
                  </w:r>
                </w:p>
              </w:tc>
            </w:tr>
            <w:tr w14:paraId="4E040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jc w:val="center"/>
              </w:trPr>
              <w:tc>
                <w:tcPr>
                  <w:tcW w:w="1077" w:type="dxa"/>
                  <w:tcBorders>
                    <w:top w:val="single" w:color="auto" w:sz="4" w:space="0"/>
                  </w:tcBorders>
                  <w:vAlign w:val="center"/>
                </w:tcPr>
                <w:p w14:paraId="55F9879E">
                  <w:pPr>
                    <w:pStyle w:val="16"/>
                    <w:spacing w:before="51"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噪声</w:t>
                  </w:r>
                </w:p>
              </w:tc>
              <w:tc>
                <w:tcPr>
                  <w:tcW w:w="1766" w:type="dxa"/>
                  <w:vAlign w:val="center"/>
                </w:tcPr>
                <w:p w14:paraId="5217FF4E">
                  <w:pPr>
                    <w:pStyle w:val="16"/>
                    <w:spacing w:before="50"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pacing w:val="8"/>
                      <w:sz w:val="21"/>
                      <w:szCs w:val="21"/>
                      <w:highlight w:val="none"/>
                      <w:lang w:val="en-US" w:eastAsia="zh-CN"/>
                    </w:rPr>
                    <w:t>钻试期</w:t>
                  </w:r>
                  <w:r>
                    <w:rPr>
                      <w:rFonts w:hint="default" w:ascii="Times New Roman" w:hAnsi="Times New Roman" w:eastAsia="宋体" w:cs="Times New Roman"/>
                      <w:color w:val="auto"/>
                      <w:spacing w:val="8"/>
                      <w:sz w:val="21"/>
                      <w:szCs w:val="21"/>
                      <w:highlight w:val="none"/>
                    </w:rPr>
                    <w:t>每季度一次</w:t>
                  </w:r>
                </w:p>
              </w:tc>
              <w:tc>
                <w:tcPr>
                  <w:tcW w:w="1694" w:type="dxa"/>
                  <w:vAlign w:val="center"/>
                </w:tcPr>
                <w:p w14:paraId="743479E3">
                  <w:pPr>
                    <w:pStyle w:val="16"/>
                    <w:spacing w:before="50"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等效连续A声级</w:t>
                  </w:r>
                </w:p>
              </w:tc>
              <w:tc>
                <w:tcPr>
                  <w:tcW w:w="2240" w:type="dxa"/>
                  <w:vAlign w:val="center"/>
                </w:tcPr>
                <w:p w14:paraId="0A9F2653">
                  <w:pPr>
                    <w:pStyle w:val="16"/>
                    <w:spacing w:before="51"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pacing w:val="8"/>
                      <w:sz w:val="21"/>
                      <w:szCs w:val="21"/>
                      <w:highlight w:val="none"/>
                      <w:lang w:val="en-US" w:eastAsia="zh-CN"/>
                    </w:rPr>
                    <w:t>井场</w:t>
                  </w:r>
                  <w:r>
                    <w:rPr>
                      <w:rFonts w:hint="default" w:ascii="Times New Roman" w:hAnsi="Times New Roman" w:eastAsia="宋体" w:cs="Times New Roman"/>
                      <w:color w:val="auto"/>
                      <w:spacing w:val="8"/>
                      <w:sz w:val="21"/>
                      <w:szCs w:val="21"/>
                      <w:highlight w:val="none"/>
                    </w:rPr>
                    <w:t>周围</w:t>
                  </w:r>
                </w:p>
              </w:tc>
              <w:tc>
                <w:tcPr>
                  <w:tcW w:w="1580" w:type="dxa"/>
                  <w:vMerge w:val="continue"/>
                  <w:tcBorders>
                    <w:top w:val="nil"/>
                    <w:bottom w:val="nil"/>
                    <w:right w:val="single" w:color="auto" w:sz="4" w:space="0"/>
                  </w:tcBorders>
                  <w:vAlign w:val="top"/>
                </w:tcPr>
                <w:p w14:paraId="339F616B">
                  <w:pPr>
                    <w:jc w:val="center"/>
                    <w:rPr>
                      <w:rFonts w:hint="default" w:ascii="Times New Roman" w:hAnsi="Times New Roman" w:eastAsia="宋体" w:cs="Times New Roman"/>
                      <w:color w:val="auto"/>
                      <w:sz w:val="21"/>
                      <w:szCs w:val="21"/>
                      <w:highlight w:val="none"/>
                    </w:rPr>
                  </w:pPr>
                </w:p>
              </w:tc>
            </w:tr>
            <w:tr w14:paraId="038AE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jc w:val="center"/>
              </w:trPr>
              <w:tc>
                <w:tcPr>
                  <w:tcW w:w="1077" w:type="dxa"/>
                  <w:vAlign w:val="top"/>
                </w:tcPr>
                <w:p w14:paraId="19977FDD">
                  <w:pPr>
                    <w:pStyle w:val="16"/>
                    <w:spacing w:before="168" w:line="229"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土壤</w:t>
                  </w:r>
                </w:p>
              </w:tc>
              <w:tc>
                <w:tcPr>
                  <w:tcW w:w="1766" w:type="dxa"/>
                  <w:vAlign w:val="center"/>
                </w:tcPr>
                <w:p w14:paraId="480E0DCA">
                  <w:pPr>
                    <w:pStyle w:val="16"/>
                    <w:spacing w:before="33"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施工期每月1次，恢复期每季度1次</w:t>
                  </w:r>
                </w:p>
              </w:tc>
              <w:tc>
                <w:tcPr>
                  <w:tcW w:w="1694" w:type="dxa"/>
                  <w:vAlign w:val="top"/>
                </w:tcPr>
                <w:p w14:paraId="1D99A4DE">
                  <w:pPr>
                    <w:pStyle w:val="16"/>
                    <w:spacing w:before="169"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石油烃</w:t>
                  </w:r>
                  <w:r>
                    <w:rPr>
                      <w:rFonts w:hint="default" w:ascii="Times New Roman" w:hAnsi="Times New Roman" w:cs="Times New Roman"/>
                      <w:color w:val="auto"/>
                      <w:spacing w:val="6"/>
                      <w:sz w:val="21"/>
                      <w:szCs w:val="21"/>
                      <w:highlight w:val="none"/>
                      <w:lang w:eastAsia="zh-CN"/>
                    </w:rPr>
                    <w:t>、</w:t>
                  </w:r>
                  <w:r>
                    <w:rPr>
                      <w:rFonts w:hint="default" w:ascii="Times New Roman" w:hAnsi="Times New Roman" w:eastAsia="宋体" w:cs="Times New Roman"/>
                      <w:color w:val="auto"/>
                      <w:spacing w:val="6"/>
                      <w:sz w:val="21"/>
                      <w:szCs w:val="21"/>
                      <w:highlight w:val="none"/>
                    </w:rPr>
                    <w:t>VOCs</w:t>
                  </w:r>
                </w:p>
              </w:tc>
              <w:tc>
                <w:tcPr>
                  <w:tcW w:w="2240" w:type="dxa"/>
                  <w:vAlign w:val="top"/>
                </w:tcPr>
                <w:p w14:paraId="1F90C3EE">
                  <w:pPr>
                    <w:pStyle w:val="16"/>
                    <w:spacing w:before="169" w:line="228"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井场周边50m、100m各1个点</w:t>
                  </w:r>
                </w:p>
              </w:tc>
              <w:tc>
                <w:tcPr>
                  <w:tcW w:w="1580" w:type="dxa"/>
                  <w:vMerge w:val="continue"/>
                  <w:tcBorders>
                    <w:top w:val="nil"/>
                    <w:bottom w:val="nil"/>
                    <w:right w:val="single" w:color="auto" w:sz="4" w:space="0"/>
                  </w:tcBorders>
                  <w:vAlign w:val="top"/>
                </w:tcPr>
                <w:p w14:paraId="03F0A443">
                  <w:pPr>
                    <w:jc w:val="center"/>
                    <w:rPr>
                      <w:rFonts w:hint="default" w:ascii="Times New Roman" w:hAnsi="Times New Roman" w:eastAsia="宋体" w:cs="Times New Roman"/>
                      <w:color w:val="auto"/>
                      <w:sz w:val="21"/>
                      <w:szCs w:val="21"/>
                      <w:highlight w:val="none"/>
                    </w:rPr>
                  </w:pPr>
                </w:p>
              </w:tc>
            </w:tr>
          </w:tbl>
          <w:p w14:paraId="2F69A25B">
            <w:pPr>
              <w:pStyle w:val="20"/>
              <w:widowControl w:val="0"/>
              <w:ind w:left="0" w:leftChars="0" w:firstLine="0" w:firstLineChars="0"/>
              <w:rPr>
                <w:rFonts w:hint="default" w:ascii="Times New Roman" w:hAnsi="Times New Roman" w:eastAsia="宋体" w:cs="Times New Roman"/>
                <w:color w:val="auto"/>
                <w:highlight w:val="none"/>
              </w:rPr>
            </w:pPr>
          </w:p>
        </w:tc>
      </w:tr>
      <w:tr w14:paraId="01ADF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3" w:hRule="atLeast"/>
          <w:jc w:val="center"/>
        </w:trPr>
        <w:tc>
          <w:tcPr>
            <w:tcW w:w="271" w:type="pct"/>
            <w:vAlign w:val="center"/>
          </w:tcPr>
          <w:p w14:paraId="50FF4A15">
            <w:pPr>
              <w:widowControl w:val="0"/>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sz w:val="24"/>
                <w:szCs w:val="24"/>
                <w:highlight w:val="none"/>
              </w:rPr>
              <w:t>环保投资</w:t>
            </w:r>
          </w:p>
        </w:tc>
        <w:tc>
          <w:tcPr>
            <w:tcW w:w="4728" w:type="pct"/>
            <w:vAlign w:val="center"/>
          </w:tcPr>
          <w:p w14:paraId="0D5144CF">
            <w:pPr>
              <w:widowControl w:val="0"/>
              <w:snapToGrid w:val="0"/>
              <w:spacing w:line="500" w:lineRule="exact"/>
              <w:ind w:firstLine="480" w:firstLineChars="200"/>
              <w:rPr>
                <w:rFonts w:hint="default" w:ascii="Times New Roman" w:hAnsi="Times New Roman" w:eastAsia="宋体" w:cs="Times New Roman"/>
                <w:color w:val="auto"/>
                <w:sz w:val="24"/>
                <w:szCs w:val="24"/>
                <w:highlight w:val="none"/>
              </w:rPr>
            </w:pPr>
            <w:bookmarkStart w:id="45" w:name="_Hlk136795979"/>
            <w:r>
              <w:rPr>
                <w:rFonts w:hint="default" w:ascii="Times New Roman" w:hAnsi="Times New Roman" w:eastAsia="宋体" w:cs="Times New Roman"/>
                <w:color w:val="auto"/>
                <w:sz w:val="24"/>
                <w:szCs w:val="24"/>
                <w:highlight w:val="none"/>
              </w:rPr>
              <w:t>项目总投资为</w:t>
            </w:r>
            <w:r>
              <w:rPr>
                <w:rFonts w:hint="default" w:ascii="Times New Roman" w:hAnsi="Times New Roman" w:eastAsia="宋体" w:cs="Times New Roman"/>
                <w:color w:val="auto"/>
                <w:sz w:val="24"/>
                <w:szCs w:val="24"/>
                <w:highlight w:val="none"/>
                <w:lang w:val="en-US" w:eastAsia="zh-CN"/>
              </w:rPr>
              <w:t>22000</w:t>
            </w:r>
            <w:r>
              <w:rPr>
                <w:rFonts w:hint="default" w:ascii="Times New Roman" w:hAnsi="Times New Roman" w:eastAsia="宋体" w:cs="Times New Roman"/>
                <w:color w:val="auto"/>
                <w:sz w:val="24"/>
                <w:szCs w:val="24"/>
                <w:highlight w:val="none"/>
              </w:rPr>
              <w:t>万元，其中环保投资</w:t>
            </w:r>
            <w:r>
              <w:rPr>
                <w:rFonts w:hint="default" w:ascii="Times New Roman" w:hAnsi="Times New Roman" w:eastAsia="宋体" w:cs="Times New Roman"/>
                <w:color w:val="auto"/>
                <w:sz w:val="24"/>
                <w:szCs w:val="24"/>
                <w:highlight w:val="none"/>
                <w:lang w:val="en-US" w:eastAsia="zh-CN"/>
              </w:rPr>
              <w:t>1148</w:t>
            </w:r>
            <w:r>
              <w:rPr>
                <w:rFonts w:hint="default" w:ascii="Times New Roman" w:hAnsi="Times New Roman" w:eastAsia="宋体" w:cs="Times New Roman"/>
                <w:color w:val="auto"/>
                <w:sz w:val="24"/>
                <w:szCs w:val="24"/>
                <w:highlight w:val="none"/>
              </w:rPr>
              <w:t>万元，占总投资的</w:t>
            </w:r>
            <w:r>
              <w:rPr>
                <w:rFonts w:hint="default" w:ascii="Times New Roman" w:hAnsi="Times New Roman" w:eastAsia="宋体" w:cs="Times New Roman"/>
                <w:color w:val="auto"/>
                <w:sz w:val="24"/>
                <w:szCs w:val="24"/>
                <w:highlight w:val="none"/>
                <w:lang w:val="en-US" w:eastAsia="zh-CN"/>
              </w:rPr>
              <w:t>5.2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环保投资</w:t>
            </w:r>
            <w:r>
              <w:rPr>
                <w:rFonts w:hint="default" w:ascii="Times New Roman" w:hAnsi="Times New Roman" w:eastAsia="宋体" w:cs="Times New Roman"/>
                <w:color w:val="auto"/>
                <w:sz w:val="24"/>
                <w:szCs w:val="24"/>
                <w:highlight w:val="none"/>
              </w:rPr>
              <w:t>详见表</w:t>
            </w:r>
            <w:r>
              <w:rPr>
                <w:rFonts w:hint="default" w:ascii="Times New Roman" w:hAnsi="Times New Roman" w:eastAsia="宋体" w:cs="Times New Roman"/>
                <w:color w:val="auto"/>
                <w:sz w:val="24"/>
                <w:szCs w:val="24"/>
                <w:highlight w:val="none"/>
                <w:lang w:val="en-US" w:eastAsia="zh-CN"/>
              </w:rPr>
              <w:t>5.4</w:t>
            </w:r>
            <w:r>
              <w:rPr>
                <w:rFonts w:hint="default" w:ascii="Times New Roman" w:hAnsi="Times New Roman" w:eastAsia="宋体" w:cs="Times New Roman"/>
                <w:color w:val="auto"/>
                <w:sz w:val="24"/>
                <w:szCs w:val="24"/>
                <w:highlight w:val="none"/>
              </w:rPr>
              <w:t>。</w:t>
            </w:r>
          </w:p>
          <w:p w14:paraId="191384AA">
            <w:pPr>
              <w:pStyle w:val="5"/>
              <w:keepNext/>
              <w:keepLines w:val="0"/>
              <w:pageBreakBefore w:val="0"/>
              <w:widowControl w:val="0"/>
              <w:kinsoku w:val="0"/>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 xml:space="preserve">5-4 </w:t>
            </w:r>
            <w:r>
              <w:rPr>
                <w:rFonts w:hint="default" w:ascii="Times New Roman" w:hAnsi="Times New Roman" w:eastAsia="宋体" w:cs="Times New Roman"/>
                <w:b/>
                <w:bCs/>
                <w:color w:val="auto"/>
                <w:highlight w:val="none"/>
              </w:rPr>
              <w:t>环保投资一览表</w:t>
            </w:r>
          </w:p>
          <w:bookmarkEnd w:id="45"/>
          <w:tbl>
            <w:tblPr>
              <w:tblStyle w:val="11"/>
              <w:tblW w:w="837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6"/>
              <w:gridCol w:w="1370"/>
              <w:gridCol w:w="4974"/>
              <w:gridCol w:w="967"/>
              <w:gridCol w:w="558"/>
            </w:tblGrid>
            <w:tr w14:paraId="1AA8DF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90" w:hRule="atLeast"/>
                <w:jc w:val="center"/>
              </w:trPr>
              <w:tc>
                <w:tcPr>
                  <w:tcW w:w="1120" w:type="pct"/>
                  <w:gridSpan w:val="2"/>
                  <w:tcBorders>
                    <w:top w:val="single" w:color="auto" w:sz="4" w:space="0"/>
                    <w:left w:val="single" w:color="auto" w:sz="0" w:space="0"/>
                  </w:tcBorders>
                  <w:tcMar>
                    <w:left w:w="0" w:type="dxa"/>
                    <w:right w:w="0" w:type="dxa"/>
                  </w:tcMar>
                  <w:vAlign w:val="center"/>
                </w:tcPr>
                <w:p w14:paraId="6ABB76F8">
                  <w:pPr>
                    <w:adjustRightInd w:val="0"/>
                    <w:snapToGrid w:val="0"/>
                    <w:spacing w:line="30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工程名称</w:t>
                  </w:r>
                </w:p>
              </w:tc>
              <w:tc>
                <w:tcPr>
                  <w:tcW w:w="2969" w:type="pct"/>
                  <w:tcBorders>
                    <w:top w:val="single" w:color="auto" w:sz="4" w:space="0"/>
                  </w:tcBorders>
                  <w:tcMar>
                    <w:left w:w="0" w:type="dxa"/>
                    <w:right w:w="0" w:type="dxa"/>
                  </w:tcMar>
                  <w:vAlign w:val="center"/>
                </w:tcPr>
                <w:p w14:paraId="3126FDA2">
                  <w:pPr>
                    <w:adjustRightInd w:val="0"/>
                    <w:snapToGrid w:val="0"/>
                    <w:spacing w:line="300" w:lineRule="exac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拟采取的环保措施</w:t>
                  </w:r>
                </w:p>
              </w:tc>
              <w:tc>
                <w:tcPr>
                  <w:tcW w:w="577" w:type="pct"/>
                  <w:tcBorders>
                    <w:top w:val="single" w:color="auto" w:sz="4" w:space="0"/>
                  </w:tcBorders>
                  <w:tcMar>
                    <w:left w:w="0" w:type="dxa"/>
                    <w:right w:w="0" w:type="dxa"/>
                  </w:tcMar>
                  <w:vAlign w:val="center"/>
                </w:tcPr>
                <w:p w14:paraId="4ADF3EFA">
                  <w:pPr>
                    <w:adjustRightInd w:val="0"/>
                    <w:snapToGrid w:val="0"/>
                    <w:spacing w:line="30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环保投资</w:t>
                  </w:r>
                </w:p>
                <w:p w14:paraId="436E8F78">
                  <w:pPr>
                    <w:adjustRightInd w:val="0"/>
                    <w:snapToGrid w:val="0"/>
                    <w:spacing w:line="30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（万元）</w:t>
                  </w:r>
                </w:p>
              </w:tc>
              <w:tc>
                <w:tcPr>
                  <w:tcW w:w="333" w:type="pct"/>
                  <w:tcBorders>
                    <w:top w:val="single" w:color="auto" w:sz="4" w:space="0"/>
                    <w:right w:val="single" w:color="auto" w:sz="4" w:space="0"/>
                  </w:tcBorders>
                  <w:tcMar>
                    <w:left w:w="0" w:type="dxa"/>
                    <w:right w:w="0" w:type="dxa"/>
                  </w:tcMar>
                  <w:vAlign w:val="center"/>
                </w:tcPr>
                <w:p w14:paraId="47AD04F0">
                  <w:pPr>
                    <w:adjustRightInd w:val="0"/>
                    <w:snapToGrid w:val="0"/>
                    <w:spacing w:line="30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实施时间</w:t>
                  </w:r>
                </w:p>
              </w:tc>
            </w:tr>
            <w:tr w14:paraId="02EF25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302" w:type="pct"/>
                  <w:vMerge w:val="restart"/>
                  <w:tcBorders>
                    <w:left w:val="single" w:color="auto" w:sz="4" w:space="0"/>
                  </w:tcBorders>
                  <w:tcMar>
                    <w:left w:w="0" w:type="dxa"/>
                    <w:right w:w="0" w:type="dxa"/>
                  </w:tcMar>
                  <w:vAlign w:val="center"/>
                </w:tcPr>
                <w:p w14:paraId="07A83C99">
                  <w:pPr>
                    <w:adjustRightInd w:val="0"/>
                    <w:snapToGrid w:val="0"/>
                    <w:spacing w:line="300" w:lineRule="exact"/>
                    <w:jc w:val="center"/>
                    <w:rPr>
                      <w:rFonts w:hint="default" w:ascii="Times New Roman" w:hAnsi="Times New Roman" w:eastAsia="宋体" w:cs="Times New Roman"/>
                      <w:color w:val="auto"/>
                      <w:sz w:val="21"/>
                      <w:szCs w:val="21"/>
                      <w:highlight w:val="none"/>
                    </w:rPr>
                  </w:pPr>
                  <w:bookmarkStart w:id="46" w:name="_Hlk180059680"/>
                  <w:r>
                    <w:rPr>
                      <w:rFonts w:hint="default" w:ascii="Times New Roman" w:hAnsi="Times New Roman" w:eastAsia="宋体" w:cs="Times New Roman"/>
                      <w:color w:val="auto"/>
                      <w:sz w:val="21"/>
                      <w:szCs w:val="21"/>
                      <w:highlight w:val="none"/>
                    </w:rPr>
                    <w:t>废气</w:t>
                  </w:r>
                </w:p>
              </w:tc>
              <w:tc>
                <w:tcPr>
                  <w:tcW w:w="817" w:type="pct"/>
                  <w:vAlign w:val="center"/>
                </w:tcPr>
                <w:p w14:paraId="70A34382">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试油伴生气</w:t>
                  </w:r>
                </w:p>
              </w:tc>
              <w:tc>
                <w:tcPr>
                  <w:tcW w:w="2969" w:type="pct"/>
                  <w:tcMar>
                    <w:left w:w="0" w:type="dxa"/>
                    <w:right w:w="0" w:type="dxa"/>
                  </w:tcMar>
                  <w:vAlign w:val="center"/>
                </w:tcPr>
                <w:p w14:paraId="169FBF9B">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经排气管线充分燃烧后排放。</w:t>
                  </w:r>
                </w:p>
              </w:tc>
              <w:tc>
                <w:tcPr>
                  <w:tcW w:w="577" w:type="pct"/>
                  <w:shd w:val="clear" w:color="auto" w:fill="auto"/>
                  <w:tcMar>
                    <w:left w:w="0" w:type="dxa"/>
                    <w:right w:w="0" w:type="dxa"/>
                  </w:tcMar>
                  <w:vAlign w:val="center"/>
                </w:tcPr>
                <w:p w14:paraId="23717897">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c>
                <w:tcPr>
                  <w:tcW w:w="333" w:type="pct"/>
                  <w:vMerge w:val="restart"/>
                  <w:tcBorders>
                    <w:right w:val="single" w:color="auto" w:sz="4" w:space="0"/>
                  </w:tcBorders>
                  <w:tcMar>
                    <w:left w:w="0" w:type="dxa"/>
                    <w:right w:w="0" w:type="dxa"/>
                  </w:tcMar>
                  <w:vAlign w:val="center"/>
                </w:tcPr>
                <w:p w14:paraId="2609AB10">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与钻井、试油期同步</w:t>
                  </w:r>
                </w:p>
              </w:tc>
            </w:tr>
            <w:tr w14:paraId="3D8E09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02" w:type="pct"/>
                  <w:vMerge w:val="continue"/>
                  <w:tcBorders>
                    <w:left w:val="single" w:color="auto" w:sz="4" w:space="0"/>
                  </w:tcBorders>
                  <w:tcMar>
                    <w:left w:w="0" w:type="dxa"/>
                    <w:right w:w="0" w:type="dxa"/>
                  </w:tcMar>
                  <w:vAlign w:val="center"/>
                </w:tcPr>
                <w:p w14:paraId="3DFCCE6D">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817" w:type="pct"/>
                  <w:vAlign w:val="center"/>
                </w:tcPr>
                <w:p w14:paraId="7B4931C8">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施工扬尘</w:t>
                  </w:r>
                </w:p>
              </w:tc>
              <w:tc>
                <w:tcPr>
                  <w:tcW w:w="2969" w:type="pct"/>
                  <w:tcMar>
                    <w:left w:w="0" w:type="dxa"/>
                    <w:right w:w="0" w:type="dxa"/>
                  </w:tcMar>
                  <w:vAlign w:val="center"/>
                </w:tcPr>
                <w:p w14:paraId="3FFE751D">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采取易起尘物料进行遮盖、加强车辆管理等措施。</w:t>
                  </w:r>
                </w:p>
              </w:tc>
              <w:tc>
                <w:tcPr>
                  <w:tcW w:w="577" w:type="pct"/>
                  <w:shd w:val="clear" w:color="auto" w:fill="auto"/>
                  <w:tcMar>
                    <w:left w:w="0" w:type="dxa"/>
                    <w:right w:w="0" w:type="dxa"/>
                  </w:tcMar>
                  <w:vAlign w:val="center"/>
                </w:tcPr>
                <w:p w14:paraId="73FCDD99">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c>
                <w:tcPr>
                  <w:tcW w:w="333" w:type="pct"/>
                  <w:vMerge w:val="continue"/>
                  <w:tcBorders>
                    <w:right w:val="single" w:color="auto" w:sz="4" w:space="0"/>
                  </w:tcBorders>
                  <w:tcMar>
                    <w:left w:w="0" w:type="dxa"/>
                    <w:right w:w="0" w:type="dxa"/>
                  </w:tcMar>
                  <w:vAlign w:val="center"/>
                </w:tcPr>
                <w:p w14:paraId="18A98663">
                  <w:pPr>
                    <w:adjustRightInd w:val="0"/>
                    <w:snapToGrid w:val="0"/>
                    <w:spacing w:line="300" w:lineRule="exact"/>
                    <w:jc w:val="center"/>
                    <w:rPr>
                      <w:rFonts w:hint="default" w:ascii="Times New Roman" w:hAnsi="Times New Roman" w:eastAsia="宋体" w:cs="Times New Roman"/>
                      <w:color w:val="auto"/>
                      <w:sz w:val="21"/>
                      <w:szCs w:val="21"/>
                      <w:highlight w:val="none"/>
                    </w:rPr>
                  </w:pPr>
                </w:p>
              </w:tc>
            </w:tr>
            <w:tr w14:paraId="192DB5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02" w:type="pct"/>
                  <w:vMerge w:val="restart"/>
                  <w:tcBorders>
                    <w:left w:val="single" w:color="auto" w:sz="4" w:space="0"/>
                  </w:tcBorders>
                  <w:tcMar>
                    <w:left w:w="0" w:type="dxa"/>
                    <w:right w:w="0" w:type="dxa"/>
                  </w:tcMar>
                  <w:vAlign w:val="center"/>
                </w:tcPr>
                <w:p w14:paraId="167D23A8">
                  <w:pPr>
                    <w:adjustRightInd w:val="0"/>
                    <w:snapToGrid w:val="0"/>
                    <w:spacing w:line="300" w:lineRule="exact"/>
                    <w:jc w:val="center"/>
                    <w:rPr>
                      <w:rFonts w:hint="default" w:ascii="Times New Roman" w:hAnsi="Times New Roman" w:eastAsia="宋体" w:cs="Times New Roman"/>
                      <w:color w:val="auto"/>
                      <w:sz w:val="21"/>
                      <w:szCs w:val="21"/>
                      <w:highlight w:val="none"/>
                    </w:rPr>
                  </w:pPr>
                  <w:bookmarkStart w:id="47" w:name="_Hlk189405565"/>
                  <w:r>
                    <w:rPr>
                      <w:rFonts w:hint="default" w:ascii="Times New Roman" w:hAnsi="Times New Roman" w:eastAsia="宋体" w:cs="Times New Roman"/>
                      <w:color w:val="auto"/>
                      <w:sz w:val="21"/>
                      <w:szCs w:val="21"/>
                      <w:highlight w:val="none"/>
                    </w:rPr>
                    <w:t>废水处理</w:t>
                  </w:r>
                </w:p>
              </w:tc>
              <w:tc>
                <w:tcPr>
                  <w:tcW w:w="817" w:type="pct"/>
                  <w:tcMar>
                    <w:left w:w="0" w:type="dxa"/>
                    <w:right w:w="0" w:type="dxa"/>
                  </w:tcMar>
                  <w:vAlign w:val="center"/>
                </w:tcPr>
                <w:p w14:paraId="34D51696">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洗井废水、压裂返排液</w:t>
                  </w:r>
                </w:p>
              </w:tc>
              <w:tc>
                <w:tcPr>
                  <w:tcW w:w="2969" w:type="pct"/>
                  <w:tcMar>
                    <w:left w:w="0" w:type="dxa"/>
                    <w:right w:w="0" w:type="dxa"/>
                  </w:tcMar>
                  <w:vAlign w:val="center"/>
                </w:tcPr>
                <w:p w14:paraId="2480FD86">
                  <w:pPr>
                    <w:adjustRightInd w:val="0"/>
                    <w:snapToGrid w:val="0"/>
                    <w:spacing w:line="30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由地面储罐收集后，依托吉</w:t>
                  </w:r>
                  <w:r>
                    <w:rPr>
                      <w:rFonts w:hint="default" w:ascii="Times New Roman" w:hAnsi="Times New Roman" w:eastAsia="宋体" w:cs="Times New Roman"/>
                      <w:color w:val="auto"/>
                      <w:sz w:val="21"/>
                      <w:szCs w:val="21"/>
                      <w:highlight w:val="none"/>
                      <w:lang w:val="en-US" w:eastAsia="zh-CN"/>
                    </w:rPr>
                    <w:t>康</w:t>
                  </w:r>
                  <w:r>
                    <w:rPr>
                      <w:rFonts w:hint="default" w:ascii="Times New Roman" w:hAnsi="Times New Roman" w:eastAsia="宋体" w:cs="Times New Roman"/>
                      <w:color w:val="auto"/>
                      <w:sz w:val="21"/>
                      <w:szCs w:val="21"/>
                      <w:highlight w:val="none"/>
                    </w:rPr>
                    <w:t>脱水站处理</w:t>
                  </w:r>
                  <w:r>
                    <w:rPr>
                      <w:rFonts w:hint="eastAsia" w:ascii="Times New Roman" w:hAnsi="Times New Roman" w:eastAsia="宋体" w:cs="Times New Roman"/>
                      <w:color w:val="auto"/>
                      <w:sz w:val="21"/>
                      <w:szCs w:val="21"/>
                      <w:highlight w:val="none"/>
                      <w:lang w:val="en-US" w:eastAsia="zh-CN"/>
                    </w:rPr>
                    <w:t>后回注</w:t>
                  </w:r>
                  <w:r>
                    <w:rPr>
                      <w:rFonts w:hint="default" w:ascii="Times New Roman" w:hAnsi="Times New Roman" w:eastAsia="宋体" w:cs="Times New Roman"/>
                      <w:color w:val="auto"/>
                      <w:sz w:val="21"/>
                      <w:szCs w:val="21"/>
                      <w:highlight w:val="none"/>
                      <w:lang w:eastAsia="zh-CN"/>
                    </w:rPr>
                    <w:t>。</w:t>
                  </w:r>
                </w:p>
              </w:tc>
              <w:tc>
                <w:tcPr>
                  <w:tcW w:w="577" w:type="pct"/>
                  <w:shd w:val="clear" w:color="auto" w:fill="auto"/>
                  <w:tcMar>
                    <w:left w:w="0" w:type="dxa"/>
                    <w:right w:w="0" w:type="dxa"/>
                  </w:tcMar>
                  <w:vAlign w:val="center"/>
                </w:tcPr>
                <w:p w14:paraId="65560B98">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w:t>
                  </w:r>
                </w:p>
              </w:tc>
              <w:tc>
                <w:tcPr>
                  <w:tcW w:w="333" w:type="pct"/>
                  <w:vMerge w:val="continue"/>
                  <w:tcBorders>
                    <w:right w:val="single" w:color="auto" w:sz="4" w:space="0"/>
                  </w:tcBorders>
                  <w:tcMar>
                    <w:left w:w="0" w:type="dxa"/>
                    <w:right w:w="0" w:type="dxa"/>
                  </w:tcMar>
                  <w:vAlign w:val="center"/>
                </w:tcPr>
                <w:p w14:paraId="3D9BCC7C">
                  <w:pPr>
                    <w:adjustRightInd w:val="0"/>
                    <w:snapToGrid w:val="0"/>
                    <w:spacing w:line="300" w:lineRule="exact"/>
                    <w:jc w:val="center"/>
                    <w:rPr>
                      <w:rFonts w:hint="default" w:ascii="Times New Roman" w:hAnsi="Times New Roman" w:eastAsia="宋体" w:cs="Times New Roman"/>
                      <w:color w:val="auto"/>
                      <w:sz w:val="21"/>
                      <w:szCs w:val="21"/>
                      <w:highlight w:val="none"/>
                    </w:rPr>
                  </w:pPr>
                </w:p>
              </w:tc>
            </w:tr>
            <w:bookmarkEnd w:id="47"/>
            <w:tr w14:paraId="4DA99B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302" w:type="pct"/>
                  <w:vMerge w:val="continue"/>
                  <w:tcBorders>
                    <w:left w:val="single" w:color="auto" w:sz="4" w:space="0"/>
                  </w:tcBorders>
                  <w:tcMar>
                    <w:left w:w="0" w:type="dxa"/>
                    <w:right w:w="0" w:type="dxa"/>
                  </w:tcMar>
                  <w:vAlign w:val="center"/>
                </w:tcPr>
                <w:p w14:paraId="2FE4A6F0">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817" w:type="pct"/>
                  <w:tcMar>
                    <w:left w:w="0" w:type="dxa"/>
                    <w:right w:w="0" w:type="dxa"/>
                  </w:tcMar>
                  <w:vAlign w:val="center"/>
                </w:tcPr>
                <w:p w14:paraId="720ADE08">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2969" w:type="pct"/>
                  <w:tcMar>
                    <w:left w:w="0" w:type="dxa"/>
                    <w:right w:w="0" w:type="dxa"/>
                  </w:tcMar>
                  <w:vAlign w:val="center"/>
                </w:tcPr>
                <w:p w14:paraId="4C6F9598">
                  <w:pPr>
                    <w:adjustRightInd w:val="0"/>
                    <w:snapToGrid w:val="0"/>
                    <w:spacing w:line="300" w:lineRule="exact"/>
                    <w:jc w:val="center"/>
                    <w:rPr>
                      <w:rFonts w:hint="default" w:ascii="Times New Roman" w:hAnsi="Times New Roman" w:eastAsia="宋体" w:cs="Times New Roman"/>
                      <w:color w:val="auto"/>
                      <w:sz w:val="21"/>
                      <w:szCs w:val="21"/>
                      <w:highlight w:val="none"/>
                      <w:lang w:eastAsia="zh-CN"/>
                    </w:rPr>
                  </w:pPr>
                  <w:bookmarkStart w:id="48" w:name="_Hlk189405579"/>
                  <w:r>
                    <w:rPr>
                      <w:rFonts w:hint="default" w:ascii="Times New Roman" w:hAnsi="Times New Roman" w:eastAsia="宋体" w:cs="Times New Roman"/>
                      <w:color w:val="auto"/>
                      <w:sz w:val="21"/>
                      <w:szCs w:val="21"/>
                      <w:highlight w:val="none"/>
                    </w:rPr>
                    <w:t>设临时防渗收集池收集暂存，定期由</w:t>
                  </w:r>
                  <w:r>
                    <w:rPr>
                      <w:rFonts w:hint="eastAsia" w:ascii="Times New Roman" w:hAnsi="Times New Roman" w:eastAsia="宋体" w:cs="Times New Roman"/>
                      <w:color w:val="auto"/>
                      <w:sz w:val="21"/>
                      <w:szCs w:val="21"/>
                      <w:highlight w:val="none"/>
                      <w:lang w:val="en-US" w:eastAsia="zh-CN"/>
                    </w:rPr>
                    <w:t>施工队采用</w:t>
                  </w:r>
                  <w:r>
                    <w:rPr>
                      <w:rFonts w:hint="default" w:ascii="Times New Roman" w:hAnsi="Times New Roman" w:eastAsia="宋体" w:cs="Times New Roman"/>
                      <w:color w:val="auto"/>
                      <w:sz w:val="21"/>
                      <w:szCs w:val="21"/>
                      <w:highlight w:val="none"/>
                    </w:rPr>
                    <w:t>吸污车抽出并拉运至吉木萨尔县城污水处理厂处理</w:t>
                  </w:r>
                  <w:bookmarkEnd w:id="48"/>
                  <w:r>
                    <w:rPr>
                      <w:rFonts w:hint="default" w:ascii="Times New Roman" w:hAnsi="Times New Roman" w:eastAsia="宋体" w:cs="Times New Roman"/>
                      <w:color w:val="auto"/>
                      <w:sz w:val="21"/>
                      <w:szCs w:val="21"/>
                      <w:highlight w:val="none"/>
                      <w:lang w:eastAsia="zh-CN"/>
                    </w:rPr>
                    <w:t>。</w:t>
                  </w:r>
                </w:p>
              </w:tc>
              <w:tc>
                <w:tcPr>
                  <w:tcW w:w="577" w:type="pct"/>
                  <w:shd w:val="clear" w:color="auto" w:fill="auto"/>
                  <w:tcMar>
                    <w:left w:w="0" w:type="dxa"/>
                    <w:right w:w="0" w:type="dxa"/>
                  </w:tcMar>
                  <w:vAlign w:val="center"/>
                </w:tcPr>
                <w:p w14:paraId="11E7C4C4">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333" w:type="pct"/>
                  <w:vMerge w:val="continue"/>
                  <w:tcBorders>
                    <w:right w:val="single" w:color="auto" w:sz="4" w:space="0"/>
                  </w:tcBorders>
                  <w:tcMar>
                    <w:left w:w="0" w:type="dxa"/>
                    <w:right w:w="0" w:type="dxa"/>
                  </w:tcMar>
                  <w:vAlign w:val="center"/>
                </w:tcPr>
                <w:p w14:paraId="6276FF11">
                  <w:pPr>
                    <w:adjustRightInd w:val="0"/>
                    <w:snapToGrid w:val="0"/>
                    <w:spacing w:line="300" w:lineRule="exact"/>
                    <w:jc w:val="center"/>
                    <w:rPr>
                      <w:rFonts w:hint="default" w:ascii="Times New Roman" w:hAnsi="Times New Roman" w:eastAsia="宋体" w:cs="Times New Roman"/>
                      <w:color w:val="auto"/>
                      <w:sz w:val="21"/>
                      <w:szCs w:val="21"/>
                      <w:highlight w:val="none"/>
                    </w:rPr>
                  </w:pPr>
                </w:p>
              </w:tc>
            </w:tr>
            <w:tr w14:paraId="32009F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02" w:type="pct"/>
                  <w:vMerge w:val="restart"/>
                  <w:tcBorders>
                    <w:left w:val="single" w:color="auto" w:sz="4" w:space="0"/>
                  </w:tcBorders>
                  <w:tcMar>
                    <w:left w:w="0" w:type="dxa"/>
                    <w:right w:w="0" w:type="dxa"/>
                  </w:tcMar>
                  <w:vAlign w:val="center"/>
                </w:tcPr>
                <w:p w14:paraId="5F209565">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固废处置</w:t>
                  </w:r>
                </w:p>
              </w:tc>
              <w:tc>
                <w:tcPr>
                  <w:tcW w:w="817" w:type="pct"/>
                  <w:tcMar>
                    <w:left w:w="0" w:type="dxa"/>
                    <w:right w:w="0" w:type="dxa"/>
                  </w:tcMar>
                  <w:vAlign w:val="center"/>
                </w:tcPr>
                <w:p w14:paraId="07498D61">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2969" w:type="pct"/>
                  <w:tcMar>
                    <w:left w:w="0" w:type="dxa"/>
                    <w:right w:w="0" w:type="dxa"/>
                  </w:tcMar>
                  <w:vAlign w:val="center"/>
                </w:tcPr>
                <w:p w14:paraId="7945124F">
                  <w:pPr>
                    <w:adjustRightInd w:val="0"/>
                    <w:snapToGrid w:val="0"/>
                    <w:spacing w:line="30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设有垃圾箱集中收集，</w:t>
                  </w:r>
                  <w:r>
                    <w:rPr>
                      <w:rFonts w:hint="default" w:ascii="Times New Roman" w:hAnsi="Times New Roman" w:eastAsia="宋体" w:cs="Times New Roman"/>
                      <w:color w:val="auto"/>
                      <w:sz w:val="21"/>
                      <w:szCs w:val="21"/>
                      <w:highlight w:val="none"/>
                      <w:lang w:val="en-US" w:eastAsia="zh-CN"/>
                    </w:rPr>
                    <w:t>集中收集后</w:t>
                  </w:r>
                  <w:r>
                    <w:rPr>
                      <w:rFonts w:hint="default" w:ascii="Times New Roman" w:hAnsi="Times New Roman" w:eastAsia="宋体" w:cs="Times New Roman"/>
                      <w:color w:val="auto"/>
                      <w:sz w:val="21"/>
                      <w:szCs w:val="21"/>
                      <w:highlight w:val="none"/>
                    </w:rPr>
                    <w:t>清运至吉木萨尔县生活垃圾填埋场处置</w:t>
                  </w:r>
                  <w:r>
                    <w:rPr>
                      <w:rFonts w:hint="default" w:ascii="Times New Roman" w:hAnsi="Times New Roman" w:eastAsia="宋体" w:cs="Times New Roman"/>
                      <w:color w:val="auto"/>
                      <w:sz w:val="21"/>
                      <w:szCs w:val="21"/>
                      <w:highlight w:val="none"/>
                      <w:lang w:eastAsia="zh-CN"/>
                    </w:rPr>
                    <w:t>。</w:t>
                  </w:r>
                </w:p>
              </w:tc>
              <w:tc>
                <w:tcPr>
                  <w:tcW w:w="577" w:type="pct"/>
                  <w:shd w:val="clear" w:color="auto" w:fill="auto"/>
                  <w:tcMar>
                    <w:left w:w="0" w:type="dxa"/>
                    <w:right w:w="0" w:type="dxa"/>
                  </w:tcMar>
                  <w:vAlign w:val="center"/>
                </w:tcPr>
                <w:p w14:paraId="7865B7DA">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c>
                <w:tcPr>
                  <w:tcW w:w="333" w:type="pct"/>
                  <w:vMerge w:val="continue"/>
                  <w:tcBorders>
                    <w:right w:val="single" w:color="auto" w:sz="4" w:space="0"/>
                  </w:tcBorders>
                  <w:tcMar>
                    <w:left w:w="0" w:type="dxa"/>
                    <w:right w:w="0" w:type="dxa"/>
                  </w:tcMar>
                  <w:vAlign w:val="center"/>
                </w:tcPr>
                <w:p w14:paraId="7665A006">
                  <w:pPr>
                    <w:adjustRightInd w:val="0"/>
                    <w:snapToGrid w:val="0"/>
                    <w:spacing w:line="300" w:lineRule="exact"/>
                    <w:jc w:val="center"/>
                    <w:rPr>
                      <w:rFonts w:hint="default" w:ascii="Times New Roman" w:hAnsi="Times New Roman" w:eastAsia="宋体" w:cs="Times New Roman"/>
                      <w:color w:val="auto"/>
                      <w:sz w:val="21"/>
                      <w:szCs w:val="21"/>
                      <w:highlight w:val="none"/>
                    </w:rPr>
                  </w:pPr>
                </w:p>
              </w:tc>
            </w:tr>
            <w:tr w14:paraId="43CB64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302" w:type="pct"/>
                  <w:vMerge w:val="continue"/>
                  <w:tcBorders>
                    <w:left w:val="single" w:color="auto" w:sz="4" w:space="0"/>
                  </w:tcBorders>
                  <w:tcMar>
                    <w:left w:w="0" w:type="dxa"/>
                    <w:right w:w="0" w:type="dxa"/>
                  </w:tcMar>
                  <w:vAlign w:val="center"/>
                </w:tcPr>
                <w:p w14:paraId="0542A5E9">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817" w:type="pct"/>
                  <w:tcMar>
                    <w:left w:w="0" w:type="dxa"/>
                    <w:right w:w="0" w:type="dxa"/>
                  </w:tcMar>
                  <w:vAlign w:val="center"/>
                </w:tcPr>
                <w:p w14:paraId="2EA39DFF">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eastAsiaTheme="minorEastAsia"/>
                      <w:color w:val="auto"/>
                      <w:sz w:val="21"/>
                      <w:szCs w:val="21"/>
                    </w:rPr>
                    <w:t>钻井岩屑</w:t>
                  </w:r>
                </w:p>
              </w:tc>
              <w:tc>
                <w:tcPr>
                  <w:tcW w:w="2969" w:type="pct"/>
                  <w:tcMar>
                    <w:left w:w="0" w:type="dxa"/>
                    <w:right w:w="0" w:type="dxa"/>
                  </w:tcMar>
                  <w:vAlign w:val="center"/>
                </w:tcPr>
                <w:p w14:paraId="22C02699">
                  <w:pPr>
                    <w:adjustRightInd w:val="0"/>
                    <w:snapToGrid w:val="0"/>
                    <w:spacing w:line="300" w:lineRule="exact"/>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lang w:val="en-US" w:eastAsia="zh-CN"/>
                    </w:rPr>
                    <w:t>钻井岩屑暂存于岩屑储罐中，钻井岩屑委托具有相应处置资质的单位处置。</w:t>
                  </w:r>
                </w:p>
              </w:tc>
              <w:tc>
                <w:tcPr>
                  <w:tcW w:w="577" w:type="pct"/>
                  <w:shd w:val="clear" w:color="auto" w:fill="auto"/>
                  <w:tcMar>
                    <w:left w:w="0" w:type="dxa"/>
                    <w:right w:w="0" w:type="dxa"/>
                  </w:tcMar>
                  <w:vAlign w:val="center"/>
                </w:tcPr>
                <w:p w14:paraId="3065222D">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640(清运处置费)</w:t>
                  </w:r>
                </w:p>
              </w:tc>
              <w:tc>
                <w:tcPr>
                  <w:tcW w:w="333" w:type="pct"/>
                  <w:vMerge w:val="continue"/>
                  <w:tcBorders>
                    <w:right w:val="single" w:color="auto" w:sz="4" w:space="0"/>
                  </w:tcBorders>
                  <w:tcMar>
                    <w:left w:w="0" w:type="dxa"/>
                    <w:right w:w="0" w:type="dxa"/>
                  </w:tcMar>
                  <w:vAlign w:val="center"/>
                </w:tcPr>
                <w:p w14:paraId="232C33F5">
                  <w:pPr>
                    <w:adjustRightInd w:val="0"/>
                    <w:snapToGrid w:val="0"/>
                    <w:spacing w:line="300" w:lineRule="exact"/>
                    <w:jc w:val="center"/>
                    <w:rPr>
                      <w:rFonts w:hint="default" w:ascii="Times New Roman" w:hAnsi="Times New Roman" w:eastAsia="宋体" w:cs="Times New Roman"/>
                      <w:color w:val="auto"/>
                      <w:sz w:val="21"/>
                      <w:szCs w:val="21"/>
                      <w:highlight w:val="none"/>
                    </w:rPr>
                  </w:pPr>
                </w:p>
              </w:tc>
            </w:tr>
            <w:tr w14:paraId="2680EC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02" w:type="pct"/>
                  <w:vMerge w:val="continue"/>
                  <w:tcBorders>
                    <w:left w:val="single" w:color="auto" w:sz="4" w:space="0"/>
                  </w:tcBorders>
                  <w:tcMar>
                    <w:left w:w="0" w:type="dxa"/>
                    <w:right w:w="0" w:type="dxa"/>
                  </w:tcMar>
                  <w:vAlign w:val="center"/>
                </w:tcPr>
                <w:p w14:paraId="432C2480">
                  <w:pPr>
                    <w:adjustRightInd w:val="0"/>
                    <w:snapToGrid w:val="0"/>
                    <w:spacing w:line="300" w:lineRule="exact"/>
                    <w:jc w:val="center"/>
                    <w:rPr>
                      <w:rFonts w:hint="default" w:ascii="Times New Roman" w:hAnsi="Times New Roman" w:eastAsia="宋体" w:cs="Times New Roman"/>
                      <w:color w:val="auto"/>
                      <w:sz w:val="21"/>
                      <w:szCs w:val="21"/>
                      <w:highlight w:val="none"/>
                    </w:rPr>
                  </w:pPr>
                </w:p>
              </w:tc>
              <w:tc>
                <w:tcPr>
                  <w:tcW w:w="817" w:type="pct"/>
                  <w:vMerge w:val="restart"/>
                  <w:tcMar>
                    <w:left w:w="0" w:type="dxa"/>
                    <w:right w:w="0" w:type="dxa"/>
                  </w:tcMar>
                  <w:vAlign w:val="center"/>
                </w:tcPr>
                <w:p w14:paraId="16EE7010">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bidi="ar"/>
                    </w:rPr>
                    <w:t>落地油、</w:t>
                  </w:r>
                  <w:r>
                    <w:rPr>
                      <w:rFonts w:hint="default" w:ascii="Times New Roman" w:hAnsi="Times New Roman" w:eastAsia="宋体" w:cs="Times New Roman"/>
                      <w:color w:val="auto"/>
                      <w:sz w:val="21"/>
                      <w:szCs w:val="21"/>
                      <w:highlight w:val="none"/>
                    </w:rPr>
                    <w:t>机械设备废油</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废润滑油</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废润滑油桶</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废防渗材料</w:t>
                  </w:r>
                  <w:r>
                    <w:rPr>
                      <w:rFonts w:hint="eastAsia" w:ascii="Times New Roman" w:hAnsi="Times New Roman" w:eastAsia="宋体" w:cs="Times New Roman"/>
                      <w:color w:val="auto"/>
                      <w:sz w:val="21"/>
                      <w:szCs w:val="21"/>
                      <w:highlight w:val="none"/>
                      <w:lang w:val="en-US" w:eastAsia="zh-CN"/>
                    </w:rPr>
                    <w:t>等</w:t>
                  </w:r>
                </w:p>
              </w:tc>
              <w:tc>
                <w:tcPr>
                  <w:tcW w:w="2969" w:type="pct"/>
                  <w:tcMar>
                    <w:left w:w="0" w:type="dxa"/>
                    <w:right w:w="0" w:type="dxa"/>
                  </w:tcMar>
                  <w:vAlign w:val="center"/>
                </w:tcPr>
                <w:p w14:paraId="73BBD173">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各</w:t>
                  </w:r>
                  <w:r>
                    <w:rPr>
                      <w:rFonts w:hint="default" w:ascii="Times New Roman" w:hAnsi="Times New Roman" w:eastAsia="宋体" w:cs="Times New Roman"/>
                      <w:color w:val="auto"/>
                      <w:sz w:val="21"/>
                      <w:szCs w:val="21"/>
                      <w:highlight w:val="none"/>
                    </w:rPr>
                    <w:t>钻井井场设置1座危险废物贮存点</w:t>
                  </w:r>
                </w:p>
              </w:tc>
              <w:tc>
                <w:tcPr>
                  <w:tcW w:w="577" w:type="pct"/>
                  <w:shd w:val="clear" w:color="auto" w:fill="auto"/>
                  <w:tcMar>
                    <w:left w:w="0" w:type="dxa"/>
                    <w:right w:w="0" w:type="dxa"/>
                  </w:tcMar>
                  <w:vAlign w:val="center"/>
                </w:tcPr>
                <w:p w14:paraId="51830D25">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333" w:type="pct"/>
                  <w:vMerge w:val="continue"/>
                  <w:tcBorders>
                    <w:right w:val="single" w:color="auto" w:sz="4" w:space="0"/>
                  </w:tcBorders>
                  <w:tcMar>
                    <w:left w:w="0" w:type="dxa"/>
                    <w:right w:w="0" w:type="dxa"/>
                  </w:tcMar>
                  <w:vAlign w:val="center"/>
                </w:tcPr>
                <w:p w14:paraId="4F41A40A">
                  <w:pPr>
                    <w:adjustRightInd w:val="0"/>
                    <w:snapToGrid w:val="0"/>
                    <w:spacing w:line="300" w:lineRule="exact"/>
                    <w:jc w:val="center"/>
                    <w:rPr>
                      <w:rFonts w:hint="default" w:ascii="Times New Roman" w:hAnsi="Times New Roman" w:eastAsia="宋体" w:cs="Times New Roman"/>
                      <w:color w:val="auto"/>
                      <w:sz w:val="21"/>
                      <w:szCs w:val="21"/>
                      <w:highlight w:val="none"/>
                    </w:rPr>
                  </w:pPr>
                </w:p>
              </w:tc>
            </w:tr>
            <w:tr w14:paraId="6A8DCC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02" w:type="pct"/>
                  <w:vMerge w:val="continue"/>
                  <w:tcBorders>
                    <w:left w:val="single" w:color="auto" w:sz="4" w:space="0"/>
                  </w:tcBorders>
                  <w:tcMar>
                    <w:left w:w="0" w:type="dxa"/>
                    <w:right w:w="0" w:type="dxa"/>
                  </w:tcMar>
                  <w:vAlign w:val="center"/>
                </w:tcPr>
                <w:p w14:paraId="38FB7C7F">
                  <w:pPr>
                    <w:adjustRightInd w:val="0"/>
                    <w:snapToGrid w:val="0"/>
                    <w:spacing w:line="300" w:lineRule="exact"/>
                    <w:jc w:val="center"/>
                    <w:rPr>
                      <w:rFonts w:hint="default" w:ascii="Times New Roman" w:hAnsi="Times New Roman" w:cs="Times New Roman"/>
                      <w:color w:val="auto"/>
                    </w:rPr>
                  </w:pPr>
                </w:p>
              </w:tc>
              <w:tc>
                <w:tcPr>
                  <w:tcW w:w="817" w:type="pct"/>
                  <w:vMerge w:val="continue"/>
                  <w:tcMar>
                    <w:left w:w="0" w:type="dxa"/>
                    <w:right w:w="0" w:type="dxa"/>
                  </w:tcMar>
                  <w:vAlign w:val="center"/>
                </w:tcPr>
                <w:p w14:paraId="6C624948">
                  <w:pPr>
                    <w:adjustRightInd w:val="0"/>
                    <w:snapToGrid w:val="0"/>
                    <w:spacing w:line="300" w:lineRule="exact"/>
                    <w:jc w:val="center"/>
                    <w:rPr>
                      <w:rFonts w:hint="default" w:ascii="Times New Roman" w:hAnsi="Times New Roman" w:cs="Times New Roman"/>
                      <w:color w:val="auto"/>
                    </w:rPr>
                  </w:pPr>
                </w:p>
              </w:tc>
              <w:tc>
                <w:tcPr>
                  <w:tcW w:w="2969" w:type="pct"/>
                  <w:tcMar>
                    <w:left w:w="0" w:type="dxa"/>
                    <w:right w:w="0" w:type="dxa"/>
                  </w:tcMar>
                  <w:vAlign w:val="center"/>
                </w:tcPr>
                <w:p w14:paraId="39A248E9">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用于施工过程中产生的沾油废防渗材料、废润滑油及废润滑油桶的暂存，各类危险废物定期交由具有相应危险废物处置资质的单位进行接收、转运和处置。</w:t>
                  </w:r>
                </w:p>
              </w:tc>
              <w:tc>
                <w:tcPr>
                  <w:tcW w:w="577" w:type="pct"/>
                  <w:shd w:val="clear" w:color="auto" w:fill="auto"/>
                  <w:tcMar>
                    <w:left w:w="0" w:type="dxa"/>
                    <w:right w:w="0" w:type="dxa"/>
                  </w:tcMar>
                  <w:vAlign w:val="center"/>
                </w:tcPr>
                <w:p w14:paraId="50FA7552">
                  <w:pPr>
                    <w:adjustRightInd w:val="0"/>
                    <w:snapToGrid w:val="0"/>
                    <w:spacing w:line="300" w:lineRule="exact"/>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80</w:t>
                  </w:r>
                </w:p>
              </w:tc>
              <w:tc>
                <w:tcPr>
                  <w:tcW w:w="333" w:type="pct"/>
                  <w:vMerge w:val="continue"/>
                  <w:tcBorders>
                    <w:right w:val="single" w:color="auto" w:sz="4" w:space="0"/>
                  </w:tcBorders>
                  <w:tcMar>
                    <w:left w:w="0" w:type="dxa"/>
                    <w:right w:w="0" w:type="dxa"/>
                  </w:tcMar>
                  <w:vAlign w:val="center"/>
                </w:tcPr>
                <w:p w14:paraId="37629E47">
                  <w:pPr>
                    <w:adjustRightInd w:val="0"/>
                    <w:snapToGrid w:val="0"/>
                    <w:spacing w:line="300" w:lineRule="exact"/>
                    <w:jc w:val="center"/>
                    <w:rPr>
                      <w:rFonts w:hint="default" w:ascii="Times New Roman" w:hAnsi="Times New Roman" w:eastAsia="宋体" w:cs="Times New Roman"/>
                      <w:color w:val="auto"/>
                      <w:sz w:val="21"/>
                      <w:szCs w:val="21"/>
                      <w:highlight w:val="none"/>
                    </w:rPr>
                  </w:pPr>
                </w:p>
              </w:tc>
            </w:tr>
            <w:bookmarkEnd w:id="46"/>
            <w:tr w14:paraId="506995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120" w:type="pct"/>
                  <w:gridSpan w:val="2"/>
                  <w:tcBorders>
                    <w:left w:val="single" w:color="auto" w:sz="4" w:space="0"/>
                  </w:tcBorders>
                  <w:shd w:val="clear" w:color="auto" w:fill="auto"/>
                  <w:tcMar>
                    <w:left w:w="0" w:type="dxa"/>
                    <w:right w:w="0" w:type="dxa"/>
                  </w:tcMar>
                  <w:vAlign w:val="center"/>
                </w:tcPr>
                <w:p w14:paraId="69BCDE79">
                  <w:pPr>
                    <w:adjustRightInd w:val="0"/>
                    <w:snapToGrid w:val="0"/>
                    <w:spacing w:line="300" w:lineRule="exact"/>
                    <w:jc w:val="center"/>
                    <w:rPr>
                      <w:rFonts w:hint="default" w:ascii="Times New Roman" w:hAnsi="Times New Roman" w:eastAsia="宋体" w:cs="Times New Roman"/>
                      <w:snapToGrid w:val="0"/>
                      <w:color w:val="auto"/>
                      <w:kern w:val="0"/>
                      <w:sz w:val="21"/>
                      <w:szCs w:val="21"/>
                      <w:highlight w:val="none"/>
                      <w:lang w:val="en-US" w:eastAsia="zh-CN" w:bidi="ar-SA"/>
                    </w:rPr>
                  </w:pPr>
                  <w:bookmarkStart w:id="49" w:name="_Hlk180059585"/>
                  <w:r>
                    <w:rPr>
                      <w:rFonts w:hint="default" w:ascii="Times New Roman" w:hAnsi="Times New Roman" w:eastAsia="宋体" w:cs="Times New Roman"/>
                      <w:color w:val="auto"/>
                      <w:sz w:val="21"/>
                      <w:szCs w:val="21"/>
                      <w:highlight w:val="none"/>
                    </w:rPr>
                    <w:t>生态</w:t>
                  </w:r>
                  <w:r>
                    <w:rPr>
                      <w:rFonts w:hint="default" w:ascii="Times New Roman" w:hAnsi="Times New Roman" w:eastAsia="宋体" w:cs="Times New Roman"/>
                      <w:color w:val="auto"/>
                      <w:sz w:val="21"/>
                      <w:szCs w:val="21"/>
                      <w:highlight w:val="none"/>
                      <w:lang w:val="en-US" w:eastAsia="zh-CN"/>
                    </w:rPr>
                    <w:t>恢复</w:t>
                  </w:r>
                </w:p>
              </w:tc>
              <w:tc>
                <w:tcPr>
                  <w:tcW w:w="2969" w:type="pct"/>
                  <w:shd w:val="clear" w:color="auto" w:fill="auto"/>
                  <w:tcMar>
                    <w:left w:w="0" w:type="dxa"/>
                    <w:right w:w="0" w:type="dxa"/>
                  </w:tcMar>
                  <w:vAlign w:val="center"/>
                </w:tcPr>
                <w:p w14:paraId="0FF622C4">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rPr>
                    <w:t>对临时占地清理、平整</w:t>
                  </w:r>
                </w:p>
              </w:tc>
              <w:tc>
                <w:tcPr>
                  <w:tcW w:w="577" w:type="pct"/>
                  <w:shd w:val="clear" w:color="auto" w:fill="auto"/>
                  <w:tcMar>
                    <w:left w:w="0" w:type="dxa"/>
                    <w:right w:w="0" w:type="dxa"/>
                  </w:tcMar>
                  <w:vAlign w:val="center"/>
                </w:tcPr>
                <w:p w14:paraId="4B48607E">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/(水土保持单独计列)"</w:t>
                  </w:r>
                </w:p>
              </w:tc>
              <w:tc>
                <w:tcPr>
                  <w:tcW w:w="333" w:type="pct"/>
                  <w:vMerge w:val="continue"/>
                  <w:tcBorders>
                    <w:right w:val="single" w:color="auto" w:sz="4" w:space="0"/>
                  </w:tcBorders>
                  <w:tcMar>
                    <w:left w:w="0" w:type="dxa"/>
                    <w:right w:w="0" w:type="dxa"/>
                  </w:tcMar>
                  <w:vAlign w:val="center"/>
                </w:tcPr>
                <w:p w14:paraId="223EB8C5">
                  <w:pPr>
                    <w:adjustRightInd w:val="0"/>
                    <w:snapToGrid w:val="0"/>
                    <w:spacing w:line="300" w:lineRule="exact"/>
                    <w:jc w:val="center"/>
                    <w:rPr>
                      <w:rFonts w:hint="default" w:ascii="Times New Roman" w:hAnsi="Times New Roman" w:eastAsia="宋体" w:cs="Times New Roman"/>
                      <w:color w:val="auto"/>
                      <w:sz w:val="21"/>
                      <w:szCs w:val="21"/>
                      <w:highlight w:val="none"/>
                    </w:rPr>
                  </w:pPr>
                </w:p>
              </w:tc>
            </w:tr>
            <w:tr w14:paraId="0308F0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02" w:type="pct"/>
                  <w:vMerge w:val="restart"/>
                  <w:tcBorders>
                    <w:left w:val="single" w:color="auto" w:sz="4" w:space="0"/>
                  </w:tcBorders>
                  <w:tcMar>
                    <w:left w:w="0" w:type="dxa"/>
                    <w:right w:w="0" w:type="dxa"/>
                  </w:tcMar>
                  <w:vAlign w:val="center"/>
                </w:tcPr>
                <w:p w14:paraId="332C666E">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独立费用</w:t>
                  </w:r>
                </w:p>
              </w:tc>
              <w:tc>
                <w:tcPr>
                  <w:tcW w:w="817" w:type="pct"/>
                  <w:vMerge w:val="restart"/>
                  <w:tcBorders>
                    <w:left w:val="single" w:color="auto" w:sz="4" w:space="0"/>
                  </w:tcBorders>
                  <w:tcMar>
                    <w:left w:w="0" w:type="dxa"/>
                    <w:right w:w="0" w:type="dxa"/>
                  </w:tcMar>
                  <w:vAlign w:val="center"/>
                </w:tcPr>
                <w:p w14:paraId="3570DD98">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（根据《石油建设项目其他费用和相关费用计价方法与费用标准(2022版)》）</w:t>
                  </w:r>
                </w:p>
              </w:tc>
              <w:tc>
                <w:tcPr>
                  <w:tcW w:w="2969" w:type="pct"/>
                  <w:tcMar>
                    <w:left w:w="0" w:type="dxa"/>
                    <w:right w:w="0" w:type="dxa"/>
                  </w:tcMar>
                  <w:vAlign w:val="center"/>
                </w:tcPr>
                <w:p w14:paraId="4C81416F">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环评影响评价</w:t>
                  </w:r>
                </w:p>
              </w:tc>
              <w:tc>
                <w:tcPr>
                  <w:tcW w:w="577" w:type="pct"/>
                  <w:shd w:val="clear" w:color="auto" w:fill="auto"/>
                  <w:tcMar>
                    <w:left w:w="0" w:type="dxa"/>
                    <w:right w:w="0" w:type="dxa"/>
                  </w:tcMar>
                  <w:vAlign w:val="center"/>
                </w:tcPr>
                <w:p w14:paraId="7828E003">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333" w:type="pct"/>
                  <w:vMerge w:val="continue"/>
                  <w:tcBorders>
                    <w:right w:val="single" w:color="auto" w:sz="4" w:space="0"/>
                  </w:tcBorders>
                  <w:tcMar>
                    <w:left w:w="0" w:type="dxa"/>
                    <w:right w:w="0" w:type="dxa"/>
                  </w:tcMar>
                  <w:vAlign w:val="center"/>
                </w:tcPr>
                <w:p w14:paraId="18FB2170">
                  <w:pPr>
                    <w:adjustRightInd w:val="0"/>
                    <w:snapToGrid w:val="0"/>
                    <w:spacing w:line="300" w:lineRule="exact"/>
                    <w:jc w:val="center"/>
                    <w:rPr>
                      <w:rFonts w:hint="default" w:ascii="Times New Roman" w:hAnsi="Times New Roman" w:eastAsia="宋体" w:cs="Times New Roman"/>
                      <w:color w:val="auto"/>
                      <w:sz w:val="21"/>
                      <w:szCs w:val="21"/>
                      <w:highlight w:val="none"/>
                    </w:rPr>
                  </w:pPr>
                </w:p>
              </w:tc>
            </w:tr>
            <w:tr w14:paraId="7D7368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02" w:type="pct"/>
                  <w:vMerge w:val="continue"/>
                  <w:tcBorders>
                    <w:left w:val="single" w:color="auto" w:sz="4" w:space="0"/>
                  </w:tcBorders>
                  <w:tcMar>
                    <w:left w:w="0" w:type="dxa"/>
                    <w:right w:w="0" w:type="dxa"/>
                  </w:tcMar>
                  <w:vAlign w:val="center"/>
                </w:tcPr>
                <w:p w14:paraId="6FA2C529">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p>
              </w:tc>
              <w:tc>
                <w:tcPr>
                  <w:tcW w:w="817" w:type="pct"/>
                  <w:vMerge w:val="continue"/>
                  <w:tcBorders>
                    <w:left w:val="single" w:color="auto" w:sz="4" w:space="0"/>
                  </w:tcBorders>
                  <w:tcMar>
                    <w:left w:w="0" w:type="dxa"/>
                    <w:right w:w="0" w:type="dxa"/>
                  </w:tcMar>
                  <w:vAlign w:val="center"/>
                </w:tcPr>
                <w:p w14:paraId="2609A9D5">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p>
              </w:tc>
              <w:tc>
                <w:tcPr>
                  <w:tcW w:w="2969" w:type="pct"/>
                  <w:tcMar>
                    <w:left w:w="0" w:type="dxa"/>
                    <w:right w:w="0" w:type="dxa"/>
                  </w:tcMar>
                  <w:vAlign w:val="center"/>
                </w:tcPr>
                <w:p w14:paraId="55A5EFB9">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环境保护竣工</w:t>
                  </w:r>
                  <w:r>
                    <w:rPr>
                      <w:rFonts w:hint="default" w:ascii="Times New Roman" w:hAnsi="Times New Roman" w:eastAsia="宋体" w:cs="Times New Roman"/>
                      <w:color w:val="auto"/>
                      <w:sz w:val="21"/>
                      <w:szCs w:val="21"/>
                      <w:highlight w:val="none"/>
                    </w:rPr>
                    <w:t>验收</w:t>
                  </w:r>
                </w:p>
              </w:tc>
              <w:tc>
                <w:tcPr>
                  <w:tcW w:w="577" w:type="pct"/>
                  <w:shd w:val="clear" w:color="auto" w:fill="auto"/>
                  <w:tcMar>
                    <w:left w:w="0" w:type="dxa"/>
                    <w:right w:w="0" w:type="dxa"/>
                  </w:tcMar>
                  <w:vAlign w:val="center"/>
                </w:tcPr>
                <w:p w14:paraId="0DA55B87">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333" w:type="pct"/>
                  <w:vMerge w:val="continue"/>
                  <w:tcBorders>
                    <w:right w:val="single" w:color="auto" w:sz="4" w:space="0"/>
                  </w:tcBorders>
                  <w:tcMar>
                    <w:left w:w="0" w:type="dxa"/>
                    <w:right w:w="0" w:type="dxa"/>
                  </w:tcMar>
                  <w:vAlign w:val="center"/>
                </w:tcPr>
                <w:p w14:paraId="6B545009">
                  <w:pPr>
                    <w:adjustRightInd w:val="0"/>
                    <w:snapToGrid w:val="0"/>
                    <w:spacing w:line="300" w:lineRule="exact"/>
                    <w:jc w:val="center"/>
                    <w:rPr>
                      <w:rFonts w:hint="default" w:ascii="Times New Roman" w:hAnsi="Times New Roman" w:eastAsia="宋体" w:cs="Times New Roman"/>
                      <w:color w:val="auto"/>
                      <w:sz w:val="21"/>
                      <w:szCs w:val="21"/>
                      <w:highlight w:val="none"/>
                    </w:rPr>
                  </w:pPr>
                </w:p>
              </w:tc>
            </w:tr>
            <w:tr w14:paraId="2D868F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02" w:type="pct"/>
                  <w:vMerge w:val="continue"/>
                  <w:tcBorders>
                    <w:left w:val="single" w:color="auto" w:sz="4" w:space="0"/>
                  </w:tcBorders>
                  <w:tcMar>
                    <w:left w:w="0" w:type="dxa"/>
                    <w:right w:w="0" w:type="dxa"/>
                  </w:tcMar>
                  <w:vAlign w:val="center"/>
                </w:tcPr>
                <w:p w14:paraId="69CE84D3">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p>
              </w:tc>
              <w:tc>
                <w:tcPr>
                  <w:tcW w:w="817" w:type="pct"/>
                  <w:tcBorders>
                    <w:left w:val="single" w:color="auto" w:sz="4" w:space="0"/>
                  </w:tcBorders>
                  <w:tcMar>
                    <w:left w:w="0" w:type="dxa"/>
                    <w:right w:w="0" w:type="dxa"/>
                  </w:tcMar>
                  <w:vAlign w:val="center"/>
                </w:tcPr>
                <w:p w14:paraId="233002D8">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969" w:type="pct"/>
                  <w:tcMar>
                    <w:left w:w="0" w:type="dxa"/>
                    <w:right w:w="0" w:type="dxa"/>
                  </w:tcMar>
                  <w:vAlign w:val="center"/>
                </w:tcPr>
                <w:p w14:paraId="7345002C">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环境监测</w:t>
                  </w:r>
                </w:p>
              </w:tc>
              <w:tc>
                <w:tcPr>
                  <w:tcW w:w="577" w:type="pct"/>
                  <w:shd w:val="clear" w:color="auto" w:fill="auto"/>
                  <w:tcMar>
                    <w:left w:w="0" w:type="dxa"/>
                    <w:right w:w="0" w:type="dxa"/>
                  </w:tcMar>
                  <w:vAlign w:val="center"/>
                </w:tcPr>
                <w:p w14:paraId="191C34C0">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333" w:type="pct"/>
                  <w:vMerge w:val="continue"/>
                  <w:tcBorders>
                    <w:right w:val="single" w:color="auto" w:sz="4" w:space="0"/>
                  </w:tcBorders>
                  <w:tcMar>
                    <w:left w:w="0" w:type="dxa"/>
                    <w:right w:w="0" w:type="dxa"/>
                  </w:tcMar>
                  <w:vAlign w:val="center"/>
                </w:tcPr>
                <w:p w14:paraId="2C0EE143">
                  <w:pPr>
                    <w:adjustRightInd w:val="0"/>
                    <w:snapToGrid w:val="0"/>
                    <w:spacing w:line="300" w:lineRule="exact"/>
                    <w:jc w:val="center"/>
                    <w:rPr>
                      <w:rFonts w:hint="default" w:ascii="Times New Roman" w:hAnsi="Times New Roman" w:eastAsia="宋体" w:cs="Times New Roman"/>
                      <w:color w:val="auto"/>
                      <w:sz w:val="21"/>
                      <w:szCs w:val="21"/>
                      <w:highlight w:val="none"/>
                    </w:rPr>
                  </w:pPr>
                </w:p>
              </w:tc>
            </w:tr>
            <w:bookmarkEnd w:id="49"/>
            <w:tr w14:paraId="132409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089" w:type="pct"/>
                  <w:gridSpan w:val="3"/>
                  <w:tcBorders>
                    <w:left w:val="single" w:color="auto" w:sz="4" w:space="0"/>
                    <w:bottom w:val="single" w:color="auto" w:sz="4" w:space="0"/>
                  </w:tcBorders>
                  <w:tcMar>
                    <w:left w:w="0" w:type="dxa"/>
                    <w:right w:w="0" w:type="dxa"/>
                  </w:tcMar>
                  <w:vAlign w:val="center"/>
                </w:tcPr>
                <w:p w14:paraId="2D4EA48D">
                  <w:pPr>
                    <w:adjustRightInd w:val="0"/>
                    <w:snapToGrid w:val="0"/>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577" w:type="pct"/>
                  <w:tcBorders>
                    <w:bottom w:val="single" w:color="auto" w:sz="4" w:space="0"/>
                  </w:tcBorders>
                  <w:tcMar>
                    <w:left w:w="0" w:type="dxa"/>
                    <w:right w:w="0" w:type="dxa"/>
                  </w:tcMar>
                  <w:vAlign w:val="center"/>
                </w:tcPr>
                <w:p w14:paraId="745E7A35">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1148</w:t>
                  </w:r>
                </w:p>
              </w:tc>
              <w:tc>
                <w:tcPr>
                  <w:tcW w:w="333" w:type="pct"/>
                  <w:tcBorders>
                    <w:bottom w:val="single" w:color="auto" w:sz="4" w:space="0"/>
                    <w:right w:val="single" w:color="auto" w:sz="4" w:space="0"/>
                  </w:tcBorders>
                  <w:tcMar>
                    <w:left w:w="0" w:type="dxa"/>
                    <w:right w:w="0" w:type="dxa"/>
                  </w:tcMar>
                  <w:vAlign w:val="center"/>
                </w:tcPr>
                <w:p w14:paraId="7166FB73">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14:paraId="50C56682">
            <w:pPr>
              <w:pStyle w:val="6"/>
              <w:widowControl w:val="0"/>
              <w:ind w:firstLine="0" w:firstLineChars="0"/>
              <w:rPr>
                <w:rFonts w:hint="default" w:ascii="Times New Roman" w:hAnsi="Times New Roman" w:eastAsia="宋体" w:cs="Times New Roman"/>
                <w:color w:val="auto"/>
                <w:highlight w:val="none"/>
              </w:rPr>
            </w:pPr>
          </w:p>
          <w:p w14:paraId="1CD7620D">
            <w:pPr>
              <w:pStyle w:val="6"/>
              <w:widowControl w:val="0"/>
              <w:ind w:firstLine="0" w:firstLineChars="0"/>
              <w:rPr>
                <w:rFonts w:hint="default" w:ascii="Times New Roman" w:hAnsi="Times New Roman" w:eastAsia="宋体" w:cs="Times New Roman"/>
                <w:color w:val="auto"/>
                <w:highlight w:val="none"/>
              </w:rPr>
            </w:pPr>
          </w:p>
        </w:tc>
      </w:tr>
    </w:tbl>
    <w:p w14:paraId="6ADD8FB1">
      <w:pPr>
        <w:pStyle w:val="2"/>
        <w:rPr>
          <w:rFonts w:hint="default" w:ascii="Times New Roman" w:hAnsi="Times New Roman" w:cs="Times New Roman"/>
          <w:color w:val="auto"/>
          <w:highlight w:val="none"/>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59D31E5">
      <w:pPr>
        <w:pStyle w:val="2"/>
        <w:rPr>
          <w:rFonts w:hint="default" w:ascii="Times New Roman" w:hAnsi="Times New Roman" w:cs="Times New Roman" w:eastAsiaTheme="minorEastAsia"/>
          <w:b/>
          <w:bCs w:val="0"/>
          <w:color w:val="auto"/>
          <w:sz w:val="30"/>
          <w:szCs w:val="30"/>
          <w:highlight w:val="none"/>
        </w:rPr>
      </w:pPr>
      <w:r>
        <w:rPr>
          <w:rFonts w:hint="default" w:ascii="Times New Roman" w:hAnsi="Times New Roman" w:cs="Times New Roman" w:eastAsiaTheme="minorEastAsia"/>
          <w:b/>
          <w:bCs w:val="0"/>
          <w:color w:val="auto"/>
          <w:sz w:val="30"/>
          <w:szCs w:val="30"/>
          <w:highlight w:val="none"/>
        </w:rPr>
        <w:t>六、生态环境保护措施监督检查清单</w:t>
      </w:r>
    </w:p>
    <w:tbl>
      <w:tblPr>
        <w:tblStyle w:val="11"/>
        <w:tblW w:w="51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9" w:type="dxa"/>
          <w:bottom w:w="0" w:type="dxa"/>
          <w:right w:w="79" w:type="dxa"/>
        </w:tblCellMar>
      </w:tblPr>
      <w:tblGrid>
        <w:gridCol w:w="1147"/>
        <w:gridCol w:w="3745"/>
        <w:gridCol w:w="1921"/>
        <w:gridCol w:w="1137"/>
        <w:gridCol w:w="726"/>
      </w:tblGrid>
      <w:tr w14:paraId="3ED40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Merge w:val="restart"/>
            <w:tcBorders>
              <w:tl2br w:val="single" w:color="auto" w:sz="4" w:space="0"/>
            </w:tcBorders>
          </w:tcPr>
          <w:p w14:paraId="57823D9E">
            <w:pPr>
              <w:pStyle w:val="1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w:t>
            </w:r>
          </w:p>
          <w:p w14:paraId="2D24DB5C">
            <w:pPr>
              <w:pStyle w:val="10"/>
              <w:rPr>
                <w:rFonts w:hint="default" w:ascii="Times New Roman" w:hAnsi="Times New Roman" w:eastAsia="宋体" w:cs="Times New Roman"/>
                <w:b/>
                <w:bCs/>
                <w:color w:val="auto"/>
                <w:sz w:val="21"/>
                <w:szCs w:val="21"/>
                <w:highlight w:val="none"/>
                <w:lang w:eastAsia="zh-CN"/>
              </w:rPr>
            </w:pPr>
          </w:p>
          <w:p w14:paraId="58C72985">
            <w:pPr>
              <w:pStyle w:val="1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3265" w:type="pct"/>
            <w:gridSpan w:val="2"/>
            <w:vAlign w:val="center"/>
          </w:tcPr>
          <w:p w14:paraId="4E989E02">
            <w:pPr>
              <w:pStyle w:val="1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施工期</w:t>
            </w:r>
          </w:p>
        </w:tc>
        <w:tc>
          <w:tcPr>
            <w:tcW w:w="1073" w:type="pct"/>
            <w:gridSpan w:val="2"/>
            <w:vAlign w:val="center"/>
          </w:tcPr>
          <w:p w14:paraId="68948CBB">
            <w:pPr>
              <w:pStyle w:val="1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运营期</w:t>
            </w:r>
          </w:p>
        </w:tc>
      </w:tr>
      <w:tr w14:paraId="09E89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Merge w:val="continue"/>
          </w:tcPr>
          <w:p w14:paraId="79BBC23D">
            <w:pPr>
              <w:pStyle w:val="10"/>
              <w:rPr>
                <w:rFonts w:hint="default" w:ascii="Times New Roman" w:hAnsi="Times New Roman" w:eastAsia="宋体" w:cs="Times New Roman"/>
                <w:b/>
                <w:bCs/>
                <w:color w:val="auto"/>
                <w:sz w:val="21"/>
                <w:szCs w:val="21"/>
                <w:highlight w:val="none"/>
              </w:rPr>
            </w:pPr>
          </w:p>
        </w:tc>
        <w:tc>
          <w:tcPr>
            <w:tcW w:w="2158" w:type="pct"/>
            <w:vAlign w:val="center"/>
          </w:tcPr>
          <w:p w14:paraId="541B44E8">
            <w:pPr>
              <w:pStyle w:val="1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环境保护措施</w:t>
            </w:r>
          </w:p>
        </w:tc>
        <w:tc>
          <w:tcPr>
            <w:tcW w:w="1107" w:type="pct"/>
            <w:vAlign w:val="center"/>
          </w:tcPr>
          <w:p w14:paraId="414A13A6">
            <w:pPr>
              <w:pStyle w:val="1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验收要求</w:t>
            </w:r>
          </w:p>
        </w:tc>
        <w:tc>
          <w:tcPr>
            <w:tcW w:w="655" w:type="pct"/>
            <w:vAlign w:val="center"/>
          </w:tcPr>
          <w:p w14:paraId="0939726A">
            <w:pPr>
              <w:pStyle w:val="1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环境保护措施</w:t>
            </w:r>
          </w:p>
        </w:tc>
        <w:tc>
          <w:tcPr>
            <w:tcW w:w="418" w:type="pct"/>
            <w:vAlign w:val="center"/>
          </w:tcPr>
          <w:p w14:paraId="6BF24E16">
            <w:pPr>
              <w:pStyle w:val="1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验收要求</w:t>
            </w:r>
          </w:p>
        </w:tc>
      </w:tr>
      <w:tr w14:paraId="5CA07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Align w:val="center"/>
          </w:tcPr>
          <w:p w14:paraId="1BBAB57F">
            <w:pPr>
              <w:adjustRightInd w:val="0"/>
              <w:snapToGrid w:val="0"/>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陆生生态</w:t>
            </w:r>
          </w:p>
        </w:tc>
        <w:tc>
          <w:tcPr>
            <w:tcW w:w="2158" w:type="pct"/>
            <w:vAlign w:val="center"/>
          </w:tcPr>
          <w:p w14:paraId="5323AFCB">
            <w:pPr>
              <w:adjustRightInd w:val="0"/>
              <w:snapToGrid w:val="0"/>
              <w:spacing w:line="340" w:lineRule="exact"/>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1 \* GB3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①</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选址尽量避开植被密集区域；严格划定路线，禁止乱辗乱轧；确保各环保设施正常运行，避免各种污染物对</w:t>
            </w:r>
            <w:r>
              <w:rPr>
                <w:rFonts w:hint="eastAsia" w:ascii="Times New Roman" w:hAnsi="Times New Roman" w:eastAsia="宋体" w:cs="Times New Roman"/>
                <w:color w:val="auto"/>
                <w:sz w:val="21"/>
                <w:szCs w:val="21"/>
                <w:highlight w:val="none"/>
                <w:lang w:val="en-US" w:eastAsia="zh-CN"/>
              </w:rPr>
              <w:t>环境影响较小</w:t>
            </w:r>
            <w:r>
              <w:rPr>
                <w:rFonts w:hint="default" w:ascii="Times New Roman" w:hAnsi="Times New Roman" w:eastAsia="宋体" w:cs="Times New Roman"/>
                <w:color w:val="auto"/>
                <w:sz w:val="21"/>
                <w:szCs w:val="21"/>
                <w:highlight w:val="none"/>
              </w:rPr>
              <w:t>；②严格控制占地，严格规定各类工作人员的活动范围；③完井后施工机械、设备及时撤离，废水和固体废物全部妥善处置，现场禁止遗留；</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4 \* GB3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④</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建设单位按照相关要求办理临时占地经济补偿协议；⑤施工结束后及时对场地进行清理、平整并压实</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⑥合理安排施工时间，避免大风天气施工。项目在建设过程中，严格落实各项管理规定，不得对项目所在区域生态环境和环境质量造成影响</w:t>
            </w:r>
            <w:r>
              <w:rPr>
                <w:rFonts w:hint="default" w:ascii="Times New Roman" w:hAnsi="Times New Roman" w:eastAsia="宋体" w:cs="Times New Roman"/>
                <w:color w:val="auto"/>
                <w:sz w:val="21"/>
                <w:szCs w:val="21"/>
                <w:highlight w:val="none"/>
                <w:lang w:eastAsia="zh-CN"/>
              </w:rPr>
              <w:t>。</w:t>
            </w:r>
          </w:p>
        </w:tc>
        <w:tc>
          <w:tcPr>
            <w:tcW w:w="1107" w:type="pct"/>
            <w:vAlign w:val="center"/>
          </w:tcPr>
          <w:p w14:paraId="2FD23E17">
            <w:pPr>
              <w:adjustRightInd w:val="0"/>
              <w:snapToGrid w:val="0"/>
              <w:spacing w:line="34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验收内容：</w:t>
            </w:r>
            <w:r>
              <w:rPr>
                <w:rFonts w:hint="default" w:ascii="Times New Roman" w:hAnsi="Times New Roman" w:eastAsia="宋体" w:cs="Times New Roman"/>
                <w:color w:val="auto"/>
                <w:sz w:val="21"/>
                <w:szCs w:val="21"/>
                <w:highlight w:val="none"/>
              </w:rPr>
              <w:t>生态保护措施落实情况；现场无废水和固体废物遗留；井场及周边占地恢复情况；临时占地经济补偿协议办理情况。</w:t>
            </w:r>
          </w:p>
          <w:p w14:paraId="7EFCA9E5">
            <w:pPr>
              <w:adjustRightInd w:val="0"/>
              <w:snapToGrid w:val="0"/>
              <w:spacing w:line="34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验收效果：</w:t>
            </w:r>
            <w:r>
              <w:rPr>
                <w:rFonts w:hint="default" w:ascii="Times New Roman" w:hAnsi="Times New Roman" w:eastAsia="宋体" w:cs="Times New Roman"/>
                <w:color w:val="auto"/>
                <w:sz w:val="21"/>
                <w:szCs w:val="21"/>
                <w:highlight w:val="none"/>
              </w:rPr>
              <w:t>施工结束后清理、平整并压实临时占地，以利于土壤、植被自然恢复。井场、生活营地和探临道路进行平整，井场无废水和固体废物遗留。</w:t>
            </w:r>
          </w:p>
        </w:tc>
        <w:tc>
          <w:tcPr>
            <w:tcW w:w="655" w:type="pct"/>
            <w:vMerge w:val="restart"/>
            <w:vAlign w:val="center"/>
          </w:tcPr>
          <w:p w14:paraId="12D34EB0">
            <w:pPr>
              <w:adjustRightInd w:val="0"/>
              <w:snapToGrid w:val="0"/>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根据试采结果决定新钻井是否转为生产井，若可转为生产井，则应当在产能开发建设前对其开展环境影响评价工作，编制环境影响评价文件</w:t>
            </w:r>
            <w:r>
              <w:rPr>
                <w:rFonts w:hint="default" w:ascii="Times New Roman" w:hAnsi="Times New Roman" w:eastAsia="宋体" w:cs="Times New Roman"/>
                <w:color w:val="auto"/>
                <w:sz w:val="21"/>
                <w:szCs w:val="21"/>
                <w:highlight w:val="none"/>
                <w:lang w:eastAsia="zh-CN"/>
              </w:rPr>
              <w:t>。</w:t>
            </w:r>
          </w:p>
        </w:tc>
        <w:tc>
          <w:tcPr>
            <w:tcW w:w="418" w:type="pct"/>
            <w:vMerge w:val="restart"/>
            <w:vAlign w:val="center"/>
          </w:tcPr>
          <w:p w14:paraId="0BCCB5DE">
            <w:pPr>
              <w:adjustRightInd w:val="0"/>
              <w:snapToGrid w:val="0"/>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按照环评及批复等相关文件要求进行验收。</w:t>
            </w:r>
          </w:p>
        </w:tc>
      </w:tr>
      <w:tr w14:paraId="063EB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60" w:hRule="atLeast"/>
          <w:jc w:val="center"/>
        </w:trPr>
        <w:tc>
          <w:tcPr>
            <w:tcW w:w="661" w:type="pct"/>
            <w:vAlign w:val="center"/>
          </w:tcPr>
          <w:p w14:paraId="73E858CB">
            <w:pPr>
              <w:adjustRightInd w:val="0"/>
              <w:snapToGrid w:val="0"/>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水生生态</w:t>
            </w:r>
          </w:p>
        </w:tc>
        <w:tc>
          <w:tcPr>
            <w:tcW w:w="2158" w:type="pct"/>
            <w:vAlign w:val="center"/>
          </w:tcPr>
          <w:p w14:paraId="4A33A056">
            <w:pPr>
              <w:adjustRightInd w:val="0"/>
              <w:snapToGrid w:val="0"/>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07" w:type="pct"/>
            <w:vAlign w:val="center"/>
          </w:tcPr>
          <w:p w14:paraId="26B123DC">
            <w:pPr>
              <w:adjustRightInd w:val="0"/>
              <w:snapToGrid w:val="0"/>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655" w:type="pct"/>
            <w:vMerge w:val="continue"/>
            <w:vAlign w:val="center"/>
          </w:tcPr>
          <w:p w14:paraId="291F18FA">
            <w:pPr>
              <w:adjustRightInd w:val="0"/>
              <w:snapToGrid w:val="0"/>
              <w:spacing w:line="340" w:lineRule="exact"/>
              <w:jc w:val="center"/>
              <w:rPr>
                <w:rFonts w:hint="default" w:ascii="Times New Roman" w:hAnsi="Times New Roman" w:eastAsia="宋体" w:cs="Times New Roman"/>
                <w:color w:val="auto"/>
                <w:sz w:val="21"/>
                <w:szCs w:val="21"/>
                <w:highlight w:val="none"/>
              </w:rPr>
            </w:pPr>
          </w:p>
        </w:tc>
        <w:tc>
          <w:tcPr>
            <w:tcW w:w="418" w:type="pct"/>
            <w:vMerge w:val="continue"/>
            <w:vAlign w:val="center"/>
          </w:tcPr>
          <w:p w14:paraId="67FFFE17">
            <w:pPr>
              <w:adjustRightInd w:val="0"/>
              <w:snapToGrid w:val="0"/>
              <w:spacing w:line="340" w:lineRule="exact"/>
              <w:jc w:val="center"/>
              <w:rPr>
                <w:rFonts w:hint="default" w:ascii="Times New Roman" w:hAnsi="Times New Roman" w:eastAsia="宋体" w:cs="Times New Roman"/>
                <w:color w:val="auto"/>
                <w:sz w:val="21"/>
                <w:szCs w:val="21"/>
                <w:highlight w:val="none"/>
              </w:rPr>
            </w:pPr>
          </w:p>
        </w:tc>
      </w:tr>
      <w:tr w14:paraId="0647D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Align w:val="center"/>
          </w:tcPr>
          <w:p w14:paraId="22C2610A">
            <w:pPr>
              <w:adjustRightInd w:val="0"/>
              <w:snapToGrid w:val="0"/>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w:t>
            </w:r>
          </w:p>
        </w:tc>
        <w:tc>
          <w:tcPr>
            <w:tcW w:w="2158" w:type="pct"/>
            <w:vAlign w:val="center"/>
          </w:tcPr>
          <w:p w14:paraId="490C6B64">
            <w:pPr>
              <w:adjustRightInd w:val="0"/>
              <w:snapToGrid w:val="0"/>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07" w:type="pct"/>
            <w:vAlign w:val="center"/>
          </w:tcPr>
          <w:p w14:paraId="731ACEBB">
            <w:pPr>
              <w:adjustRightInd w:val="0"/>
              <w:snapToGrid w:val="0"/>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655" w:type="pct"/>
            <w:vMerge w:val="continue"/>
            <w:vAlign w:val="center"/>
          </w:tcPr>
          <w:p w14:paraId="4C405A0D">
            <w:pPr>
              <w:adjustRightInd w:val="0"/>
              <w:snapToGrid w:val="0"/>
              <w:spacing w:line="340" w:lineRule="exact"/>
              <w:jc w:val="center"/>
              <w:rPr>
                <w:rFonts w:hint="default" w:ascii="Times New Roman" w:hAnsi="Times New Roman" w:eastAsia="宋体" w:cs="Times New Roman"/>
                <w:color w:val="auto"/>
                <w:sz w:val="21"/>
                <w:szCs w:val="21"/>
                <w:highlight w:val="none"/>
              </w:rPr>
            </w:pPr>
          </w:p>
        </w:tc>
        <w:tc>
          <w:tcPr>
            <w:tcW w:w="418" w:type="pct"/>
            <w:vMerge w:val="continue"/>
            <w:vAlign w:val="center"/>
          </w:tcPr>
          <w:p w14:paraId="384E37BB">
            <w:pPr>
              <w:adjustRightInd w:val="0"/>
              <w:snapToGrid w:val="0"/>
              <w:spacing w:line="340" w:lineRule="exact"/>
              <w:jc w:val="center"/>
              <w:rPr>
                <w:rFonts w:hint="default" w:ascii="Times New Roman" w:hAnsi="Times New Roman" w:eastAsia="宋体" w:cs="Times New Roman"/>
                <w:color w:val="auto"/>
                <w:sz w:val="21"/>
                <w:szCs w:val="21"/>
                <w:highlight w:val="none"/>
              </w:rPr>
            </w:pPr>
          </w:p>
        </w:tc>
      </w:tr>
      <w:tr w14:paraId="7CBA3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Align w:val="center"/>
          </w:tcPr>
          <w:p w14:paraId="524B2375">
            <w:pPr>
              <w:adjustRightInd w:val="0"/>
              <w:snapToGrid w:val="0"/>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地下水及土壤环境</w:t>
            </w:r>
          </w:p>
        </w:tc>
        <w:tc>
          <w:tcPr>
            <w:tcW w:w="2158" w:type="pct"/>
            <w:vAlign w:val="center"/>
          </w:tcPr>
          <w:p w14:paraId="3E0A9753">
            <w:pPr>
              <w:adjustRightInd w:val="0"/>
              <w:snapToGrid w:val="0"/>
              <w:spacing w:line="34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钻井废水按泥浆体系不同阶段用于配制相应体系泥浆，在钻井期间综合利用，不外排；钻井阶段结束后以废弃泥浆的形式产生，进入</w:t>
            </w:r>
            <w:r>
              <w:rPr>
                <w:rFonts w:hint="eastAsia" w:ascii="Times New Roman" w:hAnsi="Times New Roman" w:eastAsia="宋体" w:cs="Times New Roman"/>
                <w:color w:val="auto"/>
                <w:sz w:val="21"/>
                <w:szCs w:val="21"/>
                <w:highlight w:val="none"/>
                <w:lang w:val="en-US" w:eastAsia="zh-CN"/>
              </w:rPr>
              <w:t>泥浆</w:t>
            </w:r>
            <w:r>
              <w:rPr>
                <w:rFonts w:hint="default" w:ascii="Times New Roman" w:hAnsi="Times New Roman" w:eastAsia="宋体" w:cs="Times New Roman"/>
                <w:color w:val="auto"/>
                <w:sz w:val="21"/>
                <w:szCs w:val="21"/>
                <w:highlight w:val="none"/>
              </w:rPr>
              <w:t>不落地系统</w:t>
            </w:r>
            <w:r>
              <w:rPr>
                <w:rFonts w:hint="eastAsia" w:ascii="Times New Roman" w:hAnsi="Times New Roman" w:eastAsia="宋体" w:cs="Times New Roman"/>
                <w:color w:val="auto"/>
                <w:sz w:val="21"/>
                <w:szCs w:val="21"/>
                <w:highlight w:val="none"/>
                <w:lang w:val="en-US" w:eastAsia="zh-CN"/>
              </w:rPr>
              <w:t>经固液分离</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分离后的液相用于钻井液配置</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洗井废水</w:t>
            </w:r>
            <w:r>
              <w:rPr>
                <w:rFonts w:hint="default" w:ascii="Times New Roman" w:hAnsi="Times New Roman" w:eastAsia="宋体" w:cs="Times New Roman"/>
                <w:color w:val="auto"/>
                <w:sz w:val="21"/>
                <w:szCs w:val="21"/>
                <w:highlight w:val="none"/>
              </w:rPr>
              <w:t>和压裂返</w:t>
            </w:r>
            <w:r>
              <w:rPr>
                <w:rFonts w:hint="eastAsia" w:ascii="Times New Roman" w:hAnsi="Times New Roman" w:eastAsia="宋体" w:cs="Times New Roman"/>
                <w:color w:val="auto"/>
                <w:sz w:val="21"/>
                <w:szCs w:val="21"/>
                <w:highlight w:val="none"/>
                <w:lang w:val="en-US" w:eastAsia="zh-CN"/>
              </w:rPr>
              <w:t>排</w:t>
            </w:r>
            <w:r>
              <w:rPr>
                <w:rFonts w:hint="default" w:ascii="Times New Roman" w:hAnsi="Times New Roman" w:eastAsia="宋体" w:cs="Times New Roman"/>
                <w:color w:val="auto"/>
                <w:sz w:val="21"/>
                <w:szCs w:val="21"/>
                <w:highlight w:val="none"/>
              </w:rPr>
              <w:t>液分收集至专用储罐后由罐车拉运至</w:t>
            </w:r>
            <w:r>
              <w:rPr>
                <w:rFonts w:hint="eastAsia" w:ascii="Times New Roman" w:hAnsi="Times New Roman" w:eastAsia="宋体" w:cs="Times New Roman"/>
                <w:color w:val="auto"/>
                <w:sz w:val="21"/>
                <w:szCs w:val="21"/>
                <w:highlight w:val="none"/>
                <w:lang w:val="en-US" w:eastAsia="zh-CN"/>
              </w:rPr>
              <w:t>吉</w:t>
            </w:r>
            <w:r>
              <w:rPr>
                <w:rFonts w:hint="default" w:ascii="Times New Roman" w:hAnsi="Times New Roman" w:eastAsia="宋体" w:cs="Times New Roman"/>
                <w:color w:val="auto"/>
                <w:sz w:val="21"/>
                <w:szCs w:val="21"/>
                <w:highlight w:val="none"/>
                <w:lang w:val="en-US" w:eastAsia="zh-CN"/>
              </w:rPr>
              <w:t>康</w:t>
            </w:r>
            <w:r>
              <w:rPr>
                <w:rFonts w:hint="default" w:ascii="Times New Roman" w:hAnsi="Times New Roman" w:eastAsia="宋体" w:cs="Times New Roman"/>
                <w:color w:val="auto"/>
                <w:sz w:val="21"/>
                <w:szCs w:val="21"/>
                <w:highlight w:val="none"/>
              </w:rPr>
              <w:t>脱水站处理，达到《碎屑岩油藏注水水质指标技术要求及分析方法》（SY/T5329-2022）</w:t>
            </w:r>
            <w:r>
              <w:rPr>
                <w:rFonts w:hint="default" w:ascii="Times New Roman" w:hAnsi="Times New Roman" w:eastAsia="宋体" w:cs="Times New Roman"/>
                <w:color w:val="auto"/>
                <w:sz w:val="21"/>
                <w:szCs w:val="21"/>
                <w:highlight w:val="none"/>
                <w:lang w:val="en-US" w:eastAsia="zh-CN"/>
              </w:rPr>
              <w:t>Ⅳ</w:t>
            </w:r>
            <w:r>
              <w:rPr>
                <w:rFonts w:hint="eastAsia" w:ascii="Times New Roman" w:hAnsi="Times New Roman" w:eastAsia="宋体" w:cs="Times New Roman"/>
                <w:color w:val="auto"/>
                <w:sz w:val="21"/>
                <w:szCs w:val="21"/>
                <w:highlight w:val="none"/>
                <w:lang w:val="en-US" w:eastAsia="zh-CN"/>
              </w:rPr>
              <w:t>级</w:t>
            </w:r>
            <w:r>
              <w:rPr>
                <w:rFonts w:hint="default" w:ascii="Times New Roman" w:hAnsi="Times New Roman" w:eastAsia="宋体" w:cs="Times New Roman"/>
                <w:color w:val="auto"/>
                <w:sz w:val="21"/>
                <w:szCs w:val="21"/>
                <w:highlight w:val="none"/>
                <w:lang w:val="en-US" w:eastAsia="zh-CN"/>
              </w:rPr>
              <w:t>标准后</w:t>
            </w:r>
            <w:r>
              <w:rPr>
                <w:rFonts w:hint="default" w:ascii="Times New Roman" w:hAnsi="Times New Roman" w:eastAsia="宋体" w:cs="Times New Roman"/>
                <w:color w:val="auto"/>
                <w:sz w:val="21"/>
                <w:szCs w:val="21"/>
                <w:highlight w:val="none"/>
              </w:rPr>
              <w:t>全部回注油藏，不外排；钻井采用下套管注水泥固井的完井方式进行水泥固井，水泥浆返至地面，封隔地层和水层，避免地下水环境污染；生活营地设临时防渗收集池用于收集生活污水，定期由</w:t>
            </w:r>
            <w:r>
              <w:rPr>
                <w:rFonts w:hint="eastAsia" w:ascii="Times New Roman" w:hAnsi="Times New Roman" w:eastAsia="宋体" w:cs="Times New Roman"/>
                <w:color w:val="auto"/>
                <w:sz w:val="21"/>
                <w:szCs w:val="21"/>
                <w:highlight w:val="none"/>
                <w:lang w:val="en-US" w:eastAsia="zh-CN"/>
              </w:rPr>
              <w:t>施工队采用</w:t>
            </w:r>
            <w:r>
              <w:rPr>
                <w:rFonts w:hint="default" w:ascii="Times New Roman" w:hAnsi="Times New Roman" w:eastAsia="宋体" w:cs="Times New Roman"/>
                <w:color w:val="auto"/>
                <w:sz w:val="21"/>
                <w:szCs w:val="21"/>
                <w:highlight w:val="none"/>
              </w:rPr>
              <w:t>吸污车清运至吉木萨尔县污水处理厂处理，不得外排。</w:t>
            </w:r>
          </w:p>
        </w:tc>
        <w:tc>
          <w:tcPr>
            <w:tcW w:w="1107" w:type="pct"/>
            <w:vAlign w:val="center"/>
          </w:tcPr>
          <w:p w14:paraId="56329B75">
            <w:pPr>
              <w:adjustRightInd w:val="0"/>
              <w:snapToGrid w:val="0"/>
              <w:spacing w:line="34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验收内容：</w:t>
            </w:r>
            <w:r>
              <w:rPr>
                <w:rFonts w:hint="default" w:ascii="Times New Roman" w:hAnsi="Times New Roman" w:eastAsia="宋体" w:cs="Times New Roman"/>
                <w:color w:val="auto"/>
                <w:sz w:val="21"/>
                <w:szCs w:val="21"/>
                <w:highlight w:val="none"/>
              </w:rPr>
              <w:t>①生活污水签订清运协议；②洗井废水和压裂返排液现场无遗留。</w:t>
            </w:r>
          </w:p>
          <w:p w14:paraId="645699CA">
            <w:pPr>
              <w:adjustRightInd w:val="0"/>
              <w:snapToGrid w:val="0"/>
              <w:spacing w:line="340" w:lineRule="exact"/>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bCs/>
                <w:color w:val="auto"/>
                <w:sz w:val="21"/>
                <w:szCs w:val="21"/>
                <w:highlight w:val="none"/>
              </w:rPr>
              <w:t>验收效果：</w:t>
            </w:r>
            <w:r>
              <w:rPr>
                <w:rFonts w:hint="default" w:ascii="Times New Roman" w:hAnsi="Times New Roman" w:eastAsia="宋体" w:cs="Times New Roman"/>
                <w:color w:val="auto"/>
                <w:sz w:val="21"/>
                <w:szCs w:val="21"/>
                <w:highlight w:val="none"/>
              </w:rPr>
              <w:t>验收时现场无遗留问题。</w:t>
            </w:r>
          </w:p>
        </w:tc>
        <w:tc>
          <w:tcPr>
            <w:tcW w:w="655" w:type="pct"/>
            <w:vMerge w:val="continue"/>
            <w:vAlign w:val="center"/>
          </w:tcPr>
          <w:p w14:paraId="5875CF91">
            <w:pPr>
              <w:adjustRightInd w:val="0"/>
              <w:snapToGrid w:val="0"/>
              <w:spacing w:line="340" w:lineRule="exact"/>
              <w:jc w:val="center"/>
              <w:rPr>
                <w:rFonts w:hint="default" w:ascii="Times New Roman" w:hAnsi="Times New Roman" w:eastAsia="宋体" w:cs="Times New Roman"/>
                <w:color w:val="auto"/>
                <w:sz w:val="21"/>
                <w:szCs w:val="21"/>
                <w:highlight w:val="none"/>
              </w:rPr>
            </w:pPr>
          </w:p>
        </w:tc>
        <w:tc>
          <w:tcPr>
            <w:tcW w:w="418" w:type="pct"/>
            <w:vMerge w:val="continue"/>
            <w:vAlign w:val="center"/>
          </w:tcPr>
          <w:p w14:paraId="76CA5A3C">
            <w:pPr>
              <w:adjustRightInd w:val="0"/>
              <w:snapToGrid w:val="0"/>
              <w:spacing w:line="340" w:lineRule="exact"/>
              <w:jc w:val="center"/>
              <w:rPr>
                <w:rFonts w:hint="default" w:ascii="Times New Roman" w:hAnsi="Times New Roman" w:eastAsia="宋体" w:cs="Times New Roman"/>
                <w:color w:val="auto"/>
                <w:sz w:val="21"/>
                <w:szCs w:val="21"/>
                <w:highlight w:val="none"/>
              </w:rPr>
            </w:pPr>
          </w:p>
        </w:tc>
      </w:tr>
      <w:tr w14:paraId="56A1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Align w:val="center"/>
          </w:tcPr>
          <w:p w14:paraId="0B5E6985">
            <w:pPr>
              <w:adjustRightInd w:val="0"/>
              <w:snapToGrid w:val="0"/>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2158" w:type="pct"/>
            <w:vAlign w:val="center"/>
          </w:tcPr>
          <w:p w14:paraId="410F831D">
            <w:pPr>
              <w:adjustRightInd w:val="0"/>
              <w:snapToGrid w:val="0"/>
              <w:spacing w:line="34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在设备选型上要求采用低噪声的设备，施工设备定期检查维修，对噪声较大的设备采取基础减震措施；加强施工场地管理，合理疏导进入施工区的车辆，禁止运输车辆随意高声鸣笛。</w:t>
            </w:r>
          </w:p>
        </w:tc>
        <w:tc>
          <w:tcPr>
            <w:tcW w:w="1107" w:type="pct"/>
            <w:vAlign w:val="center"/>
          </w:tcPr>
          <w:p w14:paraId="3030A8CF">
            <w:pPr>
              <w:adjustRightInd w:val="0"/>
              <w:snapToGrid w:val="0"/>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655" w:type="pct"/>
            <w:vMerge w:val="continue"/>
            <w:vAlign w:val="center"/>
          </w:tcPr>
          <w:p w14:paraId="2A41D0EB">
            <w:pPr>
              <w:adjustRightInd w:val="0"/>
              <w:snapToGrid w:val="0"/>
              <w:spacing w:line="340" w:lineRule="exact"/>
              <w:jc w:val="center"/>
              <w:rPr>
                <w:rFonts w:hint="default" w:ascii="Times New Roman" w:hAnsi="Times New Roman" w:eastAsia="宋体" w:cs="Times New Roman"/>
                <w:color w:val="auto"/>
                <w:sz w:val="21"/>
                <w:szCs w:val="21"/>
                <w:highlight w:val="none"/>
              </w:rPr>
            </w:pPr>
          </w:p>
        </w:tc>
        <w:tc>
          <w:tcPr>
            <w:tcW w:w="418" w:type="pct"/>
            <w:vMerge w:val="continue"/>
            <w:vAlign w:val="center"/>
          </w:tcPr>
          <w:p w14:paraId="630C20E9">
            <w:pPr>
              <w:adjustRightInd w:val="0"/>
              <w:snapToGrid w:val="0"/>
              <w:spacing w:line="340" w:lineRule="exact"/>
              <w:jc w:val="center"/>
              <w:rPr>
                <w:rFonts w:hint="default" w:ascii="Times New Roman" w:hAnsi="Times New Roman" w:eastAsia="宋体" w:cs="Times New Roman"/>
                <w:color w:val="auto"/>
                <w:sz w:val="21"/>
                <w:szCs w:val="21"/>
                <w:highlight w:val="none"/>
              </w:rPr>
            </w:pPr>
          </w:p>
        </w:tc>
      </w:tr>
      <w:tr w14:paraId="21E19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Align w:val="center"/>
          </w:tcPr>
          <w:p w14:paraId="3CE2A84E">
            <w:pPr>
              <w:adjustRightInd w:val="0"/>
              <w:snapToGrid w:val="0"/>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振动</w:t>
            </w:r>
          </w:p>
        </w:tc>
        <w:tc>
          <w:tcPr>
            <w:tcW w:w="2158" w:type="pct"/>
            <w:vAlign w:val="center"/>
          </w:tcPr>
          <w:p w14:paraId="13553FEA">
            <w:pPr>
              <w:adjustRightInd w:val="0"/>
              <w:snapToGrid w:val="0"/>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07" w:type="pct"/>
            <w:vAlign w:val="center"/>
          </w:tcPr>
          <w:p w14:paraId="654402BF">
            <w:pPr>
              <w:adjustRightInd w:val="0"/>
              <w:snapToGrid w:val="0"/>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655" w:type="pct"/>
            <w:vMerge w:val="continue"/>
            <w:vAlign w:val="center"/>
          </w:tcPr>
          <w:p w14:paraId="58AA90A6">
            <w:pPr>
              <w:adjustRightInd w:val="0"/>
              <w:snapToGrid w:val="0"/>
              <w:spacing w:line="340" w:lineRule="exact"/>
              <w:jc w:val="center"/>
              <w:rPr>
                <w:rFonts w:hint="default" w:ascii="Times New Roman" w:hAnsi="Times New Roman" w:eastAsia="宋体" w:cs="Times New Roman"/>
                <w:color w:val="auto"/>
                <w:sz w:val="21"/>
                <w:szCs w:val="21"/>
                <w:highlight w:val="none"/>
              </w:rPr>
            </w:pPr>
          </w:p>
        </w:tc>
        <w:tc>
          <w:tcPr>
            <w:tcW w:w="418" w:type="pct"/>
            <w:vMerge w:val="continue"/>
            <w:vAlign w:val="center"/>
          </w:tcPr>
          <w:p w14:paraId="772B3B74">
            <w:pPr>
              <w:adjustRightInd w:val="0"/>
              <w:snapToGrid w:val="0"/>
              <w:spacing w:line="340" w:lineRule="exact"/>
              <w:jc w:val="center"/>
              <w:rPr>
                <w:rFonts w:hint="default" w:ascii="Times New Roman" w:hAnsi="Times New Roman" w:eastAsia="宋体" w:cs="Times New Roman"/>
                <w:color w:val="auto"/>
                <w:sz w:val="21"/>
                <w:szCs w:val="21"/>
                <w:highlight w:val="none"/>
              </w:rPr>
            </w:pPr>
          </w:p>
        </w:tc>
      </w:tr>
      <w:tr w14:paraId="77F64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Align w:val="center"/>
          </w:tcPr>
          <w:p w14:paraId="7FC79D39">
            <w:pPr>
              <w:adjustRightInd w:val="0"/>
              <w:snapToGrid w:val="0"/>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2158" w:type="pct"/>
            <w:vAlign w:val="center"/>
          </w:tcPr>
          <w:p w14:paraId="740DA9F7">
            <w:pPr>
              <w:adjustRightInd w:val="0"/>
              <w:snapToGrid w:val="0"/>
              <w:spacing w:line="34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现场运输车辆低速慢行，不得超载，易起尘物料在运输、存放时加盖遮盖物，最大限度防止扬尘扩散；使用符合国家标准的柴油并加强机械、车辆的维护，施工期井场边界柴油机、发电机烟气排放的污染物须满足《大气污染物综合排放标准》(GB16297-1996)中的最高允许排放浓度标准要求；试油期伴生气经排气管线充分燃烧后排放，试油期井场边界非甲烷总烃参照执行《陆上石油天然气开采工业大气污染物排放标准》（GB39728-2020）中边界浓度限值要求。</w:t>
            </w:r>
          </w:p>
        </w:tc>
        <w:tc>
          <w:tcPr>
            <w:tcW w:w="1107" w:type="pct"/>
            <w:vAlign w:val="center"/>
          </w:tcPr>
          <w:p w14:paraId="281A70A0">
            <w:pPr>
              <w:adjustRightInd w:val="0"/>
              <w:snapToGrid w:val="0"/>
              <w:spacing w:line="34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验收效果：</w:t>
            </w:r>
            <w:r>
              <w:rPr>
                <w:rFonts w:hint="default" w:ascii="Times New Roman" w:hAnsi="Times New Roman" w:eastAsia="宋体" w:cs="Times New Roman"/>
                <w:color w:val="auto"/>
                <w:sz w:val="21"/>
                <w:szCs w:val="21"/>
                <w:highlight w:val="none"/>
              </w:rPr>
              <w:t>验收时现场无施工遗留问题。</w:t>
            </w:r>
          </w:p>
        </w:tc>
        <w:tc>
          <w:tcPr>
            <w:tcW w:w="655" w:type="pct"/>
            <w:vMerge w:val="continue"/>
            <w:vAlign w:val="center"/>
          </w:tcPr>
          <w:p w14:paraId="5639B509">
            <w:pPr>
              <w:adjustRightInd w:val="0"/>
              <w:snapToGrid w:val="0"/>
              <w:spacing w:line="340" w:lineRule="exact"/>
              <w:jc w:val="center"/>
              <w:rPr>
                <w:rFonts w:hint="default" w:ascii="Times New Roman" w:hAnsi="Times New Roman" w:eastAsia="宋体" w:cs="Times New Roman"/>
                <w:color w:val="auto"/>
                <w:sz w:val="21"/>
                <w:szCs w:val="21"/>
                <w:highlight w:val="none"/>
              </w:rPr>
            </w:pPr>
          </w:p>
        </w:tc>
        <w:tc>
          <w:tcPr>
            <w:tcW w:w="418" w:type="pct"/>
            <w:vMerge w:val="continue"/>
            <w:vAlign w:val="center"/>
          </w:tcPr>
          <w:p w14:paraId="028C274F">
            <w:pPr>
              <w:adjustRightInd w:val="0"/>
              <w:snapToGrid w:val="0"/>
              <w:spacing w:line="340" w:lineRule="exact"/>
              <w:jc w:val="center"/>
              <w:rPr>
                <w:rFonts w:hint="default" w:ascii="Times New Roman" w:hAnsi="Times New Roman" w:eastAsia="宋体" w:cs="Times New Roman"/>
                <w:color w:val="auto"/>
                <w:sz w:val="21"/>
                <w:szCs w:val="21"/>
                <w:highlight w:val="none"/>
              </w:rPr>
            </w:pPr>
          </w:p>
        </w:tc>
      </w:tr>
      <w:tr w14:paraId="0E6FE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638" w:hRule="atLeast"/>
          <w:jc w:val="center"/>
        </w:trPr>
        <w:tc>
          <w:tcPr>
            <w:tcW w:w="661" w:type="pct"/>
            <w:vAlign w:val="center"/>
          </w:tcPr>
          <w:p w14:paraId="321B75C8">
            <w:pPr>
              <w:adjustRightInd w:val="0"/>
              <w:snapToGrid w:val="0"/>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2158" w:type="pct"/>
            <w:vAlign w:val="center"/>
          </w:tcPr>
          <w:p w14:paraId="20DD79AD">
            <w:pPr>
              <w:adjustRightInd w:val="0"/>
              <w:snapToGrid w:val="0"/>
              <w:spacing w:line="34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①水基钻井</w:t>
            </w:r>
            <w:r>
              <w:rPr>
                <w:rFonts w:hint="default" w:ascii="Times New Roman" w:hAnsi="Times New Roman" w:eastAsia="宋体" w:cs="Times New Roman"/>
                <w:color w:val="auto"/>
                <w:sz w:val="21"/>
                <w:szCs w:val="21"/>
                <w:highlight w:val="none"/>
                <w:lang w:val="en-US" w:eastAsia="zh-CN"/>
              </w:rPr>
              <w:t>泥浆</w:t>
            </w:r>
            <w:r>
              <w:rPr>
                <w:rFonts w:hint="default" w:ascii="Times New Roman" w:hAnsi="Times New Roman" w:eastAsia="宋体" w:cs="Times New Roman"/>
                <w:color w:val="auto"/>
                <w:sz w:val="21"/>
                <w:szCs w:val="21"/>
                <w:highlight w:val="none"/>
              </w:rPr>
              <w:t>岩屑：采用不落地系统进行处理，实现固液分离，</w:t>
            </w:r>
            <w:r>
              <w:rPr>
                <w:rFonts w:hint="eastAsia" w:ascii="Times New Roman" w:hAnsi="Times New Roman" w:eastAsia="宋体" w:cs="Times New Roman"/>
                <w:color w:val="auto"/>
                <w:sz w:val="21"/>
                <w:szCs w:val="21"/>
                <w:highlight w:val="none"/>
                <w:lang w:val="en-US" w:eastAsia="zh-CN"/>
              </w:rPr>
              <w:t>导眼和一开段</w:t>
            </w:r>
            <w:r>
              <w:rPr>
                <w:rFonts w:hint="default" w:ascii="Times New Roman" w:hAnsi="Times New Roman" w:eastAsia="宋体" w:cs="Times New Roman"/>
                <w:color w:val="auto"/>
                <w:sz w:val="21"/>
                <w:szCs w:val="21"/>
                <w:highlight w:val="none"/>
              </w:rPr>
              <w:t>分离后的固相为一般工业固废，</w:t>
            </w:r>
            <w:r>
              <w:rPr>
                <w:rFonts w:hint="default" w:ascii="Times New Roman" w:hAnsi="Times New Roman" w:eastAsia="宋体" w:cs="Times New Roman"/>
                <w:color w:val="auto"/>
                <w:sz w:val="21"/>
                <w:szCs w:val="21"/>
                <w:highlight w:val="none"/>
                <w:lang w:val="en-US" w:eastAsia="zh-CN"/>
              </w:rPr>
              <w:t>委托有资质的单位进行处置，</w:t>
            </w:r>
            <w:r>
              <w:rPr>
                <w:rFonts w:hint="default" w:ascii="Times New Roman" w:hAnsi="Times New Roman" w:eastAsia="宋体" w:cs="Times New Roman"/>
                <w:color w:val="auto"/>
                <w:sz w:val="21"/>
                <w:szCs w:val="21"/>
                <w:highlight w:val="none"/>
              </w:rPr>
              <w:t>检测达到《油气田钻井固体废物综合利用污染控制要求》（DB65/T3997-2017）相关标准限值后用于铺路、铺垫</w:t>
            </w:r>
            <w:r>
              <w:rPr>
                <w:rFonts w:hint="eastAsia" w:ascii="Times New Roman" w:hAnsi="Times New Roman" w:eastAsia="宋体" w:cs="Times New Roman"/>
                <w:color w:val="auto"/>
                <w:sz w:val="21"/>
                <w:szCs w:val="21"/>
                <w:highlight w:val="none"/>
                <w:lang w:val="en-US" w:eastAsia="zh-CN"/>
              </w:rPr>
              <w:t>钻试场</w:t>
            </w:r>
            <w:r>
              <w:rPr>
                <w:rFonts w:hint="default" w:ascii="Times New Roman" w:hAnsi="Times New Roman" w:eastAsia="宋体" w:cs="Times New Roman"/>
                <w:color w:val="auto"/>
                <w:sz w:val="21"/>
                <w:szCs w:val="21"/>
                <w:highlight w:val="none"/>
              </w:rPr>
              <w:t>综合利用</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三开段</w:t>
            </w:r>
            <w:r>
              <w:rPr>
                <w:rFonts w:hint="default" w:ascii="Times New Roman" w:hAnsi="Times New Roman" w:eastAsia="宋体" w:cs="Times New Roman"/>
                <w:color w:val="auto"/>
                <w:sz w:val="21"/>
                <w:szCs w:val="21"/>
                <w:highlight w:val="none"/>
              </w:rPr>
              <w:t>分离后的固相</w:t>
            </w:r>
            <w:r>
              <w:rPr>
                <w:rFonts w:hint="eastAsia" w:ascii="Times New Roman" w:hAnsi="Times New Roman" w:eastAsia="宋体" w:cs="Times New Roman"/>
                <w:color w:val="auto"/>
                <w:sz w:val="21"/>
                <w:szCs w:val="21"/>
                <w:highlight w:val="none"/>
                <w:lang w:val="en-US" w:eastAsia="zh-CN"/>
              </w:rPr>
              <w:t>因沾染二开段油基钻井液属于危险废物，</w:t>
            </w:r>
            <w:r>
              <w:rPr>
                <w:rFonts w:hint="default" w:ascii="Times New Roman" w:hAnsi="Times New Roman" w:eastAsia="宋体" w:cs="Times New Roman"/>
                <w:color w:val="auto"/>
                <w:sz w:val="21"/>
                <w:szCs w:val="21"/>
                <w:highlight w:val="none"/>
              </w:rPr>
              <w:t>由具有相关资质的危废处置单位负责接收、转运、处置；②废弃油基钻井泥浆和油基钻井岩屑：经不落地系统处理后，实现固液分离，</w:t>
            </w:r>
            <w:r>
              <w:rPr>
                <w:rFonts w:hint="default" w:ascii="Times New Roman" w:hAnsi="Times New Roman" w:eastAsia="宋体" w:cs="Times New Roman"/>
                <w:color w:val="auto"/>
                <w:sz w:val="21"/>
                <w:szCs w:val="21"/>
                <w:highlight w:val="none"/>
                <w:lang w:val="en-US" w:eastAsia="zh-CN"/>
              </w:rPr>
              <w:t>固相为危废，</w:t>
            </w:r>
            <w:r>
              <w:rPr>
                <w:rFonts w:hint="default" w:ascii="Times New Roman" w:hAnsi="Times New Roman" w:eastAsia="宋体" w:cs="Times New Roman"/>
                <w:color w:val="auto"/>
                <w:sz w:val="21"/>
                <w:szCs w:val="21"/>
                <w:highlight w:val="none"/>
              </w:rPr>
              <w:t>由具有相关资质的危废处置单位负责接收、转运、处置；③废防渗材料：未破损、未沾油的防渗材料由建设单位集中回收利用，沾油的废防渗材料委托具有相应危险废物处置资质的单位进行处置；④落地油100%回收，集中收集后委托有危险废物处理资质单位进行处置。⑤机械设备废油</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废润滑油</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废润滑油</w:t>
            </w:r>
            <w:r>
              <w:rPr>
                <w:rFonts w:hint="default" w:ascii="Times New Roman" w:hAnsi="Times New Roman" w:eastAsia="宋体" w:cs="Times New Roman"/>
                <w:color w:val="auto"/>
                <w:sz w:val="21"/>
                <w:szCs w:val="21"/>
                <w:highlight w:val="none"/>
              </w:rPr>
              <w:t>桶暂存至危险废物贮存罐区，委托有危险废物处理资质单位进行处置⑥生活垃圾集中收集后定期送至吉木萨尔县生活垃圾填埋场填埋处置。</w:t>
            </w:r>
          </w:p>
        </w:tc>
        <w:tc>
          <w:tcPr>
            <w:tcW w:w="1107" w:type="pct"/>
            <w:vAlign w:val="center"/>
          </w:tcPr>
          <w:p w14:paraId="4689EE41">
            <w:pPr>
              <w:adjustRightInd w:val="0"/>
              <w:snapToGrid w:val="0"/>
              <w:spacing w:line="34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验收内容：</w:t>
            </w:r>
            <w:r>
              <w:rPr>
                <w:rFonts w:hint="default" w:ascii="Times New Roman" w:hAnsi="Times New Roman" w:eastAsia="宋体" w:cs="Times New Roman"/>
                <w:color w:val="auto"/>
                <w:sz w:val="21"/>
                <w:szCs w:val="21"/>
                <w:highlight w:val="none"/>
              </w:rPr>
              <w:t>①</w:t>
            </w:r>
            <w:r>
              <w:rPr>
                <w:rFonts w:hint="eastAsia" w:ascii="Times New Roman" w:hAnsi="Times New Roman" w:eastAsia="宋体" w:cs="Times New Roman"/>
                <w:color w:val="auto"/>
                <w:sz w:val="21"/>
                <w:szCs w:val="21"/>
                <w:highlight w:val="none"/>
                <w:lang w:val="en-US" w:eastAsia="zh-CN"/>
              </w:rPr>
              <w:t>导眼和一开段</w:t>
            </w:r>
            <w:r>
              <w:rPr>
                <w:rFonts w:hint="default" w:ascii="Times New Roman" w:hAnsi="Times New Roman" w:eastAsia="宋体" w:cs="Times New Roman"/>
                <w:color w:val="auto"/>
                <w:sz w:val="21"/>
                <w:szCs w:val="21"/>
                <w:highlight w:val="none"/>
              </w:rPr>
              <w:t>水基钻井岩屑查阅综合利用情况或委托处置情况；②</w:t>
            </w:r>
            <w:r>
              <w:rPr>
                <w:rFonts w:hint="eastAsia" w:ascii="Times New Roman" w:hAnsi="Times New Roman" w:eastAsia="宋体" w:cs="Times New Roman"/>
                <w:color w:val="auto"/>
                <w:sz w:val="21"/>
                <w:szCs w:val="21"/>
                <w:highlight w:val="none"/>
                <w:lang w:val="en-US" w:eastAsia="zh-CN"/>
              </w:rPr>
              <w:t>二开段</w:t>
            </w:r>
            <w:r>
              <w:rPr>
                <w:rFonts w:hint="default" w:ascii="Times New Roman" w:hAnsi="Times New Roman" w:eastAsia="宋体" w:cs="Times New Roman"/>
                <w:color w:val="auto"/>
                <w:sz w:val="21"/>
                <w:szCs w:val="21"/>
                <w:highlight w:val="none"/>
              </w:rPr>
              <w:t>废弃油基钻井泥浆</w:t>
            </w:r>
            <w:r>
              <w:rPr>
                <w:rFonts w:hint="eastAsia" w:ascii="Times New Roman" w:hAnsi="Times New Roman" w:eastAsia="宋体" w:cs="Times New Roman"/>
                <w:color w:val="auto"/>
                <w:sz w:val="21"/>
                <w:szCs w:val="21"/>
                <w:highlight w:val="none"/>
                <w:lang w:val="en-US" w:eastAsia="zh-CN"/>
              </w:rPr>
              <w:t>和</w:t>
            </w:r>
            <w:r>
              <w:rPr>
                <w:rFonts w:hint="default" w:ascii="Times New Roman" w:hAnsi="Times New Roman" w:eastAsia="宋体" w:cs="Times New Roman"/>
                <w:color w:val="auto"/>
                <w:sz w:val="21"/>
                <w:szCs w:val="21"/>
                <w:highlight w:val="none"/>
              </w:rPr>
              <w:t>油基钻井岩屑、</w:t>
            </w:r>
            <w:r>
              <w:rPr>
                <w:rFonts w:hint="eastAsia" w:ascii="Times New Roman" w:hAnsi="Times New Roman" w:eastAsia="宋体" w:cs="Times New Roman"/>
                <w:color w:val="auto"/>
                <w:sz w:val="21"/>
                <w:szCs w:val="21"/>
                <w:highlight w:val="none"/>
                <w:lang w:val="en-US" w:eastAsia="zh-CN"/>
              </w:rPr>
              <w:t>三开段沾染油基钻井液的水基钻井岩屑、</w:t>
            </w:r>
            <w:r>
              <w:rPr>
                <w:rFonts w:hint="default" w:ascii="Times New Roman" w:hAnsi="Times New Roman" w:eastAsia="宋体" w:cs="Times New Roman"/>
                <w:color w:val="auto"/>
                <w:sz w:val="21"/>
                <w:szCs w:val="21"/>
                <w:highlight w:val="none"/>
              </w:rPr>
              <w:t>废防渗材料、落地油和沾油废防渗材料、机械设备废油与废润滑油桶委托有危险废物处理资质单位进行处置并签订处置协议，查阅危险废物台账，检查现场是否有遗留；③生活垃圾签订接收协议。</w:t>
            </w:r>
          </w:p>
          <w:p w14:paraId="3A3290F1">
            <w:pPr>
              <w:adjustRightInd w:val="0"/>
              <w:snapToGrid w:val="0"/>
              <w:spacing w:line="340" w:lineRule="exact"/>
              <w:jc w:val="both"/>
              <w:rPr>
                <w:rFonts w:hint="default" w:ascii="Times New Roman" w:hAnsi="Times New Roman" w:eastAsia="宋体" w:cs="Times New Roman"/>
                <w:color w:val="auto"/>
                <w:sz w:val="21"/>
                <w:szCs w:val="21"/>
                <w:highlight w:val="none"/>
              </w:rPr>
            </w:pPr>
            <w:r>
              <w:rPr>
                <w:rFonts w:hint="default" w:ascii="Times New Roman" w:hAnsi="Times New Roman" w:cs="Times New Roman"/>
                <w:b/>
                <w:bCs/>
                <w:color w:val="auto"/>
                <w:sz w:val="21"/>
                <w:szCs w:val="21"/>
                <w:highlight w:val="none"/>
              </w:rPr>
              <w:t>验收效果：</w:t>
            </w:r>
            <w:r>
              <w:rPr>
                <w:rFonts w:hint="default" w:ascii="Times New Roman" w:hAnsi="Times New Roman" w:cs="Times New Roman"/>
                <w:color w:val="auto"/>
                <w:sz w:val="21"/>
                <w:szCs w:val="21"/>
                <w:highlight w:val="none"/>
              </w:rPr>
              <w:t>现场无固废遗留。</w:t>
            </w:r>
          </w:p>
        </w:tc>
        <w:tc>
          <w:tcPr>
            <w:tcW w:w="655" w:type="pct"/>
            <w:vMerge w:val="continue"/>
            <w:vAlign w:val="center"/>
          </w:tcPr>
          <w:p w14:paraId="3F8114E3">
            <w:pPr>
              <w:adjustRightInd w:val="0"/>
              <w:snapToGrid w:val="0"/>
              <w:spacing w:line="340" w:lineRule="exact"/>
              <w:jc w:val="center"/>
              <w:rPr>
                <w:rFonts w:hint="default" w:ascii="Times New Roman" w:hAnsi="Times New Roman" w:eastAsia="宋体" w:cs="Times New Roman"/>
                <w:color w:val="auto"/>
                <w:sz w:val="21"/>
                <w:szCs w:val="21"/>
                <w:highlight w:val="none"/>
              </w:rPr>
            </w:pPr>
          </w:p>
        </w:tc>
        <w:tc>
          <w:tcPr>
            <w:tcW w:w="418" w:type="pct"/>
            <w:vMerge w:val="continue"/>
            <w:vAlign w:val="center"/>
          </w:tcPr>
          <w:p w14:paraId="3924B72E">
            <w:pPr>
              <w:adjustRightInd w:val="0"/>
              <w:snapToGrid w:val="0"/>
              <w:spacing w:line="340" w:lineRule="exact"/>
              <w:jc w:val="center"/>
              <w:rPr>
                <w:rFonts w:hint="default" w:ascii="Times New Roman" w:hAnsi="Times New Roman" w:eastAsia="宋体" w:cs="Times New Roman"/>
                <w:color w:val="auto"/>
                <w:sz w:val="21"/>
                <w:szCs w:val="21"/>
                <w:highlight w:val="none"/>
              </w:rPr>
            </w:pPr>
          </w:p>
        </w:tc>
      </w:tr>
      <w:tr w14:paraId="0EFC2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60" w:hRule="atLeast"/>
          <w:jc w:val="center"/>
        </w:trPr>
        <w:tc>
          <w:tcPr>
            <w:tcW w:w="661" w:type="pct"/>
            <w:vAlign w:val="center"/>
          </w:tcPr>
          <w:p w14:paraId="3DF98C2E">
            <w:pPr>
              <w:adjustRightInd w:val="0"/>
              <w:snapToGrid w:val="0"/>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电磁环境</w:t>
            </w:r>
          </w:p>
        </w:tc>
        <w:tc>
          <w:tcPr>
            <w:tcW w:w="2158" w:type="pct"/>
            <w:vAlign w:val="center"/>
          </w:tcPr>
          <w:p w14:paraId="5E97B4BF">
            <w:pPr>
              <w:adjustRightInd w:val="0"/>
              <w:snapToGrid w:val="0"/>
              <w:spacing w:line="34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07" w:type="pct"/>
            <w:vAlign w:val="center"/>
          </w:tcPr>
          <w:p w14:paraId="6CAA1A17">
            <w:pPr>
              <w:adjustRightInd w:val="0"/>
              <w:snapToGrid w:val="0"/>
              <w:spacing w:line="34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655" w:type="pct"/>
            <w:vMerge w:val="continue"/>
            <w:vAlign w:val="center"/>
          </w:tcPr>
          <w:p w14:paraId="4915AFC3">
            <w:pPr>
              <w:adjustRightInd w:val="0"/>
              <w:snapToGrid w:val="0"/>
              <w:spacing w:line="340" w:lineRule="exact"/>
              <w:jc w:val="center"/>
              <w:rPr>
                <w:rFonts w:hint="default" w:ascii="Times New Roman" w:hAnsi="Times New Roman" w:eastAsia="宋体" w:cs="Times New Roman"/>
                <w:color w:val="auto"/>
                <w:sz w:val="21"/>
                <w:szCs w:val="21"/>
                <w:highlight w:val="none"/>
              </w:rPr>
            </w:pPr>
          </w:p>
        </w:tc>
        <w:tc>
          <w:tcPr>
            <w:tcW w:w="418" w:type="pct"/>
            <w:vMerge w:val="continue"/>
            <w:vAlign w:val="center"/>
          </w:tcPr>
          <w:p w14:paraId="308CCF78">
            <w:pPr>
              <w:adjustRightInd w:val="0"/>
              <w:snapToGrid w:val="0"/>
              <w:spacing w:line="340" w:lineRule="exact"/>
              <w:jc w:val="center"/>
              <w:rPr>
                <w:rFonts w:hint="default" w:ascii="Times New Roman" w:hAnsi="Times New Roman" w:eastAsia="宋体" w:cs="Times New Roman"/>
                <w:color w:val="auto"/>
                <w:sz w:val="21"/>
                <w:szCs w:val="21"/>
                <w:highlight w:val="none"/>
              </w:rPr>
            </w:pPr>
          </w:p>
        </w:tc>
      </w:tr>
      <w:tr w14:paraId="14E01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2350" w:hRule="atLeast"/>
          <w:jc w:val="center"/>
        </w:trPr>
        <w:tc>
          <w:tcPr>
            <w:tcW w:w="661" w:type="pct"/>
            <w:vAlign w:val="center"/>
          </w:tcPr>
          <w:p w14:paraId="42337C08">
            <w:pPr>
              <w:adjustRightInd w:val="0"/>
              <w:snapToGrid w:val="0"/>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w:t>
            </w:r>
          </w:p>
        </w:tc>
        <w:tc>
          <w:tcPr>
            <w:tcW w:w="2158" w:type="pct"/>
            <w:vAlign w:val="center"/>
          </w:tcPr>
          <w:p w14:paraId="02DA3CD8">
            <w:pPr>
              <w:keepNext w:val="0"/>
              <w:keepLines w:val="0"/>
              <w:pageBreakBefore w:val="0"/>
              <w:widowControl/>
              <w:kinsoku/>
              <w:wordWrap/>
              <w:overflowPunct/>
              <w:topLinePunct w:val="0"/>
              <w:autoSpaceDE w:val="0"/>
              <w:autoSpaceDN w:val="0"/>
              <w:bidi w:val="0"/>
              <w:adjustRightInd w:val="0"/>
              <w:snapToGrid w:val="0"/>
              <w:spacing w:line="340" w:lineRule="exact"/>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①施工时应严格执行相关风险防范措施和规章制度，严禁违规操作加强设备维修与巡检，避免储罐泄漏事故的发生；②在井口安装井控装置，杜绝井喷的发生；如果钻井过程发现油气时，需在</w:t>
            </w:r>
            <w:r>
              <w:rPr>
                <w:rFonts w:hint="eastAsia" w:ascii="Times New Roman" w:hAnsi="Times New Roman" w:eastAsia="宋体" w:cs="Times New Roman"/>
                <w:color w:val="auto"/>
                <w:sz w:val="21"/>
                <w:szCs w:val="21"/>
                <w:highlight w:val="none"/>
                <w:lang w:val="en-US" w:eastAsia="zh-CN"/>
              </w:rPr>
              <w:t>钻试场</w:t>
            </w:r>
            <w:r>
              <w:rPr>
                <w:rFonts w:hint="default" w:ascii="Times New Roman" w:hAnsi="Times New Roman" w:eastAsia="宋体" w:cs="Times New Roman"/>
                <w:color w:val="auto"/>
                <w:sz w:val="21"/>
                <w:szCs w:val="21"/>
                <w:highlight w:val="none"/>
              </w:rPr>
              <w:t>范围内建设应急放喷池，应急放喷池铺设HDPE防渗材料。可以有效收集事故状态下地放喷液，防止污染地下水和土壤；③定期检查固井质量，发现固井质量不合格应及时采取措施，保证固井质量合格；④柴油罐、原油罐等储罐底部铺设防渗材料或设置围堰，加强各类储罐及放喷管线的日常管理及安全检查；⑤应编制突发环境事件应急预案。</w:t>
            </w:r>
          </w:p>
        </w:tc>
        <w:tc>
          <w:tcPr>
            <w:tcW w:w="1107" w:type="pct"/>
            <w:vAlign w:val="center"/>
          </w:tcPr>
          <w:p w14:paraId="06654E20">
            <w:pPr>
              <w:adjustRightInd w:val="0"/>
              <w:snapToGrid w:val="0"/>
              <w:spacing w:line="34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655" w:type="pct"/>
            <w:vMerge w:val="continue"/>
            <w:vAlign w:val="center"/>
          </w:tcPr>
          <w:p w14:paraId="3D254A0D">
            <w:pPr>
              <w:adjustRightInd w:val="0"/>
              <w:snapToGrid w:val="0"/>
              <w:spacing w:line="340" w:lineRule="exact"/>
              <w:jc w:val="center"/>
              <w:rPr>
                <w:rFonts w:hint="default" w:ascii="Times New Roman" w:hAnsi="Times New Roman" w:eastAsia="宋体" w:cs="Times New Roman"/>
                <w:color w:val="auto"/>
                <w:sz w:val="21"/>
                <w:szCs w:val="21"/>
                <w:highlight w:val="none"/>
              </w:rPr>
            </w:pPr>
          </w:p>
        </w:tc>
        <w:tc>
          <w:tcPr>
            <w:tcW w:w="418" w:type="pct"/>
            <w:vMerge w:val="continue"/>
            <w:vAlign w:val="center"/>
          </w:tcPr>
          <w:p w14:paraId="4FF61279">
            <w:pPr>
              <w:adjustRightInd w:val="0"/>
              <w:snapToGrid w:val="0"/>
              <w:spacing w:line="340" w:lineRule="exact"/>
              <w:jc w:val="center"/>
              <w:rPr>
                <w:rFonts w:hint="default" w:ascii="Times New Roman" w:hAnsi="Times New Roman" w:eastAsia="宋体" w:cs="Times New Roman"/>
                <w:color w:val="auto"/>
                <w:sz w:val="21"/>
                <w:szCs w:val="21"/>
                <w:highlight w:val="none"/>
              </w:rPr>
            </w:pPr>
          </w:p>
        </w:tc>
      </w:tr>
      <w:tr w14:paraId="3A4BA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Align w:val="center"/>
          </w:tcPr>
          <w:p w14:paraId="29A07536">
            <w:pPr>
              <w:adjustRightInd w:val="0"/>
              <w:snapToGrid w:val="0"/>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环境监测</w:t>
            </w:r>
          </w:p>
        </w:tc>
        <w:tc>
          <w:tcPr>
            <w:tcW w:w="2158" w:type="pct"/>
            <w:vAlign w:val="center"/>
          </w:tcPr>
          <w:p w14:paraId="2167DE24">
            <w:pPr>
              <w:keepNext w:val="0"/>
              <w:keepLines w:val="0"/>
              <w:pageBreakBefore w:val="0"/>
              <w:widowControl/>
              <w:kinsoku/>
              <w:wordWrap/>
              <w:overflowPunct w:val="0"/>
              <w:topLinePunct w:val="0"/>
              <w:autoSpaceDE w:val="0"/>
              <w:autoSpaceDN w:val="0"/>
              <w:bidi w:val="0"/>
              <w:adjustRightInd w:val="0"/>
              <w:snapToGrid w:val="0"/>
              <w:spacing w:line="340" w:lineRule="exact"/>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工程在施工和试油期间，施工机械和生产设备均投入使用，故在各个阶段需对生产过程产生的三废和生态影响进行严格监管，定期对各个阶段产生的三废和生态影响进行监测，减少对周围环境影响。本工程在试油期的排污主要集中在井场、单井站和脱水站，其在试油期的监测应根据项目开发运行实际情况确定监测项目、频率，并委托具有计量认证资质和环境监测资质的监测单位监测。</w:t>
            </w:r>
          </w:p>
        </w:tc>
        <w:tc>
          <w:tcPr>
            <w:tcW w:w="1107" w:type="pct"/>
            <w:vAlign w:val="center"/>
          </w:tcPr>
          <w:p w14:paraId="728DB194">
            <w:pPr>
              <w:adjustRightInd w:val="0"/>
              <w:snapToGrid w:val="0"/>
              <w:spacing w:line="34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655" w:type="pct"/>
            <w:vMerge w:val="continue"/>
            <w:vAlign w:val="center"/>
          </w:tcPr>
          <w:p w14:paraId="6544AFE2">
            <w:pPr>
              <w:adjustRightInd w:val="0"/>
              <w:snapToGrid w:val="0"/>
              <w:spacing w:line="340" w:lineRule="exact"/>
              <w:jc w:val="center"/>
              <w:rPr>
                <w:rFonts w:hint="default" w:ascii="Times New Roman" w:hAnsi="Times New Roman" w:eastAsia="宋体" w:cs="Times New Roman"/>
                <w:color w:val="auto"/>
                <w:sz w:val="21"/>
                <w:szCs w:val="21"/>
                <w:highlight w:val="none"/>
              </w:rPr>
            </w:pPr>
          </w:p>
        </w:tc>
        <w:tc>
          <w:tcPr>
            <w:tcW w:w="418" w:type="pct"/>
            <w:vMerge w:val="continue"/>
            <w:vAlign w:val="center"/>
          </w:tcPr>
          <w:p w14:paraId="79682E94">
            <w:pPr>
              <w:adjustRightInd w:val="0"/>
              <w:snapToGrid w:val="0"/>
              <w:spacing w:line="340" w:lineRule="exact"/>
              <w:jc w:val="center"/>
              <w:rPr>
                <w:rFonts w:hint="default" w:ascii="Times New Roman" w:hAnsi="Times New Roman" w:eastAsia="宋体" w:cs="Times New Roman"/>
                <w:color w:val="auto"/>
                <w:sz w:val="21"/>
                <w:szCs w:val="21"/>
                <w:highlight w:val="none"/>
              </w:rPr>
            </w:pPr>
          </w:p>
        </w:tc>
      </w:tr>
      <w:tr w14:paraId="39E6B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90" w:hRule="atLeast"/>
          <w:jc w:val="center"/>
        </w:trPr>
        <w:tc>
          <w:tcPr>
            <w:tcW w:w="661" w:type="pct"/>
            <w:vAlign w:val="center"/>
          </w:tcPr>
          <w:p w14:paraId="47B865D1">
            <w:pPr>
              <w:adjustRightInd w:val="0"/>
              <w:snapToGrid w:val="0"/>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其他</w:t>
            </w:r>
          </w:p>
        </w:tc>
        <w:tc>
          <w:tcPr>
            <w:tcW w:w="2158" w:type="pct"/>
            <w:vAlign w:val="center"/>
          </w:tcPr>
          <w:p w14:paraId="4FC17440">
            <w:pPr>
              <w:adjustRightInd w:val="0"/>
              <w:snapToGrid w:val="0"/>
              <w:spacing w:line="34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单位应建立环境保护档案，保存施工前后项目区的影像资料，使施工全过程各类污染物产生、去向和各个污染措施及实施情况均记录在案。建设单位对施工单位钻井期间进行环保日常检查并做好记录；完工交井前，建设单位主管部门现场验收，合格后方可记录为完工，做到工完料净场地清，并做好记录。</w:t>
            </w:r>
          </w:p>
        </w:tc>
        <w:tc>
          <w:tcPr>
            <w:tcW w:w="1107" w:type="pct"/>
            <w:vAlign w:val="center"/>
          </w:tcPr>
          <w:p w14:paraId="4E56ABC3">
            <w:pPr>
              <w:adjustRightInd w:val="0"/>
              <w:snapToGrid w:val="0"/>
              <w:spacing w:line="34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环境管理制度是否建立并完善，环保机构及人员是否设置到位；是否保留必要的影像资料。</w:t>
            </w:r>
          </w:p>
        </w:tc>
        <w:tc>
          <w:tcPr>
            <w:tcW w:w="655" w:type="pct"/>
            <w:vMerge w:val="continue"/>
            <w:vAlign w:val="center"/>
          </w:tcPr>
          <w:p w14:paraId="4A3788D4">
            <w:pPr>
              <w:adjustRightInd w:val="0"/>
              <w:snapToGrid w:val="0"/>
              <w:spacing w:line="340" w:lineRule="exact"/>
              <w:jc w:val="center"/>
              <w:rPr>
                <w:rFonts w:hint="default" w:ascii="Times New Roman" w:hAnsi="Times New Roman" w:eastAsia="宋体" w:cs="Times New Roman"/>
                <w:color w:val="auto"/>
                <w:sz w:val="21"/>
                <w:szCs w:val="21"/>
                <w:highlight w:val="none"/>
              </w:rPr>
            </w:pPr>
          </w:p>
        </w:tc>
        <w:tc>
          <w:tcPr>
            <w:tcW w:w="418" w:type="pct"/>
            <w:vMerge w:val="continue"/>
            <w:vAlign w:val="center"/>
          </w:tcPr>
          <w:p w14:paraId="3E1C88A3">
            <w:pPr>
              <w:adjustRightInd w:val="0"/>
              <w:snapToGrid w:val="0"/>
              <w:spacing w:line="340" w:lineRule="exact"/>
              <w:jc w:val="center"/>
              <w:rPr>
                <w:rFonts w:hint="default" w:ascii="Times New Roman" w:hAnsi="Times New Roman" w:eastAsia="宋体" w:cs="Times New Roman"/>
                <w:color w:val="auto"/>
                <w:sz w:val="21"/>
                <w:szCs w:val="21"/>
                <w:highlight w:val="none"/>
              </w:rPr>
            </w:pPr>
          </w:p>
        </w:tc>
      </w:tr>
    </w:tbl>
    <w:p w14:paraId="646BB285">
      <w:pPr>
        <w:pStyle w:val="6"/>
        <w:rPr>
          <w:rFonts w:hint="default" w:ascii="Times New Roman" w:hAnsi="Times New Roman"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E1B495A">
      <w:pPr>
        <w:spacing w:before="101" w:line="360" w:lineRule="auto"/>
        <w:jc w:val="center"/>
        <w:outlineLvl w:val="0"/>
        <w:rPr>
          <w:rFonts w:hint="default" w:ascii="Times New Roman" w:hAnsi="Times New Roman" w:cs="Times New Roman"/>
          <w:color w:val="auto"/>
          <w:highlight w:val="none"/>
        </w:rPr>
      </w:pPr>
      <w:r>
        <w:rPr>
          <w:rFonts w:hint="default" w:ascii="Times New Roman" w:hAnsi="Times New Roman" w:cs="Times New Roman" w:eastAsiaTheme="minorEastAsia"/>
          <w:b/>
          <w:bCs w:val="0"/>
          <w:snapToGrid w:val="0"/>
          <w:color w:val="auto"/>
          <w:kern w:val="44"/>
          <w:sz w:val="30"/>
          <w:szCs w:val="30"/>
          <w:highlight w:val="none"/>
          <w:lang w:val="en-US" w:eastAsia="en-US" w:bidi="ar-SA"/>
        </w:rPr>
        <w:t>七、结论</w:t>
      </w:r>
    </w:p>
    <w:tbl>
      <w:tblPr>
        <w:tblStyle w:val="15"/>
        <w:tblW w:w="8635" w:type="dxa"/>
        <w:jc w:val="center"/>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635"/>
      </w:tblGrid>
      <w:tr w14:paraId="2A54B7C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207" w:hRule="atLeast"/>
          <w:jc w:val="center"/>
        </w:trPr>
        <w:tc>
          <w:tcPr>
            <w:tcW w:w="8635" w:type="dxa"/>
            <w:vAlign w:val="top"/>
          </w:tcPr>
          <w:p w14:paraId="66054768">
            <w:pPr>
              <w:pStyle w:val="16"/>
              <w:spacing w:before="117" w:line="361" w:lineRule="auto"/>
              <w:ind w:left="117" w:right="106" w:firstLine="48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3"/>
                <w:sz w:val="24"/>
                <w:szCs w:val="24"/>
                <w:highlight w:val="none"/>
              </w:rPr>
              <w:t>本</w:t>
            </w:r>
            <w:r>
              <w:rPr>
                <w:rFonts w:hint="default" w:ascii="Times New Roman" w:hAnsi="Times New Roman" w:cs="Times New Roman"/>
                <w:color w:val="auto"/>
                <w:spacing w:val="-3"/>
                <w:sz w:val="24"/>
                <w:szCs w:val="24"/>
                <w:highlight w:val="none"/>
                <w:lang w:val="en-US" w:eastAsia="en-US"/>
              </w:rPr>
              <w:t>工程符合国家产业政策，选址较为合理，项目建设符合达标排放、总量控制及维持环境质量原则；符合风险防范措施要求</w:t>
            </w:r>
            <w:r>
              <w:rPr>
                <w:rFonts w:hint="default" w:ascii="Times New Roman" w:hAnsi="Times New Roman" w:cs="Times New Roman"/>
                <w:color w:val="auto"/>
                <w:spacing w:val="-3"/>
                <w:sz w:val="24"/>
                <w:szCs w:val="24"/>
                <w:highlight w:val="none"/>
              </w:rPr>
              <w:t>。通过加强管理，污染物无害处理，及时恢复原貌等措施，在各项污染治理措施实施且确保全部污染物达标排放的前提下，本次项目的建设从环境影响角度而言，项目实施是可行的。</w:t>
            </w:r>
          </w:p>
        </w:tc>
      </w:tr>
    </w:tbl>
    <w:p w14:paraId="53B63567">
      <w:pPr>
        <w:pStyle w:val="6"/>
        <w:rPr>
          <w:rFonts w:hint="default" w:ascii="Times New Roman" w:hAnsi="Times New Roman" w:cs="Times New Roman"/>
          <w:color w:val="auto"/>
          <w:sz w:val="21"/>
          <w:highlight w:val="none"/>
        </w:rPr>
      </w:pPr>
    </w:p>
    <w:sectPr>
      <w:footerReference r:id="rId9" w:type="default"/>
      <w:pgSz w:w="11900" w:h="16840"/>
      <w:pgMar w:top="1440" w:right="1803" w:bottom="1440" w:left="1803" w:header="850" w:footer="992"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TimesNewRomanPS-BoldM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imesNewRomanPSMT">
    <w:altName w:val="Times New Roman"/>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F599D">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5B0A7">
    <w:pPr>
      <w:spacing w:line="14" w:lineRule="auto"/>
      <w:rPr>
        <w:rFonts w:ascii="Arial"/>
        <w:sz w:val="2"/>
      </w:rPr>
    </w:pPr>
    <w:r>
      <w:rPr>
        <w:sz w:val="2"/>
      </w:rPr>
      <mc:AlternateContent>
        <mc:Choice Requires="wps">
          <w:drawing>
            <wp:anchor distT="0" distB="0" distL="114300" distR="114300" simplePos="0" relativeHeight="251659264" behindDoc="0" locked="0" layoutInCell="1" allowOverlap="1">
              <wp:simplePos x="0" y="0"/>
              <wp:positionH relativeFrom="margin">
                <wp:posOffset>2617470</wp:posOffset>
              </wp:positionH>
              <wp:positionV relativeFrom="paragraph">
                <wp:posOffset>-228600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83D161">
                          <w:pPr>
                            <w:pStyle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  \* MERGEFORMAT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6.1pt;margin-top:-18pt;height:144pt;width:144pt;mso-position-horizontal-relative:margin;mso-wrap-style:none;z-index:251659264;mso-width-relative:page;mso-height-relative:page;" filled="f" stroked="f" coordsize="21600,21600" o:gfxdata="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Xqnt9gAAAALAQAADwAAAAAAAAABACAAAAAiAAAAZHJzL2Rvd25yZXYueG1s&#10;UEsBAhQAFAAAAAgAh07iQGuF+fsxAgAAYQQAAA4AAAAAAAAAAQAgAAAAJwEAAGRycy9lMm9Eb2Mu&#10;eG1sUEsFBgAAAAAGAAYAWQEAAMoFAAAAAA==&#10;">
              <v:fill on="f" focussize="0,0"/>
              <v:stroke on="f" weight="0.5pt"/>
              <v:imagedata o:title=""/>
              <o:lock v:ext="edit" aspectratio="f"/>
              <v:textbox inset="0mm,0mm,0mm,0mm" style="mso-fit-shape-to-text:t;">
                <w:txbxContent>
                  <w:p w14:paraId="2983D161">
                    <w:pPr>
                      <w:pStyle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  \* MERGEFORMAT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52613">
    <w:pPr>
      <w:spacing w:line="176" w:lineRule="auto"/>
      <w:ind w:left="450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D9B9F1">
                          <w:pPr>
                            <w:pStyle w:val="9"/>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BD9B9F1">
                    <w:pPr>
                      <w:pStyle w:val="9"/>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BD4FC">
    <w:pPr>
      <w:jc w:val="right"/>
      <w:rPr>
        <w:rFonts w:ascii="宋体" w:hAnsi="宋体" w:eastAsia="宋体" w:cs="宋体"/>
        <w:sz w:val="26"/>
        <w:szCs w:val="26"/>
      </w:rPr>
    </w:pPr>
    <w:r>
      <w:rPr>
        <w:sz w:val="26"/>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388FC0">
                          <w:pPr>
                            <w:pStyle w:val="9"/>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8388FC0">
                    <w:pPr>
                      <w:pStyle w:val="9"/>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24405">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9F9696"/>
    <w:multiLevelType w:val="singleLevel"/>
    <w:tmpl w:val="A19F9696"/>
    <w:lvl w:ilvl="0" w:tentative="0">
      <w:start w:val="1"/>
      <w:numFmt w:val="decimal"/>
      <w:suff w:val="nothing"/>
      <w:lvlText w:val="（%1）"/>
      <w:lvlJc w:val="left"/>
    </w:lvl>
  </w:abstractNum>
  <w:abstractNum w:abstractNumId="1">
    <w:nsid w:val="A3F469D9"/>
    <w:multiLevelType w:val="singleLevel"/>
    <w:tmpl w:val="A3F469D9"/>
    <w:lvl w:ilvl="0" w:tentative="0">
      <w:start w:val="1"/>
      <w:numFmt w:val="decimal"/>
      <w:lvlText w:val="%1."/>
      <w:lvlJc w:val="left"/>
      <w:pPr>
        <w:tabs>
          <w:tab w:val="left" w:pos="312"/>
        </w:tabs>
      </w:pPr>
    </w:lvl>
  </w:abstractNum>
  <w:abstractNum w:abstractNumId="2">
    <w:nsid w:val="BC0AF283"/>
    <w:multiLevelType w:val="singleLevel"/>
    <w:tmpl w:val="BC0AF283"/>
    <w:lvl w:ilvl="0" w:tentative="0">
      <w:start w:val="4"/>
      <w:numFmt w:val="decimal"/>
      <w:lvlText w:val="%1."/>
      <w:lvlJc w:val="left"/>
      <w:pPr>
        <w:tabs>
          <w:tab w:val="left" w:pos="312"/>
        </w:tabs>
      </w:pPr>
    </w:lvl>
  </w:abstractNum>
  <w:abstractNum w:abstractNumId="3">
    <w:nsid w:val="160EB033"/>
    <w:multiLevelType w:val="singleLevel"/>
    <w:tmpl w:val="160EB033"/>
    <w:lvl w:ilvl="0" w:tentative="0">
      <w:start w:val="9"/>
      <w:numFmt w:val="decimal"/>
      <w:lvlText w:val="%1."/>
      <w:lvlJc w:val="left"/>
      <w:pPr>
        <w:tabs>
          <w:tab w:val="left" w:pos="312"/>
        </w:tabs>
      </w:pPr>
    </w:lvl>
  </w:abstractNum>
  <w:abstractNum w:abstractNumId="4">
    <w:nsid w:val="259BB888"/>
    <w:multiLevelType w:val="singleLevel"/>
    <w:tmpl w:val="259BB888"/>
    <w:lvl w:ilvl="0" w:tentative="0">
      <w:start w:val="1"/>
      <w:numFmt w:val="chineseCounting"/>
      <w:suff w:val="nothing"/>
      <w:lvlText w:val="%1、"/>
      <w:lvlJc w:val="left"/>
      <w:rPr>
        <w:rFonts w:hint="eastAsia"/>
      </w:rPr>
    </w:lvl>
  </w:abstractNum>
  <w:abstractNum w:abstractNumId="5">
    <w:nsid w:val="37C54A46"/>
    <w:multiLevelType w:val="singleLevel"/>
    <w:tmpl w:val="37C54A46"/>
    <w:lvl w:ilvl="0" w:tentative="0">
      <w:start w:val="1"/>
      <w:numFmt w:val="decimal"/>
      <w:lvlText w:val="%1."/>
      <w:lvlJc w:val="left"/>
      <w:pPr>
        <w:tabs>
          <w:tab w:val="left" w:pos="312"/>
        </w:tabs>
      </w:pPr>
    </w:lvl>
  </w:abstractNum>
  <w:abstractNum w:abstractNumId="6">
    <w:nsid w:val="4CF1B79F"/>
    <w:multiLevelType w:val="singleLevel"/>
    <w:tmpl w:val="4CF1B79F"/>
    <w:lvl w:ilvl="0" w:tentative="0">
      <w:start w:val="9"/>
      <w:numFmt w:val="decimal"/>
      <w:lvlText w:val="%1."/>
      <w:lvlJc w:val="left"/>
      <w:pPr>
        <w:tabs>
          <w:tab w:val="left" w:pos="312"/>
        </w:tabs>
      </w:pPr>
    </w:lvl>
  </w:abstractNum>
  <w:abstractNum w:abstractNumId="7">
    <w:nsid w:val="4D7761CD"/>
    <w:multiLevelType w:val="singleLevel"/>
    <w:tmpl w:val="4D7761CD"/>
    <w:lvl w:ilvl="0" w:tentative="0">
      <w:start w:val="3"/>
      <w:numFmt w:val="decimal"/>
      <w:lvlText w:val="%1."/>
      <w:lvlJc w:val="left"/>
      <w:pPr>
        <w:tabs>
          <w:tab w:val="left" w:pos="312"/>
        </w:tabs>
      </w:pPr>
    </w:lvl>
  </w:abstractNum>
  <w:num w:numId="1">
    <w:abstractNumId w:val="4"/>
  </w:num>
  <w:num w:numId="2">
    <w:abstractNumId w:val="7"/>
  </w:num>
  <w:num w:numId="3">
    <w:abstractNumId w:val="6"/>
  </w:num>
  <w:num w:numId="4">
    <w:abstractNumId w:val="5"/>
  </w:num>
  <w:num w:numId="5">
    <w:abstractNumId w:val="3"/>
  </w:num>
  <w:num w:numId="6">
    <w:abstractNumId w:val="1"/>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DJkZTY5YTRhOTQ1OTRkYTc3MGJiMzgzZjQxZjI4MzEifQ=="/>
  </w:docVars>
  <w:rsids>
    <w:rsidRoot w:val="00172A27"/>
    <w:rsid w:val="000504BE"/>
    <w:rsid w:val="00296707"/>
    <w:rsid w:val="002D1EDF"/>
    <w:rsid w:val="006B31C3"/>
    <w:rsid w:val="00A758F7"/>
    <w:rsid w:val="00D074CA"/>
    <w:rsid w:val="010D7DD7"/>
    <w:rsid w:val="01201F55"/>
    <w:rsid w:val="01395BF5"/>
    <w:rsid w:val="019A3EBD"/>
    <w:rsid w:val="01FA184C"/>
    <w:rsid w:val="02564BEC"/>
    <w:rsid w:val="02DC2156"/>
    <w:rsid w:val="02EB406C"/>
    <w:rsid w:val="03157E45"/>
    <w:rsid w:val="032A4C70"/>
    <w:rsid w:val="033E4BBF"/>
    <w:rsid w:val="03A25B62"/>
    <w:rsid w:val="04A171B4"/>
    <w:rsid w:val="04AF1EC4"/>
    <w:rsid w:val="04D23811"/>
    <w:rsid w:val="05265EEB"/>
    <w:rsid w:val="05A14728"/>
    <w:rsid w:val="05B0119F"/>
    <w:rsid w:val="06344057"/>
    <w:rsid w:val="06497B03"/>
    <w:rsid w:val="0699220F"/>
    <w:rsid w:val="06AE392B"/>
    <w:rsid w:val="06B93618"/>
    <w:rsid w:val="06E94E42"/>
    <w:rsid w:val="071043F5"/>
    <w:rsid w:val="071C5217"/>
    <w:rsid w:val="07260BAC"/>
    <w:rsid w:val="078A03D3"/>
    <w:rsid w:val="07996868"/>
    <w:rsid w:val="079979A2"/>
    <w:rsid w:val="07AF7E3A"/>
    <w:rsid w:val="07D66425"/>
    <w:rsid w:val="07DD4B51"/>
    <w:rsid w:val="07EF2DEB"/>
    <w:rsid w:val="088F5575"/>
    <w:rsid w:val="088F72E1"/>
    <w:rsid w:val="0900542F"/>
    <w:rsid w:val="092F76BF"/>
    <w:rsid w:val="093079A7"/>
    <w:rsid w:val="095D6A21"/>
    <w:rsid w:val="098C700B"/>
    <w:rsid w:val="0A1977EC"/>
    <w:rsid w:val="0A3705E1"/>
    <w:rsid w:val="0A4F4A4D"/>
    <w:rsid w:val="0A6A0048"/>
    <w:rsid w:val="0A8729A8"/>
    <w:rsid w:val="0A8B5E02"/>
    <w:rsid w:val="0A9450C5"/>
    <w:rsid w:val="0A984BB5"/>
    <w:rsid w:val="0ADA51CD"/>
    <w:rsid w:val="0B4A371F"/>
    <w:rsid w:val="0B5C1166"/>
    <w:rsid w:val="0B640F3B"/>
    <w:rsid w:val="0B955598"/>
    <w:rsid w:val="0BC31187"/>
    <w:rsid w:val="0BF220E7"/>
    <w:rsid w:val="0C2D757F"/>
    <w:rsid w:val="0C4E4A99"/>
    <w:rsid w:val="0CDD0FA5"/>
    <w:rsid w:val="0D3122B2"/>
    <w:rsid w:val="0D906017"/>
    <w:rsid w:val="0DE85E53"/>
    <w:rsid w:val="0E2350DD"/>
    <w:rsid w:val="0EA97F9C"/>
    <w:rsid w:val="0F2014D7"/>
    <w:rsid w:val="0FAE09D7"/>
    <w:rsid w:val="0FCC70AF"/>
    <w:rsid w:val="0FF705D0"/>
    <w:rsid w:val="0FF87EA4"/>
    <w:rsid w:val="100B407B"/>
    <w:rsid w:val="10120F66"/>
    <w:rsid w:val="101E2E6A"/>
    <w:rsid w:val="102C283E"/>
    <w:rsid w:val="103213D7"/>
    <w:rsid w:val="103425BC"/>
    <w:rsid w:val="10433815"/>
    <w:rsid w:val="105842F0"/>
    <w:rsid w:val="106D0892"/>
    <w:rsid w:val="109E5824"/>
    <w:rsid w:val="10A5781E"/>
    <w:rsid w:val="10FC5772"/>
    <w:rsid w:val="1178761E"/>
    <w:rsid w:val="11906F6E"/>
    <w:rsid w:val="11A958FA"/>
    <w:rsid w:val="11F3162F"/>
    <w:rsid w:val="12A91C97"/>
    <w:rsid w:val="13491142"/>
    <w:rsid w:val="13AA5959"/>
    <w:rsid w:val="13D824C6"/>
    <w:rsid w:val="150A2963"/>
    <w:rsid w:val="152A4FA3"/>
    <w:rsid w:val="157F329D"/>
    <w:rsid w:val="15EA64E1"/>
    <w:rsid w:val="15F01D49"/>
    <w:rsid w:val="15F508CB"/>
    <w:rsid w:val="162714E3"/>
    <w:rsid w:val="163063CC"/>
    <w:rsid w:val="163C6D3C"/>
    <w:rsid w:val="169F72CB"/>
    <w:rsid w:val="16A448E1"/>
    <w:rsid w:val="16A95739"/>
    <w:rsid w:val="16DF3B6C"/>
    <w:rsid w:val="1730295E"/>
    <w:rsid w:val="18636D79"/>
    <w:rsid w:val="18E84F59"/>
    <w:rsid w:val="195066E0"/>
    <w:rsid w:val="19A9336E"/>
    <w:rsid w:val="19D43730"/>
    <w:rsid w:val="19DC576F"/>
    <w:rsid w:val="1A187AC0"/>
    <w:rsid w:val="1A3775FF"/>
    <w:rsid w:val="1AC148E7"/>
    <w:rsid w:val="1BC670A8"/>
    <w:rsid w:val="1BDF01FB"/>
    <w:rsid w:val="1BFB1448"/>
    <w:rsid w:val="1C077DEC"/>
    <w:rsid w:val="1C47643B"/>
    <w:rsid w:val="1CA130B4"/>
    <w:rsid w:val="1CBF2475"/>
    <w:rsid w:val="1D352737"/>
    <w:rsid w:val="1D951428"/>
    <w:rsid w:val="1DAB29F9"/>
    <w:rsid w:val="1DAC0C4B"/>
    <w:rsid w:val="1DB72B3A"/>
    <w:rsid w:val="1E7E1EBC"/>
    <w:rsid w:val="1E893A4C"/>
    <w:rsid w:val="1EA47B74"/>
    <w:rsid w:val="1EE066D3"/>
    <w:rsid w:val="1F327ABD"/>
    <w:rsid w:val="1F417171"/>
    <w:rsid w:val="1F443106"/>
    <w:rsid w:val="1F494278"/>
    <w:rsid w:val="1FF71804"/>
    <w:rsid w:val="2093163A"/>
    <w:rsid w:val="20B17216"/>
    <w:rsid w:val="20FF72E4"/>
    <w:rsid w:val="213D7E0C"/>
    <w:rsid w:val="214473ED"/>
    <w:rsid w:val="217C03FE"/>
    <w:rsid w:val="2191122E"/>
    <w:rsid w:val="21C67E02"/>
    <w:rsid w:val="21E41F66"/>
    <w:rsid w:val="22031056"/>
    <w:rsid w:val="22B755C4"/>
    <w:rsid w:val="22E76282"/>
    <w:rsid w:val="22EE0645"/>
    <w:rsid w:val="235B72E4"/>
    <w:rsid w:val="23C26914"/>
    <w:rsid w:val="23CD5478"/>
    <w:rsid w:val="23D5432C"/>
    <w:rsid w:val="23DF233A"/>
    <w:rsid w:val="23F01166"/>
    <w:rsid w:val="23F52231"/>
    <w:rsid w:val="245E4EEC"/>
    <w:rsid w:val="249C309C"/>
    <w:rsid w:val="24A3267C"/>
    <w:rsid w:val="24AD7352"/>
    <w:rsid w:val="25A8248F"/>
    <w:rsid w:val="25B52240"/>
    <w:rsid w:val="25E96933"/>
    <w:rsid w:val="26067703"/>
    <w:rsid w:val="261D1FBA"/>
    <w:rsid w:val="264A7253"/>
    <w:rsid w:val="26597496"/>
    <w:rsid w:val="26920BFA"/>
    <w:rsid w:val="26AD333E"/>
    <w:rsid w:val="26AF355A"/>
    <w:rsid w:val="26D055EC"/>
    <w:rsid w:val="26D905D7"/>
    <w:rsid w:val="26DD4EC1"/>
    <w:rsid w:val="27181100"/>
    <w:rsid w:val="27572868"/>
    <w:rsid w:val="27897907"/>
    <w:rsid w:val="27940A85"/>
    <w:rsid w:val="28DC615D"/>
    <w:rsid w:val="29207CF7"/>
    <w:rsid w:val="29D60DFE"/>
    <w:rsid w:val="29EF0897"/>
    <w:rsid w:val="2A30050E"/>
    <w:rsid w:val="2A587A65"/>
    <w:rsid w:val="2A5C5F6F"/>
    <w:rsid w:val="2A614B6C"/>
    <w:rsid w:val="2AB82BD0"/>
    <w:rsid w:val="2ACB0237"/>
    <w:rsid w:val="2B0F45C8"/>
    <w:rsid w:val="2B17347C"/>
    <w:rsid w:val="2B275DB5"/>
    <w:rsid w:val="2B482BD6"/>
    <w:rsid w:val="2B4A5938"/>
    <w:rsid w:val="2B93322F"/>
    <w:rsid w:val="2BA03472"/>
    <w:rsid w:val="2C0C1B4C"/>
    <w:rsid w:val="2C29790B"/>
    <w:rsid w:val="2C791CD0"/>
    <w:rsid w:val="2CA376BD"/>
    <w:rsid w:val="2CC7488A"/>
    <w:rsid w:val="2CCB09C2"/>
    <w:rsid w:val="2CD63C1A"/>
    <w:rsid w:val="2CEF2903"/>
    <w:rsid w:val="2CFB18D4"/>
    <w:rsid w:val="2D12039F"/>
    <w:rsid w:val="2D26488F"/>
    <w:rsid w:val="2D2D6F87"/>
    <w:rsid w:val="2D2F2EE4"/>
    <w:rsid w:val="2D4B565F"/>
    <w:rsid w:val="2D5C5ABE"/>
    <w:rsid w:val="2D662499"/>
    <w:rsid w:val="2D803D0D"/>
    <w:rsid w:val="2D8950BC"/>
    <w:rsid w:val="2D99461C"/>
    <w:rsid w:val="2DC31699"/>
    <w:rsid w:val="2E3D144C"/>
    <w:rsid w:val="2E684FF5"/>
    <w:rsid w:val="2E903C71"/>
    <w:rsid w:val="2EC11C97"/>
    <w:rsid w:val="2EE6563F"/>
    <w:rsid w:val="2F2B5748"/>
    <w:rsid w:val="2F697D76"/>
    <w:rsid w:val="2F6A6270"/>
    <w:rsid w:val="2FA0417A"/>
    <w:rsid w:val="2FA8323D"/>
    <w:rsid w:val="30063D65"/>
    <w:rsid w:val="30731155"/>
    <w:rsid w:val="312243DD"/>
    <w:rsid w:val="313905F0"/>
    <w:rsid w:val="313F54DB"/>
    <w:rsid w:val="317938E9"/>
    <w:rsid w:val="31E16592"/>
    <w:rsid w:val="3227225E"/>
    <w:rsid w:val="32D44EC9"/>
    <w:rsid w:val="32D85BE7"/>
    <w:rsid w:val="32DC04D1"/>
    <w:rsid w:val="32FD6730"/>
    <w:rsid w:val="333252F7"/>
    <w:rsid w:val="339C4E66"/>
    <w:rsid w:val="343E7CCC"/>
    <w:rsid w:val="34727975"/>
    <w:rsid w:val="34790D04"/>
    <w:rsid w:val="353B237C"/>
    <w:rsid w:val="355359F9"/>
    <w:rsid w:val="35BB3BDF"/>
    <w:rsid w:val="36111DCE"/>
    <w:rsid w:val="368D6CE8"/>
    <w:rsid w:val="369F2A69"/>
    <w:rsid w:val="36B6623F"/>
    <w:rsid w:val="36DF7544"/>
    <w:rsid w:val="37160A8C"/>
    <w:rsid w:val="378B147A"/>
    <w:rsid w:val="37B1205E"/>
    <w:rsid w:val="37C30C14"/>
    <w:rsid w:val="37CE1367"/>
    <w:rsid w:val="37FF59C4"/>
    <w:rsid w:val="38212EAA"/>
    <w:rsid w:val="38561A88"/>
    <w:rsid w:val="39475874"/>
    <w:rsid w:val="3981130E"/>
    <w:rsid w:val="398E2D3B"/>
    <w:rsid w:val="39A15A80"/>
    <w:rsid w:val="39E13DEF"/>
    <w:rsid w:val="3A1219DE"/>
    <w:rsid w:val="3A376690"/>
    <w:rsid w:val="3A376E6F"/>
    <w:rsid w:val="3A881CA1"/>
    <w:rsid w:val="3A893407"/>
    <w:rsid w:val="3AA928FB"/>
    <w:rsid w:val="3B066997"/>
    <w:rsid w:val="3B672905"/>
    <w:rsid w:val="3B6C15C2"/>
    <w:rsid w:val="3B7A69BA"/>
    <w:rsid w:val="3B7D37CF"/>
    <w:rsid w:val="3B893F22"/>
    <w:rsid w:val="3B9A612F"/>
    <w:rsid w:val="3BAE5737"/>
    <w:rsid w:val="3C017F5D"/>
    <w:rsid w:val="3C137C90"/>
    <w:rsid w:val="3C634773"/>
    <w:rsid w:val="3C8F5568"/>
    <w:rsid w:val="3CA8487C"/>
    <w:rsid w:val="3D7824A0"/>
    <w:rsid w:val="3D9C2ADA"/>
    <w:rsid w:val="3DA05553"/>
    <w:rsid w:val="3DC00792"/>
    <w:rsid w:val="3E235CFC"/>
    <w:rsid w:val="3E23723A"/>
    <w:rsid w:val="3E497999"/>
    <w:rsid w:val="3EAD1133"/>
    <w:rsid w:val="3ED8395B"/>
    <w:rsid w:val="3FEC74D2"/>
    <w:rsid w:val="3FED77F5"/>
    <w:rsid w:val="405100E3"/>
    <w:rsid w:val="40A55471"/>
    <w:rsid w:val="41006A35"/>
    <w:rsid w:val="41371D0B"/>
    <w:rsid w:val="414546A9"/>
    <w:rsid w:val="41732F67"/>
    <w:rsid w:val="41CE6B33"/>
    <w:rsid w:val="41F30A12"/>
    <w:rsid w:val="422D2A24"/>
    <w:rsid w:val="42927B60"/>
    <w:rsid w:val="42C10446"/>
    <w:rsid w:val="42EF6939"/>
    <w:rsid w:val="43044172"/>
    <w:rsid w:val="430D5439"/>
    <w:rsid w:val="433B01F8"/>
    <w:rsid w:val="4383394D"/>
    <w:rsid w:val="438D1543"/>
    <w:rsid w:val="43A63197"/>
    <w:rsid w:val="43ED15C3"/>
    <w:rsid w:val="43EF2D90"/>
    <w:rsid w:val="44B97745"/>
    <w:rsid w:val="44D07B86"/>
    <w:rsid w:val="44E93C84"/>
    <w:rsid w:val="44EF3FD1"/>
    <w:rsid w:val="44FA7C3F"/>
    <w:rsid w:val="45091972"/>
    <w:rsid w:val="451172DF"/>
    <w:rsid w:val="45184A87"/>
    <w:rsid w:val="45202030"/>
    <w:rsid w:val="45444DD9"/>
    <w:rsid w:val="456652D4"/>
    <w:rsid w:val="45832866"/>
    <w:rsid w:val="45A04A0E"/>
    <w:rsid w:val="460743C1"/>
    <w:rsid w:val="46710529"/>
    <w:rsid w:val="467147E6"/>
    <w:rsid w:val="47680EBB"/>
    <w:rsid w:val="478D08F6"/>
    <w:rsid w:val="4799729B"/>
    <w:rsid w:val="48027536"/>
    <w:rsid w:val="480768FB"/>
    <w:rsid w:val="48280889"/>
    <w:rsid w:val="48480CC1"/>
    <w:rsid w:val="48515DC8"/>
    <w:rsid w:val="487A5757"/>
    <w:rsid w:val="489B1DE1"/>
    <w:rsid w:val="48A4239B"/>
    <w:rsid w:val="49670780"/>
    <w:rsid w:val="497D499A"/>
    <w:rsid w:val="49F44C5D"/>
    <w:rsid w:val="4A474C35"/>
    <w:rsid w:val="4A49144C"/>
    <w:rsid w:val="4A586ABE"/>
    <w:rsid w:val="4A627E06"/>
    <w:rsid w:val="4A6A35E0"/>
    <w:rsid w:val="4A7E6C1C"/>
    <w:rsid w:val="4AB740F4"/>
    <w:rsid w:val="4ACF6B37"/>
    <w:rsid w:val="4B0B4954"/>
    <w:rsid w:val="4B736055"/>
    <w:rsid w:val="4BBA0128"/>
    <w:rsid w:val="4BCB5E91"/>
    <w:rsid w:val="4BF03B4A"/>
    <w:rsid w:val="4C4507B6"/>
    <w:rsid w:val="4C511572"/>
    <w:rsid w:val="4C51283A"/>
    <w:rsid w:val="4C5F34F9"/>
    <w:rsid w:val="4C8326E8"/>
    <w:rsid w:val="4D0D7BAE"/>
    <w:rsid w:val="4D1D096E"/>
    <w:rsid w:val="4D2A2D10"/>
    <w:rsid w:val="4D4923C3"/>
    <w:rsid w:val="4D9660BF"/>
    <w:rsid w:val="4E077B07"/>
    <w:rsid w:val="4E995D0F"/>
    <w:rsid w:val="4ECF7A46"/>
    <w:rsid w:val="4F1B712F"/>
    <w:rsid w:val="4F4E12B3"/>
    <w:rsid w:val="4F746032"/>
    <w:rsid w:val="4F895E47"/>
    <w:rsid w:val="4F9D768D"/>
    <w:rsid w:val="4FC66241"/>
    <w:rsid w:val="4FE05C03"/>
    <w:rsid w:val="500F0A42"/>
    <w:rsid w:val="50151DD1"/>
    <w:rsid w:val="501E6ED7"/>
    <w:rsid w:val="50496B61"/>
    <w:rsid w:val="50855C6C"/>
    <w:rsid w:val="50C23D07"/>
    <w:rsid w:val="50E0418D"/>
    <w:rsid w:val="5119321E"/>
    <w:rsid w:val="517D19DC"/>
    <w:rsid w:val="5198577B"/>
    <w:rsid w:val="51FD2B1C"/>
    <w:rsid w:val="525207C6"/>
    <w:rsid w:val="52860D64"/>
    <w:rsid w:val="52AB2578"/>
    <w:rsid w:val="52F97788"/>
    <w:rsid w:val="53430A03"/>
    <w:rsid w:val="53461CD2"/>
    <w:rsid w:val="53F341D7"/>
    <w:rsid w:val="53F44044"/>
    <w:rsid w:val="5422686A"/>
    <w:rsid w:val="543E6C31"/>
    <w:rsid w:val="545F2D48"/>
    <w:rsid w:val="547C34DE"/>
    <w:rsid w:val="55004DFD"/>
    <w:rsid w:val="5507618C"/>
    <w:rsid w:val="5511700B"/>
    <w:rsid w:val="55342CF9"/>
    <w:rsid w:val="558E2409"/>
    <w:rsid w:val="559D43FA"/>
    <w:rsid w:val="56114DE8"/>
    <w:rsid w:val="563049D1"/>
    <w:rsid w:val="568B06F7"/>
    <w:rsid w:val="56900687"/>
    <w:rsid w:val="56C1680E"/>
    <w:rsid w:val="56F05B65"/>
    <w:rsid w:val="57347641"/>
    <w:rsid w:val="574A6804"/>
    <w:rsid w:val="577642E5"/>
    <w:rsid w:val="57E427B4"/>
    <w:rsid w:val="57E71897"/>
    <w:rsid w:val="57F64F51"/>
    <w:rsid w:val="5829466B"/>
    <w:rsid w:val="59CA59DA"/>
    <w:rsid w:val="5A026F22"/>
    <w:rsid w:val="5A2D687B"/>
    <w:rsid w:val="5A366BCB"/>
    <w:rsid w:val="5ABA15AB"/>
    <w:rsid w:val="5AC95C92"/>
    <w:rsid w:val="5ADB41DE"/>
    <w:rsid w:val="5AF977F4"/>
    <w:rsid w:val="5B044F1C"/>
    <w:rsid w:val="5B0F6A1C"/>
    <w:rsid w:val="5B5973D3"/>
    <w:rsid w:val="5B752BA3"/>
    <w:rsid w:val="5B955B74"/>
    <w:rsid w:val="5C5E240A"/>
    <w:rsid w:val="5C621EFA"/>
    <w:rsid w:val="5CFB309E"/>
    <w:rsid w:val="5D227715"/>
    <w:rsid w:val="5D284EF1"/>
    <w:rsid w:val="5D340046"/>
    <w:rsid w:val="5D552D03"/>
    <w:rsid w:val="5DAD3649"/>
    <w:rsid w:val="5DAD53F7"/>
    <w:rsid w:val="5E0A6C17"/>
    <w:rsid w:val="5E224037"/>
    <w:rsid w:val="5E4E5AD0"/>
    <w:rsid w:val="5EBD5B0D"/>
    <w:rsid w:val="5EE74938"/>
    <w:rsid w:val="5EEF62A0"/>
    <w:rsid w:val="5EF72140"/>
    <w:rsid w:val="5F0279C4"/>
    <w:rsid w:val="5F0C439F"/>
    <w:rsid w:val="5F65716A"/>
    <w:rsid w:val="5FB00D41"/>
    <w:rsid w:val="5FDB0725"/>
    <w:rsid w:val="5FEA2EB1"/>
    <w:rsid w:val="5FF31A0F"/>
    <w:rsid w:val="5FFC08B7"/>
    <w:rsid w:val="60193217"/>
    <w:rsid w:val="6071095D"/>
    <w:rsid w:val="607E36A7"/>
    <w:rsid w:val="60E2116F"/>
    <w:rsid w:val="60F5158E"/>
    <w:rsid w:val="60FD7796"/>
    <w:rsid w:val="60FF4D92"/>
    <w:rsid w:val="610339F0"/>
    <w:rsid w:val="61113EEE"/>
    <w:rsid w:val="611539DF"/>
    <w:rsid w:val="611B187D"/>
    <w:rsid w:val="61206DDD"/>
    <w:rsid w:val="618E08DE"/>
    <w:rsid w:val="619A2136"/>
    <w:rsid w:val="61FA4982"/>
    <w:rsid w:val="620819A6"/>
    <w:rsid w:val="62144416"/>
    <w:rsid w:val="62290BDA"/>
    <w:rsid w:val="624A23DF"/>
    <w:rsid w:val="624B062F"/>
    <w:rsid w:val="627110E9"/>
    <w:rsid w:val="62A82630"/>
    <w:rsid w:val="62D937D9"/>
    <w:rsid w:val="632A4FD2"/>
    <w:rsid w:val="63793376"/>
    <w:rsid w:val="63A811D2"/>
    <w:rsid w:val="640A312F"/>
    <w:rsid w:val="643028DD"/>
    <w:rsid w:val="64487FBE"/>
    <w:rsid w:val="646031C3"/>
    <w:rsid w:val="64790728"/>
    <w:rsid w:val="64A46FA1"/>
    <w:rsid w:val="651F4987"/>
    <w:rsid w:val="65845CFD"/>
    <w:rsid w:val="65A1330E"/>
    <w:rsid w:val="65BF660F"/>
    <w:rsid w:val="65CD0D2C"/>
    <w:rsid w:val="65ED4E63"/>
    <w:rsid w:val="660B3602"/>
    <w:rsid w:val="66173D55"/>
    <w:rsid w:val="662A22BF"/>
    <w:rsid w:val="66682803"/>
    <w:rsid w:val="666B2582"/>
    <w:rsid w:val="66905E93"/>
    <w:rsid w:val="66E225B5"/>
    <w:rsid w:val="672D7CE1"/>
    <w:rsid w:val="67386679"/>
    <w:rsid w:val="675D60DF"/>
    <w:rsid w:val="67C023A9"/>
    <w:rsid w:val="67CD5013"/>
    <w:rsid w:val="67DE2886"/>
    <w:rsid w:val="6818192D"/>
    <w:rsid w:val="681C0CB6"/>
    <w:rsid w:val="68283D64"/>
    <w:rsid w:val="68903A00"/>
    <w:rsid w:val="69085BD7"/>
    <w:rsid w:val="694F1A58"/>
    <w:rsid w:val="69531548"/>
    <w:rsid w:val="6A132A85"/>
    <w:rsid w:val="6A336578"/>
    <w:rsid w:val="6A3F6237"/>
    <w:rsid w:val="6A6D488B"/>
    <w:rsid w:val="6AC05EC9"/>
    <w:rsid w:val="6C1C0317"/>
    <w:rsid w:val="6C1F5711"/>
    <w:rsid w:val="6C205B8C"/>
    <w:rsid w:val="6C8670B3"/>
    <w:rsid w:val="6CB467A2"/>
    <w:rsid w:val="6CDB6E8A"/>
    <w:rsid w:val="6CF25111"/>
    <w:rsid w:val="6D2A25C0"/>
    <w:rsid w:val="6D2D5427"/>
    <w:rsid w:val="6D436E52"/>
    <w:rsid w:val="6D5238C5"/>
    <w:rsid w:val="6D7D5A70"/>
    <w:rsid w:val="6E0B2F3E"/>
    <w:rsid w:val="6E39349F"/>
    <w:rsid w:val="6E4B5340"/>
    <w:rsid w:val="6E7361E8"/>
    <w:rsid w:val="6ED625D8"/>
    <w:rsid w:val="6EFF182A"/>
    <w:rsid w:val="6F1D10D4"/>
    <w:rsid w:val="6F902776"/>
    <w:rsid w:val="6FAA3E8C"/>
    <w:rsid w:val="6FC07921"/>
    <w:rsid w:val="6FF11ABB"/>
    <w:rsid w:val="6FFB6495"/>
    <w:rsid w:val="70226E34"/>
    <w:rsid w:val="708B4813"/>
    <w:rsid w:val="70977C7B"/>
    <w:rsid w:val="70A97C9F"/>
    <w:rsid w:val="71390B1C"/>
    <w:rsid w:val="71695543"/>
    <w:rsid w:val="71BB412E"/>
    <w:rsid w:val="71EC4552"/>
    <w:rsid w:val="72757BBD"/>
    <w:rsid w:val="72C24A8D"/>
    <w:rsid w:val="72D92CB0"/>
    <w:rsid w:val="72DA05E4"/>
    <w:rsid w:val="73090EC9"/>
    <w:rsid w:val="731A30D6"/>
    <w:rsid w:val="734E2D80"/>
    <w:rsid w:val="73637E23"/>
    <w:rsid w:val="73871C90"/>
    <w:rsid w:val="73B40854"/>
    <w:rsid w:val="73EB6821"/>
    <w:rsid w:val="74354085"/>
    <w:rsid w:val="74534AF2"/>
    <w:rsid w:val="745B3729"/>
    <w:rsid w:val="74B65081"/>
    <w:rsid w:val="74C9421C"/>
    <w:rsid w:val="74F87447"/>
    <w:rsid w:val="74FA4F6E"/>
    <w:rsid w:val="750202C6"/>
    <w:rsid w:val="754D7D39"/>
    <w:rsid w:val="75B56D5E"/>
    <w:rsid w:val="75E92B3C"/>
    <w:rsid w:val="76004806"/>
    <w:rsid w:val="765E777E"/>
    <w:rsid w:val="766F7295"/>
    <w:rsid w:val="76867A1D"/>
    <w:rsid w:val="76C40B40"/>
    <w:rsid w:val="772E53A2"/>
    <w:rsid w:val="77585F7B"/>
    <w:rsid w:val="778B3146"/>
    <w:rsid w:val="77CB499F"/>
    <w:rsid w:val="782335EF"/>
    <w:rsid w:val="785E75C1"/>
    <w:rsid w:val="78656868"/>
    <w:rsid w:val="78866B18"/>
    <w:rsid w:val="791B798D"/>
    <w:rsid w:val="79EE0E19"/>
    <w:rsid w:val="79F74BF6"/>
    <w:rsid w:val="7A127DEE"/>
    <w:rsid w:val="7A601D17"/>
    <w:rsid w:val="7B136D89"/>
    <w:rsid w:val="7BA04C4A"/>
    <w:rsid w:val="7BF31200"/>
    <w:rsid w:val="7BF85F7F"/>
    <w:rsid w:val="7C102E50"/>
    <w:rsid w:val="7C2F0909"/>
    <w:rsid w:val="7C9E08D4"/>
    <w:rsid w:val="7D2C5EE0"/>
    <w:rsid w:val="7DAA5057"/>
    <w:rsid w:val="7DF033B2"/>
    <w:rsid w:val="7DFA5168"/>
    <w:rsid w:val="7E1626EC"/>
    <w:rsid w:val="7E417769"/>
    <w:rsid w:val="7E5A082B"/>
    <w:rsid w:val="7E5A4906"/>
    <w:rsid w:val="7E7538B7"/>
    <w:rsid w:val="7E9A7E16"/>
    <w:rsid w:val="7EB41895"/>
    <w:rsid w:val="7F1E7AAB"/>
    <w:rsid w:val="7F402117"/>
    <w:rsid w:val="7F484B27"/>
    <w:rsid w:val="7F4B6E2B"/>
    <w:rsid w:val="7FBA0E3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napToGrid w:val="0"/>
      <w:spacing w:line="360" w:lineRule="auto"/>
      <w:jc w:val="center"/>
      <w:outlineLvl w:val="0"/>
    </w:pPr>
    <w:rPr>
      <w:rFonts w:ascii="宋体" w:hAnsi="宋体" w:cs="宋体"/>
      <w:b/>
      <w:color w:val="FF0000"/>
      <w:kern w:val="44"/>
      <w:sz w:val="28"/>
      <w:szCs w:val="28"/>
    </w:rPr>
  </w:style>
  <w:style w:type="paragraph" w:styleId="3">
    <w:name w:val="heading 3"/>
    <w:basedOn w:val="1"/>
    <w:next w:val="1"/>
    <w:unhideWhenUsed/>
    <w:qFormat/>
    <w:uiPriority w:val="0"/>
    <w:pPr>
      <w:keepNext/>
      <w:keepLines/>
      <w:spacing w:beforeLines="0" w:beforeAutospacing="0" w:afterLines="0" w:afterAutospacing="0" w:line="360" w:lineRule="auto"/>
      <w:outlineLvl w:val="2"/>
    </w:pPr>
    <w:rPr>
      <w:rFonts w:ascii="Arial" w:hAnsi="Arial" w:cs="Arial"/>
      <w:b/>
      <w:snapToGrid w:val="0"/>
      <w:color w:val="000000"/>
      <w:sz w:val="32"/>
      <w:szCs w:val="21"/>
      <w:lang w:eastAsia="en-US"/>
    </w:rPr>
  </w:style>
  <w:style w:type="character" w:default="1" w:styleId="13">
    <w:name w:val="Default Paragraph Font"/>
    <w:semiHidden/>
    <w:qFormat/>
    <w:uiPriority w:val="0"/>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qFormat/>
    <w:uiPriority w:val="0"/>
    <w:pPr>
      <w:ind w:firstLine="420" w:firstLineChars="200"/>
    </w:pPr>
  </w:style>
  <w:style w:type="paragraph" w:styleId="5">
    <w:name w:val="caption"/>
    <w:basedOn w:val="1"/>
    <w:next w:val="1"/>
    <w:qFormat/>
    <w:uiPriority w:val="0"/>
    <w:pPr>
      <w:keepNext/>
      <w:spacing w:line="500" w:lineRule="exact"/>
      <w:jc w:val="center"/>
    </w:pPr>
    <w:rPr>
      <w:rFonts w:ascii="黑体" w:hAnsi="黑体" w:eastAsia="黑体"/>
      <w:color w:val="FF0000"/>
      <w:sz w:val="21"/>
      <w:szCs w:val="21"/>
    </w:rPr>
  </w:style>
  <w:style w:type="paragraph" w:styleId="6">
    <w:name w:val="Body Text"/>
    <w:basedOn w:val="1"/>
    <w:semiHidden/>
    <w:qFormat/>
    <w:uiPriority w:val="0"/>
    <w:rPr>
      <w:rFonts w:ascii="Arial" w:hAnsi="Arial" w:eastAsia="Arial" w:cs="Arial"/>
      <w:sz w:val="2"/>
      <w:szCs w:val="2"/>
      <w:lang w:val="en-US" w:eastAsia="en-US" w:bidi="ar-SA"/>
    </w:rPr>
  </w:style>
  <w:style w:type="paragraph" w:styleId="7">
    <w:name w:val="Block Text"/>
    <w:basedOn w:val="1"/>
    <w:next w:val="8"/>
    <w:qFormat/>
    <w:uiPriority w:val="99"/>
    <w:pPr>
      <w:spacing w:line="480" w:lineRule="exact"/>
    </w:pPr>
    <w:rPr>
      <w:rFonts w:ascii="仿宋_GB2312" w:eastAsia="仿宋_GB2312"/>
      <w:sz w:val="32"/>
      <w:szCs w:val="32"/>
    </w:rPr>
  </w:style>
  <w:style w:type="paragraph" w:styleId="8">
    <w:name w:val="toc 9"/>
    <w:basedOn w:val="1"/>
    <w:next w:val="1"/>
    <w:qFormat/>
    <w:uiPriority w:val="39"/>
    <w:pPr>
      <w:ind w:left="1680"/>
      <w:jc w:val="left"/>
    </w:pPr>
    <w:rPr>
      <w:sz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Normal (Web)"/>
    <w:basedOn w:val="1"/>
    <w:qFormat/>
    <w:uiPriority w:val="0"/>
    <w:pPr>
      <w:widowControl/>
      <w:spacing w:line="300" w:lineRule="exact"/>
      <w:contextualSpacing/>
      <w:jc w:val="center"/>
    </w:pPr>
    <w:rPr>
      <w:rFonts w:ascii="宋体" w:hAnsi="宋体"/>
      <w:kern w:val="0"/>
    </w:rPr>
  </w:style>
  <w:style w:type="table" w:styleId="12">
    <w:name w:val="Table Grid"/>
    <w:basedOn w:val="1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Table Text"/>
    <w:basedOn w:val="1"/>
    <w:semiHidden/>
    <w:qFormat/>
    <w:uiPriority w:val="0"/>
    <w:rPr>
      <w:rFonts w:ascii="宋体" w:hAnsi="宋体" w:eastAsia="宋体" w:cs="宋体"/>
      <w:sz w:val="20"/>
      <w:szCs w:val="20"/>
      <w:lang w:val="en-US" w:eastAsia="en-US" w:bidi="ar-SA"/>
    </w:rPr>
  </w:style>
  <w:style w:type="character" w:customStyle="1" w:styleId="17">
    <w:name w:val="font21"/>
    <w:basedOn w:val="13"/>
    <w:qFormat/>
    <w:uiPriority w:val="0"/>
    <w:rPr>
      <w:rFonts w:hint="default" w:ascii="Times New Roman" w:hAnsi="Times New Roman" w:cs="Times New Roman"/>
      <w:color w:val="000000"/>
      <w:sz w:val="24"/>
      <w:szCs w:val="24"/>
      <w:u w:val="none"/>
    </w:rPr>
  </w:style>
  <w:style w:type="character" w:customStyle="1" w:styleId="18">
    <w:name w:val="font01"/>
    <w:basedOn w:val="13"/>
    <w:qFormat/>
    <w:uiPriority w:val="0"/>
    <w:rPr>
      <w:rFonts w:hint="eastAsia" w:ascii="宋体" w:hAnsi="宋体" w:eastAsia="宋体" w:cs="宋体"/>
      <w:color w:val="000000"/>
      <w:sz w:val="24"/>
      <w:szCs w:val="24"/>
      <w:u w:val="none"/>
    </w:rPr>
  </w:style>
  <w:style w:type="paragraph" w:customStyle="1" w:styleId="19">
    <w:name w:val="Table Paragraph"/>
    <w:basedOn w:val="1"/>
    <w:qFormat/>
    <w:uiPriority w:val="1"/>
    <w:rPr>
      <w:rFonts w:ascii="楷体" w:hAnsi="楷体" w:eastAsia="楷体" w:cs="楷体"/>
      <w:sz w:val="21"/>
      <w:szCs w:val="22"/>
      <w:lang w:val="zh-CN" w:bidi="zh-CN"/>
    </w:rPr>
  </w:style>
  <w:style w:type="paragraph" w:customStyle="1" w:styleId="20">
    <w:name w:val="MEL正文*"/>
    <w:basedOn w:val="1"/>
    <w:qFormat/>
    <w:uiPriority w:val="0"/>
    <w:pPr>
      <w:spacing w:line="500" w:lineRule="exact"/>
      <w:ind w:firstLine="480" w:firstLineChars="200"/>
    </w:pPr>
    <w:rPr>
      <w:rFonts w:ascii="宋体" w:hAnsi="宋体"/>
      <w:color w:val="FF0000"/>
      <w:kern w:val="0"/>
    </w:rPr>
  </w:style>
  <w:style w:type="paragraph" w:customStyle="1" w:styleId="21">
    <w:name w:val="MEL表字-书"/>
    <w:basedOn w:val="1"/>
    <w:qFormat/>
    <w:uiPriority w:val="0"/>
    <w:pPr>
      <w:spacing w:line="300" w:lineRule="exact"/>
      <w:jc w:val="center"/>
    </w:pPr>
    <w:rPr>
      <w:rFonts w:ascii="宋体" w:hAnsi="宋体"/>
      <w:kern w:val="0"/>
      <w:sz w:val="21"/>
      <w:szCs w:val="21"/>
    </w:rPr>
  </w:style>
  <w:style w:type="paragraph" w:customStyle="1" w:styleId="22">
    <w:name w:val="表头-文字"/>
    <w:basedOn w:val="1"/>
    <w:qFormat/>
    <w:uiPriority w:val="0"/>
    <w:pPr>
      <w:spacing w:line="500" w:lineRule="exact"/>
      <w:ind w:firstLine="200" w:firstLineChars="200"/>
      <w:jc w:val="center"/>
    </w:pPr>
    <w:rPr>
      <w:rFonts w:ascii="黑体" w:hAnsi="黑体" w:eastAsia="黑体"/>
      <w:kern w:val="0"/>
    </w:rPr>
  </w:style>
  <w:style w:type="table" w:customStyle="1" w:styleId="23">
    <w:name w:val="报告书表格样式1"/>
    <w:basedOn w:val="11"/>
    <w:qFormat/>
    <w:uiPriority w:val="0"/>
    <w:pPr>
      <w:spacing w:line="300" w:lineRule="exact"/>
      <w:contextualSpacing/>
      <w:jc w:val="center"/>
    </w:pPr>
    <w:rPr>
      <w:rFonts w:ascii="宋体" w:hAnsi="宋体" w:cs="宋体"/>
      <w:szCs w:val="21"/>
    </w:rPr>
    <w:tblPr>
      <w:jc w:val="center"/>
      <w:tblBorders>
        <w:top w:val="single" w:color="auto" w:sz="12" w:space="0"/>
        <w:bottom w:val="single" w:color="auto" w:sz="12" w:space="0"/>
        <w:insideH w:val="single" w:color="auto" w:sz="4" w:space="0"/>
        <w:insideV w:val="single" w:color="auto" w:sz="4" w:space="0"/>
      </w:tblBorders>
      <w:tblCellMar>
        <w:left w:w="28" w:type="dxa"/>
        <w:right w:w="28" w:type="dxa"/>
      </w:tblCellMar>
    </w:tblPr>
    <w:trPr>
      <w:jc w:val="center"/>
    </w:trPr>
    <w:tcPr>
      <w:vAlign w:val="center"/>
    </w:tcPr>
  </w:style>
  <w:style w:type="paragraph" w:customStyle="1" w:styleId="24">
    <w:name w:val="YJ题注"/>
    <w:basedOn w:val="5"/>
    <w:qFormat/>
    <w:uiPriority w:val="0"/>
    <w:pPr>
      <w:spacing w:line="400" w:lineRule="exact"/>
    </w:pPr>
    <w:rPr>
      <w:szCs w:val="24"/>
    </w:rPr>
  </w:style>
  <w:style w:type="paragraph" w:customStyle="1" w:styleId="25">
    <w:name w:val="表字-书"/>
    <w:basedOn w:val="1"/>
    <w:qFormat/>
    <w:uiPriority w:val="0"/>
    <w:pPr>
      <w:widowControl/>
      <w:adjustRightInd w:val="0"/>
      <w:snapToGrid w:val="0"/>
      <w:spacing w:line="300" w:lineRule="exact"/>
      <w:contextualSpacing/>
      <w:jc w:val="center"/>
    </w:pPr>
    <w:rPr>
      <w:rFonts w:ascii="宋体" w:hAnsi="宋体" w:cs="Arial"/>
      <w:szCs w:val="21"/>
    </w:rPr>
  </w:style>
  <w:style w:type="character" w:customStyle="1" w:styleId="26">
    <w:name w:val="font11"/>
    <w:basedOn w:val="13"/>
    <w:qFormat/>
    <w:uiPriority w:val="0"/>
    <w:rPr>
      <w:rFonts w:hint="default" w:ascii="Arial" w:hAnsi="Arial" w:cs="Arial"/>
      <w:color w:val="000000"/>
      <w:sz w:val="21"/>
      <w:szCs w:val="21"/>
      <w:u w:val="none"/>
    </w:rPr>
  </w:style>
  <w:style w:type="character" w:customStyle="1" w:styleId="27">
    <w:name w:val="font31"/>
    <w:basedOn w:val="13"/>
    <w:qFormat/>
    <w:uiPriority w:val="0"/>
    <w:rPr>
      <w:rFonts w:hint="default" w:ascii="Times New Roman" w:hAnsi="Times New Roman" w:cs="Times New Roman"/>
      <w:color w:val="000000"/>
      <w:sz w:val="21"/>
      <w:szCs w:val="21"/>
      <w:u w:val="none"/>
    </w:rPr>
  </w:style>
  <w:style w:type="character" w:customStyle="1" w:styleId="28">
    <w:name w:val="font41"/>
    <w:basedOn w:val="13"/>
    <w:qFormat/>
    <w:uiPriority w:val="0"/>
    <w:rPr>
      <w:rFonts w:hint="default" w:ascii="Times New Roman" w:hAnsi="Times New Roman" w:cs="Times New Roman"/>
      <w:color w:val="000000"/>
      <w:sz w:val="20"/>
      <w:szCs w:val="20"/>
      <w:u w:val="none"/>
    </w:rPr>
  </w:style>
  <w:style w:type="character" w:customStyle="1" w:styleId="29">
    <w:name w:val="font61"/>
    <w:basedOn w:val="13"/>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4.png"/><Relationship Id="rId23" Type="http://schemas.openxmlformats.org/officeDocument/2006/relationships/image" Target="media/image13.jpe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107</Pages>
  <Words>15646</Words>
  <Characters>16406</Characters>
  <TotalTime>14</TotalTime>
  <ScaleCrop>false</ScaleCrop>
  <LinksUpToDate>false</LinksUpToDate>
  <CharactersWithSpaces>16617</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2025-07-04T11:49:00Z</dcterms:created>
  <dc:creator>Administrator</dc:creator>
  <cp:lastModifiedBy>小麦啾</cp:lastModifiedBy>
  <dcterms:modified xsi:type="dcterms:W3CDTF">2025-10-30T03:03:03Z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2025-07-11T17:57:40Z</vt:filetime>
  </property>
  <property fmtid="{D5CDD505-2E9C-101B-9397-08002B2CF9AE}" pid="4" name="KSOProductBuildVer">
    <vt:lpwstr>2052-12.1.0.23542</vt:lpwstr>
  </property>
  <property fmtid="{D5CDD505-2E9C-101B-9397-08002B2CF9AE}" pid="5" name="ICV">
    <vt:lpwstr>EDD26DBFDC1F48EC805F78ED22CF9320</vt:lpwstr>
  </property>
  <property fmtid="{D5CDD505-2E9C-101B-9397-08002B2CF9AE}" pid="6" name="KSOTemplateDocerSaveRecord">
    <vt:lpwstr>eyJoZGlkIjoiM2Q5NDlmNDc3N2ZkYzk3ZGJmOTUwNTM0Mzc5MTVlNDMiLCJ1c2VySWQiOiIzMjQ5NjUzODcifQ==</vt:lpwstr>
  </property>
</Properties>
</file>