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C3BA">
      <w:pPr>
        <w:pStyle w:val="4"/>
        <w:spacing w:line="277" w:lineRule="auto"/>
      </w:pPr>
    </w:p>
    <w:p w14:paraId="36410A1F">
      <w:pPr>
        <w:pStyle w:val="4"/>
        <w:spacing w:line="277" w:lineRule="auto"/>
      </w:pPr>
    </w:p>
    <w:p w14:paraId="34695D13">
      <w:pPr>
        <w:pStyle w:val="4"/>
        <w:spacing w:line="277" w:lineRule="auto"/>
      </w:pPr>
    </w:p>
    <w:p w14:paraId="3BC92F93">
      <w:pPr>
        <w:pStyle w:val="4"/>
        <w:spacing w:line="277" w:lineRule="auto"/>
      </w:pPr>
    </w:p>
    <w:p w14:paraId="396648DE">
      <w:pPr>
        <w:pStyle w:val="4"/>
        <w:spacing w:line="277" w:lineRule="auto"/>
      </w:pPr>
    </w:p>
    <w:p w14:paraId="4660AF5D">
      <w:pPr>
        <w:pStyle w:val="4"/>
        <w:spacing w:line="278" w:lineRule="auto"/>
      </w:pPr>
    </w:p>
    <w:p w14:paraId="4DE63146">
      <w:pPr>
        <w:spacing w:before="309" w:line="192" w:lineRule="auto"/>
        <w:ind w:left="217"/>
        <w:rPr>
          <w:rFonts w:ascii="微软雅黑" w:hAnsi="微软雅黑" w:eastAsia="微软雅黑" w:cs="微软雅黑"/>
          <w:sz w:val="72"/>
          <w:szCs w:val="72"/>
          <w:lang w:eastAsia="zh-CN"/>
        </w:rPr>
      </w:pPr>
      <w:r>
        <w:rPr>
          <w:rFonts w:ascii="微软雅黑" w:hAnsi="微软雅黑" w:eastAsia="微软雅黑" w:cs="微软雅黑"/>
          <w:spacing w:val="-1"/>
          <w:sz w:val="72"/>
          <w:szCs w:val="72"/>
          <w:lang w:eastAsia="zh-CN"/>
        </w:rPr>
        <w:t>建设项目环境影响报告表</w:t>
      </w:r>
    </w:p>
    <w:p w14:paraId="37A6F218">
      <w:pPr>
        <w:spacing w:line="215" w:lineRule="auto"/>
        <w:jc w:val="center"/>
        <w:rPr>
          <w:rFonts w:ascii="楷体" w:hAnsi="楷体" w:eastAsia="楷体" w:cs="楷体"/>
          <w:sz w:val="48"/>
          <w:szCs w:val="48"/>
          <w:lang w:eastAsia="zh-CN"/>
        </w:rPr>
      </w:pPr>
      <w:r>
        <w:rPr>
          <w:rFonts w:ascii="楷体" w:hAnsi="楷体" w:eastAsia="楷体" w:cs="楷体"/>
          <w:spacing w:val="-13"/>
          <w:sz w:val="48"/>
          <w:szCs w:val="48"/>
          <w:lang w:eastAsia="zh-CN"/>
        </w:rPr>
        <w:t>（污染影响类</w:t>
      </w:r>
      <w:r>
        <w:rPr>
          <w:rFonts w:hint="eastAsia" w:ascii="楷体" w:hAnsi="楷体" w:eastAsia="楷体" w:cs="楷体"/>
          <w:spacing w:val="-13"/>
          <w:sz w:val="48"/>
          <w:szCs w:val="48"/>
          <w:lang w:eastAsia="zh-CN"/>
        </w:rPr>
        <w:t>）</w:t>
      </w:r>
    </w:p>
    <w:p w14:paraId="6466246B">
      <w:pPr>
        <w:spacing w:line="215" w:lineRule="auto"/>
        <w:jc w:val="center"/>
        <w:rPr>
          <w:rFonts w:ascii="楷体" w:hAnsi="楷体" w:eastAsia="楷体" w:cs="楷体"/>
          <w:spacing w:val="-13"/>
          <w:sz w:val="48"/>
          <w:szCs w:val="48"/>
          <w:lang w:eastAsia="zh-CN"/>
        </w:rPr>
      </w:pPr>
      <w:r>
        <w:rPr>
          <w:rFonts w:ascii="楷体" w:hAnsi="楷体" w:eastAsia="楷体" w:cs="楷体"/>
          <w:spacing w:val="-13"/>
          <w:sz w:val="48"/>
          <w:szCs w:val="48"/>
          <w:lang w:eastAsia="zh-CN"/>
        </w:rPr>
        <w:t>（</w:t>
      </w:r>
      <w:r>
        <w:rPr>
          <w:rFonts w:hint="eastAsia" w:ascii="楷体" w:hAnsi="楷体" w:eastAsia="楷体" w:cs="楷体"/>
          <w:spacing w:val="-13"/>
          <w:sz w:val="48"/>
          <w:szCs w:val="48"/>
          <w:lang w:val="en-US" w:eastAsia="zh-CN"/>
        </w:rPr>
        <w:t>公示稿</w:t>
      </w:r>
      <w:r>
        <w:rPr>
          <w:rFonts w:ascii="楷体" w:hAnsi="楷体" w:eastAsia="楷体" w:cs="楷体"/>
          <w:spacing w:val="-13"/>
          <w:sz w:val="48"/>
          <w:szCs w:val="48"/>
          <w:lang w:eastAsia="zh-CN"/>
        </w:rPr>
        <w:t>）</w:t>
      </w:r>
    </w:p>
    <w:p w14:paraId="26DEAC16">
      <w:pPr>
        <w:pStyle w:val="4"/>
        <w:rPr>
          <w:lang w:eastAsia="zh-CN"/>
        </w:rPr>
      </w:pPr>
    </w:p>
    <w:p w14:paraId="4B9CCA01">
      <w:pPr>
        <w:pStyle w:val="4"/>
        <w:rPr>
          <w:lang w:eastAsia="zh-CN"/>
        </w:rPr>
      </w:pPr>
    </w:p>
    <w:p w14:paraId="0F87B134">
      <w:pPr>
        <w:pStyle w:val="4"/>
        <w:rPr>
          <w:lang w:eastAsia="zh-CN"/>
        </w:rPr>
      </w:pPr>
    </w:p>
    <w:p w14:paraId="7D2E6634">
      <w:pPr>
        <w:pStyle w:val="4"/>
        <w:rPr>
          <w:lang w:eastAsia="zh-CN"/>
        </w:rPr>
      </w:pPr>
    </w:p>
    <w:p w14:paraId="2F6D192B">
      <w:pPr>
        <w:pStyle w:val="4"/>
        <w:spacing w:line="241" w:lineRule="auto"/>
        <w:rPr>
          <w:lang w:eastAsia="zh-CN"/>
        </w:rPr>
      </w:pPr>
    </w:p>
    <w:p w14:paraId="348F6C25">
      <w:pPr>
        <w:pStyle w:val="4"/>
        <w:spacing w:line="241" w:lineRule="auto"/>
        <w:rPr>
          <w:lang w:eastAsia="zh-CN"/>
        </w:rPr>
      </w:pPr>
    </w:p>
    <w:p w14:paraId="26DBEE9F">
      <w:pPr>
        <w:pStyle w:val="4"/>
        <w:spacing w:line="241" w:lineRule="auto"/>
        <w:rPr>
          <w:lang w:eastAsia="zh-CN"/>
        </w:rPr>
      </w:pPr>
    </w:p>
    <w:p w14:paraId="7C6F841C">
      <w:pPr>
        <w:pStyle w:val="4"/>
        <w:spacing w:line="241" w:lineRule="auto"/>
        <w:rPr>
          <w:lang w:eastAsia="zh-CN"/>
        </w:rPr>
      </w:pPr>
    </w:p>
    <w:p w14:paraId="4CCB3482">
      <w:pPr>
        <w:pStyle w:val="4"/>
        <w:spacing w:line="241" w:lineRule="auto"/>
        <w:rPr>
          <w:lang w:eastAsia="zh-CN"/>
        </w:rPr>
      </w:pPr>
    </w:p>
    <w:p w14:paraId="3807E15C">
      <w:pPr>
        <w:pStyle w:val="4"/>
        <w:spacing w:line="241" w:lineRule="auto"/>
        <w:rPr>
          <w:lang w:eastAsia="zh-CN"/>
        </w:rPr>
      </w:pPr>
    </w:p>
    <w:p w14:paraId="3D7BFEC8">
      <w:pPr>
        <w:spacing w:before="117" w:line="287" w:lineRule="auto"/>
        <w:ind w:left="2012" w:right="13" w:hanging="1836"/>
        <w:rPr>
          <w:rFonts w:hint="default" w:ascii="仿宋" w:hAnsi="仿宋" w:eastAsia="仿宋" w:cs="仿宋"/>
          <w:sz w:val="36"/>
          <w:szCs w:val="36"/>
          <w:lang w:val="en-US" w:eastAsia="zh-CN"/>
        </w:rPr>
      </w:pPr>
      <w:r>
        <w:rPr>
          <w:rFonts w:ascii="仿宋" w:hAnsi="仿宋" w:eastAsia="仿宋" w:cs="仿宋"/>
          <w:spacing w:val="-6"/>
          <w:sz w:val="36"/>
          <w:szCs w:val="36"/>
          <w:lang w:eastAsia="zh-CN"/>
        </w:rPr>
        <w:t>项目名称：</w:t>
      </w:r>
      <w:r>
        <w:rPr>
          <w:rFonts w:ascii="仿宋" w:hAnsi="仿宋" w:eastAsia="仿宋" w:cs="仿宋"/>
          <w:spacing w:val="-6"/>
          <w:sz w:val="36"/>
          <w:szCs w:val="36"/>
          <w:u w:val="single"/>
          <w:lang w:eastAsia="zh-CN"/>
        </w:rPr>
        <w:t>吉木萨尔县庆阳湖乡二工梁村透水砖厂建</w:t>
      </w:r>
      <w:r>
        <w:rPr>
          <w:rFonts w:ascii="仿宋" w:hAnsi="仿宋" w:eastAsia="仿宋" w:cs="仿宋"/>
          <w:spacing w:val="-4"/>
          <w:sz w:val="36"/>
          <w:szCs w:val="36"/>
          <w:u w:val="single"/>
          <w:lang w:eastAsia="zh-CN"/>
        </w:rPr>
        <w:t>设项目</w:t>
      </w:r>
      <w:r>
        <w:rPr>
          <w:rFonts w:hint="eastAsia" w:ascii="仿宋" w:hAnsi="仿宋" w:eastAsia="仿宋" w:cs="仿宋"/>
          <w:spacing w:val="-4"/>
          <w:sz w:val="36"/>
          <w:szCs w:val="36"/>
          <w:u w:val="single"/>
          <w:lang w:val="en-US" w:eastAsia="zh-CN"/>
        </w:rPr>
        <w:t xml:space="preserve">                                  </w:t>
      </w:r>
    </w:p>
    <w:p w14:paraId="61B7B9F7">
      <w:pPr>
        <w:spacing w:before="1" w:line="217" w:lineRule="auto"/>
        <w:ind w:left="308"/>
        <w:rPr>
          <w:rFonts w:hint="default" w:ascii="仿宋" w:hAnsi="仿宋" w:eastAsia="仿宋" w:cs="仿宋"/>
          <w:sz w:val="36"/>
          <w:szCs w:val="36"/>
          <w:lang w:val="en-US" w:eastAsia="zh-CN"/>
        </w:rPr>
      </w:pPr>
      <w:r>
        <w:rPr>
          <w:rFonts w:ascii="仿宋" w:hAnsi="仿宋" w:eastAsia="仿宋" w:cs="仿宋"/>
          <w:spacing w:val="-11"/>
          <w:sz w:val="36"/>
          <w:szCs w:val="36"/>
          <w:lang w:eastAsia="zh-CN"/>
        </w:rPr>
        <w:t>建设单位（盖章</w:t>
      </w:r>
      <w:r>
        <w:rPr>
          <w:rFonts w:ascii="仿宋" w:hAnsi="仿宋" w:eastAsia="仿宋" w:cs="仿宋"/>
          <w:spacing w:val="14"/>
          <w:sz w:val="36"/>
          <w:szCs w:val="36"/>
          <w:lang w:eastAsia="zh-CN"/>
        </w:rPr>
        <w:t>）：</w:t>
      </w:r>
      <w:r>
        <w:rPr>
          <w:rFonts w:ascii="仿宋" w:hAnsi="仿宋" w:eastAsia="仿宋" w:cs="仿宋"/>
          <w:spacing w:val="-11"/>
          <w:sz w:val="36"/>
          <w:szCs w:val="36"/>
          <w:u w:val="single"/>
          <w:lang w:eastAsia="zh-CN"/>
        </w:rPr>
        <w:t>吉木萨尔县庆阳湖乡人民政府</w:t>
      </w:r>
      <w:r>
        <w:rPr>
          <w:rFonts w:hint="eastAsia" w:ascii="仿宋" w:hAnsi="仿宋" w:eastAsia="仿宋" w:cs="仿宋"/>
          <w:spacing w:val="-11"/>
          <w:sz w:val="36"/>
          <w:szCs w:val="36"/>
          <w:u w:val="single"/>
          <w:lang w:val="en-US" w:eastAsia="zh-CN"/>
        </w:rPr>
        <w:t xml:space="preserve">    </w:t>
      </w:r>
    </w:p>
    <w:p w14:paraId="33A05DBB">
      <w:pPr>
        <w:pStyle w:val="4"/>
        <w:spacing w:line="260" w:lineRule="auto"/>
        <w:rPr>
          <w:lang w:eastAsia="zh-CN"/>
        </w:rPr>
      </w:pPr>
    </w:p>
    <w:p w14:paraId="063ECDFF">
      <w:pPr>
        <w:pStyle w:val="4"/>
        <w:spacing w:line="261" w:lineRule="auto"/>
        <w:rPr>
          <w:lang w:eastAsia="zh-CN"/>
        </w:rPr>
      </w:pPr>
    </w:p>
    <w:p w14:paraId="4CEF8E92">
      <w:pPr>
        <w:pStyle w:val="4"/>
        <w:spacing w:line="261" w:lineRule="auto"/>
        <w:rPr>
          <w:lang w:eastAsia="zh-CN"/>
        </w:rPr>
      </w:pPr>
    </w:p>
    <w:p w14:paraId="0F7F8F5E">
      <w:pPr>
        <w:pStyle w:val="4"/>
        <w:spacing w:line="261" w:lineRule="auto"/>
        <w:rPr>
          <w:lang w:eastAsia="zh-CN"/>
        </w:rPr>
      </w:pPr>
    </w:p>
    <w:p w14:paraId="24C98F4A">
      <w:pPr>
        <w:pStyle w:val="4"/>
        <w:spacing w:line="261" w:lineRule="auto"/>
        <w:rPr>
          <w:lang w:eastAsia="zh-CN"/>
        </w:rPr>
      </w:pPr>
    </w:p>
    <w:p w14:paraId="6A8D30E3">
      <w:pPr>
        <w:pStyle w:val="4"/>
        <w:spacing w:line="261" w:lineRule="auto"/>
        <w:rPr>
          <w:lang w:eastAsia="zh-CN"/>
        </w:rPr>
      </w:pPr>
    </w:p>
    <w:p w14:paraId="7D94EF3C">
      <w:pPr>
        <w:spacing w:before="155" w:line="188" w:lineRule="auto"/>
        <w:ind w:left="2021"/>
        <w:rPr>
          <w:rFonts w:ascii="仿宋" w:hAnsi="仿宋" w:eastAsia="仿宋" w:cs="仿宋"/>
          <w:sz w:val="36"/>
          <w:szCs w:val="36"/>
          <w:lang w:eastAsia="zh-CN"/>
        </w:rPr>
      </w:pPr>
      <w:r>
        <w:rPr>
          <w:rFonts w:ascii="仿宋" w:hAnsi="仿宋" w:eastAsia="仿宋" w:cs="仿宋"/>
          <w:spacing w:val="-2"/>
          <w:sz w:val="36"/>
          <w:szCs w:val="36"/>
          <w:lang w:eastAsia="zh-CN"/>
        </w:rPr>
        <w:t>编制日期：</w:t>
      </w:r>
      <w:r>
        <w:rPr>
          <w:rFonts w:ascii="仿宋" w:hAnsi="仿宋" w:eastAsia="仿宋" w:cs="仿宋"/>
          <w:spacing w:val="-2"/>
          <w:sz w:val="36"/>
          <w:szCs w:val="36"/>
          <w:u w:val="single"/>
          <w:lang w:eastAsia="zh-CN"/>
        </w:rPr>
        <w:t>二</w:t>
      </w:r>
      <w:r>
        <w:rPr>
          <w:rFonts w:ascii="微软雅黑" w:hAnsi="微软雅黑" w:eastAsia="微软雅黑" w:cs="微软雅黑"/>
          <w:spacing w:val="-2"/>
          <w:sz w:val="36"/>
          <w:szCs w:val="36"/>
          <w:u w:val="single"/>
          <w:lang w:eastAsia="zh-CN"/>
        </w:rPr>
        <w:t>〇</w:t>
      </w:r>
      <w:r>
        <w:rPr>
          <w:rFonts w:ascii="仿宋" w:hAnsi="仿宋" w:eastAsia="仿宋" w:cs="仿宋"/>
          <w:spacing w:val="-2"/>
          <w:sz w:val="36"/>
          <w:szCs w:val="36"/>
          <w:u w:val="single"/>
          <w:lang w:eastAsia="zh-CN"/>
        </w:rPr>
        <w:t>二</w:t>
      </w:r>
      <w:r>
        <w:rPr>
          <w:rFonts w:hint="eastAsia" w:ascii="仿宋" w:hAnsi="仿宋" w:eastAsia="仿宋" w:cs="仿宋"/>
          <w:spacing w:val="-2"/>
          <w:sz w:val="36"/>
          <w:szCs w:val="36"/>
          <w:u w:val="single"/>
          <w:lang w:eastAsia="zh-CN"/>
        </w:rPr>
        <w:t>五</w:t>
      </w:r>
      <w:r>
        <w:rPr>
          <w:rFonts w:ascii="仿宋" w:hAnsi="仿宋" w:eastAsia="仿宋" w:cs="仿宋"/>
          <w:spacing w:val="-2"/>
          <w:sz w:val="36"/>
          <w:szCs w:val="36"/>
          <w:u w:val="single"/>
          <w:lang w:eastAsia="zh-CN"/>
        </w:rPr>
        <w:t>年</w:t>
      </w:r>
      <w:r>
        <w:rPr>
          <w:rFonts w:hint="eastAsia" w:ascii="仿宋" w:hAnsi="仿宋" w:eastAsia="仿宋" w:cs="仿宋"/>
          <w:spacing w:val="-2"/>
          <w:sz w:val="36"/>
          <w:szCs w:val="36"/>
          <w:u w:val="single"/>
          <w:lang w:val="en-US" w:eastAsia="zh-CN"/>
        </w:rPr>
        <w:t>十</w:t>
      </w:r>
      <w:r>
        <w:rPr>
          <w:rFonts w:ascii="仿宋" w:hAnsi="仿宋" w:eastAsia="仿宋" w:cs="仿宋"/>
          <w:spacing w:val="-2"/>
          <w:sz w:val="36"/>
          <w:szCs w:val="36"/>
          <w:u w:val="single"/>
          <w:lang w:eastAsia="zh-CN"/>
        </w:rPr>
        <w:t>月</w:t>
      </w:r>
    </w:p>
    <w:p w14:paraId="790B6397">
      <w:pPr>
        <w:pStyle w:val="4"/>
        <w:spacing w:line="260" w:lineRule="auto"/>
        <w:rPr>
          <w:lang w:eastAsia="zh-CN"/>
        </w:rPr>
      </w:pPr>
    </w:p>
    <w:p w14:paraId="745691B6">
      <w:pPr>
        <w:pStyle w:val="4"/>
        <w:spacing w:line="261" w:lineRule="auto"/>
        <w:rPr>
          <w:lang w:eastAsia="zh-CN"/>
        </w:rPr>
      </w:pPr>
    </w:p>
    <w:p w14:paraId="1A983B90">
      <w:pPr>
        <w:pStyle w:val="4"/>
        <w:spacing w:line="261" w:lineRule="auto"/>
        <w:rPr>
          <w:lang w:eastAsia="zh-CN"/>
        </w:rPr>
      </w:pPr>
    </w:p>
    <w:p w14:paraId="73E970E4">
      <w:pPr>
        <w:spacing w:before="117" w:line="217" w:lineRule="auto"/>
        <w:ind w:left="1974"/>
        <w:rPr>
          <w:rFonts w:ascii="楷体" w:hAnsi="楷体" w:eastAsia="楷体" w:cs="楷体"/>
          <w:sz w:val="36"/>
          <w:szCs w:val="36"/>
          <w:lang w:eastAsia="zh-CN"/>
        </w:rPr>
      </w:pPr>
      <w:r>
        <w:rPr>
          <w:rFonts w:ascii="楷体" w:hAnsi="楷体" w:eastAsia="楷体" w:cs="楷体"/>
          <w:spacing w:val="-4"/>
          <w:sz w:val="36"/>
          <w:szCs w:val="36"/>
          <w:lang w:eastAsia="zh-CN"/>
        </w:rPr>
        <w:t>中华人民共和国生态环境部制</w:t>
      </w:r>
    </w:p>
    <w:p w14:paraId="17554DE0">
      <w:pPr>
        <w:tabs>
          <w:tab w:val="left" w:pos="3895"/>
        </w:tabs>
        <w:spacing w:line="16828" w:lineRule="exact"/>
        <w:rPr>
          <w:rFonts w:eastAsia="宋体"/>
          <w:lang w:eastAsia="zh-CN"/>
        </w:rPr>
        <w:sectPr>
          <w:headerReference r:id="rId3" w:type="default"/>
          <w:footerReference r:id="rId4" w:type="default"/>
          <w:pgSz w:w="11905" w:h="16838"/>
          <w:pgMar w:top="1701" w:right="1531" w:bottom="1701" w:left="1531" w:header="0" w:footer="913" w:gutter="0"/>
          <w:cols w:space="0" w:num="1"/>
        </w:sectPr>
      </w:pPr>
    </w:p>
    <w:p w14:paraId="00F8726D">
      <w:pPr>
        <w:rPr>
          <w:rFonts w:eastAsia="宋体"/>
          <w:lang w:eastAsia="zh-CN"/>
        </w:rPr>
      </w:pPr>
      <w:bookmarkStart w:id="0" w:name="_GoBack"/>
      <w:bookmarkEnd w:id="0"/>
    </w:p>
    <w:p w14:paraId="433A59BD">
      <w:pPr>
        <w:spacing w:line="16828" w:lineRule="exact"/>
      </w:pPr>
      <w:r>
        <w:rPr>
          <w:position w:val="-336"/>
        </w:rPr>
        <w:drawing>
          <wp:inline distT="0" distB="0" distL="0" distR="0">
            <wp:extent cx="7772400" cy="106857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7772400" cy="10685805"/>
                    </a:xfrm>
                    <a:prstGeom prst="rect">
                      <a:avLst/>
                    </a:prstGeom>
                  </pic:spPr>
                </pic:pic>
              </a:graphicData>
            </a:graphic>
          </wp:inline>
        </w:drawing>
      </w:r>
    </w:p>
    <w:p w14:paraId="6D2878E3">
      <w:pPr>
        <w:spacing w:line="16828" w:lineRule="exact"/>
        <w:sectPr>
          <w:pgSz w:w="11905" w:h="16838"/>
          <w:pgMar w:top="0" w:right="0" w:bottom="0" w:left="0" w:header="0" w:footer="913" w:gutter="0"/>
          <w:cols w:space="0" w:num="1"/>
        </w:sectPr>
      </w:pPr>
    </w:p>
    <w:p w14:paraId="2977D09E">
      <w:pPr>
        <w:pStyle w:val="4"/>
      </w:pPr>
    </w:p>
    <w:p w14:paraId="7F556070">
      <w:pPr>
        <w:sectPr>
          <w:footerReference r:id="rId5" w:type="default"/>
          <w:pgSz w:w="11905" w:h="16838"/>
          <w:pgMar w:top="1701" w:right="1531" w:bottom="1701" w:left="1531" w:header="0" w:footer="913" w:gutter="0"/>
          <w:pgNumType w:start="1"/>
          <w:cols w:space="0" w:num="1"/>
        </w:sectPr>
      </w:pPr>
      <w:r>
        <w:br w:type="page"/>
      </w:r>
    </w:p>
    <w:p w14:paraId="26B48E12">
      <w:pPr>
        <w:pStyle w:val="17"/>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6"/>
        <w:gridCol w:w="6826"/>
      </w:tblGrid>
      <w:tr w14:paraId="042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ED1F7F0">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264535" cy="2447925"/>
                  <wp:effectExtent l="0" t="0" r="12065" b="5715"/>
                  <wp:docPr id="2" name="图片 2" descr="df8ad509483f999f176c0d27a36f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8ad509483f999f176c0d27a36f817"/>
                          <pic:cNvPicPr>
                            <a:picLocks noChangeAspect="1"/>
                          </pic:cNvPicPr>
                        </pic:nvPicPr>
                        <pic:blipFill>
                          <a:blip r:embed="rId12"/>
                          <a:stretch>
                            <a:fillRect/>
                          </a:stretch>
                        </pic:blipFill>
                        <pic:spPr>
                          <a:xfrm>
                            <a:off x="0" y="0"/>
                            <a:ext cx="3264535" cy="2447925"/>
                          </a:xfrm>
                          <a:prstGeom prst="rect">
                            <a:avLst/>
                          </a:prstGeom>
                        </pic:spPr>
                      </pic:pic>
                    </a:graphicData>
                  </a:graphic>
                </wp:inline>
              </w:drawing>
            </w:r>
          </w:p>
        </w:tc>
        <w:tc>
          <w:tcPr>
            <w:tcW w:w="2500" w:type="pct"/>
          </w:tcPr>
          <w:p w14:paraId="02F31792">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145155" cy="2447925"/>
                  <wp:effectExtent l="0" t="0" r="9525" b="5715"/>
                  <wp:docPr id="6" name="图片 6" descr="25c874744dab3b05d63c44e9a9dd5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5c874744dab3b05d63c44e9a9dd51a"/>
                          <pic:cNvPicPr>
                            <a:picLocks noChangeAspect="1"/>
                          </pic:cNvPicPr>
                        </pic:nvPicPr>
                        <pic:blipFill>
                          <a:blip r:embed="rId13"/>
                          <a:stretch>
                            <a:fillRect/>
                          </a:stretch>
                        </pic:blipFill>
                        <pic:spPr>
                          <a:xfrm>
                            <a:off x="0" y="0"/>
                            <a:ext cx="3145155" cy="2447925"/>
                          </a:xfrm>
                          <a:prstGeom prst="rect">
                            <a:avLst/>
                          </a:prstGeom>
                        </pic:spPr>
                      </pic:pic>
                    </a:graphicData>
                  </a:graphic>
                </wp:inline>
              </w:drawing>
            </w:r>
          </w:p>
        </w:tc>
      </w:tr>
      <w:tr w14:paraId="37C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8E2C0DD">
            <w:pPr>
              <w:widowControl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东面果树林</w:t>
            </w:r>
          </w:p>
        </w:tc>
        <w:tc>
          <w:tcPr>
            <w:tcW w:w="2500" w:type="pct"/>
          </w:tcPr>
          <w:p w14:paraId="15F717E0">
            <w:pPr>
              <w:widowControl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西侧乡道</w:t>
            </w:r>
          </w:p>
        </w:tc>
      </w:tr>
      <w:tr w14:paraId="1822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9E0882C">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263900" cy="2447925"/>
                  <wp:effectExtent l="0" t="0" r="12700" b="5715"/>
                  <wp:docPr id="7" name="图片 7" descr="21933ebfee381efa11740ac0eb93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933ebfee381efa11740ac0eb9367c"/>
                          <pic:cNvPicPr>
                            <a:picLocks noChangeAspect="1"/>
                          </pic:cNvPicPr>
                        </pic:nvPicPr>
                        <pic:blipFill>
                          <a:blip r:embed="rId14"/>
                          <a:stretch>
                            <a:fillRect/>
                          </a:stretch>
                        </pic:blipFill>
                        <pic:spPr>
                          <a:xfrm>
                            <a:off x="0" y="0"/>
                            <a:ext cx="3263900" cy="2447925"/>
                          </a:xfrm>
                          <a:prstGeom prst="rect">
                            <a:avLst/>
                          </a:prstGeom>
                        </pic:spPr>
                      </pic:pic>
                    </a:graphicData>
                  </a:graphic>
                </wp:inline>
              </w:drawing>
            </w:r>
          </w:p>
        </w:tc>
        <w:tc>
          <w:tcPr>
            <w:tcW w:w="2500" w:type="pct"/>
          </w:tcPr>
          <w:p w14:paraId="1981C48A">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263900" cy="2447925"/>
                  <wp:effectExtent l="0" t="0" r="12700" b="5715"/>
                  <wp:docPr id="9" name="图片 9" descr="2cfd699ba4066d43ade81e8574c5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cfd699ba4066d43ade81e8574c5abd"/>
                          <pic:cNvPicPr>
                            <a:picLocks noChangeAspect="1"/>
                          </pic:cNvPicPr>
                        </pic:nvPicPr>
                        <pic:blipFill>
                          <a:blip r:embed="rId15"/>
                          <a:stretch>
                            <a:fillRect/>
                          </a:stretch>
                        </pic:blipFill>
                        <pic:spPr>
                          <a:xfrm>
                            <a:off x="0" y="0"/>
                            <a:ext cx="3263900" cy="2447925"/>
                          </a:xfrm>
                          <a:prstGeom prst="rect">
                            <a:avLst/>
                          </a:prstGeom>
                        </pic:spPr>
                      </pic:pic>
                    </a:graphicData>
                  </a:graphic>
                </wp:inline>
              </w:drawing>
            </w:r>
          </w:p>
        </w:tc>
      </w:tr>
      <w:tr w14:paraId="0E8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2F57D26">
            <w:pPr>
              <w:widowControl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北侧粮辰农业</w:t>
            </w:r>
          </w:p>
        </w:tc>
        <w:tc>
          <w:tcPr>
            <w:tcW w:w="2500" w:type="pct"/>
          </w:tcPr>
          <w:p w14:paraId="2DBA58FE">
            <w:pPr>
              <w:widowControl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南面荒地</w:t>
            </w:r>
          </w:p>
        </w:tc>
      </w:tr>
      <w:tr w14:paraId="3C6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9E653DA">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263900" cy="2447925"/>
                  <wp:effectExtent l="0" t="0" r="12700" b="5715"/>
                  <wp:docPr id="10" name="图片 10" descr="a242440bf02529af8ef6abc210f77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242440bf02529af8ef6abc210f775d"/>
                          <pic:cNvPicPr>
                            <a:picLocks noChangeAspect="1"/>
                          </pic:cNvPicPr>
                        </pic:nvPicPr>
                        <pic:blipFill>
                          <a:blip r:embed="rId16"/>
                          <a:stretch>
                            <a:fillRect/>
                          </a:stretch>
                        </pic:blipFill>
                        <pic:spPr>
                          <a:xfrm>
                            <a:off x="0" y="0"/>
                            <a:ext cx="3263900" cy="2447925"/>
                          </a:xfrm>
                          <a:prstGeom prst="rect">
                            <a:avLst/>
                          </a:prstGeom>
                        </pic:spPr>
                      </pic:pic>
                    </a:graphicData>
                  </a:graphic>
                </wp:inline>
              </w:drawing>
            </w:r>
          </w:p>
        </w:tc>
        <w:tc>
          <w:tcPr>
            <w:tcW w:w="2500" w:type="pct"/>
          </w:tcPr>
          <w:p w14:paraId="730B8D3A">
            <w:pPr>
              <w:widowControl w:val="0"/>
              <w:jc w:val="cente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drawing>
                <wp:inline distT="0" distB="0" distL="114300" distR="114300">
                  <wp:extent cx="3263900" cy="2447925"/>
                  <wp:effectExtent l="0" t="0" r="12700" b="5715"/>
                  <wp:docPr id="11" name="图片 11" descr="6d4f9b582c4c6dd41187a7e894665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d4f9b582c4c6dd41187a7e894665e9"/>
                          <pic:cNvPicPr>
                            <a:picLocks noChangeAspect="1"/>
                          </pic:cNvPicPr>
                        </pic:nvPicPr>
                        <pic:blipFill>
                          <a:blip r:embed="rId17"/>
                          <a:stretch>
                            <a:fillRect/>
                          </a:stretch>
                        </pic:blipFill>
                        <pic:spPr>
                          <a:xfrm>
                            <a:off x="0" y="0"/>
                            <a:ext cx="3263900" cy="2447925"/>
                          </a:xfrm>
                          <a:prstGeom prst="rect">
                            <a:avLst/>
                          </a:prstGeom>
                        </pic:spPr>
                      </pic:pic>
                    </a:graphicData>
                  </a:graphic>
                </wp:inline>
              </w:drawing>
            </w:r>
          </w:p>
        </w:tc>
      </w:tr>
      <w:tr w14:paraId="55E8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4C60B689">
            <w:pPr>
              <w:widowControl w:val="0"/>
              <w:jc w:val="center"/>
              <w:rPr>
                <w:rFonts w:ascii="宋体" w:hAnsi="宋体" w:eastAsia="宋体" w:cs="宋体"/>
                <w:b/>
                <w:bCs/>
                <w:spacing w:val="-4"/>
                <w:sz w:val="30"/>
                <w:szCs w:val="30"/>
                <w:lang w:eastAsia="zh-CN"/>
              </w:rPr>
            </w:pPr>
            <w:r>
              <w:rPr>
                <w:rFonts w:hint="eastAsia" w:ascii="宋体" w:hAnsi="宋体" w:eastAsia="宋体" w:cs="宋体"/>
                <w:spacing w:val="-1"/>
                <w:sz w:val="24"/>
                <w:szCs w:val="24"/>
                <w:lang w:eastAsia="zh-CN"/>
              </w:rPr>
              <w:t>项目区现状</w:t>
            </w:r>
          </w:p>
        </w:tc>
      </w:tr>
    </w:tbl>
    <w:p w14:paraId="160159F4">
      <w:pPr>
        <w:rPr>
          <w:rFonts w:ascii="宋体" w:hAnsi="宋体" w:eastAsia="宋体" w:cs="宋体"/>
          <w:b/>
          <w:bCs/>
          <w:spacing w:val="-4"/>
          <w:sz w:val="30"/>
          <w:szCs w:val="30"/>
        </w:rPr>
      </w:pPr>
    </w:p>
    <w:p w14:paraId="72431F92">
      <w:pPr>
        <w:rPr>
          <w:rFonts w:ascii="宋体" w:hAnsi="宋体" w:eastAsia="宋体" w:cs="宋体"/>
          <w:b/>
          <w:bCs/>
          <w:spacing w:val="-4"/>
          <w:sz w:val="30"/>
          <w:szCs w:val="30"/>
        </w:rPr>
        <w:sectPr>
          <w:pgSz w:w="16838" w:h="11905" w:orient="landscape"/>
          <w:pgMar w:top="1531" w:right="1701" w:bottom="1531" w:left="1701" w:header="0" w:footer="913" w:gutter="0"/>
          <w:pgNumType w:start="1"/>
          <w:cols w:space="0" w:num="1"/>
        </w:sectPr>
      </w:pPr>
      <w:r>
        <w:rPr>
          <w:rFonts w:ascii="宋体" w:hAnsi="宋体" w:eastAsia="宋体" w:cs="宋体"/>
          <w:b/>
          <w:bCs/>
          <w:spacing w:val="-4"/>
          <w:sz w:val="30"/>
          <w:szCs w:val="30"/>
        </w:rPr>
        <w:br w:type="page"/>
      </w:r>
    </w:p>
    <w:p w14:paraId="1F4E9C2B">
      <w:pPr>
        <w:pStyle w:val="17"/>
      </w:pPr>
    </w:p>
    <w:p w14:paraId="4BAD7CC0">
      <w:pPr>
        <w:spacing w:before="98" w:line="213" w:lineRule="auto"/>
        <w:jc w:val="center"/>
        <w:rPr>
          <w:rFonts w:ascii="宋体" w:hAnsi="宋体" w:eastAsia="宋体" w:cs="宋体"/>
          <w:sz w:val="30"/>
          <w:szCs w:val="30"/>
        </w:rPr>
      </w:pPr>
      <w:r>
        <w:rPr>
          <w:rFonts w:ascii="宋体" w:hAnsi="宋体" w:eastAsia="宋体" w:cs="宋体"/>
          <w:b/>
          <w:bCs/>
          <w:spacing w:val="-4"/>
          <w:sz w:val="30"/>
          <w:szCs w:val="30"/>
        </w:rPr>
        <w:t>一、建设项目基本情况</w:t>
      </w:r>
    </w:p>
    <w:tbl>
      <w:tblPr>
        <w:tblStyle w:val="19"/>
        <w:tblW w:w="90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1"/>
        <w:gridCol w:w="1283"/>
        <w:gridCol w:w="1735"/>
        <w:gridCol w:w="2248"/>
        <w:gridCol w:w="3020"/>
      </w:tblGrid>
      <w:tr w14:paraId="2F3D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074" w:type="dxa"/>
            <w:gridSpan w:val="2"/>
            <w:tcBorders>
              <w:top w:val="single" w:color="000000" w:sz="6" w:space="0"/>
              <w:left w:val="single" w:color="000000" w:sz="6" w:space="0"/>
            </w:tcBorders>
          </w:tcPr>
          <w:p w14:paraId="2C9CBA37">
            <w:pPr>
              <w:pStyle w:val="20"/>
              <w:spacing w:before="239" w:line="220" w:lineRule="auto"/>
              <w:ind w:left="321"/>
              <w:rPr>
                <w:rFonts w:ascii="Times New Roman" w:hAnsi="Times New Roman"/>
              </w:rPr>
            </w:pPr>
            <w:r>
              <w:rPr>
                <w:rFonts w:ascii="Times New Roman" w:hAnsi="Times New Roman"/>
                <w:spacing w:val="-2"/>
              </w:rPr>
              <w:t>建设项目名称</w:t>
            </w:r>
          </w:p>
        </w:tc>
        <w:tc>
          <w:tcPr>
            <w:tcW w:w="7003" w:type="dxa"/>
            <w:gridSpan w:val="3"/>
            <w:tcBorders>
              <w:top w:val="single" w:color="000000" w:sz="6" w:space="0"/>
              <w:right w:val="single" w:color="000000" w:sz="6" w:space="0"/>
            </w:tcBorders>
          </w:tcPr>
          <w:p w14:paraId="30754F4C">
            <w:pPr>
              <w:pStyle w:val="20"/>
              <w:spacing w:before="239" w:line="219" w:lineRule="auto"/>
              <w:ind w:left="990"/>
              <w:rPr>
                <w:rFonts w:ascii="Times New Roman" w:hAnsi="Times New Roman"/>
                <w:lang w:eastAsia="zh-CN"/>
              </w:rPr>
            </w:pPr>
            <w:r>
              <w:rPr>
                <w:rFonts w:ascii="Times New Roman" w:hAnsi="Times New Roman"/>
                <w:spacing w:val="-1"/>
                <w:lang w:eastAsia="zh-CN"/>
              </w:rPr>
              <w:t>吉木萨尔县庆阳湖乡二工梁村透水砖厂建设项目</w:t>
            </w:r>
          </w:p>
        </w:tc>
      </w:tr>
      <w:tr w14:paraId="6EB8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074" w:type="dxa"/>
            <w:gridSpan w:val="2"/>
            <w:tcBorders>
              <w:left w:val="single" w:color="000000" w:sz="6" w:space="0"/>
            </w:tcBorders>
          </w:tcPr>
          <w:p w14:paraId="49638BA6">
            <w:pPr>
              <w:pStyle w:val="20"/>
              <w:spacing w:before="238" w:line="220" w:lineRule="auto"/>
              <w:ind w:left="562"/>
              <w:rPr>
                <w:rFonts w:ascii="Times New Roman" w:hAnsi="Times New Roman"/>
              </w:rPr>
            </w:pPr>
            <w:r>
              <w:rPr>
                <w:rFonts w:ascii="Times New Roman" w:hAnsi="Times New Roman"/>
                <w:spacing w:val="-3"/>
              </w:rPr>
              <w:t>项目代码</w:t>
            </w:r>
          </w:p>
        </w:tc>
        <w:tc>
          <w:tcPr>
            <w:tcW w:w="7003" w:type="dxa"/>
            <w:gridSpan w:val="3"/>
            <w:tcBorders>
              <w:right w:val="single" w:color="000000" w:sz="6" w:space="0"/>
            </w:tcBorders>
          </w:tcPr>
          <w:p w14:paraId="25ACB245">
            <w:pPr>
              <w:spacing w:before="271" w:line="232" w:lineRule="auto"/>
              <w:ind w:left="2137"/>
              <w:rPr>
                <w:rFonts w:ascii="Times New Roman" w:hAnsi="Times New Roman" w:eastAsia="宋体" w:cs="Times New Roman"/>
                <w:sz w:val="24"/>
                <w:szCs w:val="24"/>
              </w:rPr>
            </w:pPr>
            <w:r>
              <w:rPr>
                <w:rFonts w:ascii="Times New Roman" w:hAnsi="Times New Roman" w:eastAsia="宋体" w:cs="Times New Roman"/>
                <w:spacing w:val="-1"/>
                <w:sz w:val="24"/>
                <w:szCs w:val="24"/>
              </w:rPr>
              <w:t>2208-652327-04-01-569587</w:t>
            </w:r>
          </w:p>
        </w:tc>
      </w:tr>
      <w:tr w14:paraId="21A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074" w:type="dxa"/>
            <w:gridSpan w:val="2"/>
            <w:tcBorders>
              <w:left w:val="single" w:color="000000" w:sz="6" w:space="0"/>
            </w:tcBorders>
          </w:tcPr>
          <w:p w14:paraId="48E641E7">
            <w:pPr>
              <w:pStyle w:val="20"/>
              <w:spacing w:before="240" w:line="220" w:lineRule="auto"/>
              <w:ind w:left="201"/>
              <w:rPr>
                <w:rFonts w:ascii="Times New Roman" w:hAnsi="Times New Roman"/>
              </w:rPr>
            </w:pPr>
            <w:r>
              <w:rPr>
                <w:rFonts w:ascii="Times New Roman" w:hAnsi="Times New Roman"/>
                <w:spacing w:val="-2"/>
              </w:rPr>
              <w:t>建设单位联系人</w:t>
            </w:r>
          </w:p>
        </w:tc>
        <w:tc>
          <w:tcPr>
            <w:tcW w:w="1735" w:type="dxa"/>
          </w:tcPr>
          <w:p w14:paraId="4577EF73">
            <w:pPr>
              <w:pStyle w:val="20"/>
              <w:spacing w:before="239" w:line="219" w:lineRule="auto"/>
              <w:ind w:left="513"/>
              <w:rPr>
                <w:rFonts w:hint="default" w:ascii="Times New Roman" w:hAnsi="Times New Roman" w:eastAsia="宋体"/>
                <w:lang w:val="en-US" w:eastAsia="zh-CN"/>
              </w:rPr>
            </w:pPr>
            <w:r>
              <w:rPr>
                <w:rFonts w:hint="eastAsia" w:ascii="Times New Roman" w:hAnsi="Times New Roman"/>
                <w:spacing w:val="-4"/>
                <w:lang w:val="en-US" w:eastAsia="zh-CN"/>
              </w:rPr>
              <w:t>****</w:t>
            </w:r>
          </w:p>
        </w:tc>
        <w:tc>
          <w:tcPr>
            <w:tcW w:w="2248" w:type="dxa"/>
          </w:tcPr>
          <w:p w14:paraId="22EAB029">
            <w:pPr>
              <w:pStyle w:val="20"/>
              <w:spacing w:before="240" w:line="221" w:lineRule="auto"/>
              <w:ind w:left="652"/>
              <w:rPr>
                <w:rFonts w:ascii="Times New Roman" w:hAnsi="Times New Roman"/>
              </w:rPr>
            </w:pPr>
            <w:r>
              <w:rPr>
                <w:rFonts w:ascii="Times New Roman" w:hAnsi="Times New Roman"/>
                <w:spacing w:val="-3"/>
              </w:rPr>
              <w:t>联系方式</w:t>
            </w:r>
          </w:p>
        </w:tc>
        <w:tc>
          <w:tcPr>
            <w:tcW w:w="3020" w:type="dxa"/>
            <w:tcBorders>
              <w:right w:val="single" w:color="000000" w:sz="6" w:space="0"/>
            </w:tcBorders>
          </w:tcPr>
          <w:p w14:paraId="6310CFA9">
            <w:pPr>
              <w:spacing w:before="272" w:line="232" w:lineRule="auto"/>
              <w:ind w:left="872"/>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3"/>
                <w:sz w:val="24"/>
                <w:szCs w:val="24"/>
                <w:lang w:val="en-US" w:eastAsia="zh-CN"/>
              </w:rPr>
              <w:t>******</w:t>
            </w:r>
          </w:p>
        </w:tc>
      </w:tr>
      <w:tr w14:paraId="5267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34EB6E72">
            <w:pPr>
              <w:pStyle w:val="20"/>
              <w:spacing w:before="238" w:line="221" w:lineRule="auto"/>
              <w:ind w:left="561"/>
              <w:rPr>
                <w:rFonts w:ascii="Times New Roman" w:hAnsi="Times New Roman"/>
              </w:rPr>
            </w:pPr>
            <w:r>
              <w:rPr>
                <w:rFonts w:ascii="Times New Roman" w:hAnsi="Times New Roman"/>
                <w:spacing w:val="-3"/>
              </w:rPr>
              <w:t>建设地点</w:t>
            </w:r>
          </w:p>
        </w:tc>
        <w:tc>
          <w:tcPr>
            <w:tcW w:w="7003" w:type="dxa"/>
            <w:gridSpan w:val="3"/>
            <w:tcBorders>
              <w:right w:val="single" w:color="000000" w:sz="6" w:space="0"/>
            </w:tcBorders>
          </w:tcPr>
          <w:p w14:paraId="161BDABD">
            <w:pPr>
              <w:pStyle w:val="20"/>
              <w:spacing w:before="238" w:line="219" w:lineRule="auto"/>
              <w:ind w:left="1950"/>
              <w:rPr>
                <w:rFonts w:ascii="Times New Roman" w:hAnsi="Times New Roman"/>
                <w:lang w:eastAsia="zh-CN"/>
              </w:rPr>
            </w:pPr>
            <w:r>
              <w:rPr>
                <w:rFonts w:ascii="Times New Roman" w:hAnsi="Times New Roman"/>
                <w:spacing w:val="-2"/>
                <w:lang w:eastAsia="zh-CN"/>
              </w:rPr>
              <w:t>吉木萨尔县庆阳湖乡二工梁村</w:t>
            </w:r>
          </w:p>
        </w:tc>
      </w:tr>
      <w:tr w14:paraId="62240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3F359828">
            <w:pPr>
              <w:pStyle w:val="20"/>
              <w:spacing w:before="240" w:line="220" w:lineRule="auto"/>
              <w:ind w:left="558"/>
              <w:rPr>
                <w:rFonts w:ascii="Times New Roman" w:hAnsi="Times New Roman"/>
              </w:rPr>
            </w:pPr>
            <w:r>
              <w:rPr>
                <w:rFonts w:ascii="Times New Roman" w:hAnsi="Times New Roman"/>
                <w:spacing w:val="-2"/>
              </w:rPr>
              <w:t>地理坐标</w:t>
            </w:r>
          </w:p>
        </w:tc>
        <w:tc>
          <w:tcPr>
            <w:tcW w:w="7003" w:type="dxa"/>
            <w:gridSpan w:val="3"/>
            <w:tcBorders>
              <w:right w:val="single" w:color="000000" w:sz="6" w:space="0"/>
            </w:tcBorders>
          </w:tcPr>
          <w:p w14:paraId="2C25DE98">
            <w:pPr>
              <w:pStyle w:val="20"/>
              <w:spacing w:before="240" w:line="234" w:lineRule="auto"/>
              <w:ind w:left="1113"/>
              <w:rPr>
                <w:rFonts w:ascii="Times New Roman" w:hAnsi="Times New Roman"/>
              </w:rPr>
            </w:pPr>
            <w:r>
              <w:rPr>
                <w:rFonts w:ascii="Times New Roman" w:hAnsi="Times New Roman"/>
                <w:spacing w:val="-4"/>
              </w:rPr>
              <w:t>（</w:t>
            </w:r>
            <w:r>
              <w:rPr>
                <w:rFonts w:ascii="Times New Roman" w:hAnsi="Times New Roman" w:cs="Times New Roman"/>
                <w:spacing w:val="-4"/>
                <w:u w:val="single"/>
              </w:rPr>
              <w:t>88</w:t>
            </w:r>
            <w:r>
              <w:rPr>
                <w:rFonts w:ascii="Times New Roman" w:hAnsi="Times New Roman"/>
                <w:spacing w:val="-4"/>
              </w:rPr>
              <w:t>度</w:t>
            </w:r>
            <w:r>
              <w:rPr>
                <w:rFonts w:ascii="Times New Roman" w:hAnsi="Times New Roman" w:cs="Times New Roman"/>
                <w:spacing w:val="-4"/>
                <w:u w:val="single"/>
              </w:rPr>
              <w:t>59</w:t>
            </w:r>
            <w:r>
              <w:rPr>
                <w:rFonts w:ascii="Times New Roman" w:hAnsi="Times New Roman"/>
                <w:spacing w:val="-4"/>
              </w:rPr>
              <w:t>分</w:t>
            </w:r>
            <w:r>
              <w:rPr>
                <w:rFonts w:ascii="Times New Roman" w:hAnsi="Times New Roman" w:cs="Times New Roman"/>
                <w:spacing w:val="-4"/>
                <w:u w:val="single"/>
              </w:rPr>
              <w:t>38.11</w:t>
            </w:r>
            <w:r>
              <w:rPr>
                <w:rFonts w:hint="eastAsia" w:ascii="Times New Roman" w:hAnsi="Times New Roman" w:cs="Times New Roman"/>
                <w:spacing w:val="-4"/>
                <w:u w:val="single"/>
                <w:lang w:eastAsia="zh-CN"/>
              </w:rPr>
              <w:t>5</w:t>
            </w:r>
            <w:r>
              <w:rPr>
                <w:rFonts w:ascii="Times New Roman" w:hAnsi="Times New Roman"/>
                <w:spacing w:val="-4"/>
              </w:rPr>
              <w:t>秒，</w:t>
            </w:r>
            <w:r>
              <w:rPr>
                <w:rFonts w:ascii="Times New Roman" w:hAnsi="Times New Roman" w:cs="Times New Roman"/>
                <w:spacing w:val="-4"/>
                <w:u w:val="single"/>
              </w:rPr>
              <w:t>44</w:t>
            </w:r>
            <w:r>
              <w:rPr>
                <w:rFonts w:ascii="Times New Roman" w:hAnsi="Times New Roman"/>
                <w:spacing w:val="-4"/>
              </w:rPr>
              <w:t>度</w:t>
            </w:r>
            <w:r>
              <w:rPr>
                <w:rFonts w:ascii="Times New Roman" w:hAnsi="Times New Roman" w:cs="Times New Roman"/>
                <w:spacing w:val="-4"/>
                <w:u w:val="single"/>
              </w:rPr>
              <w:t>04</w:t>
            </w:r>
            <w:r>
              <w:rPr>
                <w:rFonts w:ascii="Times New Roman" w:hAnsi="Times New Roman"/>
                <w:spacing w:val="-4"/>
              </w:rPr>
              <w:t>分</w:t>
            </w:r>
            <w:r>
              <w:rPr>
                <w:rFonts w:ascii="Times New Roman" w:hAnsi="Times New Roman" w:cs="Times New Roman"/>
                <w:spacing w:val="-4"/>
                <w:u w:val="single"/>
              </w:rPr>
              <w:t>17.36</w:t>
            </w:r>
            <w:r>
              <w:rPr>
                <w:rFonts w:hint="eastAsia" w:ascii="Times New Roman" w:hAnsi="Times New Roman" w:cs="Times New Roman"/>
                <w:spacing w:val="-4"/>
                <w:u w:val="single"/>
                <w:lang w:eastAsia="zh-CN"/>
              </w:rPr>
              <w:t>5</w:t>
            </w:r>
            <w:r>
              <w:rPr>
                <w:rFonts w:ascii="Times New Roman" w:hAnsi="Times New Roman"/>
                <w:spacing w:val="-4"/>
              </w:rPr>
              <w:t>秒）</w:t>
            </w:r>
          </w:p>
        </w:tc>
      </w:tr>
      <w:tr w14:paraId="480B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2074" w:type="dxa"/>
            <w:gridSpan w:val="2"/>
            <w:tcBorders>
              <w:left w:val="single" w:color="000000" w:sz="6" w:space="0"/>
            </w:tcBorders>
            <w:vAlign w:val="center"/>
          </w:tcPr>
          <w:p w14:paraId="748D4848">
            <w:pPr>
              <w:pStyle w:val="20"/>
              <w:spacing w:before="78" w:line="220" w:lineRule="auto"/>
              <w:rPr>
                <w:rFonts w:ascii="Times New Roman" w:hAnsi="Times New Roman"/>
              </w:rPr>
            </w:pPr>
            <w:r>
              <w:rPr>
                <w:rFonts w:ascii="Times New Roman" w:hAnsi="Times New Roman"/>
                <w:spacing w:val="-7"/>
              </w:rPr>
              <w:t>国民经济</w:t>
            </w:r>
            <w:r>
              <w:rPr>
                <w:rFonts w:ascii="Times New Roman" w:hAnsi="Times New Roman"/>
                <w:spacing w:val="-3"/>
              </w:rPr>
              <w:t>行业类别</w:t>
            </w:r>
          </w:p>
        </w:tc>
        <w:tc>
          <w:tcPr>
            <w:tcW w:w="1735" w:type="dxa"/>
            <w:vAlign w:val="center"/>
          </w:tcPr>
          <w:p w14:paraId="08BF1D10">
            <w:pPr>
              <w:pStyle w:val="20"/>
              <w:spacing w:before="78" w:line="242" w:lineRule="auto"/>
              <w:ind w:right="8"/>
              <w:rPr>
                <w:rFonts w:ascii="Times New Roman" w:hAnsi="Times New Roman"/>
              </w:rPr>
            </w:pPr>
            <w:r>
              <w:rPr>
                <w:rFonts w:ascii="Times New Roman" w:hAnsi="Times New Roman" w:cs="Times New Roman"/>
                <w:spacing w:val="-1"/>
              </w:rPr>
              <w:t>C3021</w:t>
            </w:r>
            <w:r>
              <w:rPr>
                <w:rFonts w:ascii="Times New Roman" w:hAnsi="Times New Roman"/>
                <w:spacing w:val="-1"/>
              </w:rPr>
              <w:t>水泥制品</w:t>
            </w:r>
            <w:r>
              <w:rPr>
                <w:rFonts w:ascii="Times New Roman" w:hAnsi="Times New Roman"/>
                <w:spacing w:val="-3"/>
              </w:rPr>
              <w:t>制造</w:t>
            </w:r>
          </w:p>
        </w:tc>
        <w:tc>
          <w:tcPr>
            <w:tcW w:w="2248" w:type="dxa"/>
            <w:vAlign w:val="center"/>
          </w:tcPr>
          <w:p w14:paraId="7FDB04B5">
            <w:pPr>
              <w:pStyle w:val="20"/>
              <w:spacing w:before="78" w:line="220" w:lineRule="auto"/>
              <w:rPr>
                <w:rFonts w:ascii="Times New Roman" w:hAnsi="Times New Roman"/>
              </w:rPr>
            </w:pPr>
            <w:r>
              <w:rPr>
                <w:rFonts w:ascii="Times New Roman" w:hAnsi="Times New Roman"/>
                <w:spacing w:val="-3"/>
              </w:rPr>
              <w:t>建设项目行业类别</w:t>
            </w:r>
          </w:p>
        </w:tc>
        <w:tc>
          <w:tcPr>
            <w:tcW w:w="3020" w:type="dxa"/>
            <w:tcBorders>
              <w:right w:val="single" w:color="000000" w:sz="6" w:space="0"/>
            </w:tcBorders>
            <w:vAlign w:val="center"/>
          </w:tcPr>
          <w:p w14:paraId="7890FE01">
            <w:pPr>
              <w:pStyle w:val="20"/>
              <w:spacing w:before="55" w:line="220" w:lineRule="auto"/>
              <w:ind w:left="157"/>
              <w:rPr>
                <w:rFonts w:ascii="Times New Roman" w:hAnsi="Times New Roman"/>
                <w:lang w:eastAsia="zh-CN"/>
              </w:rPr>
            </w:pPr>
            <w:r>
              <w:rPr>
                <w:rFonts w:ascii="Times New Roman" w:hAnsi="Times New Roman"/>
                <w:spacing w:val="-2"/>
                <w:lang w:eastAsia="zh-CN"/>
              </w:rPr>
              <w:t>二十七</w:t>
            </w:r>
            <w:r>
              <w:rPr>
                <w:rFonts w:hint="eastAsia" w:ascii="Times New Roman" w:hAnsi="Times New Roman"/>
                <w:spacing w:val="-2"/>
                <w:lang w:eastAsia="zh-CN"/>
              </w:rPr>
              <w:t>－</w:t>
            </w:r>
            <w:r>
              <w:rPr>
                <w:rFonts w:ascii="Times New Roman" w:hAnsi="Times New Roman"/>
                <w:spacing w:val="-2"/>
                <w:lang w:eastAsia="zh-CN"/>
              </w:rPr>
              <w:t>非金属矿物制品业</w:t>
            </w:r>
            <w:r>
              <w:rPr>
                <w:rFonts w:ascii="Times New Roman" w:hAnsi="Times New Roman" w:cs="Times New Roman"/>
                <w:spacing w:val="-2"/>
                <w:lang w:eastAsia="zh-CN"/>
              </w:rPr>
              <w:t>55</w:t>
            </w:r>
            <w:r>
              <w:rPr>
                <w:rFonts w:ascii="Times New Roman" w:hAnsi="Times New Roman"/>
                <w:spacing w:val="-2"/>
                <w:lang w:eastAsia="zh-CN"/>
              </w:rPr>
              <w:t>、石膏、水泥制品及类似</w:t>
            </w:r>
            <w:r>
              <w:rPr>
                <w:rFonts w:ascii="Times New Roman" w:hAnsi="Times New Roman"/>
                <w:spacing w:val="-6"/>
                <w:lang w:eastAsia="zh-CN"/>
              </w:rPr>
              <w:t>制品制造</w:t>
            </w:r>
          </w:p>
        </w:tc>
      </w:tr>
      <w:tr w14:paraId="273E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074" w:type="dxa"/>
            <w:gridSpan w:val="2"/>
            <w:tcBorders>
              <w:left w:val="single" w:color="000000" w:sz="6" w:space="0"/>
            </w:tcBorders>
            <w:vAlign w:val="center"/>
          </w:tcPr>
          <w:p w14:paraId="5B14DFD9">
            <w:pPr>
              <w:pStyle w:val="20"/>
              <w:spacing w:before="78" w:line="220" w:lineRule="auto"/>
              <w:rPr>
                <w:rFonts w:ascii="Times New Roman" w:hAnsi="Times New Roman"/>
              </w:rPr>
            </w:pPr>
            <w:r>
              <w:rPr>
                <w:rFonts w:ascii="Times New Roman" w:hAnsi="Times New Roman"/>
                <w:spacing w:val="-3"/>
              </w:rPr>
              <w:t>建设性质</w:t>
            </w:r>
          </w:p>
        </w:tc>
        <w:tc>
          <w:tcPr>
            <w:tcW w:w="1735" w:type="dxa"/>
            <w:vAlign w:val="center"/>
          </w:tcPr>
          <w:p w14:paraId="642D9A0A">
            <w:pPr>
              <w:pStyle w:val="20"/>
              <w:spacing w:before="61" w:line="228" w:lineRule="auto"/>
              <w:ind w:left="31" w:right="67" w:hanging="14"/>
              <w:rPr>
                <w:rFonts w:ascii="Times New Roman" w:hAnsi="Times New Roman"/>
                <w:lang w:eastAsia="zh-CN"/>
              </w:rPr>
            </w:pPr>
            <w:r>
              <w:rPr>
                <w:rFonts w:ascii="Times New Roman" w:hAnsi="Times New Roman" w:cs="Segoe UI Symbol"/>
                <w:spacing w:val="-7"/>
                <w:lang w:eastAsia="zh-CN"/>
              </w:rPr>
              <w:t>☑</w:t>
            </w:r>
            <w:r>
              <w:rPr>
                <w:rFonts w:ascii="Times New Roman" w:hAnsi="Times New Roman"/>
                <w:spacing w:val="-7"/>
                <w:lang w:eastAsia="zh-CN"/>
              </w:rPr>
              <w:t>新建（迁建）</w:t>
            </w:r>
            <w:r>
              <w:rPr>
                <w:rFonts w:ascii="Times New Roman" w:hAnsi="Times New Roman"/>
                <w:spacing w:val="-8"/>
                <w:lang w:eastAsia="zh-CN"/>
              </w:rPr>
              <w:t>□改建</w:t>
            </w:r>
          </w:p>
          <w:p w14:paraId="25D04236">
            <w:pPr>
              <w:pStyle w:val="20"/>
              <w:spacing w:before="11" w:line="220" w:lineRule="auto"/>
              <w:ind w:left="31"/>
              <w:rPr>
                <w:rFonts w:ascii="Times New Roman" w:hAnsi="Times New Roman"/>
                <w:lang w:eastAsia="zh-CN"/>
              </w:rPr>
            </w:pPr>
            <w:r>
              <w:rPr>
                <w:rFonts w:ascii="Times New Roman" w:hAnsi="Times New Roman"/>
                <w:spacing w:val="-8"/>
                <w:lang w:eastAsia="zh-CN"/>
              </w:rPr>
              <w:t>□扩建</w:t>
            </w:r>
          </w:p>
          <w:p w14:paraId="0942413C">
            <w:pPr>
              <w:pStyle w:val="20"/>
              <w:spacing w:before="25" w:line="201" w:lineRule="auto"/>
              <w:ind w:left="31"/>
              <w:rPr>
                <w:rFonts w:ascii="Times New Roman" w:hAnsi="Times New Roman"/>
              </w:rPr>
            </w:pPr>
            <w:r>
              <w:rPr>
                <w:rFonts w:ascii="Times New Roman" w:hAnsi="Times New Roman"/>
                <w:spacing w:val="-6"/>
              </w:rPr>
              <w:t>□技术改造</w:t>
            </w:r>
          </w:p>
        </w:tc>
        <w:tc>
          <w:tcPr>
            <w:tcW w:w="2248" w:type="dxa"/>
            <w:vAlign w:val="center"/>
          </w:tcPr>
          <w:p w14:paraId="74063C24">
            <w:pPr>
              <w:pStyle w:val="20"/>
              <w:spacing w:before="78" w:line="220" w:lineRule="auto"/>
              <w:rPr>
                <w:rFonts w:ascii="Times New Roman" w:hAnsi="Times New Roman"/>
              </w:rPr>
            </w:pPr>
            <w:r>
              <w:rPr>
                <w:rFonts w:ascii="Times New Roman" w:hAnsi="Times New Roman"/>
                <w:spacing w:val="-3"/>
              </w:rPr>
              <w:t>建设项目</w:t>
            </w:r>
            <w:r>
              <w:rPr>
                <w:rFonts w:ascii="Times New Roman" w:hAnsi="Times New Roman"/>
                <w:spacing w:val="-8"/>
              </w:rPr>
              <w:t>申报情形</w:t>
            </w:r>
          </w:p>
        </w:tc>
        <w:tc>
          <w:tcPr>
            <w:tcW w:w="3020" w:type="dxa"/>
            <w:tcBorders>
              <w:right w:val="single" w:color="000000" w:sz="6" w:space="0"/>
            </w:tcBorders>
            <w:vAlign w:val="center"/>
          </w:tcPr>
          <w:p w14:paraId="618D9961">
            <w:pPr>
              <w:pStyle w:val="20"/>
              <w:spacing w:before="60" w:line="220" w:lineRule="auto"/>
              <w:ind w:left="24"/>
              <w:rPr>
                <w:rFonts w:ascii="Times New Roman" w:hAnsi="Times New Roman"/>
                <w:lang w:eastAsia="zh-CN"/>
              </w:rPr>
            </w:pPr>
            <w:r>
              <w:rPr>
                <w:rFonts w:ascii="Times New Roman" w:hAnsi="Times New Roman" w:cs="Segoe UI Symbol"/>
                <w:spacing w:val="-5"/>
                <w:lang w:eastAsia="zh-CN"/>
              </w:rPr>
              <w:t>☑</w:t>
            </w:r>
            <w:r>
              <w:rPr>
                <w:rFonts w:ascii="Times New Roman" w:hAnsi="Times New Roman"/>
                <w:spacing w:val="-5"/>
                <w:lang w:eastAsia="zh-CN"/>
              </w:rPr>
              <w:t>首次申报项目</w:t>
            </w:r>
          </w:p>
          <w:p w14:paraId="763CBD59">
            <w:pPr>
              <w:pStyle w:val="20"/>
              <w:spacing w:before="7" w:line="220" w:lineRule="auto"/>
              <w:ind w:left="38"/>
              <w:rPr>
                <w:rFonts w:ascii="Times New Roman" w:hAnsi="Times New Roman"/>
                <w:lang w:eastAsia="zh-CN"/>
              </w:rPr>
            </w:pPr>
            <w:r>
              <w:rPr>
                <w:rFonts w:ascii="Times New Roman" w:hAnsi="Times New Roman"/>
                <w:spacing w:val="-3"/>
                <w:lang w:eastAsia="zh-CN"/>
              </w:rPr>
              <w:t>□不予批准后再次申报项目</w:t>
            </w:r>
          </w:p>
          <w:p w14:paraId="02BF0610">
            <w:pPr>
              <w:pStyle w:val="20"/>
              <w:spacing w:before="25" w:line="220" w:lineRule="auto"/>
              <w:ind w:left="38"/>
              <w:rPr>
                <w:rFonts w:ascii="Times New Roman" w:hAnsi="Times New Roman"/>
                <w:lang w:eastAsia="zh-CN"/>
              </w:rPr>
            </w:pPr>
            <w:r>
              <w:rPr>
                <w:rFonts w:ascii="Times New Roman" w:hAnsi="Times New Roman"/>
                <w:spacing w:val="-4"/>
                <w:lang w:eastAsia="zh-CN"/>
              </w:rPr>
              <w:t>□超五年重新审核项目</w:t>
            </w:r>
          </w:p>
          <w:p w14:paraId="3418F27A">
            <w:pPr>
              <w:pStyle w:val="20"/>
              <w:spacing w:before="26" w:line="201" w:lineRule="auto"/>
              <w:ind w:left="38"/>
              <w:rPr>
                <w:rFonts w:ascii="Times New Roman" w:hAnsi="Times New Roman"/>
                <w:lang w:eastAsia="zh-CN"/>
              </w:rPr>
            </w:pPr>
            <w:r>
              <w:rPr>
                <w:rFonts w:ascii="Times New Roman" w:hAnsi="Times New Roman"/>
                <w:spacing w:val="-3"/>
                <w:lang w:eastAsia="zh-CN"/>
              </w:rPr>
              <w:t>□重大变动重新报批项目</w:t>
            </w:r>
          </w:p>
        </w:tc>
      </w:tr>
      <w:tr w14:paraId="453D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0BA23845">
            <w:pPr>
              <w:pStyle w:val="20"/>
              <w:spacing w:before="89" w:line="231" w:lineRule="auto"/>
              <w:ind w:left="23" w:firstLine="139"/>
              <w:rPr>
                <w:rFonts w:ascii="Times New Roman" w:hAnsi="Times New Roman"/>
                <w:lang w:eastAsia="zh-CN"/>
              </w:rPr>
            </w:pPr>
            <w:r>
              <w:rPr>
                <w:rFonts w:ascii="Times New Roman" w:hAnsi="Times New Roman"/>
                <w:spacing w:val="-11"/>
                <w:lang w:eastAsia="zh-CN"/>
              </w:rPr>
              <w:t>项目审批（核准</w:t>
            </w:r>
            <w:r>
              <w:rPr>
                <w:rFonts w:ascii="Times New Roman" w:hAnsi="Times New Roman" w:cs="Times New Roman"/>
                <w:spacing w:val="-11"/>
                <w:lang w:eastAsia="zh-CN"/>
              </w:rPr>
              <w:t>/</w:t>
            </w:r>
            <w:r>
              <w:rPr>
                <w:rFonts w:ascii="Times New Roman" w:hAnsi="Times New Roman"/>
                <w:spacing w:val="-14"/>
                <w:lang w:eastAsia="zh-CN"/>
              </w:rPr>
              <w:t>备案）部门（选填）</w:t>
            </w:r>
          </w:p>
        </w:tc>
        <w:tc>
          <w:tcPr>
            <w:tcW w:w="1735" w:type="dxa"/>
          </w:tcPr>
          <w:p w14:paraId="4545A5E7">
            <w:pPr>
              <w:pStyle w:val="20"/>
              <w:spacing w:before="89" w:line="231" w:lineRule="auto"/>
              <w:ind w:left="750" w:right="27" w:hanging="711"/>
              <w:rPr>
                <w:rFonts w:ascii="Times New Roman" w:hAnsi="Times New Roman"/>
              </w:rPr>
            </w:pPr>
            <w:r>
              <w:rPr>
                <w:rFonts w:ascii="Times New Roman" w:hAnsi="Times New Roman"/>
                <w:spacing w:val="-3"/>
              </w:rPr>
              <w:t>吉木萨尔县发改</w:t>
            </w:r>
            <w:r>
              <w:rPr>
                <w:rFonts w:ascii="Times New Roman" w:hAnsi="Times New Roman"/>
              </w:rPr>
              <w:t>委</w:t>
            </w:r>
          </w:p>
        </w:tc>
        <w:tc>
          <w:tcPr>
            <w:tcW w:w="2248" w:type="dxa"/>
          </w:tcPr>
          <w:p w14:paraId="6FCC0404">
            <w:pPr>
              <w:pStyle w:val="20"/>
              <w:spacing w:before="89" w:line="231" w:lineRule="auto"/>
              <w:ind w:left="54" w:right="56" w:firstLine="207"/>
              <w:rPr>
                <w:rFonts w:ascii="Times New Roman" w:hAnsi="Times New Roman"/>
                <w:lang w:eastAsia="zh-CN"/>
              </w:rPr>
            </w:pPr>
            <w:r>
              <w:rPr>
                <w:rFonts w:ascii="Times New Roman" w:hAnsi="Times New Roman"/>
                <w:spacing w:val="-2"/>
                <w:lang w:eastAsia="zh-CN"/>
              </w:rPr>
              <w:t>项目审批（核准</w:t>
            </w:r>
            <w:r>
              <w:rPr>
                <w:rFonts w:ascii="Times New Roman" w:hAnsi="Times New Roman" w:cs="Times New Roman"/>
                <w:spacing w:val="-2"/>
                <w:lang w:eastAsia="zh-CN"/>
              </w:rPr>
              <w:t>/</w:t>
            </w:r>
            <w:r>
              <w:rPr>
                <w:rFonts w:ascii="Times New Roman" w:hAnsi="Times New Roman"/>
                <w:spacing w:val="-4"/>
                <w:lang w:eastAsia="zh-CN"/>
              </w:rPr>
              <w:t>备案）文号（选填）</w:t>
            </w:r>
          </w:p>
        </w:tc>
        <w:tc>
          <w:tcPr>
            <w:tcW w:w="3020" w:type="dxa"/>
            <w:tcBorders>
              <w:right w:val="single" w:color="000000" w:sz="6" w:space="0"/>
            </w:tcBorders>
          </w:tcPr>
          <w:p w14:paraId="1CE9DCC5">
            <w:pPr>
              <w:pStyle w:val="20"/>
              <w:spacing w:before="245" w:line="233" w:lineRule="auto"/>
              <w:ind w:left="231"/>
              <w:rPr>
                <w:rFonts w:ascii="Times New Roman" w:hAnsi="Times New Roman"/>
              </w:rPr>
            </w:pPr>
            <w:r>
              <w:rPr>
                <w:rFonts w:ascii="Times New Roman" w:hAnsi="Times New Roman"/>
                <w:spacing w:val="-2"/>
              </w:rPr>
              <w:t>吉县发改</w:t>
            </w:r>
            <w:r>
              <w:rPr>
                <w:rFonts w:hint="eastAsia" w:ascii="Times New Roman" w:hAnsi="Times New Roman"/>
                <w:spacing w:val="-2"/>
                <w:lang w:eastAsia="zh-CN"/>
              </w:rPr>
              <w:t>〔2022〕184号</w:t>
            </w:r>
          </w:p>
        </w:tc>
      </w:tr>
      <w:tr w14:paraId="3AA1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73992E47">
            <w:pPr>
              <w:pStyle w:val="20"/>
              <w:spacing w:before="245" w:line="220" w:lineRule="auto"/>
              <w:ind w:left="204"/>
              <w:rPr>
                <w:rFonts w:ascii="Times New Roman" w:hAnsi="Times New Roman"/>
              </w:rPr>
            </w:pPr>
            <w:r>
              <w:rPr>
                <w:rFonts w:ascii="Times New Roman" w:hAnsi="Times New Roman"/>
                <w:spacing w:val="-4"/>
              </w:rPr>
              <w:t>总投资（万元）</w:t>
            </w:r>
          </w:p>
        </w:tc>
        <w:tc>
          <w:tcPr>
            <w:tcW w:w="1735" w:type="dxa"/>
          </w:tcPr>
          <w:p w14:paraId="749275BD">
            <w:pPr>
              <w:spacing w:before="280" w:line="232" w:lineRule="auto"/>
              <w:ind w:left="692"/>
              <w:rPr>
                <w:rFonts w:ascii="Times New Roman" w:hAnsi="Times New Roman" w:eastAsia="宋体" w:cs="Times New Roman"/>
                <w:sz w:val="24"/>
                <w:szCs w:val="24"/>
              </w:rPr>
            </w:pPr>
            <w:r>
              <w:rPr>
                <w:rFonts w:ascii="Times New Roman" w:hAnsi="Times New Roman" w:eastAsia="宋体" w:cs="Times New Roman"/>
                <w:spacing w:val="-3"/>
                <w:sz w:val="24"/>
                <w:szCs w:val="24"/>
              </w:rPr>
              <w:t>360</w:t>
            </w:r>
          </w:p>
        </w:tc>
        <w:tc>
          <w:tcPr>
            <w:tcW w:w="2248" w:type="dxa"/>
          </w:tcPr>
          <w:p w14:paraId="40CCA08C">
            <w:pPr>
              <w:pStyle w:val="20"/>
              <w:spacing w:before="245" w:line="220" w:lineRule="auto"/>
              <w:ind w:left="171"/>
              <w:rPr>
                <w:rFonts w:ascii="Times New Roman" w:hAnsi="Times New Roman"/>
              </w:rPr>
            </w:pPr>
            <w:r>
              <w:rPr>
                <w:rFonts w:ascii="Times New Roman" w:hAnsi="Times New Roman"/>
                <w:spacing w:val="-3"/>
              </w:rPr>
              <w:t>环保投资（万元）</w:t>
            </w:r>
          </w:p>
        </w:tc>
        <w:tc>
          <w:tcPr>
            <w:tcW w:w="3020" w:type="dxa"/>
            <w:tcBorders>
              <w:right w:val="single" w:color="000000" w:sz="6" w:space="0"/>
            </w:tcBorders>
          </w:tcPr>
          <w:p w14:paraId="2CEE5784">
            <w:pPr>
              <w:spacing w:before="280" w:line="232" w:lineRule="auto"/>
              <w:ind w:left="132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9"/>
                <w:sz w:val="24"/>
                <w:szCs w:val="24"/>
                <w:lang w:val="en-US" w:eastAsia="zh-CN"/>
              </w:rPr>
              <w:t>14.5</w:t>
            </w:r>
          </w:p>
        </w:tc>
      </w:tr>
      <w:tr w14:paraId="7273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6B4BAA25">
            <w:pPr>
              <w:pStyle w:val="20"/>
              <w:spacing w:before="245" w:line="234" w:lineRule="auto"/>
              <w:jc w:val="right"/>
              <w:rPr>
                <w:rFonts w:ascii="Times New Roman" w:hAnsi="Times New Roman"/>
              </w:rPr>
            </w:pPr>
            <w:r>
              <w:rPr>
                <w:rFonts w:ascii="Times New Roman" w:hAnsi="Times New Roman"/>
                <w:spacing w:val="-9"/>
              </w:rPr>
              <w:t>环保投资占比（</w:t>
            </w:r>
            <w:r>
              <w:rPr>
                <w:rFonts w:ascii="Times New Roman" w:hAnsi="Times New Roman" w:cs="Times New Roman"/>
                <w:spacing w:val="-9"/>
              </w:rPr>
              <w:t>%</w:t>
            </w:r>
            <w:r>
              <w:rPr>
                <w:rFonts w:ascii="Times New Roman" w:hAnsi="Times New Roman"/>
                <w:spacing w:val="-9"/>
              </w:rPr>
              <w:t>）</w:t>
            </w:r>
          </w:p>
        </w:tc>
        <w:tc>
          <w:tcPr>
            <w:tcW w:w="1735" w:type="dxa"/>
          </w:tcPr>
          <w:p w14:paraId="27179D43">
            <w:pPr>
              <w:spacing w:before="280" w:line="232" w:lineRule="auto"/>
              <w:ind w:left="66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eastAsia="zh-CN"/>
              </w:rPr>
              <w:t>4.</w:t>
            </w:r>
            <w:r>
              <w:rPr>
                <w:rFonts w:hint="eastAsia" w:ascii="Times New Roman" w:hAnsi="Times New Roman" w:eastAsia="宋体" w:cs="Times New Roman"/>
                <w:spacing w:val="-2"/>
                <w:sz w:val="24"/>
                <w:szCs w:val="24"/>
                <w:lang w:val="en-US" w:eastAsia="zh-CN"/>
              </w:rPr>
              <w:t>03</w:t>
            </w:r>
          </w:p>
        </w:tc>
        <w:tc>
          <w:tcPr>
            <w:tcW w:w="2248" w:type="dxa"/>
          </w:tcPr>
          <w:p w14:paraId="3573E887">
            <w:pPr>
              <w:pStyle w:val="20"/>
              <w:spacing w:before="246" w:line="220" w:lineRule="auto"/>
              <w:ind w:left="650"/>
              <w:rPr>
                <w:rFonts w:ascii="Times New Roman" w:hAnsi="Times New Roman"/>
              </w:rPr>
            </w:pPr>
            <w:r>
              <w:rPr>
                <w:rFonts w:ascii="Times New Roman" w:hAnsi="Times New Roman"/>
                <w:spacing w:val="-2"/>
              </w:rPr>
              <w:t>施工工期</w:t>
            </w:r>
          </w:p>
        </w:tc>
        <w:tc>
          <w:tcPr>
            <w:tcW w:w="3020" w:type="dxa"/>
            <w:tcBorders>
              <w:right w:val="single" w:color="000000" w:sz="6" w:space="0"/>
            </w:tcBorders>
          </w:tcPr>
          <w:p w14:paraId="30FB20EB">
            <w:pPr>
              <w:pStyle w:val="20"/>
              <w:spacing w:before="246" w:line="233" w:lineRule="auto"/>
              <w:ind w:left="1184"/>
              <w:rPr>
                <w:rFonts w:ascii="Times New Roman" w:hAnsi="Times New Roman"/>
              </w:rPr>
            </w:pPr>
            <w:r>
              <w:rPr>
                <w:rFonts w:ascii="Times New Roman" w:hAnsi="Times New Roman" w:cs="Times New Roman"/>
                <w:spacing w:val="-5"/>
              </w:rPr>
              <w:t>3</w:t>
            </w:r>
            <w:r>
              <w:rPr>
                <w:rFonts w:ascii="Times New Roman" w:hAnsi="Times New Roman"/>
                <w:spacing w:val="-5"/>
              </w:rPr>
              <w:t>个月</w:t>
            </w:r>
          </w:p>
        </w:tc>
      </w:tr>
      <w:tr w14:paraId="763C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74" w:type="dxa"/>
            <w:gridSpan w:val="2"/>
            <w:tcBorders>
              <w:left w:val="single" w:color="000000" w:sz="6" w:space="0"/>
            </w:tcBorders>
          </w:tcPr>
          <w:p w14:paraId="02775CA9">
            <w:pPr>
              <w:pStyle w:val="20"/>
              <w:spacing w:before="249" w:line="220" w:lineRule="auto"/>
              <w:ind w:left="322"/>
              <w:rPr>
                <w:rFonts w:ascii="Times New Roman" w:hAnsi="Times New Roman"/>
              </w:rPr>
            </w:pPr>
            <w:r>
              <w:rPr>
                <w:rFonts w:ascii="Times New Roman" w:hAnsi="Times New Roman"/>
                <w:spacing w:val="-2"/>
              </w:rPr>
              <w:t>是否开工建设</w:t>
            </w:r>
          </w:p>
        </w:tc>
        <w:tc>
          <w:tcPr>
            <w:tcW w:w="1735" w:type="dxa"/>
          </w:tcPr>
          <w:p w14:paraId="1DD63E54">
            <w:pPr>
              <w:pStyle w:val="20"/>
              <w:spacing w:before="93" w:line="223" w:lineRule="auto"/>
              <w:ind w:left="31" w:right="1066" w:hanging="14"/>
              <w:rPr>
                <w:rFonts w:ascii="Times New Roman" w:hAnsi="Times New Roman"/>
                <w:spacing w:val="-19"/>
              </w:rPr>
            </w:pPr>
            <w:r>
              <w:rPr>
                <w:rFonts w:hint="eastAsia" w:ascii="Times New Roman" w:hAnsi="Times New Roman" w:cs="Segoe UI Symbol"/>
                <w:spacing w:val="-19"/>
                <w:lang w:eastAsia="zh-CN"/>
              </w:rPr>
              <w:t>□</w:t>
            </w:r>
            <w:r>
              <w:rPr>
                <w:rFonts w:ascii="Times New Roman" w:hAnsi="Times New Roman"/>
                <w:spacing w:val="-19"/>
              </w:rPr>
              <w:t>否</w:t>
            </w:r>
          </w:p>
          <w:p w14:paraId="744D8902">
            <w:pPr>
              <w:pStyle w:val="20"/>
              <w:spacing w:before="93" w:line="223" w:lineRule="auto"/>
              <w:ind w:left="31" w:right="1066" w:hanging="14"/>
              <w:rPr>
                <w:rFonts w:ascii="Times New Roman" w:hAnsi="Times New Roman"/>
              </w:rPr>
            </w:pPr>
            <w:r>
              <w:rPr>
                <w:rFonts w:hint="eastAsia" w:ascii="Times New Roman" w:hAnsi="Times New Roman"/>
                <w:spacing w:val="-30"/>
                <w:lang w:eastAsia="zh-CN"/>
              </w:rPr>
              <w:t>☑</w:t>
            </w:r>
            <w:r>
              <w:rPr>
                <w:rFonts w:ascii="Times New Roman" w:hAnsi="Times New Roman"/>
                <w:spacing w:val="-30"/>
              </w:rPr>
              <w:t>是：</w:t>
            </w:r>
          </w:p>
        </w:tc>
        <w:tc>
          <w:tcPr>
            <w:tcW w:w="2248" w:type="dxa"/>
          </w:tcPr>
          <w:p w14:paraId="7C1657C1">
            <w:pPr>
              <w:pStyle w:val="20"/>
              <w:spacing w:before="92" w:line="221" w:lineRule="auto"/>
              <w:ind w:left="449"/>
              <w:rPr>
                <w:rFonts w:ascii="Times New Roman" w:hAnsi="Times New Roman"/>
                <w:lang w:eastAsia="zh-CN"/>
              </w:rPr>
            </w:pPr>
            <w:r>
              <w:rPr>
                <w:rFonts w:ascii="Times New Roman" w:hAnsi="Times New Roman"/>
                <w:spacing w:val="-13"/>
                <w:lang w:eastAsia="zh-CN"/>
              </w:rPr>
              <w:t>用地（用海）</w:t>
            </w:r>
          </w:p>
          <w:p w14:paraId="6EF408E8">
            <w:pPr>
              <w:pStyle w:val="20"/>
              <w:spacing w:before="22" w:line="221" w:lineRule="auto"/>
              <w:ind w:left="549"/>
              <w:rPr>
                <w:rFonts w:ascii="Times New Roman" w:hAnsi="Times New Roman"/>
                <w:lang w:eastAsia="zh-CN"/>
              </w:rPr>
            </w:pPr>
            <w:r>
              <w:rPr>
                <w:rFonts w:ascii="Times New Roman" w:hAnsi="Times New Roman"/>
                <w:spacing w:val="-10"/>
                <w:lang w:eastAsia="zh-CN"/>
              </w:rPr>
              <w:t>面积（</w:t>
            </w:r>
            <w:r>
              <w:rPr>
                <w:rFonts w:ascii="Times New Roman" w:hAnsi="Times New Roman" w:cs="Times New Roman"/>
                <w:spacing w:val="-10"/>
                <w:lang w:eastAsia="zh-CN"/>
              </w:rPr>
              <w:t>m</w:t>
            </w:r>
            <w:r>
              <w:rPr>
                <w:rFonts w:ascii="Times New Roman" w:hAnsi="Times New Roman" w:cs="Times New Roman"/>
                <w:spacing w:val="-10"/>
                <w:position w:val="8"/>
                <w:sz w:val="16"/>
                <w:szCs w:val="16"/>
                <w:lang w:eastAsia="zh-CN"/>
              </w:rPr>
              <w:t>2</w:t>
            </w:r>
            <w:r>
              <w:rPr>
                <w:rFonts w:ascii="Times New Roman" w:hAnsi="Times New Roman"/>
                <w:spacing w:val="-10"/>
                <w:lang w:eastAsia="zh-CN"/>
              </w:rPr>
              <w:t>）</w:t>
            </w:r>
          </w:p>
        </w:tc>
        <w:tc>
          <w:tcPr>
            <w:tcW w:w="3020" w:type="dxa"/>
            <w:tcBorders>
              <w:right w:val="single" w:color="000000" w:sz="6" w:space="0"/>
            </w:tcBorders>
          </w:tcPr>
          <w:p w14:paraId="6754339A">
            <w:pPr>
              <w:spacing w:before="281" w:line="232" w:lineRule="auto"/>
              <w:ind w:left="1274"/>
              <w:rPr>
                <w:rFonts w:ascii="Times New Roman" w:hAnsi="Times New Roman" w:eastAsia="宋体" w:cs="Times New Roman"/>
                <w:sz w:val="24"/>
                <w:szCs w:val="24"/>
              </w:rPr>
            </w:pPr>
            <w:r>
              <w:rPr>
                <w:rFonts w:ascii="Times New Roman" w:hAnsi="Times New Roman" w:eastAsia="宋体" w:cs="Times New Roman"/>
                <w:spacing w:val="-2"/>
                <w:sz w:val="24"/>
                <w:szCs w:val="24"/>
              </w:rPr>
              <w:t>7200</w:t>
            </w:r>
          </w:p>
        </w:tc>
      </w:tr>
      <w:tr w14:paraId="3E76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91" w:type="dxa"/>
            <w:vMerge w:val="restart"/>
            <w:tcBorders>
              <w:left w:val="single" w:color="000000" w:sz="6" w:space="0"/>
            </w:tcBorders>
          </w:tcPr>
          <w:p w14:paraId="3206F8B6">
            <w:pPr>
              <w:pStyle w:val="20"/>
              <w:spacing w:before="78" w:line="220" w:lineRule="auto"/>
              <w:rPr>
                <w:rFonts w:ascii="Times New Roman" w:hAnsi="Times New Roman"/>
              </w:rPr>
            </w:pPr>
            <w:r>
              <w:rPr>
                <w:rFonts w:ascii="Times New Roman" w:hAnsi="Times New Roman"/>
                <w:spacing w:val="-3"/>
              </w:rPr>
              <w:t>专项评价</w:t>
            </w:r>
            <w:r>
              <w:rPr>
                <w:rFonts w:ascii="Times New Roman" w:hAnsi="Times New Roman"/>
                <w:spacing w:val="-4"/>
              </w:rPr>
              <w:t>设置</w:t>
            </w:r>
            <w:r>
              <w:rPr>
                <w:rFonts w:ascii="Times New Roman" w:hAnsi="Times New Roman"/>
                <w:spacing w:val="-3"/>
              </w:rPr>
              <w:t>情况</w:t>
            </w:r>
          </w:p>
        </w:tc>
        <w:tc>
          <w:tcPr>
            <w:tcW w:w="8286" w:type="dxa"/>
            <w:gridSpan w:val="4"/>
            <w:vMerge w:val="restart"/>
            <w:tcBorders>
              <w:right w:val="single" w:color="000000" w:sz="6" w:space="0"/>
            </w:tcBorders>
          </w:tcPr>
          <w:p w14:paraId="2C6C90DE">
            <w:pPr>
              <w:pStyle w:val="20"/>
              <w:spacing w:before="44" w:line="212" w:lineRule="auto"/>
              <w:ind w:left="2902"/>
              <w:rPr>
                <w:rFonts w:ascii="Times New Roman" w:hAnsi="Times New Roman"/>
                <w:sz w:val="21"/>
                <w:szCs w:val="21"/>
              </w:rPr>
            </w:pPr>
            <w:r>
              <w:rPr>
                <w:rFonts w:ascii="Times New Roman" w:hAnsi="Times New Roman"/>
                <w:b/>
                <w:bCs/>
                <w:spacing w:val="-3"/>
                <w:sz w:val="21"/>
                <w:szCs w:val="21"/>
              </w:rPr>
              <w:t>表</w:t>
            </w:r>
            <w:r>
              <w:rPr>
                <w:rFonts w:ascii="Times New Roman" w:hAnsi="Times New Roman" w:cs="Times New Roman"/>
                <w:b/>
                <w:bCs/>
                <w:spacing w:val="-3"/>
                <w:sz w:val="21"/>
                <w:szCs w:val="21"/>
              </w:rPr>
              <w:t>1</w:t>
            </w:r>
            <w:r>
              <w:rPr>
                <w:rFonts w:hint="eastAsia" w:ascii="Times New Roman" w:hAnsi="Times New Roman" w:cs="Times New Roman"/>
                <w:b/>
                <w:bCs/>
                <w:spacing w:val="-3"/>
                <w:sz w:val="21"/>
                <w:szCs w:val="21"/>
                <w:lang w:eastAsia="zh-CN"/>
              </w:rPr>
              <w:t>-1</w:t>
            </w:r>
            <w:r>
              <w:rPr>
                <w:rFonts w:ascii="Times New Roman" w:hAnsi="Times New Roman"/>
                <w:b/>
                <w:bCs/>
                <w:spacing w:val="-3"/>
                <w:sz w:val="21"/>
                <w:szCs w:val="21"/>
              </w:rPr>
              <w:t>专项评价设置一览表</w:t>
            </w:r>
          </w:p>
          <w:tbl>
            <w:tblPr>
              <w:tblStyle w:val="19"/>
              <w:tblW w:w="7938"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3"/>
              <w:gridCol w:w="5375"/>
              <w:gridCol w:w="950"/>
            </w:tblGrid>
            <w:tr w14:paraId="4BE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613" w:type="dxa"/>
                </w:tcPr>
                <w:p w14:paraId="6A34E2D9">
                  <w:pPr>
                    <w:pStyle w:val="20"/>
                    <w:spacing w:before="69" w:line="219" w:lineRule="auto"/>
                    <w:ind w:left="76"/>
                    <w:rPr>
                      <w:rFonts w:ascii="Times New Roman" w:hAnsi="Times New Roman"/>
                      <w:sz w:val="21"/>
                      <w:szCs w:val="21"/>
                    </w:rPr>
                  </w:pPr>
                  <w:r>
                    <w:rPr>
                      <w:rFonts w:ascii="Times New Roman" w:hAnsi="Times New Roman"/>
                      <w:spacing w:val="-1"/>
                      <w:sz w:val="21"/>
                      <w:szCs w:val="21"/>
                    </w:rPr>
                    <w:t>专项评价的类别</w:t>
                  </w:r>
                </w:p>
              </w:tc>
              <w:tc>
                <w:tcPr>
                  <w:tcW w:w="5375" w:type="dxa"/>
                </w:tcPr>
                <w:p w14:paraId="4F05365B">
                  <w:pPr>
                    <w:pStyle w:val="20"/>
                    <w:spacing w:before="69" w:line="221" w:lineRule="auto"/>
                    <w:ind w:left="2277"/>
                    <w:rPr>
                      <w:rFonts w:ascii="Times New Roman" w:hAnsi="Times New Roman"/>
                      <w:sz w:val="21"/>
                      <w:szCs w:val="21"/>
                    </w:rPr>
                  </w:pPr>
                  <w:r>
                    <w:rPr>
                      <w:rFonts w:ascii="Times New Roman" w:hAnsi="Times New Roman"/>
                      <w:spacing w:val="-3"/>
                      <w:sz w:val="21"/>
                      <w:szCs w:val="21"/>
                    </w:rPr>
                    <w:t>设置原则</w:t>
                  </w:r>
                </w:p>
              </w:tc>
              <w:tc>
                <w:tcPr>
                  <w:tcW w:w="950" w:type="dxa"/>
                </w:tcPr>
                <w:p w14:paraId="417FAE0D">
                  <w:pPr>
                    <w:pStyle w:val="20"/>
                    <w:spacing w:before="69" w:line="221" w:lineRule="auto"/>
                    <w:ind w:left="66"/>
                    <w:rPr>
                      <w:rFonts w:ascii="Times New Roman" w:hAnsi="Times New Roman"/>
                      <w:sz w:val="21"/>
                      <w:szCs w:val="21"/>
                    </w:rPr>
                  </w:pPr>
                  <w:r>
                    <w:rPr>
                      <w:rFonts w:ascii="Times New Roman" w:hAnsi="Times New Roman"/>
                      <w:spacing w:val="-3"/>
                      <w:sz w:val="21"/>
                      <w:szCs w:val="21"/>
                    </w:rPr>
                    <w:t>设置情况</w:t>
                  </w:r>
                </w:p>
              </w:tc>
            </w:tr>
            <w:tr w14:paraId="7CFA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1613" w:type="dxa"/>
                </w:tcPr>
                <w:p w14:paraId="74FD267B">
                  <w:pPr>
                    <w:pStyle w:val="20"/>
                    <w:spacing w:before="303" w:line="221" w:lineRule="auto"/>
                    <w:ind w:left="603"/>
                    <w:rPr>
                      <w:rFonts w:ascii="Times New Roman" w:hAnsi="Times New Roman"/>
                      <w:sz w:val="21"/>
                      <w:szCs w:val="21"/>
                    </w:rPr>
                  </w:pPr>
                  <w:r>
                    <w:rPr>
                      <w:rFonts w:ascii="Times New Roman" w:hAnsi="Times New Roman"/>
                      <w:spacing w:val="-3"/>
                      <w:sz w:val="21"/>
                      <w:szCs w:val="21"/>
                    </w:rPr>
                    <w:t>大气</w:t>
                  </w:r>
                </w:p>
              </w:tc>
              <w:tc>
                <w:tcPr>
                  <w:tcW w:w="5375" w:type="dxa"/>
                </w:tcPr>
                <w:p w14:paraId="42BD3B84">
                  <w:pPr>
                    <w:pStyle w:val="20"/>
                    <w:spacing w:before="31" w:line="229" w:lineRule="auto"/>
                    <w:ind w:left="16" w:hanging="3"/>
                    <w:jc w:val="both"/>
                    <w:rPr>
                      <w:rFonts w:ascii="Times New Roman" w:hAnsi="Times New Roman"/>
                      <w:sz w:val="21"/>
                      <w:szCs w:val="21"/>
                      <w:lang w:eastAsia="zh-CN"/>
                    </w:rPr>
                  </w:pPr>
                  <w:r>
                    <w:rPr>
                      <w:rFonts w:ascii="Times New Roman" w:hAnsi="Times New Roman"/>
                      <w:spacing w:val="-9"/>
                      <w:sz w:val="21"/>
                      <w:szCs w:val="21"/>
                      <w:lang w:eastAsia="zh-CN"/>
                    </w:rPr>
                    <w:t>排放废气含有毒有害污染物</w:t>
                  </w:r>
                  <w:r>
                    <w:rPr>
                      <w:rFonts w:hint="eastAsia" w:ascii="Times New Roman" w:hAnsi="Times New Roman"/>
                      <w:spacing w:val="-9"/>
                      <w:sz w:val="21"/>
                      <w:szCs w:val="21"/>
                      <w:vertAlign w:val="superscript"/>
                      <w:lang w:eastAsia="zh-CN"/>
                    </w:rPr>
                    <w:t>1</w:t>
                  </w:r>
                  <w:r>
                    <w:rPr>
                      <w:rFonts w:ascii="Times New Roman" w:hAnsi="Times New Roman"/>
                      <w:spacing w:val="-9"/>
                      <w:sz w:val="21"/>
                      <w:szCs w:val="21"/>
                      <w:lang w:eastAsia="zh-CN"/>
                    </w:rPr>
                    <w:t>、二噁英、苯并</w:t>
                  </w:r>
                  <w:r>
                    <w:rPr>
                      <w:rFonts w:ascii="Times New Roman" w:hAnsi="Times New Roman" w:cs="Times New Roman"/>
                      <w:spacing w:val="-9"/>
                      <w:sz w:val="21"/>
                      <w:szCs w:val="21"/>
                      <w:lang w:eastAsia="zh-CN"/>
                    </w:rPr>
                    <w:t>[a]</w:t>
                  </w:r>
                  <w:r>
                    <w:rPr>
                      <w:rFonts w:ascii="Times New Roman" w:hAnsi="Times New Roman"/>
                      <w:spacing w:val="-9"/>
                      <w:sz w:val="21"/>
                      <w:szCs w:val="21"/>
                      <w:lang w:eastAsia="zh-CN"/>
                    </w:rPr>
                    <w:t>芘、氰化物、</w:t>
                  </w:r>
                  <w:r>
                    <w:rPr>
                      <w:rFonts w:ascii="Times New Roman" w:hAnsi="Times New Roman"/>
                      <w:spacing w:val="-3"/>
                      <w:sz w:val="21"/>
                      <w:szCs w:val="21"/>
                      <w:lang w:eastAsia="zh-CN"/>
                    </w:rPr>
                    <w:t>氯气且厂界外</w:t>
                  </w:r>
                  <w:r>
                    <w:rPr>
                      <w:rFonts w:ascii="Times New Roman" w:hAnsi="Times New Roman" w:cs="Times New Roman"/>
                      <w:spacing w:val="-3"/>
                      <w:sz w:val="21"/>
                      <w:szCs w:val="21"/>
                      <w:lang w:eastAsia="zh-CN"/>
                    </w:rPr>
                    <w:t>500</w:t>
                  </w:r>
                  <w:r>
                    <w:rPr>
                      <w:rFonts w:ascii="Times New Roman" w:hAnsi="Times New Roman"/>
                      <w:spacing w:val="-3"/>
                      <w:sz w:val="21"/>
                      <w:szCs w:val="21"/>
                      <w:lang w:eastAsia="zh-CN"/>
                    </w:rPr>
                    <w:t>米范围内有环境空气保护目标</w:t>
                  </w:r>
                  <w:r>
                    <w:rPr>
                      <w:rFonts w:hint="eastAsia" w:ascii="Times New Roman" w:hAnsi="Times New Roman"/>
                      <w:spacing w:val="-3"/>
                      <w:sz w:val="21"/>
                      <w:szCs w:val="21"/>
                      <w:vertAlign w:val="superscript"/>
                      <w:lang w:eastAsia="zh-CN"/>
                    </w:rPr>
                    <w:t>2</w:t>
                  </w:r>
                  <w:r>
                    <w:rPr>
                      <w:rFonts w:ascii="Times New Roman" w:hAnsi="Times New Roman"/>
                      <w:spacing w:val="-3"/>
                      <w:sz w:val="21"/>
                      <w:szCs w:val="21"/>
                      <w:lang w:eastAsia="zh-CN"/>
                    </w:rPr>
                    <w:t>的建设项</w:t>
                  </w:r>
                  <w:r>
                    <w:rPr>
                      <w:rFonts w:ascii="Times New Roman" w:hAnsi="Times New Roman"/>
                      <w:sz w:val="21"/>
                      <w:szCs w:val="21"/>
                      <w:lang w:eastAsia="zh-CN"/>
                    </w:rPr>
                    <w:t>目</w:t>
                  </w:r>
                </w:p>
              </w:tc>
              <w:tc>
                <w:tcPr>
                  <w:tcW w:w="950" w:type="dxa"/>
                </w:tcPr>
                <w:p w14:paraId="25ACD57C">
                  <w:pPr>
                    <w:pStyle w:val="20"/>
                    <w:spacing w:before="303" w:line="221" w:lineRule="auto"/>
                    <w:ind w:left="379"/>
                    <w:rPr>
                      <w:rFonts w:ascii="Times New Roman" w:hAnsi="Times New Roman"/>
                      <w:sz w:val="21"/>
                      <w:szCs w:val="21"/>
                    </w:rPr>
                  </w:pPr>
                  <w:r>
                    <w:rPr>
                      <w:rFonts w:ascii="Times New Roman" w:hAnsi="Times New Roman"/>
                      <w:sz w:val="21"/>
                      <w:szCs w:val="21"/>
                    </w:rPr>
                    <w:t>无</w:t>
                  </w:r>
                </w:p>
              </w:tc>
            </w:tr>
            <w:tr w14:paraId="50D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613" w:type="dxa"/>
                </w:tcPr>
                <w:p w14:paraId="760A407D">
                  <w:pPr>
                    <w:pStyle w:val="20"/>
                    <w:spacing w:before="166" w:line="221" w:lineRule="auto"/>
                    <w:ind w:left="495"/>
                    <w:rPr>
                      <w:rFonts w:ascii="Times New Roman" w:hAnsi="Times New Roman"/>
                      <w:sz w:val="21"/>
                      <w:szCs w:val="21"/>
                    </w:rPr>
                  </w:pPr>
                  <w:r>
                    <w:rPr>
                      <w:rFonts w:ascii="Times New Roman" w:hAnsi="Times New Roman"/>
                      <w:spacing w:val="-2"/>
                      <w:sz w:val="21"/>
                      <w:szCs w:val="21"/>
                    </w:rPr>
                    <w:t>地表水</w:t>
                  </w:r>
                </w:p>
              </w:tc>
              <w:tc>
                <w:tcPr>
                  <w:tcW w:w="5375" w:type="dxa"/>
                </w:tcPr>
                <w:p w14:paraId="5B34C16D">
                  <w:pPr>
                    <w:pStyle w:val="20"/>
                    <w:spacing w:before="30" w:line="224" w:lineRule="auto"/>
                    <w:ind w:left="17" w:right="6" w:hanging="3"/>
                    <w:rPr>
                      <w:rFonts w:ascii="Times New Roman" w:hAnsi="Times New Roman"/>
                      <w:sz w:val="21"/>
                      <w:szCs w:val="21"/>
                      <w:lang w:eastAsia="zh-CN"/>
                    </w:rPr>
                  </w:pPr>
                  <w:r>
                    <w:rPr>
                      <w:rFonts w:ascii="Times New Roman" w:hAnsi="Times New Roman"/>
                      <w:spacing w:val="4"/>
                      <w:sz w:val="21"/>
                      <w:szCs w:val="21"/>
                      <w:lang w:eastAsia="zh-CN"/>
                    </w:rPr>
                    <w:t>新增工业废水直排建设项目（槽罐车外送污水处理厂</w:t>
                  </w:r>
                  <w:r>
                    <w:rPr>
                      <w:rFonts w:ascii="Times New Roman" w:hAnsi="Times New Roman"/>
                      <w:spacing w:val="3"/>
                      <w:sz w:val="21"/>
                      <w:szCs w:val="21"/>
                      <w:lang w:eastAsia="zh-CN"/>
                    </w:rPr>
                    <w:t>的除</w:t>
                  </w:r>
                  <w:r>
                    <w:rPr>
                      <w:rFonts w:ascii="Times New Roman" w:hAnsi="Times New Roman"/>
                      <w:spacing w:val="-1"/>
                      <w:sz w:val="21"/>
                      <w:szCs w:val="21"/>
                      <w:lang w:eastAsia="zh-CN"/>
                    </w:rPr>
                    <w:t>外</w:t>
                  </w:r>
                  <w:r>
                    <w:rPr>
                      <w:rFonts w:ascii="Times New Roman" w:hAnsi="Times New Roman"/>
                      <w:spacing w:val="3"/>
                      <w:sz w:val="21"/>
                      <w:szCs w:val="21"/>
                      <w:lang w:eastAsia="zh-CN"/>
                    </w:rPr>
                    <w:t>）；</w:t>
                  </w:r>
                  <w:r>
                    <w:rPr>
                      <w:rFonts w:ascii="Times New Roman" w:hAnsi="Times New Roman"/>
                      <w:spacing w:val="-1"/>
                      <w:sz w:val="21"/>
                      <w:szCs w:val="21"/>
                      <w:lang w:eastAsia="zh-CN"/>
                    </w:rPr>
                    <w:t>新增废水直排的污水集中处理厂</w:t>
                  </w:r>
                </w:p>
              </w:tc>
              <w:tc>
                <w:tcPr>
                  <w:tcW w:w="950" w:type="dxa"/>
                </w:tcPr>
                <w:p w14:paraId="642C8685">
                  <w:pPr>
                    <w:pStyle w:val="20"/>
                    <w:spacing w:before="167" w:line="221" w:lineRule="auto"/>
                    <w:ind w:left="379"/>
                    <w:rPr>
                      <w:rFonts w:ascii="Times New Roman" w:hAnsi="Times New Roman"/>
                      <w:sz w:val="21"/>
                      <w:szCs w:val="21"/>
                    </w:rPr>
                  </w:pPr>
                  <w:r>
                    <w:rPr>
                      <w:rFonts w:ascii="Times New Roman" w:hAnsi="Times New Roman"/>
                      <w:sz w:val="21"/>
                      <w:szCs w:val="21"/>
                    </w:rPr>
                    <w:t>无</w:t>
                  </w:r>
                </w:p>
              </w:tc>
            </w:tr>
            <w:tr w14:paraId="1768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613" w:type="dxa"/>
                </w:tcPr>
                <w:p w14:paraId="79B57DB0">
                  <w:pPr>
                    <w:pStyle w:val="20"/>
                    <w:spacing w:before="166" w:line="221" w:lineRule="auto"/>
                    <w:ind w:left="392"/>
                    <w:rPr>
                      <w:rFonts w:ascii="Times New Roman" w:hAnsi="Times New Roman"/>
                      <w:sz w:val="21"/>
                      <w:szCs w:val="21"/>
                    </w:rPr>
                  </w:pPr>
                  <w:r>
                    <w:rPr>
                      <w:rFonts w:ascii="Times New Roman" w:hAnsi="Times New Roman"/>
                      <w:spacing w:val="-2"/>
                      <w:sz w:val="21"/>
                      <w:szCs w:val="21"/>
                    </w:rPr>
                    <w:t>环境风险</w:t>
                  </w:r>
                </w:p>
              </w:tc>
              <w:tc>
                <w:tcPr>
                  <w:tcW w:w="5375" w:type="dxa"/>
                </w:tcPr>
                <w:p w14:paraId="0A6DF9B2">
                  <w:pPr>
                    <w:pStyle w:val="20"/>
                    <w:spacing w:before="29" w:line="224" w:lineRule="auto"/>
                    <w:ind w:left="16" w:hanging="2"/>
                    <w:rPr>
                      <w:rFonts w:ascii="Times New Roman" w:hAnsi="Times New Roman"/>
                      <w:sz w:val="21"/>
                      <w:szCs w:val="21"/>
                      <w:lang w:eastAsia="zh-CN"/>
                    </w:rPr>
                  </w:pPr>
                  <w:r>
                    <w:rPr>
                      <w:rFonts w:ascii="Times New Roman" w:hAnsi="Times New Roman"/>
                      <w:spacing w:val="1"/>
                      <w:sz w:val="21"/>
                      <w:szCs w:val="21"/>
                      <w:lang w:eastAsia="zh-CN"/>
                    </w:rPr>
                    <w:t>有毒有害和易燃易爆危险物质存储量超过临界量的</w:t>
                  </w:r>
                  <w:r>
                    <w:rPr>
                      <w:rFonts w:hint="eastAsia" w:ascii="Times New Roman" w:hAnsi="Times New Roman"/>
                      <w:spacing w:val="1"/>
                      <w:sz w:val="21"/>
                      <w:szCs w:val="21"/>
                      <w:vertAlign w:val="superscript"/>
                      <w:lang w:eastAsia="zh-CN"/>
                    </w:rPr>
                    <w:t>3</w:t>
                  </w:r>
                  <w:r>
                    <w:rPr>
                      <w:rFonts w:ascii="Times New Roman" w:hAnsi="Times New Roman"/>
                      <w:spacing w:val="1"/>
                      <w:sz w:val="21"/>
                      <w:szCs w:val="21"/>
                      <w:lang w:eastAsia="zh-CN"/>
                    </w:rPr>
                    <w:t>建设</w:t>
                  </w:r>
                  <w:r>
                    <w:rPr>
                      <w:rFonts w:ascii="Times New Roman" w:hAnsi="Times New Roman"/>
                      <w:spacing w:val="-3"/>
                      <w:sz w:val="21"/>
                      <w:szCs w:val="21"/>
                      <w:lang w:eastAsia="zh-CN"/>
                    </w:rPr>
                    <w:t>项目</w:t>
                  </w:r>
                </w:p>
              </w:tc>
              <w:tc>
                <w:tcPr>
                  <w:tcW w:w="950" w:type="dxa"/>
                </w:tcPr>
                <w:p w14:paraId="34A87753">
                  <w:pPr>
                    <w:pStyle w:val="20"/>
                    <w:spacing w:before="166" w:line="221" w:lineRule="auto"/>
                    <w:ind w:left="379"/>
                    <w:rPr>
                      <w:rFonts w:ascii="Times New Roman" w:hAnsi="Times New Roman"/>
                      <w:sz w:val="21"/>
                      <w:szCs w:val="21"/>
                    </w:rPr>
                  </w:pPr>
                  <w:r>
                    <w:rPr>
                      <w:rFonts w:ascii="Times New Roman" w:hAnsi="Times New Roman"/>
                      <w:sz w:val="21"/>
                      <w:szCs w:val="21"/>
                    </w:rPr>
                    <w:t>无</w:t>
                  </w:r>
                </w:p>
              </w:tc>
            </w:tr>
            <w:tr w14:paraId="374C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613" w:type="dxa"/>
                </w:tcPr>
                <w:p w14:paraId="3D2EA9A6">
                  <w:pPr>
                    <w:pStyle w:val="20"/>
                    <w:spacing w:before="166" w:line="226" w:lineRule="auto"/>
                    <w:ind w:left="602"/>
                    <w:rPr>
                      <w:rFonts w:ascii="Times New Roman" w:hAnsi="Times New Roman"/>
                      <w:sz w:val="21"/>
                      <w:szCs w:val="21"/>
                    </w:rPr>
                  </w:pPr>
                  <w:r>
                    <w:rPr>
                      <w:rFonts w:ascii="Times New Roman" w:hAnsi="Times New Roman"/>
                      <w:spacing w:val="-2"/>
                      <w:sz w:val="21"/>
                      <w:szCs w:val="21"/>
                    </w:rPr>
                    <w:t>生态</w:t>
                  </w:r>
                </w:p>
              </w:tc>
              <w:tc>
                <w:tcPr>
                  <w:tcW w:w="5375" w:type="dxa"/>
                </w:tcPr>
                <w:p w14:paraId="50174FD3">
                  <w:pPr>
                    <w:pStyle w:val="20"/>
                    <w:spacing w:before="29" w:line="224" w:lineRule="auto"/>
                    <w:ind w:left="12" w:firstLine="3"/>
                    <w:rPr>
                      <w:rFonts w:ascii="Times New Roman" w:hAnsi="Times New Roman"/>
                      <w:sz w:val="21"/>
                      <w:szCs w:val="21"/>
                      <w:lang w:eastAsia="zh-CN"/>
                    </w:rPr>
                  </w:pPr>
                  <w:r>
                    <w:rPr>
                      <w:rFonts w:ascii="Times New Roman" w:hAnsi="Times New Roman"/>
                      <w:spacing w:val="-4"/>
                      <w:sz w:val="21"/>
                      <w:szCs w:val="21"/>
                      <w:lang w:eastAsia="zh-CN"/>
                    </w:rPr>
                    <w:t>取水口下游</w:t>
                  </w:r>
                  <w:r>
                    <w:rPr>
                      <w:rFonts w:ascii="Times New Roman" w:hAnsi="Times New Roman" w:cs="Times New Roman"/>
                      <w:spacing w:val="-4"/>
                      <w:sz w:val="21"/>
                      <w:szCs w:val="21"/>
                      <w:lang w:eastAsia="zh-CN"/>
                    </w:rPr>
                    <w:t>500</w:t>
                  </w:r>
                  <w:r>
                    <w:rPr>
                      <w:rFonts w:ascii="Times New Roman" w:hAnsi="Times New Roman"/>
                      <w:spacing w:val="-4"/>
                      <w:sz w:val="21"/>
                      <w:szCs w:val="21"/>
                      <w:lang w:eastAsia="zh-CN"/>
                    </w:rPr>
                    <w:t>米范围内有重要水生生物的自</w:t>
                  </w:r>
                  <w:r>
                    <w:rPr>
                      <w:rFonts w:ascii="Times New Roman" w:hAnsi="Times New Roman"/>
                      <w:spacing w:val="-5"/>
                      <w:sz w:val="21"/>
                      <w:szCs w:val="21"/>
                      <w:lang w:eastAsia="zh-CN"/>
                    </w:rPr>
                    <w:t>然产卵场、索</w:t>
                  </w:r>
                  <w:r>
                    <w:rPr>
                      <w:rFonts w:ascii="Times New Roman" w:hAnsi="Times New Roman"/>
                      <w:spacing w:val="-4"/>
                      <w:sz w:val="21"/>
                      <w:szCs w:val="21"/>
                      <w:lang w:eastAsia="zh-CN"/>
                    </w:rPr>
                    <w:t>饵场、越冬场和洄游通道的新增河道取水的污染类建设项目</w:t>
                  </w:r>
                </w:p>
              </w:tc>
              <w:tc>
                <w:tcPr>
                  <w:tcW w:w="950" w:type="dxa"/>
                </w:tcPr>
                <w:p w14:paraId="1398DD58">
                  <w:pPr>
                    <w:pStyle w:val="20"/>
                    <w:spacing w:before="166" w:line="221" w:lineRule="auto"/>
                    <w:ind w:left="379"/>
                    <w:rPr>
                      <w:rFonts w:ascii="Times New Roman" w:hAnsi="Times New Roman"/>
                      <w:sz w:val="21"/>
                      <w:szCs w:val="21"/>
                    </w:rPr>
                  </w:pPr>
                  <w:r>
                    <w:rPr>
                      <w:rFonts w:ascii="Times New Roman" w:hAnsi="Times New Roman"/>
                      <w:sz w:val="21"/>
                      <w:szCs w:val="21"/>
                    </w:rPr>
                    <w:t>无</w:t>
                  </w:r>
                </w:p>
              </w:tc>
            </w:tr>
            <w:tr w14:paraId="0DEC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613" w:type="dxa"/>
                </w:tcPr>
                <w:p w14:paraId="7BDBE957">
                  <w:pPr>
                    <w:pStyle w:val="20"/>
                    <w:spacing w:before="64" w:line="221" w:lineRule="auto"/>
                    <w:ind w:left="600"/>
                    <w:rPr>
                      <w:rFonts w:ascii="Times New Roman" w:hAnsi="Times New Roman"/>
                      <w:sz w:val="21"/>
                      <w:szCs w:val="21"/>
                    </w:rPr>
                  </w:pPr>
                  <w:r>
                    <w:rPr>
                      <w:rFonts w:ascii="Times New Roman" w:hAnsi="Times New Roman"/>
                      <w:spacing w:val="-2"/>
                      <w:sz w:val="21"/>
                      <w:szCs w:val="21"/>
                    </w:rPr>
                    <w:t>海洋</w:t>
                  </w:r>
                </w:p>
              </w:tc>
              <w:tc>
                <w:tcPr>
                  <w:tcW w:w="5375" w:type="dxa"/>
                </w:tcPr>
                <w:p w14:paraId="08A9E287">
                  <w:pPr>
                    <w:pStyle w:val="20"/>
                    <w:spacing w:before="64" w:line="221" w:lineRule="auto"/>
                    <w:ind w:left="15"/>
                    <w:rPr>
                      <w:rFonts w:ascii="Times New Roman" w:hAnsi="Times New Roman"/>
                      <w:sz w:val="21"/>
                      <w:szCs w:val="21"/>
                      <w:lang w:eastAsia="zh-CN"/>
                    </w:rPr>
                  </w:pPr>
                  <w:r>
                    <w:rPr>
                      <w:rFonts w:ascii="Times New Roman" w:hAnsi="Times New Roman"/>
                      <w:spacing w:val="-1"/>
                      <w:sz w:val="21"/>
                      <w:szCs w:val="21"/>
                      <w:lang w:eastAsia="zh-CN"/>
                    </w:rPr>
                    <w:t>直接向海排放污染物的海洋工程建设项目</w:t>
                  </w:r>
                </w:p>
              </w:tc>
              <w:tc>
                <w:tcPr>
                  <w:tcW w:w="950" w:type="dxa"/>
                </w:tcPr>
                <w:p w14:paraId="40197F2B">
                  <w:pPr>
                    <w:pStyle w:val="20"/>
                    <w:spacing w:before="64" w:line="221" w:lineRule="auto"/>
                    <w:ind w:left="379"/>
                    <w:rPr>
                      <w:rFonts w:ascii="Times New Roman" w:hAnsi="Times New Roman"/>
                      <w:sz w:val="21"/>
                      <w:szCs w:val="21"/>
                      <w:lang w:eastAsia="zh-CN"/>
                    </w:rPr>
                  </w:pPr>
                  <w:r>
                    <w:rPr>
                      <w:rFonts w:ascii="Times New Roman" w:hAnsi="Times New Roman"/>
                      <w:sz w:val="21"/>
                      <w:szCs w:val="21"/>
                      <w:lang w:eastAsia="zh-CN"/>
                    </w:rPr>
                    <w:t>无</w:t>
                  </w:r>
                </w:p>
              </w:tc>
            </w:tr>
          </w:tbl>
          <w:p w14:paraId="080DB647">
            <w:pPr>
              <w:spacing w:line="24" w:lineRule="exact"/>
              <w:rPr>
                <w:rFonts w:ascii="Times New Roman" w:hAnsi="Times New Roman" w:eastAsia="宋体"/>
                <w:sz w:val="2"/>
                <w:lang w:eastAsia="zh-CN"/>
              </w:rPr>
            </w:pPr>
          </w:p>
          <w:p w14:paraId="278388A4">
            <w:pPr>
              <w:pStyle w:val="20"/>
              <w:rPr>
                <w:rFonts w:ascii="Times New Roman" w:hAnsi="Times New Roman"/>
                <w:sz w:val="21"/>
                <w:szCs w:val="21"/>
                <w:lang w:eastAsia="zh-CN"/>
              </w:rPr>
            </w:pPr>
            <w:r>
              <w:rPr>
                <w:rFonts w:ascii="Times New Roman" w:hAnsi="Times New Roman"/>
                <w:spacing w:val="-1"/>
                <w:sz w:val="21"/>
                <w:szCs w:val="21"/>
                <w:lang w:eastAsia="zh-CN"/>
              </w:rPr>
              <w:t>注：</w:t>
            </w:r>
            <w:r>
              <w:rPr>
                <w:rFonts w:ascii="Times New Roman" w:hAnsi="Times New Roman" w:cs="Times New Roman"/>
                <w:spacing w:val="-1"/>
                <w:sz w:val="21"/>
                <w:szCs w:val="21"/>
                <w:lang w:eastAsia="zh-CN"/>
              </w:rPr>
              <w:t>1</w:t>
            </w:r>
            <w:r>
              <w:rPr>
                <w:rFonts w:ascii="Times New Roman" w:hAnsi="Times New Roman"/>
                <w:spacing w:val="-1"/>
                <w:sz w:val="21"/>
                <w:szCs w:val="21"/>
                <w:lang w:eastAsia="zh-CN"/>
              </w:rPr>
              <w:t>、废气中有毒有害污染物指纳入《有毒有害大气污染物名录》的污染物（不包括无排放标准的污染物）。</w:t>
            </w:r>
          </w:p>
          <w:p w14:paraId="7026A542">
            <w:pPr>
              <w:pStyle w:val="20"/>
              <w:ind w:firstLine="416"/>
              <w:rPr>
                <w:rFonts w:ascii="Times New Roman" w:hAnsi="Times New Roman"/>
                <w:sz w:val="21"/>
                <w:szCs w:val="21"/>
                <w:lang w:eastAsia="zh-CN"/>
              </w:rPr>
            </w:pPr>
            <w:r>
              <w:rPr>
                <w:rFonts w:ascii="Times New Roman" w:hAnsi="Times New Roman" w:cs="Times New Roman"/>
                <w:spacing w:val="-1"/>
                <w:sz w:val="21"/>
                <w:szCs w:val="21"/>
                <w:lang w:eastAsia="zh-CN"/>
              </w:rPr>
              <w:t>2</w:t>
            </w:r>
            <w:r>
              <w:rPr>
                <w:rFonts w:ascii="Times New Roman" w:hAnsi="Times New Roman"/>
                <w:spacing w:val="-1"/>
                <w:sz w:val="21"/>
                <w:szCs w:val="21"/>
                <w:lang w:eastAsia="zh-CN"/>
              </w:rPr>
              <w:t>、环境空气保护目标指自然保护区、风景名胜区、居住区、文化区和农村地区中人群较集中的区域。</w:t>
            </w:r>
          </w:p>
          <w:p w14:paraId="2E07D5F7">
            <w:pPr>
              <w:pStyle w:val="20"/>
              <w:ind w:firstLine="403"/>
              <w:rPr>
                <w:rFonts w:ascii="Times New Roman" w:hAnsi="Times New Roman"/>
                <w:sz w:val="21"/>
                <w:szCs w:val="21"/>
                <w:lang w:eastAsia="zh-CN"/>
              </w:rPr>
            </w:pPr>
            <w:r>
              <w:rPr>
                <w:rFonts w:ascii="Times New Roman" w:hAnsi="Times New Roman" w:cs="Times New Roman"/>
                <w:spacing w:val="-6"/>
                <w:sz w:val="21"/>
                <w:szCs w:val="21"/>
                <w:lang w:eastAsia="zh-CN"/>
              </w:rPr>
              <w:t>3</w:t>
            </w:r>
            <w:r>
              <w:rPr>
                <w:rFonts w:ascii="Times New Roman" w:hAnsi="Times New Roman"/>
                <w:spacing w:val="-6"/>
                <w:sz w:val="21"/>
                <w:szCs w:val="21"/>
                <w:lang w:eastAsia="zh-CN"/>
              </w:rPr>
              <w:t>、临界量及其计算方法可参考《建设项目环境风险评</w:t>
            </w:r>
            <w:r>
              <w:rPr>
                <w:rFonts w:ascii="Times New Roman" w:hAnsi="Times New Roman"/>
                <w:spacing w:val="-7"/>
                <w:sz w:val="21"/>
                <w:szCs w:val="21"/>
                <w:lang w:eastAsia="zh-CN"/>
              </w:rPr>
              <w:t>价技术导则》（</w:t>
            </w:r>
            <w:r>
              <w:rPr>
                <w:rFonts w:ascii="Times New Roman" w:hAnsi="Times New Roman" w:cs="Times New Roman"/>
                <w:spacing w:val="-7"/>
                <w:sz w:val="21"/>
                <w:szCs w:val="21"/>
                <w:lang w:eastAsia="zh-CN"/>
              </w:rPr>
              <w:t>HJ169</w:t>
            </w:r>
            <w:r>
              <w:rPr>
                <w:rFonts w:ascii="Times New Roman" w:hAnsi="Times New Roman"/>
                <w:spacing w:val="-7"/>
                <w:sz w:val="21"/>
                <w:szCs w:val="21"/>
                <w:lang w:eastAsia="zh-CN"/>
              </w:rPr>
              <w:t>）附录</w:t>
            </w:r>
            <w:r>
              <w:rPr>
                <w:rFonts w:ascii="Times New Roman" w:hAnsi="Times New Roman" w:cs="Times New Roman"/>
                <w:spacing w:val="-7"/>
                <w:sz w:val="21"/>
                <w:szCs w:val="21"/>
                <w:lang w:eastAsia="zh-CN"/>
              </w:rPr>
              <w:t>B</w:t>
            </w:r>
            <w:r>
              <w:rPr>
                <w:rFonts w:ascii="Times New Roman" w:hAnsi="Times New Roman"/>
                <w:spacing w:val="-7"/>
                <w:sz w:val="21"/>
                <w:szCs w:val="21"/>
                <w:lang w:eastAsia="zh-CN"/>
              </w:rPr>
              <w:t>、</w:t>
            </w:r>
            <w:r>
              <w:rPr>
                <w:rFonts w:ascii="Times New Roman" w:hAnsi="Times New Roman"/>
                <w:spacing w:val="-8"/>
                <w:sz w:val="21"/>
                <w:szCs w:val="21"/>
                <w:lang w:eastAsia="zh-CN"/>
              </w:rPr>
              <w:t>附录</w:t>
            </w:r>
            <w:r>
              <w:rPr>
                <w:rFonts w:ascii="Times New Roman" w:hAnsi="Times New Roman" w:cs="Times New Roman"/>
                <w:spacing w:val="-8"/>
                <w:sz w:val="21"/>
                <w:szCs w:val="21"/>
                <w:lang w:eastAsia="zh-CN"/>
              </w:rPr>
              <w:t>C</w:t>
            </w:r>
            <w:r>
              <w:rPr>
                <w:rFonts w:ascii="Times New Roman" w:hAnsi="Times New Roman"/>
                <w:spacing w:val="-8"/>
                <w:sz w:val="21"/>
                <w:szCs w:val="21"/>
                <w:lang w:eastAsia="zh-CN"/>
              </w:rPr>
              <w:t>。</w:t>
            </w:r>
          </w:p>
        </w:tc>
      </w:tr>
      <w:tr w14:paraId="6E20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91" w:type="dxa"/>
            <w:tcBorders>
              <w:left w:val="single" w:color="000000" w:sz="6" w:space="0"/>
            </w:tcBorders>
            <w:vAlign w:val="center"/>
          </w:tcPr>
          <w:p w14:paraId="584A4389">
            <w:pPr>
              <w:pStyle w:val="20"/>
              <w:spacing w:before="83" w:line="222" w:lineRule="auto"/>
              <w:ind w:left="153"/>
              <w:jc w:val="center"/>
              <w:rPr>
                <w:rFonts w:ascii="Times New Roman" w:hAnsi="Times New Roman"/>
              </w:rPr>
            </w:pPr>
            <w:r>
              <w:rPr>
                <w:rFonts w:ascii="Times New Roman" w:hAnsi="Times New Roman"/>
                <w:spacing w:val="-3"/>
              </w:rPr>
              <w:t>规划情况</w:t>
            </w:r>
          </w:p>
        </w:tc>
        <w:tc>
          <w:tcPr>
            <w:tcW w:w="8286" w:type="dxa"/>
            <w:gridSpan w:val="4"/>
            <w:tcBorders>
              <w:right w:val="single" w:color="000000" w:sz="6" w:space="0"/>
            </w:tcBorders>
            <w:vAlign w:val="center"/>
          </w:tcPr>
          <w:p w14:paraId="63664CF9">
            <w:pPr>
              <w:spacing w:before="69" w:line="232"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r>
      <w:tr w14:paraId="1769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791" w:type="dxa"/>
            <w:tcBorders>
              <w:left w:val="single" w:color="000000" w:sz="6" w:space="0"/>
            </w:tcBorders>
            <w:vAlign w:val="center"/>
          </w:tcPr>
          <w:p w14:paraId="488703C3">
            <w:pPr>
              <w:pStyle w:val="20"/>
              <w:spacing w:before="39" w:line="222" w:lineRule="auto"/>
              <w:ind w:left="153"/>
              <w:jc w:val="center"/>
              <w:rPr>
                <w:rFonts w:ascii="Times New Roman" w:hAnsi="Times New Roman"/>
                <w:lang w:eastAsia="zh-CN"/>
              </w:rPr>
            </w:pPr>
            <w:r>
              <w:rPr>
                <w:rFonts w:ascii="Times New Roman" w:hAnsi="Times New Roman"/>
                <w:spacing w:val="-3"/>
                <w:lang w:eastAsia="zh-CN"/>
              </w:rPr>
              <w:t>规划环境影响评价情况</w:t>
            </w:r>
          </w:p>
        </w:tc>
        <w:tc>
          <w:tcPr>
            <w:tcW w:w="8286" w:type="dxa"/>
            <w:gridSpan w:val="4"/>
            <w:tcBorders>
              <w:right w:val="single" w:color="000000" w:sz="6" w:space="0"/>
            </w:tcBorders>
            <w:vAlign w:val="center"/>
          </w:tcPr>
          <w:p w14:paraId="1F693012">
            <w:pPr>
              <w:spacing w:before="69" w:line="232"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r>
      <w:tr w14:paraId="61F8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1" w:type="dxa"/>
            <w:tcBorders>
              <w:left w:val="single" w:color="000000" w:sz="6" w:space="0"/>
            </w:tcBorders>
            <w:vAlign w:val="center"/>
          </w:tcPr>
          <w:p w14:paraId="6B8AAF0D">
            <w:pPr>
              <w:pStyle w:val="20"/>
              <w:spacing w:before="42" w:line="222" w:lineRule="auto"/>
              <w:ind w:left="153"/>
              <w:jc w:val="center"/>
              <w:rPr>
                <w:rFonts w:ascii="Times New Roman" w:hAnsi="Times New Roman"/>
                <w:lang w:eastAsia="zh-CN"/>
              </w:rPr>
            </w:pPr>
            <w:r>
              <w:rPr>
                <w:rFonts w:ascii="Times New Roman" w:hAnsi="Times New Roman"/>
                <w:spacing w:val="-3"/>
                <w:lang w:eastAsia="zh-CN"/>
              </w:rPr>
              <w:t>规划及规划环境影</w:t>
            </w:r>
            <w:r>
              <w:rPr>
                <w:rFonts w:ascii="Times New Roman" w:hAnsi="Times New Roman"/>
                <w:spacing w:val="-6"/>
                <w:lang w:eastAsia="zh-CN"/>
              </w:rPr>
              <w:t>响评</w:t>
            </w:r>
            <w:r>
              <w:rPr>
                <w:rFonts w:ascii="Times New Roman" w:hAnsi="Times New Roman"/>
                <w:spacing w:val="-3"/>
                <w:lang w:eastAsia="zh-CN"/>
              </w:rPr>
              <w:t>价符合性</w:t>
            </w:r>
            <w:r>
              <w:rPr>
                <w:rFonts w:ascii="Times New Roman" w:hAnsi="Times New Roman"/>
                <w:spacing w:val="-4"/>
                <w:lang w:eastAsia="zh-CN"/>
              </w:rPr>
              <w:t>分析</w:t>
            </w:r>
          </w:p>
        </w:tc>
        <w:tc>
          <w:tcPr>
            <w:tcW w:w="8286" w:type="dxa"/>
            <w:gridSpan w:val="4"/>
            <w:tcBorders>
              <w:right w:val="single" w:color="000000" w:sz="6" w:space="0"/>
            </w:tcBorders>
            <w:vAlign w:val="center"/>
          </w:tcPr>
          <w:p w14:paraId="5427A711">
            <w:pPr>
              <w:pStyle w:val="20"/>
              <w:spacing w:before="78" w:line="360" w:lineRule="auto"/>
              <w:ind w:right="72"/>
              <w:jc w:val="both"/>
              <w:rPr>
                <w:rFonts w:ascii="Times New Roman" w:hAnsi="Times New Roman"/>
                <w:spacing w:val="-2"/>
                <w:lang w:eastAsia="zh-CN"/>
              </w:rPr>
            </w:pPr>
          </w:p>
          <w:p w14:paraId="54A34648">
            <w:pPr>
              <w:pStyle w:val="20"/>
              <w:spacing w:before="78" w:line="360" w:lineRule="auto"/>
              <w:ind w:right="72"/>
              <w:jc w:val="both"/>
              <w:rPr>
                <w:rFonts w:ascii="Times New Roman" w:hAnsi="Times New Roman"/>
                <w:spacing w:val="-2"/>
                <w:lang w:eastAsia="zh-CN"/>
              </w:rPr>
            </w:pPr>
          </w:p>
          <w:p w14:paraId="242CE390">
            <w:pPr>
              <w:pStyle w:val="20"/>
              <w:spacing w:before="78" w:line="360" w:lineRule="auto"/>
              <w:ind w:right="72"/>
              <w:jc w:val="both"/>
              <w:rPr>
                <w:rFonts w:ascii="Times New Roman" w:hAnsi="Times New Roman"/>
                <w:spacing w:val="-2"/>
                <w:lang w:eastAsia="zh-CN"/>
              </w:rPr>
            </w:pPr>
          </w:p>
          <w:p w14:paraId="102CCA3E">
            <w:pPr>
              <w:pStyle w:val="20"/>
              <w:spacing w:before="78" w:line="360" w:lineRule="auto"/>
              <w:ind w:right="72"/>
              <w:jc w:val="both"/>
              <w:rPr>
                <w:rFonts w:ascii="Times New Roman" w:hAnsi="Times New Roman"/>
                <w:spacing w:val="-2"/>
                <w:lang w:eastAsia="zh-CN"/>
              </w:rPr>
            </w:pPr>
          </w:p>
          <w:p w14:paraId="393B50DD">
            <w:pPr>
              <w:pStyle w:val="20"/>
              <w:spacing w:before="78" w:line="360" w:lineRule="auto"/>
              <w:ind w:right="72"/>
              <w:jc w:val="both"/>
              <w:rPr>
                <w:rFonts w:ascii="Times New Roman" w:hAnsi="Times New Roman"/>
                <w:spacing w:val="-2"/>
                <w:lang w:eastAsia="zh-CN"/>
              </w:rPr>
            </w:pPr>
          </w:p>
          <w:p w14:paraId="53440B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left"/>
              <w:textAlignment w:val="auto"/>
              <w:rPr>
                <w:rFonts w:hint="eastAsia" w:ascii="Times New Roman" w:hAnsi="Times New Roman" w:eastAsia="宋体" w:cs="Times New Roman"/>
                <w:b w:val="0"/>
                <w:bCs w:val="0"/>
                <w:strike w:val="0"/>
                <w:dstrike w:val="0"/>
                <w:color w:val="auto"/>
                <w:kern w:val="2"/>
                <w:sz w:val="24"/>
                <w:szCs w:val="24"/>
                <w:highlight w:val="none"/>
                <w:lang w:val="en-US" w:eastAsia="zh-CN" w:bidi="ar-SA"/>
              </w:rPr>
            </w:pPr>
            <w:r>
              <w:rPr>
                <w:rFonts w:hint="eastAsia" w:ascii="Times New Roman" w:hAnsi="Times New Roman" w:eastAsia="宋体" w:cs="Times New Roman"/>
                <w:b w:val="0"/>
                <w:bCs w:val="0"/>
                <w:strike w:val="0"/>
                <w:dstrike w:val="0"/>
                <w:color w:val="auto"/>
                <w:kern w:val="2"/>
                <w:sz w:val="24"/>
                <w:szCs w:val="24"/>
                <w:highlight w:val="none"/>
                <w:lang w:val="en-US" w:eastAsia="zh-CN" w:bidi="ar-SA"/>
              </w:rPr>
              <w:t>根据《庆阳湖乡人民代表大会关于〈吉木萨尔县庆阳湖乡国土空间总体规划（2021-2035年）的决议&gt;》（庆乡人发〔2025〕2号）文件，庆阳湖乡第十一届人民代表大会第七次会议审议了庆阳湖乡人民政府关于提请审议《吉木萨尔县庆阳湖乡国土空间总体规划（2021-2035年）》的议案。会议同意《吉木萨尔县庆阳湖乡国土空间总体规划（2021-2035年）》，根据国土空间规划图，本项目用地类型为二类工业用地，本项目为透水砖厂建设项目，用地符合吉木萨尔国土空间规划。</w:t>
            </w:r>
          </w:p>
          <w:p w14:paraId="7A0DF2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left"/>
              <w:textAlignment w:val="auto"/>
              <w:rPr>
                <w:rFonts w:hint="eastAsia" w:ascii="Times New Roman" w:hAnsi="Times New Roman" w:eastAsia="宋体" w:cs="Times New Roman"/>
                <w:b w:val="0"/>
                <w:bCs w:val="0"/>
                <w:strike w:val="0"/>
                <w:dstrike w:val="0"/>
                <w:color w:val="auto"/>
                <w:kern w:val="2"/>
                <w:sz w:val="24"/>
                <w:szCs w:val="24"/>
                <w:highlight w:val="none"/>
                <w:lang w:val="en-US" w:eastAsia="zh-CN" w:bidi="ar-SA"/>
              </w:rPr>
            </w:pPr>
          </w:p>
          <w:p w14:paraId="50386292">
            <w:pPr>
              <w:keepNext w:val="0"/>
              <w:keepLines w:val="0"/>
              <w:pageBreakBefore w:val="0"/>
              <w:widowControl w:val="0"/>
              <w:numPr>
                <w:ilvl w:val="0"/>
                <w:numId w:val="0"/>
              </w:numPr>
              <w:tabs>
                <w:tab w:val="left" w:pos="1481"/>
              </w:tabs>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b w:val="0"/>
                <w:bCs w:val="0"/>
                <w:strike w:val="0"/>
                <w:dstrike w:val="0"/>
                <w:color w:val="auto"/>
                <w:kern w:val="2"/>
                <w:sz w:val="24"/>
                <w:szCs w:val="24"/>
                <w:highlight w:val="none"/>
                <w:lang w:val="en-US" w:eastAsia="zh-CN" w:bidi="ar-SA"/>
              </w:rPr>
            </w:pPr>
            <w:r>
              <w:rPr>
                <w:rFonts w:hint="eastAsia" w:ascii="Times New Roman" w:hAnsi="Times New Roman" w:eastAsia="宋体" w:cs="Times New Roman"/>
                <w:b w:val="0"/>
                <w:bCs w:val="0"/>
                <w:strike w:val="0"/>
                <w:dstrike w:val="0"/>
                <w:color w:val="auto"/>
                <w:kern w:val="2"/>
                <w:sz w:val="24"/>
                <w:szCs w:val="24"/>
                <w:highlight w:val="none"/>
                <w:lang w:val="en-US" w:eastAsia="zh-CN" w:bidi="ar-SA"/>
              </w:rPr>
              <w:tab/>
            </w:r>
          </w:p>
          <w:p w14:paraId="7537153F">
            <w:pPr>
              <w:keepNext w:val="0"/>
              <w:keepLines w:val="0"/>
              <w:pageBreakBefore w:val="0"/>
              <w:widowControl w:val="0"/>
              <w:numPr>
                <w:ilvl w:val="0"/>
                <w:numId w:val="0"/>
              </w:numPr>
              <w:tabs>
                <w:tab w:val="left" w:pos="1481"/>
              </w:tabs>
              <w:kinsoku/>
              <w:wordWrap/>
              <w:overflowPunct/>
              <w:topLinePunct w:val="0"/>
              <w:autoSpaceDE w:val="0"/>
              <w:autoSpaceDN w:val="0"/>
              <w:bidi w:val="0"/>
              <w:adjustRightInd w:val="0"/>
              <w:snapToGrid w:val="0"/>
              <w:spacing w:line="360" w:lineRule="auto"/>
              <w:ind w:leftChars="0" w:firstLine="480" w:firstLineChars="200"/>
              <w:jc w:val="left"/>
              <w:textAlignment w:val="auto"/>
              <w:rPr>
                <w:rFonts w:hint="eastAsia" w:ascii="Times New Roman" w:hAnsi="Times New Roman" w:eastAsia="宋体" w:cs="Times New Roman"/>
                <w:b w:val="0"/>
                <w:bCs w:val="0"/>
                <w:strike w:val="0"/>
                <w:dstrike w:val="0"/>
                <w:color w:val="auto"/>
                <w:kern w:val="2"/>
                <w:sz w:val="24"/>
                <w:szCs w:val="24"/>
                <w:highlight w:val="none"/>
                <w:lang w:val="en-US" w:eastAsia="zh-CN" w:bidi="ar-SA"/>
              </w:rPr>
            </w:pPr>
          </w:p>
          <w:p w14:paraId="7FD9F3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left"/>
              <w:textAlignment w:val="auto"/>
              <w:rPr>
                <w:rFonts w:hint="eastAsia" w:ascii="Times New Roman" w:hAnsi="Times New Roman" w:eastAsia="宋体" w:cs="Times New Roman"/>
                <w:b w:val="0"/>
                <w:bCs w:val="0"/>
                <w:strike w:val="0"/>
                <w:dstrike w:val="0"/>
                <w:color w:val="auto"/>
                <w:kern w:val="2"/>
                <w:sz w:val="24"/>
                <w:szCs w:val="24"/>
                <w:highlight w:val="none"/>
                <w:lang w:val="en-US" w:eastAsia="zh-CN" w:bidi="ar-SA"/>
              </w:rPr>
            </w:pPr>
          </w:p>
        </w:tc>
      </w:tr>
      <w:tr w14:paraId="4629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9" w:hRule="atLeast"/>
        </w:trPr>
        <w:tc>
          <w:tcPr>
            <w:tcW w:w="791" w:type="dxa"/>
            <w:tcBorders>
              <w:left w:val="single" w:color="000000" w:sz="6" w:space="0"/>
            </w:tcBorders>
          </w:tcPr>
          <w:p w14:paraId="6C7DFC7F">
            <w:pPr>
              <w:pStyle w:val="20"/>
              <w:spacing w:before="78" w:line="220" w:lineRule="auto"/>
              <w:rPr>
                <w:rFonts w:ascii="Times New Roman" w:hAnsi="Times New Roman"/>
                <w:spacing w:val="-3"/>
              </w:rPr>
            </w:pPr>
            <w:r>
              <w:rPr>
                <w:rFonts w:ascii="Times New Roman" w:hAnsi="Times New Roman"/>
                <w:spacing w:val="-3"/>
              </w:rPr>
              <w:t>其他符合</w:t>
            </w:r>
            <w:r>
              <w:rPr>
                <w:rFonts w:ascii="Times New Roman" w:hAnsi="Times New Roman"/>
                <w:spacing w:val="-7"/>
              </w:rPr>
              <w:t>性分</w:t>
            </w:r>
            <w:r>
              <w:rPr>
                <w:rFonts w:ascii="Times New Roman" w:hAnsi="Times New Roman"/>
              </w:rPr>
              <w:t>析</w:t>
            </w:r>
          </w:p>
        </w:tc>
        <w:tc>
          <w:tcPr>
            <w:tcW w:w="8286" w:type="dxa"/>
            <w:gridSpan w:val="4"/>
            <w:tcBorders>
              <w:right w:val="single" w:color="000000" w:sz="6" w:space="0"/>
            </w:tcBorders>
          </w:tcPr>
          <w:p w14:paraId="494B073F">
            <w:pPr>
              <w:pStyle w:val="20"/>
              <w:numPr>
                <w:ilvl w:val="0"/>
                <w:numId w:val="1"/>
              </w:numPr>
              <w:spacing w:line="360" w:lineRule="auto"/>
              <w:ind w:firstLine="474" w:firstLineChars="200"/>
              <w:rPr>
                <w:rFonts w:hint="eastAsia" w:ascii="Times New Roman" w:hAnsi="Times New Roman" w:cs="Times New Roman"/>
                <w:b/>
                <w:bCs/>
                <w:spacing w:val="-2"/>
                <w:lang w:eastAsia="zh-CN"/>
              </w:rPr>
            </w:pPr>
            <w:r>
              <w:rPr>
                <w:rFonts w:hint="eastAsia" w:ascii="Times New Roman" w:hAnsi="Times New Roman" w:cs="Times New Roman"/>
                <w:b/>
                <w:bCs/>
                <w:spacing w:val="-2"/>
                <w:lang w:eastAsia="zh-CN"/>
              </w:rPr>
              <w:t>与《关于印发〈新疆维吾尔自治区生态环境分区管控动态更新成果〉的通知》（新环环评发〔2024〕157号）符合性分析</w:t>
            </w:r>
          </w:p>
          <w:p w14:paraId="35E27472">
            <w:pPr>
              <w:kinsoku/>
              <w:autoSpaceDE/>
              <w:autoSpaceDN/>
              <w:adjustRightInd/>
              <w:snapToGrid/>
              <w:jc w:val="center"/>
              <w:textAlignment w:val="auto"/>
              <w:rPr>
                <w:rFonts w:ascii="Times New Roman" w:hAnsi="Times New Roman" w:eastAsia="宋体" w:cs="宋体"/>
                <w:b/>
                <w:bCs/>
                <w:color w:val="auto"/>
                <w:lang w:eastAsia="zh-CN" w:bidi="ar"/>
              </w:rPr>
            </w:pPr>
            <w:r>
              <w:rPr>
                <w:rFonts w:ascii="Times New Roman" w:hAnsi="Times New Roman" w:eastAsia="宋体" w:cs="宋体"/>
                <w:b/>
                <w:bCs/>
                <w:color w:val="auto"/>
                <w:lang w:eastAsia="zh-CN" w:bidi="ar"/>
              </w:rPr>
              <w:t>表1</w:t>
            </w:r>
            <w:r>
              <w:rPr>
                <w:rFonts w:hint="eastAsia" w:ascii="Times New Roman" w:hAnsi="Times New Roman" w:eastAsia="宋体" w:cs="宋体"/>
                <w:b/>
                <w:bCs/>
                <w:color w:val="auto"/>
                <w:lang w:eastAsia="zh-CN" w:bidi="ar"/>
              </w:rPr>
              <w:t>-2</w:t>
            </w:r>
            <w:r>
              <w:rPr>
                <w:rFonts w:ascii="Times New Roman" w:hAnsi="Times New Roman" w:eastAsia="宋体" w:cs="宋体"/>
                <w:b/>
                <w:bCs/>
                <w:color w:val="auto"/>
                <w:lang w:eastAsia="zh-CN" w:bidi="ar"/>
              </w:rPr>
              <w:t>本项目与《新疆维吾尔自治区生态环境分区管控动态更新成果》的通知（新环环评发</w:t>
            </w:r>
            <w:r>
              <w:rPr>
                <w:rFonts w:hint="eastAsia" w:ascii="Times New Roman" w:hAnsi="Times New Roman" w:eastAsia="宋体" w:cs="宋体"/>
                <w:b/>
                <w:bCs/>
                <w:color w:val="auto"/>
                <w:lang w:eastAsia="zh-CN" w:bidi="ar"/>
              </w:rPr>
              <w:t>〔2024〕157号</w:t>
            </w:r>
            <w:r>
              <w:rPr>
                <w:rFonts w:ascii="Times New Roman" w:hAnsi="Times New Roman" w:eastAsia="宋体" w:cs="宋体"/>
                <w:b/>
                <w:bCs/>
                <w:color w:val="auto"/>
                <w:lang w:eastAsia="zh-CN" w:bidi="ar"/>
              </w:rPr>
              <w:t>）符合性分析表</w:t>
            </w:r>
          </w:p>
          <w:tbl>
            <w:tblPr>
              <w:tblStyle w:val="13"/>
              <w:tblW w:w="4900" w:type="pct"/>
              <w:jc w:val="center"/>
              <w:tblLayout w:type="autofit"/>
              <w:tblCellMar>
                <w:top w:w="0" w:type="dxa"/>
                <w:left w:w="108" w:type="dxa"/>
                <w:bottom w:w="0" w:type="dxa"/>
                <w:right w:w="108" w:type="dxa"/>
              </w:tblCellMar>
            </w:tblPr>
            <w:tblGrid>
              <w:gridCol w:w="4600"/>
              <w:gridCol w:w="2849"/>
              <w:gridCol w:w="661"/>
            </w:tblGrid>
            <w:tr w14:paraId="7C4F10A0">
              <w:tblPrEx>
                <w:tblCellMar>
                  <w:top w:w="0" w:type="dxa"/>
                  <w:left w:w="108" w:type="dxa"/>
                  <w:bottom w:w="0" w:type="dxa"/>
                  <w:right w:w="108" w:type="dxa"/>
                </w:tblCellMar>
              </w:tblPrEx>
              <w:trPr>
                <w:trHeight w:val="23" w:hRule="atLeast"/>
                <w:jc w:val="center"/>
              </w:trPr>
              <w:tc>
                <w:tcPr>
                  <w:tcW w:w="2835" w:type="pct"/>
                  <w:tcBorders>
                    <w:top w:val="single" w:color="000000" w:sz="4" w:space="0"/>
                    <w:left w:val="single" w:color="000000" w:sz="4" w:space="0"/>
                    <w:bottom w:val="single" w:color="000000" w:sz="4" w:space="0"/>
                    <w:right w:val="single" w:color="000000" w:sz="4" w:space="0"/>
                  </w:tcBorders>
                  <w:vAlign w:val="center"/>
                </w:tcPr>
                <w:p w14:paraId="41A9AAAD">
                  <w:pPr>
                    <w:pStyle w:val="20"/>
                    <w:jc w:val="center"/>
                    <w:rPr>
                      <w:rFonts w:ascii="Times New Roman" w:hAnsi="Times New Roman"/>
                      <w:spacing w:val="-2"/>
                      <w:sz w:val="21"/>
                      <w:szCs w:val="21"/>
                    </w:rPr>
                  </w:pPr>
                  <w:r>
                    <w:rPr>
                      <w:rFonts w:ascii="Times New Roman" w:hAnsi="Times New Roman"/>
                      <w:spacing w:val="-2"/>
                      <w:sz w:val="21"/>
                      <w:szCs w:val="21"/>
                      <w:lang w:eastAsia="zh-CN"/>
                    </w:rPr>
                    <w:t>“三线一单”要求</w:t>
                  </w:r>
                </w:p>
              </w:tc>
              <w:tc>
                <w:tcPr>
                  <w:tcW w:w="1756" w:type="pct"/>
                  <w:tcBorders>
                    <w:top w:val="single" w:color="000000" w:sz="4" w:space="0"/>
                    <w:left w:val="single" w:color="000000" w:sz="4" w:space="0"/>
                    <w:bottom w:val="single" w:color="000000" w:sz="4" w:space="0"/>
                    <w:right w:val="single" w:color="000000" w:sz="4" w:space="0"/>
                  </w:tcBorders>
                  <w:vAlign w:val="center"/>
                </w:tcPr>
                <w:p w14:paraId="7F8852B5">
                  <w:pPr>
                    <w:pStyle w:val="20"/>
                    <w:jc w:val="center"/>
                    <w:rPr>
                      <w:rFonts w:ascii="Times New Roman" w:hAnsi="Times New Roman"/>
                      <w:spacing w:val="-2"/>
                      <w:sz w:val="21"/>
                      <w:szCs w:val="21"/>
                    </w:rPr>
                  </w:pPr>
                  <w:r>
                    <w:rPr>
                      <w:rFonts w:ascii="Times New Roman" w:hAnsi="Times New Roman"/>
                      <w:spacing w:val="-2"/>
                      <w:sz w:val="21"/>
                      <w:szCs w:val="21"/>
                      <w:lang w:eastAsia="zh-CN"/>
                    </w:rPr>
                    <w:t>项目情况</w:t>
                  </w:r>
                </w:p>
              </w:tc>
              <w:tc>
                <w:tcPr>
                  <w:tcW w:w="407" w:type="pct"/>
                  <w:tcBorders>
                    <w:top w:val="single" w:color="000000" w:sz="4" w:space="0"/>
                    <w:left w:val="single" w:color="000000" w:sz="4" w:space="0"/>
                    <w:bottom w:val="single" w:color="000000" w:sz="4" w:space="0"/>
                    <w:right w:val="single" w:color="000000" w:sz="4" w:space="0"/>
                  </w:tcBorders>
                  <w:vAlign w:val="center"/>
                </w:tcPr>
                <w:p w14:paraId="00AAD6DA">
                  <w:pPr>
                    <w:pStyle w:val="20"/>
                    <w:jc w:val="center"/>
                    <w:rPr>
                      <w:rFonts w:ascii="Times New Roman" w:hAnsi="Times New Roman"/>
                      <w:spacing w:val="-2"/>
                      <w:sz w:val="21"/>
                      <w:szCs w:val="21"/>
                    </w:rPr>
                  </w:pPr>
                  <w:r>
                    <w:rPr>
                      <w:rFonts w:ascii="Times New Roman" w:hAnsi="Times New Roman"/>
                      <w:spacing w:val="-2"/>
                      <w:sz w:val="21"/>
                      <w:szCs w:val="21"/>
                      <w:lang w:eastAsia="zh-CN"/>
                    </w:rPr>
                    <w:t>符合性</w:t>
                  </w:r>
                </w:p>
              </w:tc>
            </w:tr>
            <w:tr w14:paraId="619B53D1">
              <w:tblPrEx>
                <w:tblCellMar>
                  <w:top w:w="0" w:type="dxa"/>
                  <w:left w:w="108" w:type="dxa"/>
                  <w:bottom w:w="0" w:type="dxa"/>
                  <w:right w:w="108" w:type="dxa"/>
                </w:tblCellMar>
              </w:tblPrEx>
              <w:trPr>
                <w:trHeight w:val="23" w:hRule="atLeast"/>
                <w:jc w:val="center"/>
              </w:trPr>
              <w:tc>
                <w:tcPr>
                  <w:tcW w:w="2835" w:type="pct"/>
                  <w:tcBorders>
                    <w:top w:val="single" w:color="000000" w:sz="4" w:space="0"/>
                    <w:left w:val="single" w:color="000000" w:sz="4" w:space="0"/>
                    <w:bottom w:val="single" w:color="000000" w:sz="4" w:space="0"/>
                    <w:right w:val="single" w:color="000000" w:sz="4" w:space="0"/>
                  </w:tcBorders>
                  <w:vAlign w:val="center"/>
                </w:tcPr>
                <w:p w14:paraId="15B3A83A">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生态保护红线：按照“生态功能不降低、面积不减少、性质不改变”的基本要求，对划定的生态保护红线实施严格管控，保障和维护国家生态安全的底线和生命线。</w:t>
                  </w:r>
                </w:p>
              </w:tc>
              <w:tc>
                <w:tcPr>
                  <w:tcW w:w="1756" w:type="pct"/>
                  <w:tcBorders>
                    <w:top w:val="single" w:color="000000" w:sz="4" w:space="0"/>
                    <w:left w:val="single" w:color="000000" w:sz="4" w:space="0"/>
                    <w:bottom w:val="single" w:color="000000" w:sz="4" w:space="0"/>
                    <w:right w:val="single" w:color="000000" w:sz="4" w:space="0"/>
                  </w:tcBorders>
                  <w:vAlign w:val="center"/>
                </w:tcPr>
                <w:p w14:paraId="34690EE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本项目位于</w:t>
                  </w:r>
                  <w:r>
                    <w:rPr>
                      <w:rFonts w:hint="eastAsia" w:ascii="Times New Roman" w:hAnsi="Times New Roman"/>
                      <w:spacing w:val="-2"/>
                      <w:sz w:val="21"/>
                      <w:szCs w:val="21"/>
                      <w:lang w:eastAsia="zh-CN"/>
                    </w:rPr>
                    <w:t>吉木萨尔县庆阳湖乡二工梁村</w:t>
                  </w:r>
                  <w:r>
                    <w:rPr>
                      <w:rFonts w:ascii="Times New Roman" w:hAnsi="Times New Roman"/>
                      <w:spacing w:val="-2"/>
                      <w:sz w:val="21"/>
                      <w:szCs w:val="21"/>
                      <w:lang w:eastAsia="zh-CN"/>
                    </w:rPr>
                    <w:t>，不在生态保护红线规划范围内。</w:t>
                  </w:r>
                </w:p>
              </w:tc>
              <w:tc>
                <w:tcPr>
                  <w:tcW w:w="407" w:type="pct"/>
                  <w:tcBorders>
                    <w:top w:val="single" w:color="000000" w:sz="4" w:space="0"/>
                    <w:left w:val="single" w:color="000000" w:sz="4" w:space="0"/>
                    <w:bottom w:val="single" w:color="000000" w:sz="4" w:space="0"/>
                    <w:right w:val="single" w:color="000000" w:sz="4" w:space="0"/>
                  </w:tcBorders>
                  <w:vAlign w:val="center"/>
                </w:tcPr>
                <w:p w14:paraId="197D7C4E">
                  <w:pPr>
                    <w:pStyle w:val="20"/>
                    <w:jc w:val="center"/>
                    <w:rPr>
                      <w:rFonts w:ascii="Times New Roman" w:hAnsi="Times New Roman"/>
                      <w:spacing w:val="-2"/>
                      <w:sz w:val="21"/>
                      <w:szCs w:val="21"/>
                    </w:rPr>
                  </w:pPr>
                  <w:r>
                    <w:rPr>
                      <w:rFonts w:ascii="Times New Roman" w:hAnsi="Times New Roman"/>
                      <w:spacing w:val="-2"/>
                      <w:sz w:val="21"/>
                      <w:szCs w:val="21"/>
                      <w:lang w:eastAsia="zh-CN"/>
                    </w:rPr>
                    <w:t>符合</w:t>
                  </w:r>
                </w:p>
              </w:tc>
            </w:tr>
            <w:tr w14:paraId="721061A6">
              <w:tblPrEx>
                <w:tblCellMar>
                  <w:top w:w="0" w:type="dxa"/>
                  <w:left w:w="108" w:type="dxa"/>
                  <w:bottom w:w="0" w:type="dxa"/>
                  <w:right w:w="108" w:type="dxa"/>
                </w:tblCellMar>
              </w:tblPrEx>
              <w:trPr>
                <w:trHeight w:val="23" w:hRule="atLeast"/>
                <w:jc w:val="center"/>
              </w:trPr>
              <w:tc>
                <w:tcPr>
                  <w:tcW w:w="2835" w:type="pct"/>
                  <w:tcBorders>
                    <w:top w:val="single" w:color="000000" w:sz="4" w:space="0"/>
                    <w:left w:val="single" w:color="000000" w:sz="4" w:space="0"/>
                    <w:bottom w:val="single" w:color="000000" w:sz="4" w:space="0"/>
                    <w:right w:val="single" w:color="000000" w:sz="4" w:space="0"/>
                  </w:tcBorders>
                  <w:vAlign w:val="center"/>
                </w:tcPr>
                <w:p w14:paraId="21E9038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756" w:type="pct"/>
                  <w:tcBorders>
                    <w:top w:val="single" w:color="000000" w:sz="4" w:space="0"/>
                    <w:left w:val="single" w:color="000000" w:sz="4" w:space="0"/>
                    <w:bottom w:val="single" w:color="000000" w:sz="4" w:space="0"/>
                    <w:right w:val="single" w:color="000000" w:sz="4" w:space="0"/>
                  </w:tcBorders>
                  <w:vAlign w:val="center"/>
                </w:tcPr>
                <w:p w14:paraId="30A21E5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w:t>
                  </w:r>
                  <w:r>
                    <w:rPr>
                      <w:rFonts w:ascii="Times New Roman" w:hAnsi="Times New Roman"/>
                      <w:spacing w:val="-2"/>
                      <w:sz w:val="21"/>
                      <w:szCs w:val="21"/>
                      <w:lang w:eastAsia="zh-CN"/>
                    </w:rPr>
                    <w:t>项目产生的废气、废水、噪声、固废等污染物均采取了严格的治理和处置措施，污染物能达标排放，采取相应措施后能够满足相关标准要求，符合环境质量底线的要求，不会对环境质量底线产生冲击。</w:t>
                  </w:r>
                </w:p>
              </w:tc>
              <w:tc>
                <w:tcPr>
                  <w:tcW w:w="407" w:type="pct"/>
                  <w:tcBorders>
                    <w:top w:val="single" w:color="000000" w:sz="4" w:space="0"/>
                    <w:left w:val="single" w:color="000000" w:sz="4" w:space="0"/>
                    <w:bottom w:val="single" w:color="000000" w:sz="4" w:space="0"/>
                    <w:right w:val="single" w:color="000000" w:sz="4" w:space="0"/>
                  </w:tcBorders>
                  <w:vAlign w:val="center"/>
                </w:tcPr>
                <w:p w14:paraId="229BF91A">
                  <w:pPr>
                    <w:pStyle w:val="20"/>
                    <w:jc w:val="center"/>
                    <w:rPr>
                      <w:rFonts w:ascii="Times New Roman" w:hAnsi="Times New Roman"/>
                      <w:spacing w:val="-2"/>
                      <w:sz w:val="21"/>
                      <w:szCs w:val="21"/>
                    </w:rPr>
                  </w:pPr>
                  <w:r>
                    <w:rPr>
                      <w:rFonts w:ascii="Times New Roman" w:hAnsi="Times New Roman"/>
                      <w:spacing w:val="-2"/>
                      <w:sz w:val="21"/>
                      <w:szCs w:val="21"/>
                      <w:lang w:eastAsia="zh-CN"/>
                    </w:rPr>
                    <w:t>符合</w:t>
                  </w:r>
                </w:p>
              </w:tc>
            </w:tr>
            <w:tr w14:paraId="51499CD5">
              <w:tblPrEx>
                <w:tblCellMar>
                  <w:top w:w="0" w:type="dxa"/>
                  <w:left w:w="108" w:type="dxa"/>
                  <w:bottom w:w="0" w:type="dxa"/>
                  <w:right w:w="108" w:type="dxa"/>
                </w:tblCellMar>
              </w:tblPrEx>
              <w:trPr>
                <w:trHeight w:val="23" w:hRule="atLeast"/>
                <w:jc w:val="center"/>
              </w:trPr>
              <w:tc>
                <w:tcPr>
                  <w:tcW w:w="2835" w:type="pct"/>
                  <w:tcBorders>
                    <w:top w:val="single" w:color="000000" w:sz="4" w:space="0"/>
                    <w:left w:val="single" w:color="000000" w:sz="4" w:space="0"/>
                    <w:bottom w:val="single" w:color="000000" w:sz="4" w:space="0"/>
                    <w:right w:val="single" w:color="000000" w:sz="4" w:space="0"/>
                  </w:tcBorders>
                  <w:vAlign w:val="center"/>
                </w:tcPr>
                <w:p w14:paraId="7FC652E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资源利用上线：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tc>
              <w:tc>
                <w:tcPr>
                  <w:tcW w:w="1756" w:type="pct"/>
                  <w:tcBorders>
                    <w:top w:val="single" w:color="000000" w:sz="4" w:space="0"/>
                    <w:left w:val="single" w:color="000000" w:sz="4" w:space="0"/>
                    <w:bottom w:val="single" w:color="000000" w:sz="4" w:space="0"/>
                    <w:right w:val="single" w:color="000000" w:sz="4" w:space="0"/>
                  </w:tcBorders>
                  <w:vAlign w:val="center"/>
                </w:tcPr>
                <w:p w14:paraId="52F88BF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本项目无生产废水</w:t>
                  </w:r>
                  <w:r>
                    <w:rPr>
                      <w:rFonts w:ascii="Times New Roman" w:hAnsi="Times New Roman"/>
                      <w:spacing w:val="-2"/>
                      <w:sz w:val="21"/>
                      <w:szCs w:val="21"/>
                      <w:lang w:eastAsia="zh-CN"/>
                    </w:rPr>
                    <w:t>，</w:t>
                  </w:r>
                  <w:r>
                    <w:rPr>
                      <w:rFonts w:hint="eastAsia" w:ascii="Times New Roman" w:hAnsi="Times New Roman"/>
                      <w:spacing w:val="-2"/>
                      <w:sz w:val="21"/>
                      <w:szCs w:val="21"/>
                      <w:lang w:eastAsia="zh-CN"/>
                    </w:rPr>
                    <w:t>运营过程中搅拌机清洗废水、</w:t>
                  </w:r>
                  <w:r>
                    <w:rPr>
                      <w:rFonts w:hint="eastAsia" w:ascii="Times New Roman" w:hAnsi="Times New Roman"/>
                      <w:spacing w:val="-2"/>
                      <w:sz w:val="21"/>
                      <w:szCs w:val="21"/>
                      <w:lang w:val="en-US" w:eastAsia="zh-CN"/>
                    </w:rPr>
                    <w:t>运输车辆清洗废水</w:t>
                  </w:r>
                  <w:r>
                    <w:rPr>
                      <w:rFonts w:hint="eastAsia" w:ascii="Times New Roman" w:hAnsi="Times New Roman"/>
                      <w:spacing w:val="-2"/>
                      <w:sz w:val="21"/>
                      <w:szCs w:val="21"/>
                      <w:lang w:eastAsia="zh-CN"/>
                    </w:rPr>
                    <w:t>经收集后用于生产用水，</w:t>
                  </w:r>
                  <w:r>
                    <w:rPr>
                      <w:rFonts w:ascii="Times New Roman" w:hAnsi="Times New Roman"/>
                      <w:spacing w:val="-2"/>
                      <w:sz w:val="21"/>
                      <w:szCs w:val="21"/>
                      <w:lang w:eastAsia="zh-CN"/>
                    </w:rPr>
                    <w:t>不会突破区域的资源利用上线。</w:t>
                  </w:r>
                </w:p>
              </w:tc>
              <w:tc>
                <w:tcPr>
                  <w:tcW w:w="407" w:type="pct"/>
                  <w:tcBorders>
                    <w:top w:val="single" w:color="000000" w:sz="4" w:space="0"/>
                    <w:left w:val="single" w:color="000000" w:sz="4" w:space="0"/>
                    <w:bottom w:val="single" w:color="000000" w:sz="4" w:space="0"/>
                    <w:right w:val="single" w:color="000000" w:sz="4" w:space="0"/>
                  </w:tcBorders>
                  <w:vAlign w:val="center"/>
                </w:tcPr>
                <w:p w14:paraId="5F1705B2">
                  <w:pPr>
                    <w:pStyle w:val="20"/>
                    <w:jc w:val="center"/>
                    <w:rPr>
                      <w:rFonts w:ascii="Times New Roman" w:hAnsi="Times New Roman"/>
                      <w:spacing w:val="-2"/>
                      <w:sz w:val="21"/>
                      <w:szCs w:val="21"/>
                    </w:rPr>
                  </w:pPr>
                  <w:r>
                    <w:rPr>
                      <w:rFonts w:ascii="Times New Roman" w:hAnsi="Times New Roman"/>
                      <w:spacing w:val="-2"/>
                      <w:sz w:val="21"/>
                      <w:szCs w:val="21"/>
                      <w:lang w:eastAsia="zh-CN"/>
                    </w:rPr>
                    <w:t>符合</w:t>
                  </w:r>
                </w:p>
              </w:tc>
            </w:tr>
            <w:tr w14:paraId="5B54E766">
              <w:tblPrEx>
                <w:tblCellMar>
                  <w:top w:w="0" w:type="dxa"/>
                  <w:left w:w="108" w:type="dxa"/>
                  <w:bottom w:w="0" w:type="dxa"/>
                  <w:right w:w="108" w:type="dxa"/>
                </w:tblCellMar>
              </w:tblPrEx>
              <w:trPr>
                <w:trHeight w:val="23" w:hRule="atLeast"/>
                <w:jc w:val="center"/>
              </w:trPr>
              <w:tc>
                <w:tcPr>
                  <w:tcW w:w="2835" w:type="pct"/>
                  <w:tcBorders>
                    <w:top w:val="single" w:color="000000" w:sz="4" w:space="0"/>
                    <w:left w:val="single" w:color="000000" w:sz="4" w:space="0"/>
                    <w:bottom w:val="single" w:color="000000" w:sz="4" w:space="0"/>
                    <w:right w:val="single" w:color="000000" w:sz="4" w:space="0"/>
                  </w:tcBorders>
                  <w:vAlign w:val="center"/>
                </w:tcPr>
                <w:p w14:paraId="0CDD0396">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生态环境准入清单：指基于环境管控单元，统筹考虑生态保护红线、环境质量底线、资源利用上线的管控要求，提出的空间布局、污染物排放、环境风险、资源开发利用等方面禁止和限制的环境准入要求。</w:t>
                  </w:r>
                </w:p>
              </w:tc>
              <w:tc>
                <w:tcPr>
                  <w:tcW w:w="1756" w:type="pct"/>
                  <w:tcBorders>
                    <w:top w:val="single" w:color="000000" w:sz="4" w:space="0"/>
                    <w:left w:val="single" w:color="000000" w:sz="4" w:space="0"/>
                    <w:bottom w:val="single" w:color="000000" w:sz="4" w:space="0"/>
                    <w:right w:val="single" w:color="000000" w:sz="4" w:space="0"/>
                  </w:tcBorders>
                  <w:vAlign w:val="center"/>
                </w:tcPr>
                <w:p w14:paraId="2A95947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本项目位于</w:t>
                  </w:r>
                  <w:r>
                    <w:rPr>
                      <w:rFonts w:hint="eastAsia" w:ascii="Times New Roman" w:hAnsi="Times New Roman"/>
                      <w:spacing w:val="-2"/>
                      <w:sz w:val="21"/>
                      <w:szCs w:val="21"/>
                      <w:lang w:eastAsia="zh-CN"/>
                    </w:rPr>
                    <w:t>吉木萨尔县庆阳湖乡二工梁村</w:t>
                  </w:r>
                  <w:r>
                    <w:rPr>
                      <w:rFonts w:ascii="Times New Roman" w:hAnsi="Times New Roman"/>
                      <w:spacing w:val="-2"/>
                      <w:sz w:val="21"/>
                      <w:szCs w:val="21"/>
                      <w:lang w:eastAsia="zh-CN"/>
                    </w:rPr>
                    <w:t>，对照国家发展改革委和商务部发布的《市场准入负面清单</w:t>
                  </w:r>
                  <w:r>
                    <w:rPr>
                      <w:rFonts w:hint="eastAsia" w:ascii="Times New Roman" w:hAnsi="Times New Roman"/>
                      <w:spacing w:val="-2"/>
                      <w:sz w:val="21"/>
                      <w:szCs w:val="21"/>
                      <w:lang w:eastAsia="zh-CN"/>
                    </w:rPr>
                    <w:t>（</w:t>
                  </w:r>
                  <w:r>
                    <w:rPr>
                      <w:rFonts w:ascii="Times New Roman" w:hAnsi="Times New Roman"/>
                      <w:spacing w:val="-2"/>
                      <w:sz w:val="21"/>
                      <w:szCs w:val="21"/>
                      <w:lang w:eastAsia="zh-CN"/>
                    </w:rPr>
                    <w:t>202</w:t>
                  </w:r>
                  <w:r>
                    <w:rPr>
                      <w:rFonts w:hint="eastAsia" w:ascii="Times New Roman" w:hAnsi="Times New Roman"/>
                      <w:spacing w:val="-2"/>
                      <w:sz w:val="21"/>
                      <w:szCs w:val="21"/>
                      <w:lang w:val="en-US" w:eastAsia="zh-CN"/>
                    </w:rPr>
                    <w:t>5</w:t>
                  </w:r>
                  <w:r>
                    <w:rPr>
                      <w:rFonts w:ascii="Times New Roman" w:hAnsi="Times New Roman"/>
                      <w:spacing w:val="-2"/>
                      <w:sz w:val="21"/>
                      <w:szCs w:val="21"/>
                      <w:lang w:eastAsia="zh-CN"/>
                    </w:rPr>
                    <w:t>年版</w:t>
                  </w:r>
                  <w:r>
                    <w:rPr>
                      <w:rFonts w:hint="eastAsia" w:ascii="Times New Roman" w:hAnsi="Times New Roman"/>
                      <w:spacing w:val="-2"/>
                      <w:sz w:val="21"/>
                      <w:szCs w:val="21"/>
                      <w:lang w:eastAsia="zh-CN"/>
                    </w:rPr>
                    <w:t>）</w:t>
                  </w:r>
                  <w:r>
                    <w:rPr>
                      <w:rFonts w:ascii="Times New Roman" w:hAnsi="Times New Roman"/>
                      <w:spacing w:val="-2"/>
                      <w:sz w:val="21"/>
                      <w:szCs w:val="21"/>
                      <w:lang w:eastAsia="zh-CN"/>
                    </w:rPr>
                    <w:t>》</w:t>
                  </w:r>
                  <w:r>
                    <w:rPr>
                      <w:rFonts w:hint="eastAsia" w:ascii="Times New Roman" w:hAnsi="Times New Roman"/>
                      <w:spacing w:val="-2"/>
                      <w:sz w:val="21"/>
                      <w:szCs w:val="21"/>
                      <w:lang w:eastAsia="zh-CN"/>
                    </w:rPr>
                    <w:t>，</w:t>
                  </w:r>
                  <w:r>
                    <w:rPr>
                      <w:rFonts w:ascii="Times New Roman" w:hAnsi="Times New Roman"/>
                      <w:spacing w:val="-2"/>
                      <w:sz w:val="21"/>
                      <w:szCs w:val="21"/>
                      <w:lang w:eastAsia="zh-CN"/>
                    </w:rPr>
                    <w:t>属于许可准入类。</w:t>
                  </w:r>
                </w:p>
              </w:tc>
              <w:tc>
                <w:tcPr>
                  <w:tcW w:w="407" w:type="pct"/>
                  <w:tcBorders>
                    <w:top w:val="single" w:color="000000" w:sz="4" w:space="0"/>
                    <w:left w:val="single" w:color="000000" w:sz="4" w:space="0"/>
                    <w:bottom w:val="single" w:color="000000" w:sz="4" w:space="0"/>
                    <w:right w:val="single" w:color="000000" w:sz="4" w:space="0"/>
                  </w:tcBorders>
                  <w:vAlign w:val="center"/>
                </w:tcPr>
                <w:p w14:paraId="309165C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符合</w:t>
                  </w:r>
                </w:p>
              </w:tc>
            </w:tr>
          </w:tbl>
          <w:p w14:paraId="15CB5870">
            <w:pPr>
              <w:pStyle w:val="20"/>
              <w:spacing w:line="360" w:lineRule="auto"/>
              <w:ind w:firstLine="456" w:firstLineChars="200"/>
              <w:jc w:val="both"/>
              <w:rPr>
                <w:rFonts w:ascii="Times New Roman" w:hAnsi="Times New Roman"/>
                <w:spacing w:val="-6"/>
                <w:lang w:eastAsia="zh-CN"/>
              </w:rPr>
            </w:pPr>
            <w:r>
              <w:rPr>
                <w:rFonts w:hint="eastAsia" w:ascii="Times New Roman" w:hAnsi="Times New Roman"/>
                <w:spacing w:val="-6"/>
                <w:lang w:eastAsia="zh-CN"/>
              </w:rPr>
              <w:t>综上，本项目的建设符合《新疆维吾尔自治区“三线一单”生态环境分区管控方案》的相关规定。本项目在新疆维吾尔自治区环境管控单元中的位置见附图3。</w:t>
            </w:r>
          </w:p>
          <w:p w14:paraId="39FA6581">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与《昌吉回族自治州区域空间生态环境评价暨“三线一单”生态环境准入清单》动态更新成果符合性分析</w:t>
            </w:r>
          </w:p>
          <w:p w14:paraId="480646B1">
            <w:pPr>
              <w:pStyle w:val="20"/>
              <w:spacing w:line="360" w:lineRule="auto"/>
              <w:ind w:firstLine="456" w:firstLineChars="200"/>
              <w:jc w:val="both"/>
              <w:rPr>
                <w:rFonts w:ascii="Times New Roman" w:hAnsi="Times New Roman"/>
                <w:spacing w:val="-6"/>
                <w:lang w:eastAsia="zh-CN"/>
              </w:rPr>
            </w:pPr>
            <w:r>
              <w:rPr>
                <w:rFonts w:hint="eastAsia" w:ascii="Times New Roman" w:hAnsi="Times New Roman"/>
                <w:spacing w:val="-6"/>
                <w:lang w:eastAsia="zh-CN"/>
              </w:rPr>
              <w:t>本项目位于《昌吉回族自治州区域空间生态环境评价暨“三线一单”生态环境准入清单》动态更新成果中的一般管控单元——吉木萨尔县一般管控单元，相符性分析具体见表1-3。项目在昌吉回族自治州环境管控单元中的位置见附图4。</w:t>
            </w:r>
          </w:p>
          <w:p w14:paraId="21F68EC3">
            <w:pPr>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表1-3项目与《昌吉回族自治州区域空间生态环境评价暨“三线一单”生态环境准入清单》动态更新成果符合性分析表</w:t>
            </w:r>
          </w:p>
          <w:tbl>
            <w:tblPr>
              <w:tblStyle w:val="14"/>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527"/>
              <w:gridCol w:w="527"/>
              <w:gridCol w:w="2459"/>
              <w:gridCol w:w="2305"/>
              <w:gridCol w:w="635"/>
            </w:tblGrid>
            <w:tr w14:paraId="1AFC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pct"/>
                  <w:vAlign w:val="center"/>
                </w:tcPr>
                <w:p w14:paraId="0243A94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环境管控单元编码</w:t>
                  </w:r>
                </w:p>
              </w:tc>
              <w:tc>
                <w:tcPr>
                  <w:tcW w:w="325" w:type="pct"/>
                  <w:vAlign w:val="center"/>
                </w:tcPr>
                <w:p w14:paraId="65E80FC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环境管控单元名称</w:t>
                  </w:r>
                </w:p>
              </w:tc>
              <w:tc>
                <w:tcPr>
                  <w:tcW w:w="325" w:type="pct"/>
                  <w:vAlign w:val="center"/>
                </w:tcPr>
                <w:p w14:paraId="7B48CFE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环境管控单元类别</w:t>
                  </w:r>
                </w:p>
              </w:tc>
              <w:tc>
                <w:tcPr>
                  <w:tcW w:w="1517" w:type="pct"/>
                  <w:vAlign w:val="center"/>
                </w:tcPr>
                <w:p w14:paraId="6521FA1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管控要求</w:t>
                  </w:r>
                </w:p>
              </w:tc>
              <w:tc>
                <w:tcPr>
                  <w:tcW w:w="1422" w:type="pct"/>
                  <w:vAlign w:val="center"/>
                </w:tcPr>
                <w:p w14:paraId="7E9306D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本项目情况</w:t>
                  </w:r>
                </w:p>
              </w:tc>
              <w:tc>
                <w:tcPr>
                  <w:tcW w:w="391" w:type="pct"/>
                  <w:vAlign w:val="center"/>
                </w:tcPr>
                <w:p w14:paraId="43733830">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符合性</w:t>
                  </w:r>
                </w:p>
              </w:tc>
            </w:tr>
            <w:tr w14:paraId="6DDD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pct"/>
                  <w:vMerge w:val="restart"/>
                  <w:vAlign w:val="center"/>
                </w:tcPr>
                <w:p w14:paraId="4B9FE88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ZH65232730001</w:t>
                  </w:r>
                </w:p>
              </w:tc>
              <w:tc>
                <w:tcPr>
                  <w:tcW w:w="325" w:type="pct"/>
                  <w:vMerge w:val="restart"/>
                  <w:vAlign w:val="center"/>
                </w:tcPr>
                <w:p w14:paraId="7AA97FB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吉木萨尔</w:t>
                  </w:r>
                </w:p>
                <w:p w14:paraId="328FF7A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县一般管</w:t>
                  </w:r>
                </w:p>
                <w:p w14:paraId="3268C24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控单元</w:t>
                  </w:r>
                </w:p>
              </w:tc>
              <w:tc>
                <w:tcPr>
                  <w:tcW w:w="325" w:type="pct"/>
                  <w:vMerge w:val="restart"/>
                  <w:vAlign w:val="center"/>
                </w:tcPr>
                <w:p w14:paraId="7449066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一般管控</w:t>
                  </w:r>
                </w:p>
                <w:p w14:paraId="75D4D372">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单元</w:t>
                  </w:r>
                </w:p>
              </w:tc>
              <w:tc>
                <w:tcPr>
                  <w:tcW w:w="1517" w:type="pct"/>
                  <w:vAlign w:val="center"/>
                </w:tcPr>
                <w:p w14:paraId="64F7450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1、开发建设活动应符合国土空间规划要求。</w:t>
                  </w:r>
                  <w:r>
                    <w:rPr>
                      <w:rFonts w:hint="eastAsia" w:ascii="Times New Roman" w:hAnsi="Times New Roman"/>
                      <w:spacing w:val="-2"/>
                      <w:sz w:val="21"/>
                      <w:szCs w:val="21"/>
                      <w:lang w:eastAsia="zh-CN"/>
                    </w:rPr>
                    <w:br w:type="textWrapping"/>
                  </w:r>
                  <w:r>
                    <w:rPr>
                      <w:rFonts w:hint="eastAsia" w:ascii="Times New Roman" w:hAnsi="Times New Roman"/>
                      <w:spacing w:val="-2"/>
                      <w:sz w:val="21"/>
                      <w:szCs w:val="21"/>
                      <w:lang w:eastAsia="zh-CN"/>
                    </w:rPr>
                    <w:t>2、应符合《产业结构调整指导目录（2024年本）》《市场准入负面清单（2022年版）》。</w:t>
                  </w:r>
                </w:p>
              </w:tc>
              <w:tc>
                <w:tcPr>
                  <w:tcW w:w="1422" w:type="pct"/>
                  <w:vAlign w:val="center"/>
                </w:tcPr>
                <w:p w14:paraId="2D1724A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本项目不属于《产业结构调整指导目录（2024年本）》中淘汰类及限制类项目”，本项目为允许类项目，符合国家产业政策等要求。本项目不属于《市场准入负面清单（202</w:t>
                  </w:r>
                  <w:r>
                    <w:rPr>
                      <w:rFonts w:hint="eastAsia" w:ascii="Times New Roman" w:hAnsi="Times New Roman"/>
                      <w:spacing w:val="-2"/>
                      <w:sz w:val="21"/>
                      <w:szCs w:val="21"/>
                      <w:lang w:val="en-US" w:eastAsia="zh-CN"/>
                    </w:rPr>
                    <w:t>5</w:t>
                  </w:r>
                  <w:r>
                    <w:rPr>
                      <w:rFonts w:hint="eastAsia" w:ascii="Times New Roman" w:hAnsi="Times New Roman"/>
                      <w:spacing w:val="-2"/>
                      <w:sz w:val="21"/>
                      <w:szCs w:val="21"/>
                      <w:lang w:eastAsia="zh-CN"/>
                    </w:rPr>
                    <w:t>年版）》</w:t>
                  </w:r>
                </w:p>
                <w:p w14:paraId="1214E1D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本项目为透水砖厂建设项目，是一种无定型水泥基材料，符合《吉木萨尔县总体规划（2014—2030年）》的要求。</w:t>
                  </w:r>
                </w:p>
              </w:tc>
              <w:tc>
                <w:tcPr>
                  <w:tcW w:w="391" w:type="pct"/>
                  <w:vAlign w:val="center"/>
                </w:tcPr>
                <w:p w14:paraId="719CB3E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r w14:paraId="40B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pct"/>
                  <w:vMerge w:val="continue"/>
                  <w:vAlign w:val="center"/>
                </w:tcPr>
                <w:p w14:paraId="1A9B30DB">
                  <w:pPr>
                    <w:pStyle w:val="20"/>
                    <w:widowControl/>
                    <w:jc w:val="center"/>
                    <w:rPr>
                      <w:rFonts w:ascii="Times New Roman" w:hAnsi="Times New Roman"/>
                      <w:spacing w:val="-2"/>
                      <w:sz w:val="21"/>
                      <w:szCs w:val="21"/>
                      <w:lang w:eastAsia="zh-CN"/>
                    </w:rPr>
                  </w:pPr>
                </w:p>
              </w:tc>
              <w:tc>
                <w:tcPr>
                  <w:tcW w:w="325" w:type="pct"/>
                  <w:vMerge w:val="continue"/>
                  <w:vAlign w:val="center"/>
                </w:tcPr>
                <w:p w14:paraId="239DB4AE">
                  <w:pPr>
                    <w:pStyle w:val="20"/>
                    <w:widowControl/>
                    <w:jc w:val="center"/>
                    <w:rPr>
                      <w:rFonts w:ascii="Times New Roman" w:hAnsi="Times New Roman"/>
                      <w:spacing w:val="-2"/>
                      <w:sz w:val="21"/>
                      <w:szCs w:val="21"/>
                      <w:lang w:eastAsia="zh-CN"/>
                    </w:rPr>
                  </w:pPr>
                </w:p>
              </w:tc>
              <w:tc>
                <w:tcPr>
                  <w:tcW w:w="325" w:type="pct"/>
                  <w:vMerge w:val="continue"/>
                  <w:vAlign w:val="center"/>
                </w:tcPr>
                <w:p w14:paraId="2EB937E5">
                  <w:pPr>
                    <w:pStyle w:val="20"/>
                    <w:widowControl/>
                    <w:jc w:val="center"/>
                    <w:rPr>
                      <w:rFonts w:ascii="Times New Roman" w:hAnsi="Times New Roman"/>
                      <w:spacing w:val="-2"/>
                      <w:sz w:val="21"/>
                      <w:szCs w:val="21"/>
                      <w:lang w:eastAsia="zh-CN"/>
                    </w:rPr>
                  </w:pPr>
                </w:p>
              </w:tc>
              <w:tc>
                <w:tcPr>
                  <w:tcW w:w="1517" w:type="pct"/>
                  <w:vAlign w:val="center"/>
                </w:tcPr>
                <w:p w14:paraId="5E96648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1、污染物排放管控执行国家和地方相关标准中普适性要求。</w:t>
                  </w:r>
                  <w:r>
                    <w:rPr>
                      <w:rFonts w:hint="eastAsia" w:ascii="Times New Roman" w:hAnsi="Times New Roman"/>
                      <w:spacing w:val="-2"/>
                      <w:sz w:val="21"/>
                      <w:szCs w:val="21"/>
                      <w:lang w:eastAsia="zh-CN"/>
                    </w:rPr>
                    <w:br w:type="textWrapping"/>
                  </w:r>
                  <w:r>
                    <w:rPr>
                      <w:rFonts w:hint="eastAsia" w:ascii="Times New Roman" w:hAnsi="Times New Roman"/>
                      <w:spacing w:val="-2"/>
                      <w:sz w:val="21"/>
                      <w:szCs w:val="21"/>
                      <w:lang w:eastAsia="zh-CN"/>
                    </w:rPr>
                    <w:t>2、加强农业面源污染治理，科学合理使用化肥农药，逐步削减农业面源污染物排放量。</w:t>
                  </w:r>
                  <w:r>
                    <w:rPr>
                      <w:rFonts w:hint="eastAsia" w:ascii="Times New Roman" w:hAnsi="Times New Roman"/>
                      <w:spacing w:val="-2"/>
                      <w:sz w:val="21"/>
                      <w:szCs w:val="21"/>
                      <w:lang w:eastAsia="zh-CN"/>
                    </w:rPr>
                    <w:br w:type="textWrapping"/>
                  </w:r>
                  <w:r>
                    <w:rPr>
                      <w:rFonts w:hint="eastAsia" w:ascii="Times New Roman" w:hAnsi="Times New Roman"/>
                      <w:spacing w:val="-2"/>
                      <w:sz w:val="21"/>
                      <w:szCs w:val="21"/>
                      <w:lang w:eastAsia="zh-CN"/>
                    </w:rPr>
                    <w:t>3、施工工地全面落实“六个百分之百”（施工工地周边围挡、物料堆放覆盖、出入车辆冲洗、施工现场地面硬化、拆迁工地湿法作业、渣土车辆密闭运输）。</w:t>
                  </w:r>
                </w:p>
              </w:tc>
              <w:tc>
                <w:tcPr>
                  <w:tcW w:w="1422" w:type="pct"/>
                  <w:vAlign w:val="center"/>
                </w:tcPr>
                <w:p w14:paraId="5C39D850">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eastAsia="zh-CN"/>
                    </w:rPr>
                    <w:t>本项目</w:t>
                  </w:r>
                  <w:r>
                    <w:rPr>
                      <w:rFonts w:hint="eastAsia" w:ascii="Times New Roman" w:hAnsi="Times New Roman"/>
                      <w:spacing w:val="-2"/>
                      <w:sz w:val="21"/>
                      <w:szCs w:val="21"/>
                      <w:lang w:val="en-US" w:eastAsia="zh-CN"/>
                    </w:rPr>
                    <w:t>运营过程中</w:t>
                  </w:r>
                  <w:r>
                    <w:rPr>
                      <w:rFonts w:hint="eastAsia" w:ascii="Times New Roman" w:hAnsi="Times New Roman"/>
                      <w:spacing w:val="-2"/>
                      <w:sz w:val="21"/>
                      <w:szCs w:val="21"/>
                      <w:lang w:eastAsia="zh-CN"/>
                    </w:rPr>
                    <w:t>产生的废气、废水、噪声、固废等污染物均采取了严格的治理和处置措施，污染物能达标排放，采取相应措施后能够满足相关标准要求；</w:t>
                  </w:r>
                  <w:r>
                    <w:rPr>
                      <w:rFonts w:hint="eastAsia" w:ascii="Times New Roman" w:hAnsi="Times New Roman"/>
                      <w:spacing w:val="-2"/>
                      <w:sz w:val="21"/>
                      <w:szCs w:val="21"/>
                      <w:lang w:val="en-US" w:eastAsia="zh-CN"/>
                    </w:rPr>
                    <w:t>本项目施工期已结束，施工过程中未收到相关投诉</w:t>
                  </w:r>
                </w:p>
              </w:tc>
              <w:tc>
                <w:tcPr>
                  <w:tcW w:w="391" w:type="pct"/>
                  <w:vAlign w:val="center"/>
                </w:tcPr>
                <w:p w14:paraId="2AFE769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r w14:paraId="4695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pct"/>
                  <w:vMerge w:val="continue"/>
                  <w:vAlign w:val="center"/>
                </w:tcPr>
                <w:p w14:paraId="5263A514">
                  <w:pPr>
                    <w:pStyle w:val="20"/>
                    <w:widowControl/>
                    <w:jc w:val="center"/>
                    <w:rPr>
                      <w:rFonts w:ascii="Times New Roman" w:hAnsi="Times New Roman"/>
                      <w:spacing w:val="-2"/>
                      <w:sz w:val="21"/>
                      <w:szCs w:val="21"/>
                      <w:lang w:eastAsia="zh-CN"/>
                    </w:rPr>
                  </w:pPr>
                </w:p>
              </w:tc>
              <w:tc>
                <w:tcPr>
                  <w:tcW w:w="325" w:type="pct"/>
                  <w:vMerge w:val="continue"/>
                  <w:vAlign w:val="center"/>
                </w:tcPr>
                <w:p w14:paraId="76D4E292">
                  <w:pPr>
                    <w:pStyle w:val="20"/>
                    <w:widowControl/>
                    <w:jc w:val="center"/>
                    <w:rPr>
                      <w:rFonts w:ascii="Times New Roman" w:hAnsi="Times New Roman"/>
                      <w:spacing w:val="-2"/>
                      <w:sz w:val="21"/>
                      <w:szCs w:val="21"/>
                      <w:lang w:eastAsia="zh-CN"/>
                    </w:rPr>
                  </w:pPr>
                </w:p>
              </w:tc>
              <w:tc>
                <w:tcPr>
                  <w:tcW w:w="325" w:type="pct"/>
                  <w:vMerge w:val="continue"/>
                  <w:vAlign w:val="center"/>
                </w:tcPr>
                <w:p w14:paraId="334E87D3">
                  <w:pPr>
                    <w:pStyle w:val="20"/>
                    <w:widowControl/>
                    <w:jc w:val="center"/>
                    <w:rPr>
                      <w:rFonts w:ascii="Times New Roman" w:hAnsi="Times New Roman"/>
                      <w:spacing w:val="-2"/>
                      <w:sz w:val="21"/>
                      <w:szCs w:val="21"/>
                      <w:lang w:eastAsia="zh-CN"/>
                    </w:rPr>
                  </w:pPr>
                </w:p>
              </w:tc>
              <w:tc>
                <w:tcPr>
                  <w:tcW w:w="1517" w:type="pct"/>
                  <w:vAlign w:val="center"/>
                </w:tcPr>
                <w:p w14:paraId="1D1B602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1、执行区域生态环境保护的基本要求。</w:t>
                  </w:r>
                  <w:r>
                    <w:rPr>
                      <w:rFonts w:hint="eastAsia" w:ascii="Times New Roman" w:hAnsi="Times New Roman"/>
                      <w:spacing w:val="-2"/>
                      <w:sz w:val="21"/>
                      <w:szCs w:val="21"/>
                      <w:lang w:eastAsia="zh-CN"/>
                    </w:rPr>
                    <w:br w:type="textWrapping"/>
                  </w:r>
                  <w:r>
                    <w:rPr>
                      <w:rFonts w:hint="eastAsia" w:ascii="Times New Roman" w:hAnsi="Times New Roman"/>
                      <w:spacing w:val="-2"/>
                      <w:sz w:val="21"/>
                      <w:szCs w:val="21"/>
                      <w:lang w:eastAsia="zh-CN"/>
                    </w:rPr>
                    <w:t>2、执行昌吉州总体准入清单中的要求。</w:t>
                  </w:r>
                </w:p>
              </w:tc>
              <w:tc>
                <w:tcPr>
                  <w:tcW w:w="1422" w:type="pct"/>
                  <w:vAlign w:val="center"/>
                </w:tcPr>
                <w:p w14:paraId="297E8BF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本项目不属于《产业结构调整指导目录（2024年本）》中淘汰类及限制类项目”，本项目为允许类项目，符合国家产业政策等要求。本项目不属于《市场准入负面清单（202</w:t>
                  </w:r>
                  <w:r>
                    <w:rPr>
                      <w:rFonts w:hint="eastAsia" w:ascii="Times New Roman" w:hAnsi="Times New Roman"/>
                      <w:spacing w:val="-2"/>
                      <w:sz w:val="21"/>
                      <w:szCs w:val="21"/>
                      <w:lang w:val="en-US" w:eastAsia="zh-CN"/>
                    </w:rPr>
                    <w:t>5</w:t>
                  </w:r>
                  <w:r>
                    <w:rPr>
                      <w:rFonts w:hint="eastAsia" w:ascii="Times New Roman" w:hAnsi="Times New Roman"/>
                      <w:spacing w:val="-2"/>
                      <w:sz w:val="21"/>
                      <w:szCs w:val="21"/>
                      <w:lang w:eastAsia="zh-CN"/>
                    </w:rPr>
                    <w:t>年版）》；</w:t>
                  </w:r>
                  <w:r>
                    <w:rPr>
                      <w:rFonts w:ascii="Times New Roman" w:hAnsi="Times New Roman"/>
                      <w:spacing w:val="-2"/>
                      <w:sz w:val="21"/>
                      <w:szCs w:val="21"/>
                      <w:lang w:eastAsia="zh-CN"/>
                    </w:rPr>
                    <w:t>本项目位于</w:t>
                  </w:r>
                  <w:r>
                    <w:rPr>
                      <w:rFonts w:hint="eastAsia" w:ascii="Times New Roman" w:hAnsi="Times New Roman"/>
                      <w:spacing w:val="-2"/>
                      <w:sz w:val="21"/>
                      <w:szCs w:val="21"/>
                      <w:lang w:eastAsia="zh-CN"/>
                    </w:rPr>
                    <w:t>木萨尔县庆阳湖乡二工梁村</w:t>
                  </w:r>
                  <w:r>
                    <w:rPr>
                      <w:rFonts w:ascii="Times New Roman" w:hAnsi="Times New Roman"/>
                      <w:spacing w:val="-2"/>
                      <w:sz w:val="21"/>
                      <w:szCs w:val="21"/>
                      <w:lang w:eastAsia="zh-CN"/>
                    </w:rPr>
                    <w:t>，不在生态保护红线规划范围内。</w:t>
                  </w:r>
                </w:p>
              </w:tc>
              <w:tc>
                <w:tcPr>
                  <w:tcW w:w="391" w:type="pct"/>
                  <w:vAlign w:val="center"/>
                </w:tcPr>
                <w:p w14:paraId="6671675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r w14:paraId="1767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pct"/>
                  <w:vMerge w:val="continue"/>
                  <w:vAlign w:val="center"/>
                </w:tcPr>
                <w:p w14:paraId="299E25E6">
                  <w:pPr>
                    <w:pStyle w:val="20"/>
                    <w:widowControl/>
                    <w:jc w:val="center"/>
                    <w:rPr>
                      <w:rFonts w:ascii="Times New Roman" w:hAnsi="Times New Roman"/>
                      <w:spacing w:val="-2"/>
                      <w:sz w:val="21"/>
                      <w:szCs w:val="21"/>
                      <w:lang w:eastAsia="zh-CN"/>
                    </w:rPr>
                  </w:pPr>
                </w:p>
              </w:tc>
              <w:tc>
                <w:tcPr>
                  <w:tcW w:w="325" w:type="pct"/>
                  <w:vMerge w:val="continue"/>
                  <w:vAlign w:val="center"/>
                </w:tcPr>
                <w:p w14:paraId="5FC36A93">
                  <w:pPr>
                    <w:pStyle w:val="20"/>
                    <w:widowControl/>
                    <w:jc w:val="center"/>
                    <w:rPr>
                      <w:rFonts w:ascii="Times New Roman" w:hAnsi="Times New Roman"/>
                      <w:spacing w:val="-2"/>
                      <w:sz w:val="21"/>
                      <w:szCs w:val="21"/>
                      <w:lang w:eastAsia="zh-CN"/>
                    </w:rPr>
                  </w:pPr>
                </w:p>
              </w:tc>
              <w:tc>
                <w:tcPr>
                  <w:tcW w:w="325" w:type="pct"/>
                  <w:vMerge w:val="continue"/>
                  <w:vAlign w:val="center"/>
                </w:tcPr>
                <w:p w14:paraId="37618C1A">
                  <w:pPr>
                    <w:pStyle w:val="20"/>
                    <w:widowControl/>
                    <w:jc w:val="center"/>
                    <w:rPr>
                      <w:rFonts w:ascii="Times New Roman" w:hAnsi="Times New Roman"/>
                      <w:spacing w:val="-2"/>
                      <w:sz w:val="21"/>
                      <w:szCs w:val="21"/>
                      <w:lang w:eastAsia="zh-CN"/>
                    </w:rPr>
                  </w:pPr>
                </w:p>
              </w:tc>
              <w:tc>
                <w:tcPr>
                  <w:tcW w:w="1517" w:type="pct"/>
                  <w:vAlign w:val="center"/>
                </w:tcPr>
                <w:p w14:paraId="6D85586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1、执行区域资源能源利用的基本要求。</w:t>
                  </w:r>
                  <w:r>
                    <w:rPr>
                      <w:rFonts w:hint="eastAsia" w:ascii="Times New Roman" w:hAnsi="Times New Roman"/>
                      <w:spacing w:val="-2"/>
                      <w:sz w:val="21"/>
                      <w:szCs w:val="21"/>
                      <w:lang w:eastAsia="zh-CN"/>
                    </w:rPr>
                    <w:br w:type="textWrapping"/>
                  </w:r>
                  <w:r>
                    <w:rPr>
                      <w:rFonts w:hint="eastAsia" w:ascii="Times New Roman" w:hAnsi="Times New Roman"/>
                      <w:spacing w:val="-2"/>
                      <w:sz w:val="21"/>
                      <w:szCs w:val="21"/>
                      <w:lang w:eastAsia="zh-CN"/>
                    </w:rPr>
                    <w:t>2、执行昌吉州总体准入清单中的要求。</w:t>
                  </w:r>
                </w:p>
              </w:tc>
              <w:tc>
                <w:tcPr>
                  <w:tcW w:w="1422" w:type="pct"/>
                  <w:vAlign w:val="center"/>
                </w:tcPr>
                <w:p w14:paraId="63D5C7E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本项目不属于《产业结构调整指导目录（2024年本）》中淘汰类及限制类项目”，本项目为允许类项目，符合国家产业政策等要求。本项目不属于《市场准入负面清单（202</w:t>
                  </w:r>
                  <w:r>
                    <w:rPr>
                      <w:rFonts w:hint="eastAsia" w:ascii="Times New Roman" w:hAnsi="Times New Roman"/>
                      <w:spacing w:val="-2"/>
                      <w:sz w:val="21"/>
                      <w:szCs w:val="21"/>
                      <w:lang w:val="en-US" w:eastAsia="zh-CN"/>
                    </w:rPr>
                    <w:t>5</w:t>
                  </w:r>
                  <w:r>
                    <w:rPr>
                      <w:rFonts w:hint="eastAsia" w:ascii="Times New Roman" w:hAnsi="Times New Roman"/>
                      <w:spacing w:val="-2"/>
                      <w:sz w:val="21"/>
                      <w:szCs w:val="21"/>
                      <w:lang w:eastAsia="zh-CN"/>
                    </w:rPr>
                    <w:t>年版）》；</w:t>
                  </w:r>
                  <w:r>
                    <w:rPr>
                      <w:rFonts w:ascii="Times New Roman" w:hAnsi="Times New Roman"/>
                      <w:spacing w:val="-2"/>
                      <w:sz w:val="21"/>
                      <w:szCs w:val="21"/>
                      <w:lang w:eastAsia="zh-CN"/>
                    </w:rPr>
                    <w:t>本项目位于</w:t>
                  </w:r>
                  <w:r>
                    <w:rPr>
                      <w:rFonts w:hint="eastAsia" w:ascii="Times New Roman" w:hAnsi="Times New Roman"/>
                      <w:spacing w:val="-2"/>
                      <w:sz w:val="21"/>
                      <w:szCs w:val="21"/>
                      <w:lang w:eastAsia="zh-CN"/>
                    </w:rPr>
                    <w:t>木萨尔县庆阳湖乡二工梁村</w:t>
                  </w:r>
                  <w:r>
                    <w:rPr>
                      <w:rFonts w:ascii="Times New Roman" w:hAnsi="Times New Roman"/>
                      <w:spacing w:val="-2"/>
                      <w:sz w:val="21"/>
                      <w:szCs w:val="21"/>
                      <w:lang w:eastAsia="zh-CN"/>
                    </w:rPr>
                    <w:t>，不在生态保护红线规划范围内。</w:t>
                  </w:r>
                </w:p>
              </w:tc>
              <w:tc>
                <w:tcPr>
                  <w:tcW w:w="391" w:type="pct"/>
                  <w:vAlign w:val="center"/>
                </w:tcPr>
                <w:p w14:paraId="1ADD5DA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bl>
          <w:p w14:paraId="67D09906">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产业政策符合性分析</w:t>
            </w:r>
          </w:p>
          <w:p w14:paraId="2B74B8C1">
            <w:pPr>
              <w:pStyle w:val="20"/>
              <w:spacing w:line="360" w:lineRule="auto"/>
              <w:ind w:firstLine="456" w:firstLineChars="200"/>
              <w:jc w:val="both"/>
              <w:rPr>
                <w:rFonts w:ascii="Times New Roman" w:hAnsi="Times New Roman"/>
                <w:spacing w:val="-6"/>
                <w:lang w:eastAsia="zh-CN"/>
              </w:rPr>
            </w:pPr>
            <w:r>
              <w:rPr>
                <w:rFonts w:hint="eastAsia" w:ascii="Times New Roman" w:hAnsi="Times New Roman"/>
                <w:spacing w:val="-6"/>
                <w:lang w:eastAsia="zh-CN"/>
              </w:rPr>
              <w:t>本项目为透水砖厂建设项目，对照《产业结构调整指导目录（2024年本）》的规定，本项目不属于鼓励类、限制类和淘汰类，根据国务院《促进产业结构调整暂行规定》（国发〔2005〕40号）中第十三条：“不属于鼓励类、限制类和淘汰类，且符合国家有关法律、法规和政策规定的，为允许类。故本项目为允许类项目，项目建设符合国家产业政策要求。</w:t>
            </w:r>
          </w:p>
          <w:p w14:paraId="46D3F649">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与《新疆生态环境保护“十四五”规划》的符合性分析</w:t>
            </w:r>
          </w:p>
          <w:p w14:paraId="75BAEB8B">
            <w:pPr>
              <w:pStyle w:val="20"/>
              <w:spacing w:line="360" w:lineRule="auto"/>
              <w:ind w:firstLine="456" w:firstLineChars="200"/>
              <w:jc w:val="both"/>
              <w:rPr>
                <w:rFonts w:ascii="Times New Roman" w:hAnsi="Times New Roman"/>
                <w:color w:val="auto"/>
                <w:spacing w:val="-6"/>
                <w:lang w:eastAsia="zh-CN"/>
              </w:rPr>
            </w:pPr>
            <w:r>
              <w:rPr>
                <w:rFonts w:hint="eastAsia" w:ascii="Times New Roman" w:hAnsi="Times New Roman"/>
                <w:color w:val="auto"/>
                <w:spacing w:val="-6"/>
                <w:lang w:eastAsia="zh-CN"/>
              </w:rPr>
              <w:t>《新疆生态环境保护“十四五”规划》第五章加强协同控制，改善大气环境中第三节持续推进涉气污染源治理提出“实施重点行业氮氧化物（以下简称“NOx”）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15D26ECF">
            <w:pPr>
              <w:spacing w:line="360" w:lineRule="auto"/>
              <w:ind w:firstLine="456" w:firstLineChars="200"/>
              <w:rPr>
                <w:rFonts w:ascii="Times New Roman" w:hAnsi="Times New Roman" w:eastAsia="宋体" w:cs="宋体"/>
                <w:color w:val="auto"/>
                <w:spacing w:val="-6"/>
                <w:sz w:val="24"/>
                <w:szCs w:val="24"/>
                <w:lang w:eastAsia="zh-CN"/>
              </w:rPr>
            </w:pPr>
            <w:r>
              <w:rPr>
                <w:rFonts w:hint="eastAsia" w:ascii="Times New Roman" w:hAnsi="Times New Roman" w:eastAsia="宋体" w:cs="宋体"/>
                <w:color w:val="auto"/>
                <w:spacing w:val="-6"/>
                <w:sz w:val="24"/>
                <w:szCs w:val="24"/>
                <w:lang w:eastAsia="zh-CN"/>
              </w:rPr>
              <w:t>本项目为制砖项目，项目严格执行环评中所提出的废气治理措施后对环境空气影响较小，本环评要求</w:t>
            </w:r>
            <w:r>
              <w:rPr>
                <w:rFonts w:ascii="Times New Roman" w:hAnsi="Times New Roman" w:eastAsia="宋体" w:cs="宋体"/>
                <w:color w:val="auto"/>
                <w:spacing w:val="-6"/>
                <w:sz w:val="24"/>
                <w:szCs w:val="24"/>
                <w:lang w:eastAsia="zh-CN"/>
              </w:rPr>
              <w:t>原</w:t>
            </w:r>
            <w:r>
              <w:rPr>
                <w:rFonts w:hint="eastAsia" w:ascii="Times New Roman" w:hAnsi="Times New Roman" w:eastAsia="宋体" w:cs="宋体"/>
                <w:color w:val="auto"/>
                <w:spacing w:val="-6"/>
                <w:sz w:val="24"/>
                <w:szCs w:val="24"/>
                <w:lang w:eastAsia="zh-CN"/>
              </w:rPr>
              <w:t>料</w:t>
            </w:r>
            <w:r>
              <w:rPr>
                <w:rFonts w:ascii="Times New Roman" w:hAnsi="Times New Roman" w:eastAsia="宋体" w:cs="宋体"/>
                <w:color w:val="auto"/>
                <w:spacing w:val="-6"/>
                <w:sz w:val="24"/>
                <w:szCs w:val="24"/>
                <w:lang w:eastAsia="zh-CN"/>
              </w:rPr>
              <w:t>堆场采用</w:t>
            </w:r>
            <w:r>
              <w:rPr>
                <w:rFonts w:hint="eastAsia" w:ascii="Times New Roman" w:hAnsi="Times New Roman" w:eastAsia="宋体" w:cs="宋体"/>
                <w:color w:val="auto"/>
                <w:spacing w:val="-6"/>
                <w:sz w:val="24"/>
                <w:szCs w:val="24"/>
                <w:lang w:val="en-US" w:eastAsia="zh-CN"/>
              </w:rPr>
              <w:t>全</w:t>
            </w:r>
            <w:r>
              <w:rPr>
                <w:rFonts w:ascii="Times New Roman" w:hAnsi="Times New Roman" w:eastAsia="宋体" w:cs="宋体"/>
                <w:color w:val="auto"/>
                <w:spacing w:val="-6"/>
                <w:sz w:val="24"/>
                <w:szCs w:val="24"/>
                <w:lang w:eastAsia="zh-CN"/>
              </w:rPr>
              <w:t>封闭措施、洒水喷淋</w:t>
            </w:r>
            <w:r>
              <w:rPr>
                <w:rFonts w:hint="eastAsia" w:ascii="Times New Roman" w:hAnsi="Times New Roman" w:eastAsia="宋体" w:cs="宋体"/>
                <w:color w:val="auto"/>
                <w:spacing w:val="-6"/>
                <w:sz w:val="24"/>
                <w:szCs w:val="24"/>
                <w:lang w:eastAsia="zh-CN"/>
              </w:rPr>
              <w:t>以减少粉尘产生量。运输过程中，车辆必须加盖苫布，控制无组织粉尘，采取以上措施后，能有效降低本项目无组织粉尘的排放量。不会降低区域环境空气质量，项目大气执行《环境空气质量标准》（GB3095—2012）中二级标准。综上，本项目符合《新疆生态环境保护“十四五”规划》的相关要求。</w:t>
            </w:r>
          </w:p>
          <w:p w14:paraId="30942498">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与《建材行业碳达峰实施方案》（工信部联原〔2022〕149号）的符合性分析</w:t>
            </w:r>
          </w:p>
          <w:p w14:paraId="52360CA2">
            <w:pPr>
              <w:spacing w:line="360" w:lineRule="auto"/>
              <w:ind w:firstLine="456" w:firstLineChars="200"/>
              <w:rPr>
                <w:rFonts w:ascii="Times New Roman" w:hAnsi="Times New Roman" w:eastAsia="宋体" w:cs="宋体"/>
                <w:color w:val="FF0000"/>
                <w:spacing w:val="-6"/>
                <w:sz w:val="24"/>
                <w:szCs w:val="24"/>
                <w:lang w:eastAsia="zh-CN"/>
              </w:rPr>
            </w:pPr>
            <w:r>
              <w:rPr>
                <w:rFonts w:hint="eastAsia" w:ascii="Times New Roman" w:hAnsi="Times New Roman" w:eastAsia="宋体" w:cs="宋体"/>
                <w:color w:val="auto"/>
                <w:spacing w:val="-6"/>
                <w:sz w:val="24"/>
                <w:szCs w:val="24"/>
                <w:lang w:eastAsia="zh-CN"/>
              </w:rPr>
              <w:t>《建材行业碳达峰实施方案》第5条加快提升固废利用水平。支持利用水泥窑无害化协同处置废弃物。鼓励以高炉矿渣、粉煤灰等对产品性能无害的工业固体废弃物为主要原料的超细粉生产利用，提高混合材产品质量。提升玻璃纤维、岩棉、混凝土、水泥制品、路基填充材料、新型墙体和屋面材料生产过程中固废资源利用水平。支持在重点城镇建设一批达到重污染天气绩效分级B级及以上水平的墙体材料隧道窑处置固废项目。</w:t>
            </w:r>
          </w:p>
          <w:p w14:paraId="34CBA30E">
            <w:pPr>
              <w:spacing w:line="360" w:lineRule="auto"/>
              <w:ind w:firstLine="456" w:firstLineChars="200"/>
              <w:rPr>
                <w:rFonts w:ascii="Times New Roman" w:hAnsi="Times New Roman" w:eastAsia="宋体" w:cs="宋体"/>
                <w:color w:val="auto"/>
                <w:spacing w:val="-6"/>
                <w:sz w:val="24"/>
                <w:szCs w:val="24"/>
                <w:lang w:eastAsia="zh-CN"/>
              </w:rPr>
            </w:pPr>
            <w:r>
              <w:rPr>
                <w:rFonts w:hint="eastAsia" w:ascii="Times New Roman" w:hAnsi="Times New Roman" w:eastAsia="宋体" w:cs="宋体"/>
                <w:color w:val="auto"/>
                <w:spacing w:val="-6"/>
                <w:sz w:val="24"/>
                <w:szCs w:val="24"/>
                <w:lang w:eastAsia="zh-CN"/>
              </w:rPr>
              <w:t>本项目产生的布袋除尘器收集的粉尘返回生产工序；搅拌料废渣、边角料及不合格产品全部收集经破碎后，作为骨料返回配料工序。本项目符合《建材行业碳达峰实施方案》。</w:t>
            </w:r>
          </w:p>
          <w:p w14:paraId="7862DEF7">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与《工业料堆场扬尘整治规范》</w:t>
            </w:r>
            <w:r>
              <w:rPr>
                <w:rFonts w:hint="eastAsia" w:ascii="Times New Roman" w:hAnsi="Times New Roman" w:cs="Times New Roman"/>
                <w:b/>
                <w:bCs/>
                <w:spacing w:val="-2"/>
                <w:lang w:eastAsia="zh-CN"/>
              </w:rPr>
              <w:t>（</w:t>
            </w:r>
            <w:r>
              <w:rPr>
                <w:rFonts w:hint="eastAsia" w:ascii="Times New Roman" w:hAnsi="Times New Roman" w:eastAsia="宋体" w:cs="Times New Roman"/>
                <w:b/>
                <w:bCs/>
                <w:spacing w:val="-2"/>
                <w:lang w:eastAsia="zh-CN"/>
              </w:rPr>
              <w:t>DB65T4061-2017</w:t>
            </w:r>
            <w:r>
              <w:rPr>
                <w:rFonts w:hint="eastAsia" w:ascii="Times New Roman" w:hAnsi="Times New Roman" w:cs="Times New Roman"/>
                <w:b/>
                <w:bCs/>
                <w:spacing w:val="-2"/>
                <w:lang w:eastAsia="zh-CN"/>
              </w:rPr>
              <w:t>）</w:t>
            </w:r>
            <w:r>
              <w:rPr>
                <w:rFonts w:hint="eastAsia" w:ascii="Times New Roman" w:hAnsi="Times New Roman" w:eastAsia="宋体" w:cs="Times New Roman"/>
                <w:b/>
                <w:bCs/>
                <w:spacing w:val="-2"/>
                <w:lang w:eastAsia="zh-CN"/>
              </w:rPr>
              <w:t>的符合性分析</w:t>
            </w:r>
          </w:p>
          <w:p w14:paraId="065F4700">
            <w:pPr>
              <w:spacing w:line="360" w:lineRule="auto"/>
              <w:ind w:firstLine="456" w:firstLineChars="200"/>
              <w:rPr>
                <w:rFonts w:ascii="Times New Roman" w:hAnsi="Times New Roman" w:eastAsia="宋体" w:cs="宋体"/>
                <w:color w:val="auto"/>
                <w:spacing w:val="-6"/>
                <w:sz w:val="24"/>
                <w:szCs w:val="24"/>
                <w:lang w:eastAsia="zh-CN"/>
              </w:rPr>
            </w:pPr>
            <w:r>
              <w:rPr>
                <w:rFonts w:hint="eastAsia" w:ascii="Times New Roman" w:hAnsi="Times New Roman" w:eastAsia="宋体" w:cs="宋体"/>
                <w:color w:val="auto"/>
                <w:spacing w:val="-6"/>
                <w:sz w:val="24"/>
                <w:szCs w:val="24"/>
                <w:lang w:eastAsia="zh-CN"/>
              </w:rPr>
              <w:t>根据《工业料堆场扬尘整治规范》（DB65T4061—2017）中“表1工业料堆场类型划分”对项目堆场进行划分，详见表1-4。</w:t>
            </w:r>
          </w:p>
          <w:p w14:paraId="67038883">
            <w:pPr>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表1-4工业料场堆类型划分</w:t>
            </w:r>
          </w:p>
          <w:tbl>
            <w:tblPr>
              <w:tblStyle w:val="13"/>
              <w:tblW w:w="4900" w:type="pct"/>
              <w:jc w:val="center"/>
              <w:tblLayout w:type="autofit"/>
              <w:tblCellMar>
                <w:top w:w="0" w:type="dxa"/>
                <w:left w:w="108" w:type="dxa"/>
                <w:bottom w:w="0" w:type="dxa"/>
                <w:right w:w="108" w:type="dxa"/>
              </w:tblCellMar>
            </w:tblPr>
            <w:tblGrid>
              <w:gridCol w:w="1189"/>
              <w:gridCol w:w="1413"/>
              <w:gridCol w:w="1329"/>
              <w:gridCol w:w="1489"/>
              <w:gridCol w:w="1329"/>
              <w:gridCol w:w="1361"/>
            </w:tblGrid>
            <w:tr w14:paraId="29BC029F">
              <w:tblPrEx>
                <w:tblCellMar>
                  <w:top w:w="0" w:type="dxa"/>
                  <w:left w:w="108" w:type="dxa"/>
                  <w:bottom w:w="0" w:type="dxa"/>
                  <w:right w:w="108" w:type="dxa"/>
                </w:tblCellMar>
              </w:tblPrEx>
              <w:trPr>
                <w:trHeight w:val="23" w:hRule="atLeast"/>
                <w:jc w:val="center"/>
              </w:trPr>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93B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境控制区</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F60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规模（m³）</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28E2">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风速（m/s）</w:t>
                  </w:r>
                </w:p>
              </w:tc>
              <w:tc>
                <w:tcPr>
                  <w:tcW w:w="25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5E62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粒 度 ( m m )</w:t>
                  </w:r>
                </w:p>
              </w:tc>
            </w:tr>
            <w:tr w14:paraId="3B8E4B57">
              <w:tblPrEx>
                <w:tblCellMar>
                  <w:top w:w="0" w:type="dxa"/>
                  <w:left w:w="108" w:type="dxa"/>
                  <w:bottom w:w="0" w:type="dxa"/>
                  <w:right w:w="108" w:type="dxa"/>
                </w:tblCellMar>
              </w:tblPrEx>
              <w:trPr>
                <w:trHeight w:val="23" w:hRule="atLeast"/>
                <w:jc w:val="center"/>
              </w:trPr>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5C1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重点控</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制区</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E042">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≥10000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D32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C1A4">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粉体：≤0.5</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484A">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颗粒0.5~13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D42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块体：≥13</w:t>
                  </w:r>
                </w:p>
              </w:tc>
            </w:tr>
            <w:tr w14:paraId="53390C39">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F662">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620F">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499C841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6049B8A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44023D7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1B5F110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034CE49F">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D4C0">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7D49">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17DDFE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39B943B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7637926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11F3767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0316BD04">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D18F">
                  <w:pPr>
                    <w:pStyle w:val="20"/>
                    <w:jc w:val="center"/>
                    <w:rPr>
                      <w:rFonts w:ascii="Times New Roman" w:hAnsi="Times New Roman"/>
                      <w:color w:val="auto"/>
                      <w:spacing w:val="-2"/>
                      <w:sz w:val="21"/>
                      <w:szCs w:val="21"/>
                      <w:lang w:eastAsia="zh-CN"/>
                    </w:rPr>
                  </w:pP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9660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300~10000</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1B1664B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1DA5F38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4E4CFE1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34DC0EE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0ACF36A0">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7DE2">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A5DB">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330678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04B2AF69">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29BE0DB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7CBCCA8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190A5089">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B6D0E">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98DD">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666D4F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08E0998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0F00396A">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7345EE9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6F2E3E47">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82E24">
                  <w:pPr>
                    <w:pStyle w:val="20"/>
                    <w:jc w:val="center"/>
                    <w:rPr>
                      <w:rFonts w:ascii="Times New Roman" w:hAnsi="Times New Roman"/>
                      <w:color w:val="auto"/>
                      <w:spacing w:val="-2"/>
                      <w:sz w:val="21"/>
                      <w:szCs w:val="21"/>
                      <w:lang w:eastAsia="zh-CN"/>
                    </w:rPr>
                  </w:pP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064F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≤300</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5F5E214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10B968A4">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000D5646">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4422B349">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4AE1E6A5">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4B4E">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71F0">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7CEBACC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4B1F546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62D6E704">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27D7939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7EDE386E">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6288">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D899">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4595B11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7D803F8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58ED35B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15EE3C4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3BEFB8C9">
              <w:tblPrEx>
                <w:tblCellMar>
                  <w:top w:w="0" w:type="dxa"/>
                  <w:left w:w="108" w:type="dxa"/>
                  <w:bottom w:w="0" w:type="dxa"/>
                  <w:right w:w="108" w:type="dxa"/>
                </w:tblCellMar>
              </w:tblPrEx>
              <w:trPr>
                <w:trHeight w:val="23" w:hRule="atLeast"/>
                <w:jc w:val="center"/>
              </w:trPr>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F0DA">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一般控</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制区</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539F0">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≥10000</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005FDC6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78FE858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618BEAD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306C31DA">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38A4EB33">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F5DE">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A05C">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25A191C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2FCC5766">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F19CB82">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26E6B4D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77DE3942">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123E">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A39A">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0A9F616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7CB28449">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6603F2C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7EE4940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01576830">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91D4">
                  <w:pPr>
                    <w:pStyle w:val="20"/>
                    <w:jc w:val="center"/>
                    <w:rPr>
                      <w:rFonts w:ascii="Times New Roman" w:hAnsi="Times New Roman"/>
                      <w:color w:val="auto"/>
                      <w:spacing w:val="-2"/>
                      <w:sz w:val="21"/>
                      <w:szCs w:val="21"/>
                      <w:lang w:eastAsia="zh-CN"/>
                    </w:rPr>
                  </w:pP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FE462">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300~10000</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560EE16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4B97F82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9184">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00CBCE4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5E53D608">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F586">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087B">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2D6F500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6E40A1D7">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07F8823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31360AE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r>
            <w:tr w14:paraId="5E83029E">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4A2D">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4D55">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2554C6D0">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319B332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719B882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42B6670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Ⅲ</w:t>
                  </w:r>
                </w:p>
              </w:tc>
            </w:tr>
            <w:tr w14:paraId="26E3F820">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F191">
                  <w:pPr>
                    <w:pStyle w:val="20"/>
                    <w:jc w:val="center"/>
                    <w:rPr>
                      <w:rFonts w:ascii="Times New Roman" w:hAnsi="Times New Roman"/>
                      <w:color w:val="auto"/>
                      <w:spacing w:val="-2"/>
                      <w:sz w:val="21"/>
                      <w:szCs w:val="21"/>
                      <w:lang w:eastAsia="zh-CN"/>
                    </w:rPr>
                  </w:pP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A4EC6">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≤300</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1F3881A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5F0961B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4F5CCD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2A1E62D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Ⅲ</w:t>
                  </w:r>
                </w:p>
              </w:tc>
            </w:tr>
            <w:tr w14:paraId="55AF2AF5">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1D2D">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3489">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15EDBAA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111205D8">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372D3E1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02513B5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Ⅲ</w:t>
                  </w:r>
                </w:p>
              </w:tc>
            </w:tr>
            <w:tr w14:paraId="291C2D53">
              <w:tblPrEx>
                <w:tblCellMar>
                  <w:top w:w="0" w:type="dxa"/>
                  <w:left w:w="108" w:type="dxa"/>
                  <w:bottom w:w="0" w:type="dxa"/>
                  <w:right w:w="108" w:type="dxa"/>
                </w:tblCellMar>
              </w:tblPrEx>
              <w:trPr>
                <w:trHeight w:val="23"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5121">
                  <w:pPr>
                    <w:pStyle w:val="20"/>
                    <w:jc w:val="center"/>
                    <w:rPr>
                      <w:rFonts w:ascii="Times New Roman" w:hAnsi="Times New Roman"/>
                      <w:color w:val="auto"/>
                      <w:spacing w:val="-2"/>
                      <w:sz w:val="21"/>
                      <w:szCs w:val="21"/>
                      <w:lang w:eastAsia="zh-CN"/>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4AC4">
                  <w:pPr>
                    <w:pStyle w:val="20"/>
                    <w:jc w:val="center"/>
                    <w:rPr>
                      <w:rFonts w:ascii="Times New Roman" w:hAnsi="Times New Roman"/>
                      <w:color w:val="auto"/>
                      <w:spacing w:val="-2"/>
                      <w:sz w:val="21"/>
                      <w:szCs w:val="21"/>
                      <w:lang w:eastAsia="zh-CN"/>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73AF7416">
                  <w:pPr>
                    <w:pStyle w:val="20"/>
                    <w:jc w:val="center"/>
                    <w:rPr>
                      <w:rFonts w:ascii="Times New Roman" w:hAnsi="Times New Roman"/>
                      <w:color w:val="auto"/>
                      <w:spacing w:val="-2"/>
                      <w:sz w:val="21"/>
                      <w:szCs w:val="21"/>
                      <w:lang w:eastAsia="zh-CN"/>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tcPr>
                <w:p w14:paraId="0B2192F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w:t>
                  </w:r>
                </w:p>
              </w:tc>
              <w:tc>
                <w:tcPr>
                  <w:tcW w:w="819" w:type="pct"/>
                  <w:tcBorders>
                    <w:top w:val="single" w:color="000000" w:sz="4" w:space="0"/>
                    <w:left w:val="single" w:color="000000" w:sz="4" w:space="0"/>
                    <w:bottom w:val="single" w:color="000000" w:sz="4" w:space="0"/>
                    <w:right w:val="single" w:color="000000" w:sz="4" w:space="0"/>
                  </w:tcBorders>
                  <w:shd w:val="clear" w:color="auto" w:fill="auto"/>
                </w:tcPr>
                <w:p w14:paraId="4690D056">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w:t>
                  </w:r>
                </w:p>
              </w:tc>
              <w:tc>
                <w:tcPr>
                  <w:tcW w:w="838" w:type="pct"/>
                  <w:tcBorders>
                    <w:top w:val="single" w:color="000000" w:sz="4" w:space="0"/>
                    <w:left w:val="single" w:color="000000" w:sz="4" w:space="0"/>
                    <w:bottom w:val="single" w:color="000000" w:sz="4" w:space="0"/>
                    <w:right w:val="single" w:color="000000" w:sz="4" w:space="0"/>
                  </w:tcBorders>
                  <w:shd w:val="clear" w:color="auto" w:fill="auto"/>
                </w:tcPr>
                <w:p w14:paraId="633A8FF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Ⅲ</w:t>
                  </w:r>
                </w:p>
              </w:tc>
            </w:tr>
          </w:tbl>
          <w:p w14:paraId="57930A1D">
            <w:pPr>
              <w:spacing w:line="360" w:lineRule="auto"/>
              <w:ind w:firstLine="456" w:firstLineChars="200"/>
              <w:rPr>
                <w:rFonts w:ascii="Times New Roman" w:hAnsi="Times New Roman" w:eastAsia="宋体" w:cs="宋体"/>
                <w:color w:val="auto"/>
                <w:spacing w:val="-6"/>
                <w:sz w:val="24"/>
                <w:szCs w:val="24"/>
                <w:lang w:eastAsia="zh-CN"/>
              </w:rPr>
            </w:pPr>
            <w:r>
              <w:rPr>
                <w:rFonts w:hint="eastAsia" w:ascii="Times New Roman" w:hAnsi="Times New Roman" w:eastAsia="宋体" w:cs="宋体"/>
                <w:color w:val="auto"/>
                <w:spacing w:val="-6"/>
                <w:sz w:val="24"/>
                <w:szCs w:val="24"/>
                <w:lang w:eastAsia="zh-CN"/>
              </w:rPr>
              <w:t>本项目原料堆场占地面积共600m</w:t>
            </w:r>
            <w:r>
              <w:rPr>
                <w:rFonts w:hint="eastAsia" w:ascii="Times New Roman" w:hAnsi="Times New Roman" w:eastAsia="宋体" w:cs="宋体"/>
                <w:color w:val="auto"/>
                <w:spacing w:val="-6"/>
                <w:sz w:val="24"/>
                <w:szCs w:val="24"/>
                <w:vertAlign w:val="superscript"/>
                <w:lang w:eastAsia="zh-CN"/>
              </w:rPr>
              <w:t>2</w:t>
            </w:r>
            <w:r>
              <w:rPr>
                <w:rFonts w:hint="eastAsia" w:ascii="Times New Roman" w:hAnsi="Times New Roman" w:eastAsia="宋体" w:cs="宋体"/>
                <w:color w:val="auto"/>
                <w:spacing w:val="-6"/>
                <w:sz w:val="24"/>
                <w:szCs w:val="24"/>
                <w:lang w:eastAsia="zh-CN"/>
              </w:rPr>
              <w:t>，堆放石子和砂子分为4种级别：粒径2.5~5 mm为第 1级别，粒径 5~10 mm为第 2级别，粒径 10～20mm为第 3级别，粒径20～31.5mm为第4级别，经调查，项目区域年平均风速</w:t>
            </w:r>
            <w:r>
              <w:rPr>
                <w:rFonts w:ascii="Times New Roman" w:hAnsi="Times New Roman" w:eastAsia="宋体" w:cs="宋体"/>
                <w:color w:val="auto"/>
                <w:spacing w:val="-6"/>
                <w:sz w:val="24"/>
                <w:szCs w:val="24"/>
                <w:lang w:eastAsia="zh-CN"/>
              </w:rPr>
              <w:t>2.</w:t>
            </w:r>
            <w:r>
              <w:rPr>
                <w:rFonts w:hint="eastAsia" w:ascii="Times New Roman" w:hAnsi="Times New Roman" w:eastAsia="宋体" w:cs="宋体"/>
                <w:color w:val="auto"/>
                <w:spacing w:val="-6"/>
                <w:sz w:val="24"/>
                <w:szCs w:val="24"/>
                <w:lang w:eastAsia="zh-CN"/>
              </w:rPr>
              <w:t>2米</w:t>
            </w:r>
            <w:r>
              <w:rPr>
                <w:rFonts w:ascii="Times New Roman" w:hAnsi="Times New Roman" w:eastAsia="宋体" w:cs="宋体"/>
                <w:color w:val="auto"/>
                <w:spacing w:val="-6"/>
                <w:sz w:val="24"/>
                <w:szCs w:val="24"/>
                <w:lang w:eastAsia="zh-CN"/>
              </w:rPr>
              <w:t>/</w:t>
            </w:r>
            <w:r>
              <w:rPr>
                <w:rFonts w:hint="eastAsia" w:ascii="Times New Roman" w:hAnsi="Times New Roman" w:eastAsia="宋体" w:cs="宋体"/>
                <w:color w:val="auto"/>
                <w:spacing w:val="-6"/>
                <w:sz w:val="24"/>
                <w:szCs w:val="24"/>
                <w:lang w:eastAsia="zh-CN"/>
              </w:rPr>
              <w:t>秒，本项目石子和砂子堆棚应执行Ⅱ类堆场要求。结合项目堆场类型，进一步按照《工业料堆场扬尘整治规范》（</w:t>
            </w:r>
            <w:r>
              <w:rPr>
                <w:rFonts w:ascii="Times New Roman" w:hAnsi="Times New Roman" w:eastAsia="宋体" w:cs="宋体"/>
                <w:color w:val="auto"/>
                <w:spacing w:val="-6"/>
                <w:sz w:val="24"/>
                <w:szCs w:val="24"/>
                <w:lang w:eastAsia="zh-CN"/>
              </w:rPr>
              <w:t>DB65T4061-2017</w:t>
            </w:r>
            <w:r>
              <w:rPr>
                <w:rFonts w:hint="eastAsia" w:ascii="Times New Roman" w:hAnsi="Times New Roman" w:eastAsia="宋体" w:cs="宋体"/>
                <w:color w:val="auto"/>
                <w:spacing w:val="-6"/>
                <w:sz w:val="24"/>
                <w:szCs w:val="24"/>
                <w:lang w:eastAsia="zh-CN"/>
              </w:rPr>
              <w:t>）中表</w:t>
            </w:r>
            <w:r>
              <w:rPr>
                <w:rFonts w:ascii="Times New Roman" w:hAnsi="Times New Roman" w:eastAsia="宋体" w:cs="宋体"/>
                <w:color w:val="auto"/>
                <w:spacing w:val="-6"/>
                <w:sz w:val="24"/>
                <w:szCs w:val="24"/>
                <w:lang w:eastAsia="zh-CN"/>
              </w:rPr>
              <w:t>2</w:t>
            </w:r>
            <w:r>
              <w:rPr>
                <w:rFonts w:hint="eastAsia" w:ascii="Times New Roman" w:hAnsi="Times New Roman" w:eastAsia="宋体" w:cs="宋体"/>
                <w:color w:val="auto"/>
                <w:spacing w:val="-6"/>
                <w:sz w:val="24"/>
                <w:szCs w:val="24"/>
                <w:lang w:eastAsia="zh-CN"/>
              </w:rPr>
              <w:t>选址堆场扬尘治理方案，详见表</w:t>
            </w:r>
            <w:r>
              <w:rPr>
                <w:rFonts w:ascii="Times New Roman" w:hAnsi="Times New Roman" w:eastAsia="宋体" w:cs="宋体"/>
                <w:color w:val="auto"/>
                <w:spacing w:val="-6"/>
                <w:sz w:val="24"/>
                <w:szCs w:val="24"/>
                <w:lang w:eastAsia="zh-CN"/>
              </w:rPr>
              <w:t>1-</w:t>
            </w:r>
            <w:r>
              <w:rPr>
                <w:rFonts w:hint="eastAsia" w:ascii="Times New Roman" w:hAnsi="Times New Roman" w:eastAsia="宋体" w:cs="宋体"/>
                <w:color w:val="auto"/>
                <w:spacing w:val="-6"/>
                <w:sz w:val="24"/>
                <w:szCs w:val="24"/>
                <w:lang w:eastAsia="zh-CN"/>
              </w:rPr>
              <w:t>5。</w:t>
            </w:r>
          </w:p>
          <w:p w14:paraId="309A711E">
            <w:pPr>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表1-5工业料堆场扬尘防治方案选择参考表</w:t>
            </w:r>
          </w:p>
          <w:tbl>
            <w:tblPr>
              <w:tblStyle w:val="13"/>
              <w:tblW w:w="4900" w:type="pct"/>
              <w:jc w:val="center"/>
              <w:tblLayout w:type="autofit"/>
              <w:tblCellMar>
                <w:top w:w="0" w:type="dxa"/>
                <w:left w:w="108" w:type="dxa"/>
                <w:bottom w:w="0" w:type="dxa"/>
                <w:right w:w="108" w:type="dxa"/>
              </w:tblCellMar>
            </w:tblPr>
            <w:tblGrid>
              <w:gridCol w:w="2419"/>
              <w:gridCol w:w="3285"/>
              <w:gridCol w:w="2406"/>
            </w:tblGrid>
            <w:tr w14:paraId="113DB4EC">
              <w:tblPrEx>
                <w:tblCellMar>
                  <w:top w:w="0" w:type="dxa"/>
                  <w:left w:w="108" w:type="dxa"/>
                  <w:bottom w:w="0" w:type="dxa"/>
                  <w:right w:w="108" w:type="dxa"/>
                </w:tblCellMar>
              </w:tblPrEx>
              <w:trPr>
                <w:trHeight w:val="23" w:hRule="atLeast"/>
                <w:jc w:val="center"/>
              </w:trPr>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882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工业堆料场类型</w:t>
                  </w: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4637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方案</w:t>
                  </w:r>
                </w:p>
              </w:tc>
            </w:tr>
            <w:tr w14:paraId="456F57B5">
              <w:tblPrEx>
                <w:tblCellMar>
                  <w:top w:w="0" w:type="dxa"/>
                  <w:left w:w="108" w:type="dxa"/>
                  <w:bottom w:w="0" w:type="dxa"/>
                  <w:right w:w="108" w:type="dxa"/>
                </w:tblCellMar>
              </w:tblPrEx>
              <w:trPr>
                <w:trHeight w:val="23" w:hRule="atLeast"/>
                <w:jc w:val="center"/>
              </w:trPr>
              <w:tc>
                <w:tcPr>
                  <w:tcW w:w="1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2B06">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I类堆料场</w:t>
                  </w: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219DB">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（1）筒仓</w:t>
                  </w:r>
                </w:p>
              </w:tc>
            </w:tr>
            <w:tr w14:paraId="08D4CCE6">
              <w:tblPrEx>
                <w:tblCellMar>
                  <w:top w:w="0" w:type="dxa"/>
                  <w:left w:w="108" w:type="dxa"/>
                  <w:bottom w:w="0" w:type="dxa"/>
                  <w:right w:w="108" w:type="dxa"/>
                </w:tblCellMar>
              </w:tblPrEx>
              <w:trPr>
                <w:trHeight w:val="23" w:hRule="atLeast"/>
                <w:jc w:val="center"/>
              </w:trPr>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01AF">
                  <w:pPr>
                    <w:pStyle w:val="20"/>
                    <w:jc w:val="center"/>
                    <w:rPr>
                      <w:rFonts w:ascii="Times New Roman" w:hAnsi="Times New Roman"/>
                      <w:color w:val="auto"/>
                      <w:spacing w:val="-2"/>
                      <w:sz w:val="21"/>
                      <w:szCs w:val="21"/>
                      <w:lang w:eastAsia="zh-CN"/>
                    </w:rPr>
                  </w:pP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8FA0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（2）圆形料仓</w:t>
                  </w:r>
                </w:p>
              </w:tc>
            </w:tr>
            <w:tr w14:paraId="63C02C57">
              <w:tblPrEx>
                <w:tblCellMar>
                  <w:top w:w="0" w:type="dxa"/>
                  <w:left w:w="108" w:type="dxa"/>
                  <w:bottom w:w="0" w:type="dxa"/>
                  <w:right w:w="108" w:type="dxa"/>
                </w:tblCellMar>
              </w:tblPrEx>
              <w:trPr>
                <w:trHeight w:val="23" w:hRule="atLeast"/>
                <w:jc w:val="center"/>
              </w:trPr>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32B4">
                  <w:pPr>
                    <w:pStyle w:val="20"/>
                    <w:jc w:val="center"/>
                    <w:rPr>
                      <w:rFonts w:ascii="Times New Roman" w:hAnsi="Times New Roman"/>
                      <w:color w:val="auto"/>
                      <w:spacing w:val="-2"/>
                      <w:sz w:val="21"/>
                      <w:szCs w:val="21"/>
                      <w:lang w:eastAsia="zh-CN"/>
                    </w:rPr>
                  </w:pP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02BBF">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（3）其他全封闭型仓库</w:t>
                  </w:r>
                </w:p>
              </w:tc>
            </w:tr>
            <w:tr w14:paraId="10AD0250">
              <w:tblPrEx>
                <w:tblCellMar>
                  <w:top w:w="0" w:type="dxa"/>
                  <w:left w:w="108" w:type="dxa"/>
                  <w:bottom w:w="0" w:type="dxa"/>
                  <w:right w:w="108" w:type="dxa"/>
                </w:tblCellMar>
              </w:tblPrEx>
              <w:trPr>
                <w:trHeight w:val="23" w:hRule="atLeast"/>
                <w:jc w:val="center"/>
              </w:trPr>
              <w:tc>
                <w:tcPr>
                  <w:tcW w:w="1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0AE2D">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Ⅱ类堆料场</w:t>
                  </w: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7CC7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（4）可用I类料堆场防治方案</w:t>
                  </w:r>
                </w:p>
              </w:tc>
            </w:tr>
            <w:tr w14:paraId="3A709C3C">
              <w:tblPrEx>
                <w:tblCellMar>
                  <w:top w:w="0" w:type="dxa"/>
                  <w:left w:w="108" w:type="dxa"/>
                  <w:bottom w:w="0" w:type="dxa"/>
                  <w:right w:w="108" w:type="dxa"/>
                </w:tblCellMar>
              </w:tblPrEx>
              <w:trPr>
                <w:trHeight w:val="23" w:hRule="atLeast"/>
                <w:jc w:val="center"/>
              </w:trPr>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F76C">
                  <w:pPr>
                    <w:pStyle w:val="20"/>
                    <w:jc w:val="center"/>
                    <w:rPr>
                      <w:rFonts w:ascii="Times New Roman" w:hAnsi="Times New Roman"/>
                      <w:color w:val="auto"/>
                      <w:spacing w:val="-2"/>
                      <w:sz w:val="21"/>
                      <w:szCs w:val="21"/>
                      <w:lang w:eastAsia="zh-CN"/>
                    </w:rPr>
                  </w:pP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D041">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（5）半封闭仓库+</w:t>
                  </w:r>
                </w:p>
              </w:tc>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343A917A">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a）喷洒水</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b）覆盖</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c）喷洒抑尘剂</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d）干雾抑尘</w:t>
                  </w:r>
                </w:p>
              </w:tc>
            </w:tr>
            <w:tr w14:paraId="1C15C81B">
              <w:tblPrEx>
                <w:tblCellMar>
                  <w:top w:w="0" w:type="dxa"/>
                  <w:left w:w="108" w:type="dxa"/>
                  <w:bottom w:w="0" w:type="dxa"/>
                  <w:right w:w="108" w:type="dxa"/>
                </w:tblCellMar>
              </w:tblPrEx>
              <w:trPr>
                <w:trHeight w:val="23" w:hRule="atLeast"/>
                <w:jc w:val="center"/>
              </w:trPr>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9E4B">
                  <w:pPr>
                    <w:pStyle w:val="20"/>
                    <w:jc w:val="center"/>
                    <w:rPr>
                      <w:rFonts w:ascii="Times New Roman" w:hAnsi="Times New Roman"/>
                      <w:color w:val="auto"/>
                      <w:spacing w:val="-2"/>
                      <w:sz w:val="21"/>
                      <w:szCs w:val="21"/>
                      <w:lang w:eastAsia="zh-CN"/>
                    </w:rPr>
                  </w:pP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8112">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（6）防风抑尘网（墙）+</w:t>
                  </w:r>
                </w:p>
              </w:tc>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672D7D2E">
                  <w:pPr>
                    <w:pStyle w:val="20"/>
                    <w:jc w:val="center"/>
                    <w:rPr>
                      <w:rFonts w:ascii="Times New Roman" w:hAnsi="Times New Roman"/>
                      <w:color w:val="auto"/>
                      <w:spacing w:val="-2"/>
                      <w:sz w:val="21"/>
                      <w:szCs w:val="21"/>
                      <w:lang w:eastAsia="zh-CN"/>
                    </w:rPr>
                  </w:pPr>
                </w:p>
              </w:tc>
            </w:tr>
            <w:tr w14:paraId="399757DB">
              <w:trPr>
                <w:trHeight w:val="23" w:hRule="atLeast"/>
                <w:jc w:val="center"/>
              </w:trPr>
              <w:tc>
                <w:tcPr>
                  <w:tcW w:w="1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ED4C">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Ⅲ类堆料场</w:t>
                  </w:r>
                </w:p>
              </w:tc>
              <w:tc>
                <w:tcPr>
                  <w:tcW w:w="3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A823">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（7）可用I和Ⅱ类料堆场防治方案</w:t>
                  </w:r>
                </w:p>
              </w:tc>
            </w:tr>
            <w:tr w14:paraId="1A26E706">
              <w:tblPrEx>
                <w:tblCellMar>
                  <w:top w:w="0" w:type="dxa"/>
                  <w:left w:w="108" w:type="dxa"/>
                  <w:bottom w:w="0" w:type="dxa"/>
                  <w:right w:w="108" w:type="dxa"/>
                </w:tblCellMar>
              </w:tblPrEx>
              <w:trPr>
                <w:trHeight w:val="23" w:hRule="atLeast"/>
                <w:jc w:val="center"/>
              </w:trPr>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199E">
                  <w:pPr>
                    <w:pStyle w:val="20"/>
                    <w:jc w:val="center"/>
                    <w:rPr>
                      <w:rFonts w:ascii="Times New Roman" w:hAnsi="Times New Roman"/>
                      <w:color w:val="auto"/>
                      <w:spacing w:val="-2"/>
                      <w:sz w:val="21"/>
                      <w:szCs w:val="21"/>
                      <w:lang w:eastAsia="zh-CN"/>
                    </w:rPr>
                  </w:pP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D8CE">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（8）覆盖+</w:t>
                  </w:r>
                </w:p>
              </w:tc>
              <w:tc>
                <w:tcPr>
                  <w:tcW w:w="1482" w:type="pct"/>
                  <w:tcBorders>
                    <w:top w:val="single" w:color="000000" w:sz="4" w:space="0"/>
                    <w:left w:val="single" w:color="000000" w:sz="4" w:space="0"/>
                    <w:bottom w:val="single" w:color="000000" w:sz="4" w:space="0"/>
                    <w:right w:val="single" w:color="000000" w:sz="4" w:space="0"/>
                  </w:tcBorders>
                  <w:shd w:val="clear" w:color="auto" w:fill="auto"/>
                </w:tcPr>
                <w:p w14:paraId="423A25F5">
                  <w:pPr>
                    <w:pStyle w:val="20"/>
                    <w:jc w:val="center"/>
                    <w:rPr>
                      <w:rFonts w:ascii="Times New Roman" w:hAnsi="Times New Roman"/>
                      <w:color w:val="auto"/>
                      <w:spacing w:val="-2"/>
                      <w:sz w:val="21"/>
                      <w:szCs w:val="21"/>
                      <w:lang w:eastAsia="zh-CN"/>
                    </w:rPr>
                  </w:pPr>
                  <w:r>
                    <w:rPr>
                      <w:rFonts w:hint="eastAsia" w:ascii="Times New Roman" w:hAnsi="Times New Roman"/>
                      <w:color w:val="auto"/>
                      <w:spacing w:val="-2"/>
                      <w:sz w:val="21"/>
                      <w:szCs w:val="21"/>
                      <w:lang w:eastAsia="zh-CN"/>
                    </w:rPr>
                    <w:t>a）喷洒水</w:t>
                  </w:r>
                  <w:r>
                    <w:rPr>
                      <w:rFonts w:hint="eastAsia" w:ascii="Times New Roman" w:hAnsi="Times New Roman"/>
                      <w:color w:val="auto"/>
                      <w:spacing w:val="-2"/>
                      <w:sz w:val="21"/>
                      <w:szCs w:val="21"/>
                      <w:lang w:eastAsia="zh-CN"/>
                    </w:rPr>
                    <w:br w:type="textWrapping"/>
                  </w:r>
                  <w:r>
                    <w:rPr>
                      <w:rFonts w:hint="eastAsia" w:ascii="Times New Roman" w:hAnsi="Times New Roman"/>
                      <w:color w:val="auto"/>
                      <w:spacing w:val="-2"/>
                      <w:sz w:val="21"/>
                      <w:szCs w:val="21"/>
                      <w:lang w:eastAsia="zh-CN"/>
                    </w:rPr>
                    <w:t>b）喷洒抑尘剂</w:t>
                  </w:r>
                </w:p>
              </w:tc>
            </w:tr>
          </w:tbl>
          <w:p w14:paraId="1038A155">
            <w:pPr>
              <w:pStyle w:val="20"/>
              <w:spacing w:line="360" w:lineRule="auto"/>
              <w:ind w:firstLine="456" w:firstLineChars="200"/>
              <w:rPr>
                <w:rFonts w:ascii="Times New Roman" w:hAnsi="Times New Roman"/>
                <w:color w:val="auto"/>
                <w:spacing w:val="-6"/>
                <w:lang w:eastAsia="zh-CN"/>
              </w:rPr>
            </w:pPr>
            <w:r>
              <w:rPr>
                <w:rFonts w:ascii="Times New Roman" w:hAnsi="Times New Roman"/>
                <w:color w:val="auto"/>
                <w:spacing w:val="-6"/>
                <w:lang w:eastAsia="zh-CN"/>
              </w:rPr>
              <w:t>根据《工业料堆场扬尘整治规范》（DB65T4061—2017）防尘治理方案选择要求如下：</w:t>
            </w:r>
          </w:p>
          <w:p w14:paraId="2F3BC36E">
            <w:pPr>
              <w:pStyle w:val="20"/>
              <w:spacing w:line="360" w:lineRule="auto"/>
              <w:ind w:firstLine="456" w:firstLineChars="200"/>
              <w:rPr>
                <w:rFonts w:ascii="Times New Roman" w:hAnsi="Times New Roman"/>
                <w:color w:val="auto"/>
                <w:spacing w:val="-6"/>
                <w:lang w:eastAsia="zh-CN"/>
              </w:rPr>
            </w:pPr>
            <w:r>
              <w:rPr>
                <w:rFonts w:ascii="Times New Roman" w:hAnsi="Times New Roman"/>
                <w:color w:val="auto"/>
                <w:spacing w:val="-6"/>
                <w:lang w:eastAsia="zh-CN"/>
              </w:rPr>
              <w:t>方案一：对于Ⅰ类料堆场，至少选取（1）、（2）和（3）三种措施之一。</w:t>
            </w:r>
          </w:p>
          <w:p w14:paraId="56FE757F">
            <w:pPr>
              <w:pStyle w:val="20"/>
              <w:spacing w:line="360" w:lineRule="auto"/>
              <w:ind w:firstLine="456" w:firstLineChars="200"/>
              <w:rPr>
                <w:rFonts w:ascii="Times New Roman" w:hAnsi="Times New Roman"/>
                <w:color w:val="auto"/>
                <w:spacing w:val="-6"/>
                <w:lang w:eastAsia="zh-CN"/>
              </w:rPr>
            </w:pPr>
            <w:r>
              <w:rPr>
                <w:rFonts w:ascii="Times New Roman" w:hAnsi="Times New Roman"/>
                <w:color w:val="auto"/>
                <w:spacing w:val="-6"/>
                <w:lang w:eastAsia="zh-CN"/>
              </w:rPr>
              <w:t>方案二：对于Ⅱ类料堆场，除选取（5）和（6）两种措施之一外，根据物料特性还应至少选取a、b、c和d四种防治措施之一。若条件许可，应选取方案一。</w:t>
            </w:r>
          </w:p>
          <w:p w14:paraId="120D4516">
            <w:pPr>
              <w:pStyle w:val="20"/>
              <w:spacing w:line="360" w:lineRule="auto"/>
              <w:ind w:firstLine="456" w:firstLineChars="200"/>
              <w:rPr>
                <w:rFonts w:ascii="Times New Roman" w:hAnsi="Times New Roman"/>
                <w:color w:val="FF0000"/>
                <w:spacing w:val="-6"/>
                <w:lang w:eastAsia="zh-CN"/>
              </w:rPr>
            </w:pPr>
            <w:r>
              <w:rPr>
                <w:rFonts w:ascii="Times New Roman" w:hAnsi="Times New Roman"/>
                <w:color w:val="auto"/>
                <w:spacing w:val="-6"/>
                <w:lang w:eastAsia="zh-CN"/>
              </w:rPr>
              <w:t>方案三：对于Ⅲ类料堆场，除选取（8）措施外，根据物料特性还应至少选取a和b两种防治措施之一。若条件许可，应选取方案一或方案二。</w:t>
            </w:r>
          </w:p>
          <w:p w14:paraId="75E395EC">
            <w:pPr>
              <w:pStyle w:val="20"/>
              <w:spacing w:line="360" w:lineRule="auto"/>
              <w:ind w:firstLine="456" w:firstLineChars="200"/>
              <w:rPr>
                <w:rFonts w:ascii="Times New Roman" w:hAnsi="Times New Roman" w:cs="Times New Roman"/>
                <w:b/>
                <w:bCs/>
                <w:color w:val="0000FF"/>
                <w:spacing w:val="-2"/>
                <w:lang w:eastAsia="zh-CN"/>
              </w:rPr>
            </w:pPr>
            <w:r>
              <w:rPr>
                <w:rFonts w:ascii="Times New Roman" w:hAnsi="Times New Roman"/>
                <w:color w:val="auto"/>
                <w:spacing w:val="-6"/>
                <w:lang w:eastAsia="zh-CN"/>
              </w:rPr>
              <w:t>本项目</w:t>
            </w:r>
            <w:r>
              <w:rPr>
                <w:rFonts w:hint="eastAsia" w:ascii="Times New Roman" w:hAnsi="Times New Roman"/>
                <w:color w:val="auto"/>
                <w:spacing w:val="-6"/>
                <w:lang w:eastAsia="zh-CN"/>
              </w:rPr>
              <w:t>设有一个水泥筒仓，石子和砂子</w:t>
            </w:r>
            <w:r>
              <w:rPr>
                <w:rFonts w:ascii="Times New Roman" w:hAnsi="Times New Roman"/>
                <w:color w:val="auto"/>
                <w:spacing w:val="-6"/>
                <w:lang w:eastAsia="zh-CN"/>
              </w:rPr>
              <w:t>原</w:t>
            </w:r>
            <w:r>
              <w:rPr>
                <w:rFonts w:hint="eastAsia" w:ascii="Times New Roman" w:hAnsi="Times New Roman"/>
                <w:color w:val="auto"/>
                <w:spacing w:val="-6"/>
                <w:lang w:eastAsia="zh-CN"/>
              </w:rPr>
              <w:t>料</w:t>
            </w:r>
            <w:r>
              <w:rPr>
                <w:rFonts w:ascii="Times New Roman" w:hAnsi="Times New Roman"/>
                <w:color w:val="auto"/>
                <w:spacing w:val="-6"/>
                <w:lang w:eastAsia="zh-CN"/>
              </w:rPr>
              <w:t>堆场采用</w:t>
            </w:r>
            <w:r>
              <w:rPr>
                <w:rFonts w:hint="eastAsia" w:ascii="Times New Roman" w:hAnsi="Times New Roman"/>
                <w:color w:val="auto"/>
                <w:spacing w:val="-6"/>
                <w:lang w:val="en-US" w:eastAsia="zh-CN"/>
              </w:rPr>
              <w:t>全</w:t>
            </w:r>
            <w:r>
              <w:rPr>
                <w:rFonts w:ascii="Times New Roman" w:hAnsi="Times New Roman"/>
                <w:color w:val="auto"/>
                <w:spacing w:val="-6"/>
                <w:lang w:eastAsia="zh-CN"/>
              </w:rPr>
              <w:t>封闭措施，地面硬化</w:t>
            </w:r>
            <w:r>
              <w:rPr>
                <w:rFonts w:hint="eastAsia" w:ascii="Times New Roman" w:hAnsi="Times New Roman"/>
                <w:color w:val="auto"/>
                <w:spacing w:val="-6"/>
                <w:lang w:eastAsia="zh-CN"/>
              </w:rPr>
              <w:t>，</w:t>
            </w:r>
            <w:r>
              <w:rPr>
                <w:rFonts w:ascii="Times New Roman" w:hAnsi="Times New Roman"/>
                <w:color w:val="auto"/>
                <w:spacing w:val="-6"/>
                <w:lang w:eastAsia="zh-CN"/>
              </w:rPr>
              <w:t>洒水喷淋</w:t>
            </w:r>
            <w:r>
              <w:rPr>
                <w:rFonts w:hint="eastAsia" w:ascii="Times New Roman" w:hAnsi="Times New Roman"/>
                <w:color w:val="auto"/>
                <w:spacing w:val="-6"/>
                <w:lang w:eastAsia="zh-CN"/>
              </w:rPr>
              <w:t>，</w:t>
            </w:r>
            <w:r>
              <w:rPr>
                <w:rFonts w:ascii="Times New Roman" w:hAnsi="Times New Roman"/>
                <w:color w:val="auto"/>
                <w:spacing w:val="-6"/>
                <w:lang w:eastAsia="zh-CN"/>
              </w:rPr>
              <w:t>上述措施符合《工业料堆场扬尘整治规范》（DB65T4061-2017）防尘治理要求。</w:t>
            </w:r>
          </w:p>
          <w:p w14:paraId="777D91FB">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与《新疆维吾尔自治区大气污染防治条例》的符合性分析</w:t>
            </w:r>
          </w:p>
          <w:p w14:paraId="11CD14E2">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《新疆维吾尔自治区大气污染防治条例》中第四十三条：贮存易产生扬尘的煤炭、煤矸石、煤渣、煤灰、水泥、石灰、石膏、砂土等物料的堆场应当密闭；不能密闭的，贮存单位或者个人应当采取下列防尘措施：</w:t>
            </w:r>
          </w:p>
          <w:p w14:paraId="27314B90">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（一）堆场的场坪、路面应当进行硬化处理，并保持路面整洁；</w:t>
            </w:r>
          </w:p>
          <w:p w14:paraId="187572A6">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（二）堆场周边应当配备高于堆存物料的围挡、防风抑尘网等设施；</w:t>
            </w:r>
          </w:p>
          <w:p w14:paraId="33C80809">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（三）按照物料类别采取相应的覆盖、喷淋和围挡等防风抑尘措施。</w:t>
            </w:r>
          </w:p>
          <w:p w14:paraId="7C364DC5">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露天装卸物料应当采取密闭或者喷淋等抑尘措施；输送的物料应当在装料、卸料处配备吸尘、喷淋等防尘设施。</w:t>
            </w:r>
          </w:p>
          <w:p w14:paraId="7BC3BBBE">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本项目原料堆场采用</w:t>
            </w:r>
            <w:r>
              <w:rPr>
                <w:rFonts w:hint="eastAsia" w:ascii="Times New Roman" w:hAnsi="Times New Roman"/>
                <w:spacing w:val="-6"/>
                <w:lang w:val="en-US" w:eastAsia="zh-CN"/>
              </w:rPr>
              <w:t>全</w:t>
            </w:r>
            <w:r>
              <w:rPr>
                <w:rFonts w:hint="eastAsia" w:ascii="Times New Roman" w:hAnsi="Times New Roman"/>
                <w:spacing w:val="-6"/>
                <w:lang w:eastAsia="zh-CN"/>
              </w:rPr>
              <w:t>封闭措施，洒水喷淋，满足《新疆维吾尔自治区大气污染防治条例》相关要求。</w:t>
            </w:r>
          </w:p>
          <w:p w14:paraId="17C97146">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与《空气质量持续改善行动计划》的符合性分析</w:t>
            </w:r>
          </w:p>
          <w:p w14:paraId="1DDD5D71">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2023年11月30日国务院发布关于印发《空气质量持续改善行动计划》的通知（国发〔2023〕24号），本项目与其符合性分析见下表：</w:t>
            </w:r>
          </w:p>
          <w:p w14:paraId="70AF1E0B">
            <w:pPr>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表1-7项目与《空气质量持续改善行动计划》符合性分析一览表</w:t>
            </w:r>
          </w:p>
          <w:tbl>
            <w:tblPr>
              <w:tblStyle w:val="14"/>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3240"/>
              <w:gridCol w:w="501"/>
            </w:tblGrid>
            <w:tr w14:paraId="5A21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1" w:type="pct"/>
                  <w:vAlign w:val="center"/>
                </w:tcPr>
                <w:p w14:paraId="0F30869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文件要求</w:t>
                  </w:r>
                </w:p>
              </w:tc>
              <w:tc>
                <w:tcPr>
                  <w:tcW w:w="2000" w:type="pct"/>
                  <w:vAlign w:val="center"/>
                </w:tcPr>
                <w:p w14:paraId="3414071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项目情况</w:t>
                  </w:r>
                </w:p>
              </w:tc>
              <w:tc>
                <w:tcPr>
                  <w:tcW w:w="308" w:type="pct"/>
                  <w:vAlign w:val="center"/>
                </w:tcPr>
                <w:p w14:paraId="46E129F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符合情况</w:t>
                  </w:r>
                </w:p>
              </w:tc>
            </w:tr>
            <w:tr w14:paraId="6F5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pct"/>
                  <w:vAlign w:val="center"/>
                </w:tcPr>
                <w:p w14:paraId="54696FF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一、优化产业结构，促进产业产品绿色升级</w:t>
                  </w:r>
                </w:p>
              </w:tc>
              <w:tc>
                <w:tcPr>
                  <w:tcW w:w="2000" w:type="pct"/>
                  <w:vAlign w:val="center"/>
                </w:tcPr>
                <w:p w14:paraId="10FE2A0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c>
                <w:tcPr>
                  <w:tcW w:w="308" w:type="pct"/>
                  <w:vAlign w:val="center"/>
                </w:tcPr>
                <w:p w14:paraId="0ADACBE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r>
            <w:tr w14:paraId="79F3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pct"/>
                  <w:vAlign w:val="center"/>
                </w:tcPr>
                <w:p w14:paraId="2EAB8C3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一）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严禁新增钢铁产能。推行钢铁、焦化、烧结一体化布局，大幅减少独立焦化、烧结、球团和热轧企业及工序，淘汰落后煤炭洗选产能；有序引导高炉—转炉长流程炼钢转型为电炉短流程炼钢。（二）加快退出重点行业落后产能。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2000" w:type="pct"/>
                  <w:vAlign w:val="center"/>
                </w:tcPr>
                <w:p w14:paraId="081EB54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本项目不属于高耗能高排放、低水平项目，本项目为制砖项目，无锅炉。本项目不属于《《产业结构调整指导目录（2024年本）》中规定的限制类和淘汰类项目。</w:t>
                  </w:r>
                </w:p>
              </w:tc>
              <w:tc>
                <w:tcPr>
                  <w:tcW w:w="308" w:type="pct"/>
                  <w:vAlign w:val="center"/>
                </w:tcPr>
                <w:p w14:paraId="693949E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r w14:paraId="3508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pct"/>
                  <w:vAlign w:val="center"/>
                </w:tcPr>
                <w:p w14:paraId="1AB5CF7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二、优化能源结构，加速能源清洁低碳高效发展</w:t>
                  </w:r>
                </w:p>
              </w:tc>
              <w:tc>
                <w:tcPr>
                  <w:tcW w:w="2000" w:type="pct"/>
                  <w:vAlign w:val="center"/>
                </w:tcPr>
                <w:p w14:paraId="0795707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c>
                <w:tcPr>
                  <w:tcW w:w="308" w:type="pct"/>
                  <w:vAlign w:val="center"/>
                </w:tcPr>
                <w:p w14:paraId="232B790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r>
            <w:tr w14:paraId="6F10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pct"/>
                  <w:vAlign w:val="center"/>
                </w:tcPr>
                <w:p w14:paraId="77EFC0A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一）大力发展新能源和清洁能源。到2025年，非化石能源消费比重达20%左右，电能占终端能源消费比重达30%左右。持续增加天然气生产供应，新增天然气优先保障居民生活和清洁取暖需求。（二）严格合理控制煤炭消费总量。在保障能源安全供应的前提下，重点区域继续实施煤炭消费总量控制。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备燃煤机组实施清洁能源替代。对支撑电力稳定供应、电网安全运行、清洁能源大规模并网消纳的煤电项目及其用煤量应予以合理保障。（三）积极开展燃煤锅炉关停整合。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2.5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四）实施工业炉窑清洁能源替代。有序推进以电代煤，积极稳妥推进以气代煤。重点区域不再新增燃料类煤气发生炉，新改扩建加热炉、热处理炉、干燥炉、熔化炉原则上采用清洁低碳能源；安全稳妥推进使用高污染燃料的工业炉窑改用工业余热、电能、天然气等；燃料类煤气发生炉实行清洁能源替代，或因地制宜采取园区（集群）集中供气、分散使用方式；逐步淘汰固定床间歇式煤气发生炉。</w:t>
                  </w:r>
                </w:p>
              </w:tc>
              <w:tc>
                <w:tcPr>
                  <w:tcW w:w="2000" w:type="pct"/>
                  <w:vAlign w:val="center"/>
                </w:tcPr>
                <w:p w14:paraId="74FC53B0">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本项目不属于“两高”行业，本次项目为制砖项目，不新建锅炉。</w:t>
                  </w:r>
                </w:p>
              </w:tc>
              <w:tc>
                <w:tcPr>
                  <w:tcW w:w="308" w:type="pct"/>
                  <w:vAlign w:val="center"/>
                </w:tcPr>
                <w:p w14:paraId="0502DF1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符合</w:t>
                  </w:r>
                </w:p>
              </w:tc>
            </w:tr>
            <w:tr w14:paraId="2CCD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C66DDF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注：与项目不相关的条款未罗列在本表格中。</w:t>
                  </w:r>
                </w:p>
              </w:tc>
            </w:tr>
          </w:tbl>
          <w:p w14:paraId="022597E7">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与《关于开展自治区2022年度夏秋季大气污染防治“冬病夏治”工作的通知》符合性分析</w:t>
            </w:r>
          </w:p>
          <w:p w14:paraId="4539F4A2">
            <w:pPr>
              <w:pStyle w:val="20"/>
              <w:spacing w:line="360" w:lineRule="auto"/>
              <w:ind w:firstLine="456" w:firstLineChars="200"/>
              <w:rPr>
                <w:rFonts w:ascii="Times New Roman" w:hAnsi="Times New Roman"/>
                <w:color w:val="auto"/>
                <w:spacing w:val="-6"/>
                <w:lang w:eastAsia="zh-CN"/>
              </w:rPr>
            </w:pPr>
            <w:r>
              <w:rPr>
                <w:rFonts w:hint="eastAsia" w:ascii="Times New Roman" w:hAnsi="Times New Roman"/>
                <w:color w:val="auto"/>
                <w:spacing w:val="-6"/>
                <w:lang w:eastAsia="zh-CN"/>
              </w:rPr>
              <w:t>根据新疆维吾尔自治区生态环境厅2022年8月发布的《关于开展自治区2022年度夏秋季大气污染防治“冬病夏治”工作的通知》（新环大气函〔2022〕483 号）：有序推动水泥、焦化行业超低排放改造，推进符合燃煤自备电厂、平板玻璃、耐火材料、金属冶炼、砖瓦窑、陶瓷、碳素、石灰等行业全面稳定达标排放。针对铸造、铁合金、焦化、水泥、砖瓦、石灰、耐火材料、金属冶炼以及煤化工、石油化工等行业，严格控制物料储存、输送及生产工艺过程无组织排放。</w:t>
            </w:r>
          </w:p>
          <w:p w14:paraId="191470D1">
            <w:pPr>
              <w:pStyle w:val="20"/>
              <w:spacing w:line="360" w:lineRule="auto"/>
              <w:ind w:firstLine="456" w:firstLineChars="200"/>
              <w:rPr>
                <w:rFonts w:ascii="Times New Roman" w:hAnsi="Times New Roman"/>
                <w:color w:val="auto"/>
                <w:spacing w:val="-6"/>
                <w:lang w:eastAsia="zh-CN"/>
              </w:rPr>
            </w:pPr>
            <w:r>
              <w:rPr>
                <w:rFonts w:hint="eastAsia" w:ascii="Times New Roman" w:hAnsi="Times New Roman"/>
                <w:color w:val="auto"/>
                <w:spacing w:val="-6"/>
                <w:lang w:eastAsia="zh-CN"/>
              </w:rPr>
              <w:t>本项目为制砖项目，运营期间原料堆场采用</w:t>
            </w:r>
            <w:r>
              <w:rPr>
                <w:rFonts w:hint="eastAsia" w:ascii="Times New Roman" w:hAnsi="Times New Roman"/>
                <w:color w:val="auto"/>
                <w:spacing w:val="-6"/>
                <w:lang w:val="en-US" w:eastAsia="zh-CN"/>
              </w:rPr>
              <w:t>全</w:t>
            </w:r>
            <w:r>
              <w:rPr>
                <w:rFonts w:hint="eastAsia" w:ascii="Times New Roman" w:hAnsi="Times New Roman"/>
                <w:color w:val="auto"/>
                <w:spacing w:val="-6"/>
                <w:lang w:eastAsia="zh-CN"/>
              </w:rPr>
              <w:t>封闭措施，洒水喷淋；水泥筒仓呼吸粉尘利用筒仓仓顶自带的负压式布袋除尘器处理后排放；投料、搅拌粉尘分别经集气罩收集后（收集效率按85%计）经布袋除尘器处理后通过同一根15m高排气筒（DA001）。项目严格执行环评中所提出的废气治理措施后对环境空气影响较小，本环评要求堆场必须硬化且</w:t>
            </w:r>
            <w:r>
              <w:rPr>
                <w:rFonts w:hint="eastAsia" w:ascii="Times New Roman" w:hAnsi="Times New Roman"/>
                <w:color w:val="auto"/>
                <w:spacing w:val="-6"/>
                <w:lang w:val="en-US" w:eastAsia="zh-CN"/>
              </w:rPr>
              <w:t>全封闭</w:t>
            </w:r>
            <w:r>
              <w:rPr>
                <w:rFonts w:hint="eastAsia" w:ascii="Times New Roman" w:hAnsi="Times New Roman"/>
                <w:color w:val="auto"/>
                <w:spacing w:val="-6"/>
                <w:lang w:eastAsia="zh-CN"/>
              </w:rPr>
              <w:t>，定期洒水降尘，上料及搅拌工序必须在</w:t>
            </w:r>
            <w:r>
              <w:rPr>
                <w:rFonts w:hint="eastAsia" w:ascii="Times New Roman" w:hAnsi="Times New Roman"/>
                <w:color w:val="auto"/>
                <w:spacing w:val="-6"/>
                <w:lang w:val="en-US" w:eastAsia="zh-CN"/>
              </w:rPr>
              <w:t>全</w:t>
            </w:r>
            <w:r>
              <w:rPr>
                <w:rFonts w:hint="eastAsia" w:ascii="Times New Roman" w:hAnsi="Times New Roman"/>
                <w:color w:val="auto"/>
                <w:spacing w:val="-6"/>
                <w:lang w:eastAsia="zh-CN"/>
              </w:rPr>
              <w:t>封闭生产区进行作业，且安装喷淋措施，以减少粉尘产生量。运输过程中，车辆必须加盖苫布，控制无组织粉尘，采取以上措施后，能有效降低本项目无组织粉尘的排放量。不会降低区域环境空气质量，项目大气执行《环境空气质量标准》（GB3095—2012）中二级标准。综上，本项目符合《关于开展自治区2022年度夏秋季大气污染防治“冬病夏治”工作的通知》的相关要求。</w:t>
            </w:r>
          </w:p>
          <w:p w14:paraId="3FA99BF5">
            <w:pPr>
              <w:pStyle w:val="20"/>
              <w:numPr>
                <w:ilvl w:val="0"/>
                <w:numId w:val="1"/>
              </w:numPr>
              <w:spacing w:line="360" w:lineRule="auto"/>
              <w:ind w:firstLine="474" w:firstLineChars="200"/>
              <w:rPr>
                <w:rFonts w:hint="eastAsia" w:ascii="Times New Roman" w:hAnsi="Times New Roman" w:eastAsia="宋体" w:cs="Times New Roman"/>
                <w:b/>
                <w:bCs/>
                <w:spacing w:val="-2"/>
                <w:lang w:eastAsia="zh-CN"/>
              </w:rPr>
            </w:pPr>
            <w:r>
              <w:rPr>
                <w:rFonts w:hint="eastAsia" w:ascii="Times New Roman" w:hAnsi="Times New Roman" w:eastAsia="宋体" w:cs="Times New Roman"/>
                <w:b/>
                <w:bCs/>
                <w:spacing w:val="-2"/>
                <w:lang w:eastAsia="zh-CN"/>
              </w:rPr>
              <w:t>与《吉木萨尔县2022年度夏秋季大气污染防治“冬病夏治”工作方案》的符合性分析。</w:t>
            </w:r>
          </w:p>
          <w:p w14:paraId="118CCD77">
            <w:pPr>
              <w:pStyle w:val="20"/>
              <w:spacing w:line="360" w:lineRule="auto"/>
              <w:ind w:firstLine="456" w:firstLineChars="200"/>
              <w:rPr>
                <w:rFonts w:ascii="Times New Roman" w:hAnsi="Times New Roman"/>
                <w:color w:val="auto"/>
                <w:spacing w:val="-6"/>
                <w:lang w:eastAsia="zh-CN"/>
              </w:rPr>
            </w:pPr>
            <w:r>
              <w:rPr>
                <w:rFonts w:hint="eastAsia" w:ascii="Times New Roman" w:hAnsi="Times New Roman"/>
                <w:color w:val="auto"/>
                <w:spacing w:val="-6"/>
                <w:lang w:eastAsia="zh-CN"/>
              </w:rPr>
              <w:t>文件要求有序推动水泥、焦化行业超低排放改造，推进符合燃煤自备电厂、平板玻璃、耐火材料、金属冶炼、砖瓦窑、陶瓷、碳素、石灰等行业全面稳定达标排放。针对铸造、铁合金、焦化、水泥、砖瓦、石灰、耐火材料、金属冶炼以及煤化工、石油化工等行业，严格控制物料储存、输送及生产工艺过程无组织排放。</w:t>
            </w:r>
          </w:p>
          <w:p w14:paraId="19A43A58">
            <w:pPr>
              <w:pStyle w:val="20"/>
              <w:spacing w:line="360" w:lineRule="auto"/>
              <w:ind w:firstLine="456" w:firstLineChars="200"/>
              <w:rPr>
                <w:rFonts w:ascii="Times New Roman" w:hAnsi="Times New Roman" w:cs="Times New Roman"/>
                <w:b/>
                <w:bCs/>
                <w:color w:val="auto"/>
                <w:spacing w:val="-2"/>
                <w:lang w:eastAsia="zh-CN"/>
              </w:rPr>
            </w:pPr>
            <w:r>
              <w:rPr>
                <w:rFonts w:hint="eastAsia" w:ascii="Times New Roman" w:hAnsi="Times New Roman"/>
                <w:color w:val="auto"/>
                <w:spacing w:val="-6"/>
                <w:lang w:eastAsia="zh-CN"/>
              </w:rPr>
              <w:t>本项目为制砖项目，运营期间原料堆场采用</w:t>
            </w:r>
            <w:r>
              <w:rPr>
                <w:rFonts w:hint="eastAsia" w:ascii="Times New Roman" w:hAnsi="Times New Roman"/>
                <w:color w:val="auto"/>
                <w:spacing w:val="-6"/>
                <w:lang w:val="en-US" w:eastAsia="zh-CN"/>
              </w:rPr>
              <w:t>全</w:t>
            </w:r>
            <w:r>
              <w:rPr>
                <w:rFonts w:hint="eastAsia" w:ascii="Times New Roman" w:hAnsi="Times New Roman"/>
                <w:color w:val="auto"/>
                <w:spacing w:val="-6"/>
                <w:lang w:eastAsia="zh-CN"/>
              </w:rPr>
              <w:t>封闭措施，洒水喷淋；水泥筒仓呼吸粉尘利用筒仓仓顶自带的负压式布袋除尘器处理后排放；投料、搅拌粉尘分别经集气罩收集后（收集效率按85%计）经布袋除尘器处理后通过同一根15m高排气筒（DA001）。项目严格执行环评中所提出的废气治理措施后对环境空气影响较小，本环评要求堆场必须硬化且</w:t>
            </w:r>
            <w:r>
              <w:rPr>
                <w:rFonts w:hint="eastAsia" w:ascii="Times New Roman" w:hAnsi="Times New Roman"/>
                <w:color w:val="auto"/>
                <w:spacing w:val="-6"/>
                <w:lang w:val="en-US" w:eastAsia="zh-CN"/>
              </w:rPr>
              <w:t>全</w:t>
            </w:r>
            <w:r>
              <w:rPr>
                <w:rFonts w:hint="eastAsia" w:ascii="Times New Roman" w:hAnsi="Times New Roman"/>
                <w:color w:val="auto"/>
                <w:spacing w:val="-6"/>
                <w:lang w:eastAsia="zh-CN"/>
              </w:rPr>
              <w:t>封闭，定期洒水降尘，上料及搅拌工序必须在</w:t>
            </w:r>
            <w:r>
              <w:rPr>
                <w:rFonts w:hint="eastAsia" w:ascii="Times New Roman" w:hAnsi="Times New Roman"/>
                <w:color w:val="auto"/>
                <w:spacing w:val="-6"/>
                <w:lang w:val="en-US" w:eastAsia="zh-CN"/>
              </w:rPr>
              <w:t>全</w:t>
            </w:r>
            <w:r>
              <w:rPr>
                <w:rFonts w:hint="eastAsia" w:ascii="Times New Roman" w:hAnsi="Times New Roman"/>
                <w:color w:val="auto"/>
                <w:spacing w:val="-6"/>
                <w:lang w:eastAsia="zh-CN"/>
              </w:rPr>
              <w:t>封闭生产区进行作业</w:t>
            </w:r>
            <w:r>
              <w:rPr>
                <w:rFonts w:hint="eastAsia" w:ascii="Times New Roman" w:hAnsi="Times New Roman"/>
                <w:color w:val="auto"/>
                <w:spacing w:val="-6"/>
                <w:lang w:val="en-US" w:eastAsia="zh-CN"/>
              </w:rPr>
              <w:t>；</w:t>
            </w:r>
            <w:r>
              <w:rPr>
                <w:rFonts w:hint="eastAsia" w:ascii="Times New Roman" w:hAnsi="Times New Roman"/>
                <w:color w:val="auto"/>
                <w:spacing w:val="-6"/>
                <w:lang w:eastAsia="zh-CN"/>
              </w:rPr>
              <w:t>运输过程中，车辆必须加盖苫布，控制无组织粉尘，采取以上措施后，能有效降低本项目无组织粉尘的排放量。不会降低区域环境空气质量，项目大气执行《环境空气质量标准》（GB3095—2012）中二级标准。综上，本项目符合《吉木萨尔县2022年度夏秋季大气污染防治“冬病夏治”工作方案》的相关要求。</w:t>
            </w:r>
          </w:p>
          <w:p w14:paraId="4A65F4C2">
            <w:pPr>
              <w:pStyle w:val="20"/>
              <w:numPr>
                <w:ilvl w:val="0"/>
                <w:numId w:val="1"/>
              </w:numPr>
              <w:spacing w:line="360" w:lineRule="auto"/>
              <w:ind w:firstLine="474" w:firstLineChars="200"/>
              <w:rPr>
                <w:rFonts w:hint="eastAsia"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与《关于印发新疆维吾尔自治区大气污染防治行动计划实施方案的通知》（新政发〔2014〕35号）的符合性分析。</w:t>
            </w:r>
          </w:p>
          <w:p w14:paraId="423DF2CD">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Times New Roman" w:hAnsi="Times New Roman" w:eastAsia="宋体" w:cs="宋体"/>
                <w:spacing w:val="-6"/>
                <w:lang w:val="en-US" w:eastAsia="zh-CN"/>
              </w:rPr>
            </w:pPr>
            <w:r>
              <w:rPr>
                <w:rFonts w:hint="eastAsia" w:ascii="Times New Roman" w:hAnsi="Times New Roman" w:eastAsia="宋体" w:cs="宋体"/>
                <w:spacing w:val="-6"/>
                <w:lang w:val="en-US" w:eastAsia="zh-CN"/>
              </w:rPr>
              <w:t>文件要求加大城市扬尘综合整治力度。加强施工扬尘监管，积极推进绿色施工。各类建筑施工、道路施工、市政工程等工地和构筑物拆除场地周边应全封闭设置围挡墙、湿法作业，严禁敞开式作业。施工现场道路应进行地面硬化，禁止现场搅拌混凝土、砂浆。渣土运输车辆采取密闭措施，逐步安装卫星定位系统。煤堆、料堆、渣堆实现封闭存储。推行道路机械化清扫等低尘作业方式。</w:t>
            </w:r>
          </w:p>
          <w:p w14:paraId="758C56AD">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Times New Roman" w:hAnsi="Times New Roman"/>
                <w:color w:val="auto"/>
                <w:spacing w:val="-6"/>
                <w:lang w:val="en-US" w:eastAsia="zh-CN"/>
              </w:rPr>
            </w:pPr>
            <w:r>
              <w:rPr>
                <w:rFonts w:hint="eastAsia" w:ascii="Times New Roman" w:hAnsi="Times New Roman" w:eastAsia="宋体" w:cs="宋体"/>
                <w:spacing w:val="-6"/>
                <w:lang w:val="en-US" w:eastAsia="zh-CN"/>
              </w:rPr>
              <w:t>本项目施工期已结束，运营期间原料堆场采用</w:t>
            </w:r>
            <w:r>
              <w:rPr>
                <w:rFonts w:hint="eastAsia" w:ascii="Times New Roman" w:hAnsi="Times New Roman" w:cs="宋体"/>
                <w:spacing w:val="-6"/>
                <w:lang w:val="en-US" w:eastAsia="zh-CN"/>
              </w:rPr>
              <w:t>全</w:t>
            </w:r>
            <w:r>
              <w:rPr>
                <w:rFonts w:hint="eastAsia" w:ascii="Times New Roman" w:hAnsi="Times New Roman" w:eastAsia="宋体" w:cs="宋体"/>
                <w:spacing w:val="-6"/>
                <w:lang w:val="en-US" w:eastAsia="zh-CN"/>
              </w:rPr>
              <w:t>封闭措施，洒水喷淋；水泥使用全封闭筒仓，</w:t>
            </w:r>
            <w:r>
              <w:rPr>
                <w:rFonts w:hint="eastAsia" w:ascii="Times New Roman" w:hAnsi="Times New Roman"/>
                <w:color w:val="auto"/>
                <w:spacing w:val="-6"/>
                <w:lang w:eastAsia="zh-CN"/>
              </w:rPr>
              <w:t>水泥筒仓呼吸粉尘利用筒仓仓顶自带的负压式布袋除尘器处理后排放；</w:t>
            </w:r>
            <w:r>
              <w:rPr>
                <w:rFonts w:hint="eastAsia" w:ascii="Times New Roman" w:hAnsi="Times New Roman"/>
                <w:color w:val="auto"/>
                <w:spacing w:val="-6"/>
                <w:lang w:val="en-US" w:eastAsia="zh-CN"/>
              </w:rPr>
              <w:t>上料搅拌粉尘设置集气罩，收集后引至布袋除尘器处理后通过15m高排气筒（DA001）排放；</w:t>
            </w:r>
            <w:r>
              <w:rPr>
                <w:rFonts w:hint="eastAsia" w:ascii="Times New Roman" w:hAnsi="Times New Roman"/>
                <w:color w:val="auto"/>
                <w:spacing w:val="-6"/>
                <w:lang w:eastAsia="zh-CN"/>
              </w:rPr>
              <w:t>运输过程中，车辆必须加盖苫布，控制无组织粉尘；</w:t>
            </w:r>
            <w:r>
              <w:rPr>
                <w:rFonts w:hint="eastAsia" w:ascii="Times New Roman" w:hAnsi="Times New Roman"/>
                <w:color w:val="auto"/>
                <w:spacing w:val="-6"/>
                <w:lang w:val="en-US" w:eastAsia="zh-CN"/>
              </w:rPr>
              <w:t>综上本项目符合《关于印发新疆维吾尔自治区大气污染防治行动计划实施方案的通知》的相关要求。</w:t>
            </w:r>
          </w:p>
          <w:p w14:paraId="7CC5486D">
            <w:pPr>
              <w:pStyle w:val="20"/>
              <w:numPr>
                <w:ilvl w:val="0"/>
                <w:numId w:val="1"/>
              </w:numPr>
              <w:spacing w:line="360" w:lineRule="auto"/>
              <w:ind w:firstLine="474" w:firstLineChars="200"/>
              <w:rPr>
                <w:rFonts w:hint="eastAsia"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与《</w:t>
            </w:r>
            <w:r>
              <w:rPr>
                <w:rFonts w:hint="default" w:ascii="Times New Roman" w:hAnsi="Times New Roman" w:eastAsia="宋体" w:cs="Times New Roman"/>
                <w:b/>
                <w:bCs/>
                <w:spacing w:val="-2"/>
                <w:lang w:val="en-US" w:eastAsia="zh-CN"/>
              </w:rPr>
              <w:t>新疆维吾尔自治区2025年空气质量持续改善行动实施方案的通知》</w:t>
            </w:r>
            <w:r>
              <w:rPr>
                <w:rFonts w:hint="eastAsia" w:ascii="Times New Roman" w:hAnsi="Times New Roman" w:eastAsia="宋体" w:cs="Times New Roman"/>
                <w:b/>
                <w:bCs/>
                <w:spacing w:val="-2"/>
                <w:lang w:val="en-US" w:eastAsia="zh-CN"/>
              </w:rPr>
              <w:t>的符合性分析</w:t>
            </w:r>
          </w:p>
          <w:p w14:paraId="67910E0F">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Times New Roman" w:hAnsi="Times New Roman" w:eastAsia="宋体" w:cs="宋体"/>
                <w:spacing w:val="-6"/>
                <w:lang w:val="en-US" w:eastAsia="zh-CN"/>
              </w:rPr>
            </w:pPr>
            <w:r>
              <w:rPr>
                <w:rFonts w:hint="eastAsia" w:ascii="Times New Roman" w:hAnsi="Times New Roman" w:eastAsia="宋体" w:cs="宋体"/>
                <w:spacing w:val="-6"/>
                <w:lang w:val="en-US" w:eastAsia="zh-CN"/>
              </w:rPr>
              <w:t>文件要求持续开展重点行业污染深度治理。高质量推进钢铁、水泥、焦化等行业超低排放改造，到2025年底，全区钢铁行业80%的产能完成超低排放改造，联防联控区水泥、焦化行业基本完成超低排放改造。开展失效低效污染治理设施排查整治。扎实推进环保绩效“创A晋B”，各地结合实际制定“一企一策”污染治理方案，提升企业环保绩效水平。强化治污设施运行维护，减少非正常工况排放，逐步取消烟气和含VOCs废气旁路，因安全生产需要无法取消的，安装在线监控系统及备用处置设施。</w:t>
            </w:r>
          </w:p>
          <w:p w14:paraId="33E43E19">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default" w:ascii="Times New Roman" w:hAnsi="Times New Roman" w:eastAsia="宋体" w:cs="宋体"/>
                <w:spacing w:val="-6"/>
                <w:lang w:val="en-US" w:eastAsia="zh-CN"/>
              </w:rPr>
            </w:pPr>
            <w:r>
              <w:rPr>
                <w:rFonts w:hint="eastAsia" w:ascii="Times New Roman" w:hAnsi="Times New Roman" w:cs="宋体"/>
                <w:spacing w:val="-6"/>
                <w:lang w:val="en-US" w:eastAsia="zh-CN"/>
              </w:rPr>
              <w:t>本项目</w:t>
            </w:r>
            <w:r>
              <w:rPr>
                <w:rFonts w:hint="eastAsia" w:ascii="Times New Roman" w:hAnsi="Times New Roman" w:eastAsia="宋体" w:cs="宋体"/>
                <w:spacing w:val="-6"/>
                <w:lang w:val="en-US" w:eastAsia="zh-CN"/>
              </w:rPr>
              <w:t>运营期间原料堆场采用</w:t>
            </w:r>
            <w:r>
              <w:rPr>
                <w:rFonts w:hint="eastAsia" w:ascii="Times New Roman" w:hAnsi="Times New Roman" w:cs="宋体"/>
                <w:spacing w:val="-6"/>
                <w:lang w:val="en-US" w:eastAsia="zh-CN"/>
              </w:rPr>
              <w:t>全</w:t>
            </w:r>
            <w:r>
              <w:rPr>
                <w:rFonts w:hint="eastAsia" w:ascii="Times New Roman" w:hAnsi="Times New Roman" w:eastAsia="宋体" w:cs="宋体"/>
                <w:spacing w:val="-6"/>
                <w:lang w:val="en-US" w:eastAsia="zh-CN"/>
              </w:rPr>
              <w:t>封闭措施，洒水喷淋；水泥使用全封闭筒仓，</w:t>
            </w:r>
            <w:r>
              <w:rPr>
                <w:rFonts w:hint="eastAsia" w:ascii="Times New Roman" w:hAnsi="Times New Roman"/>
                <w:color w:val="auto"/>
                <w:spacing w:val="-6"/>
                <w:lang w:eastAsia="zh-CN"/>
              </w:rPr>
              <w:t>水泥筒仓呼吸粉尘利用筒仓仓顶自带的负压式布袋除尘器处理后排放；</w:t>
            </w:r>
            <w:r>
              <w:rPr>
                <w:rFonts w:hint="eastAsia" w:ascii="Times New Roman" w:hAnsi="Times New Roman"/>
                <w:color w:val="auto"/>
                <w:spacing w:val="-6"/>
                <w:lang w:val="en-US" w:eastAsia="zh-CN"/>
              </w:rPr>
              <w:t>上料搅拌粉尘设置集气罩，收集后引至布袋除尘器处理后通过15m高排气筒（DA001）排放；</w:t>
            </w:r>
            <w:r>
              <w:rPr>
                <w:rFonts w:hint="eastAsia" w:ascii="Times New Roman" w:hAnsi="Times New Roman"/>
                <w:color w:val="auto"/>
                <w:spacing w:val="-6"/>
                <w:lang w:eastAsia="zh-CN"/>
              </w:rPr>
              <w:t>运输过程中，车辆必须加盖苫布，控制无组织粉尘；</w:t>
            </w:r>
            <w:r>
              <w:rPr>
                <w:rFonts w:hint="eastAsia" w:ascii="Times New Roman" w:hAnsi="Times New Roman"/>
                <w:color w:val="auto"/>
                <w:spacing w:val="-6"/>
                <w:lang w:val="en-US" w:eastAsia="zh-CN"/>
              </w:rPr>
              <w:t>本项目结合实际制定“一企一策”污染治理方案，</w:t>
            </w:r>
            <w:r>
              <w:rPr>
                <w:rFonts w:hint="eastAsia" w:ascii="Times New Roman" w:hAnsi="Times New Roman" w:eastAsia="宋体" w:cs="宋体"/>
                <w:spacing w:val="-6"/>
                <w:lang w:val="en-US" w:eastAsia="zh-CN"/>
              </w:rPr>
              <w:t>减少非正常工况排放</w:t>
            </w:r>
            <w:r>
              <w:rPr>
                <w:rFonts w:hint="eastAsia" w:ascii="Times New Roman" w:hAnsi="Times New Roman" w:cs="宋体"/>
                <w:spacing w:val="-6"/>
                <w:lang w:val="en-US" w:eastAsia="zh-CN"/>
              </w:rPr>
              <w:t>，综上所述本项目符合《新疆维吾尔自治区2025年空气质量持续改善行动实施方案的通知》。</w:t>
            </w:r>
          </w:p>
          <w:p w14:paraId="7BB84386">
            <w:pPr>
              <w:pStyle w:val="20"/>
              <w:numPr>
                <w:ilvl w:val="0"/>
                <w:numId w:val="1"/>
              </w:numPr>
              <w:spacing w:line="360" w:lineRule="auto"/>
              <w:ind w:firstLine="474" w:firstLineChars="200"/>
              <w:rPr>
                <w:rFonts w:hint="eastAsia"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与《混凝土与水泥制品行业“十四五”发展指南》的符合性分析</w:t>
            </w:r>
          </w:p>
          <w:p w14:paraId="7C8DBDD7">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Times New Roman" w:hAnsi="Times New Roman" w:cs="宋体"/>
                <w:spacing w:val="-6"/>
                <w:lang w:val="en-US" w:eastAsia="zh-CN"/>
              </w:rPr>
            </w:pPr>
            <w:r>
              <w:rPr>
                <w:rFonts w:hint="eastAsia" w:ascii="Times New Roman" w:hAnsi="Times New Roman" w:cs="宋体"/>
                <w:spacing w:val="-6"/>
                <w:lang w:val="en-US" w:eastAsia="zh-CN"/>
              </w:rPr>
              <w:t>文件要求打造行业绿色环保低碳底色。鼓励企业发展尾矿、建筑固废再生骨料和辅助型胶凝材料加工产业。充分发挥水泥混凝土材料与制品的生产和应用在环保利废、发展循环经济、建设生态文明中的重要作用。建立规模化、高值化利用固废矿物材料技术和标准体系，最大限度降低水泥熟料用量、提高固废利用率。</w:t>
            </w:r>
          </w:p>
          <w:p w14:paraId="7CC1627A">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default" w:ascii="Times New Roman" w:hAnsi="Times New Roman" w:cs="宋体"/>
                <w:spacing w:val="-6"/>
                <w:lang w:val="en-US" w:eastAsia="zh-CN"/>
              </w:rPr>
            </w:pPr>
            <w:r>
              <w:rPr>
                <w:rFonts w:hint="eastAsia" w:ascii="Times New Roman" w:hAnsi="Times New Roman" w:eastAsia="宋体" w:cs="宋体"/>
                <w:color w:val="auto"/>
                <w:spacing w:val="-6"/>
                <w:sz w:val="24"/>
                <w:szCs w:val="24"/>
                <w:lang w:eastAsia="zh-CN"/>
              </w:rPr>
              <w:t>本项目产生的布袋除尘器收集的粉尘返回生产工序；搅拌料废渣、边角料及不合格产品全部收集经破碎后，</w:t>
            </w:r>
            <w:r>
              <w:rPr>
                <w:rFonts w:hint="eastAsia" w:ascii="Times New Roman" w:hAnsi="Times New Roman" w:cs="宋体"/>
                <w:color w:val="auto"/>
                <w:spacing w:val="-6"/>
                <w:sz w:val="24"/>
                <w:szCs w:val="24"/>
                <w:lang w:eastAsia="zh-CN"/>
              </w:rPr>
              <w:t>作为</w:t>
            </w:r>
            <w:r>
              <w:rPr>
                <w:rFonts w:hint="eastAsia" w:ascii="Times New Roman" w:hAnsi="Times New Roman" w:eastAsia="宋体" w:cs="宋体"/>
                <w:color w:val="auto"/>
                <w:spacing w:val="-6"/>
                <w:sz w:val="24"/>
                <w:szCs w:val="24"/>
                <w:lang w:eastAsia="zh-CN"/>
              </w:rPr>
              <w:t>骨料返回配料工序，</w:t>
            </w:r>
            <w:r>
              <w:rPr>
                <w:rFonts w:hint="eastAsia" w:ascii="Times New Roman" w:hAnsi="Times New Roman" w:eastAsia="宋体" w:cs="宋体"/>
                <w:color w:val="auto"/>
                <w:spacing w:val="-6"/>
                <w:sz w:val="24"/>
                <w:szCs w:val="24"/>
                <w:lang w:val="en-US" w:eastAsia="zh-CN"/>
              </w:rPr>
              <w:t>提高了固废利用率，</w:t>
            </w:r>
            <w:r>
              <w:rPr>
                <w:rFonts w:hint="eastAsia" w:ascii="Times New Roman" w:hAnsi="Times New Roman" w:cs="宋体"/>
                <w:color w:val="auto"/>
                <w:spacing w:val="-6"/>
                <w:sz w:val="24"/>
                <w:szCs w:val="24"/>
                <w:lang w:val="en-US" w:eastAsia="zh-CN"/>
              </w:rPr>
              <w:t>综上所述本项目</w:t>
            </w:r>
            <w:r>
              <w:rPr>
                <w:rFonts w:hint="eastAsia" w:ascii="Times New Roman" w:hAnsi="Times New Roman" w:eastAsia="宋体" w:cs="宋体"/>
                <w:color w:val="auto"/>
                <w:spacing w:val="-6"/>
                <w:sz w:val="24"/>
                <w:szCs w:val="24"/>
                <w:lang w:val="en-US" w:eastAsia="zh-CN"/>
              </w:rPr>
              <w:t>符合《混凝土与水泥制品行业“十四五”发展指南》</w:t>
            </w:r>
            <w:r>
              <w:rPr>
                <w:rFonts w:hint="eastAsia" w:ascii="Times New Roman" w:hAnsi="Times New Roman" w:cs="宋体"/>
                <w:color w:val="auto"/>
                <w:spacing w:val="-6"/>
                <w:sz w:val="24"/>
                <w:szCs w:val="24"/>
                <w:lang w:val="en-US" w:eastAsia="zh-CN"/>
              </w:rPr>
              <w:t>。</w:t>
            </w:r>
          </w:p>
          <w:p w14:paraId="0C95FD12">
            <w:pPr>
              <w:pStyle w:val="20"/>
              <w:numPr>
                <w:ilvl w:val="0"/>
                <w:numId w:val="1"/>
              </w:numPr>
              <w:spacing w:line="360" w:lineRule="auto"/>
              <w:ind w:firstLine="474" w:firstLineChars="200"/>
              <w:rPr>
                <w:rFonts w:hint="default"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与《昌吉州生态环境保护“十四五”规划》的符合性分析</w:t>
            </w:r>
          </w:p>
          <w:p w14:paraId="79A56BF3">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Times New Roman" w:hAnsi="Times New Roman" w:eastAsia="宋体" w:cs="宋体"/>
                <w:color w:val="auto"/>
                <w:spacing w:val="-6"/>
                <w:sz w:val="24"/>
                <w:szCs w:val="24"/>
                <w:lang w:val="en-US" w:eastAsia="zh-CN"/>
              </w:rPr>
            </w:pPr>
            <w:r>
              <w:rPr>
                <w:rFonts w:hint="eastAsia" w:ascii="Times New Roman" w:hAnsi="Times New Roman" w:eastAsia="宋体" w:cs="宋体"/>
                <w:color w:val="auto"/>
                <w:spacing w:val="-6"/>
                <w:sz w:val="24"/>
                <w:szCs w:val="24"/>
                <w:lang w:val="en-US" w:eastAsia="zh-CN"/>
              </w:rPr>
              <w:t>文件要求推进重点行业污染治理升级改造。各县市、园区电解铝、焦化、碳素等重点行业及“乌-昌-石”区域所有行业均实施特别排放限值。2023 年年底前，“乌-昌-石”区域完成钢铁、铸造等行业的超低排放改造工作，至2025年，其他区域全部完成钢铁、铸造等行业的超低排放运行。推进铸造、砖瓦、陶瓷、玻璃、石灰、矿物棉、独立轧钢、有色金属再生、炭素、化工、煤炭洗选、包装印刷、家具、人造板、橡胶制品、塑料制品等企业升级改造。实施工业企业物料封闭化管理专项整治，使全州各县市（园区）贮存煤炭、煤矸石、煤渣、水泥、石灰、石膏、砂土等易产生扬尘的物料全部实现密闭、密封储存，企业无组织排放等扬尘污染得到有效控制。持续推进工业源全面达标排放。</w:t>
            </w:r>
          </w:p>
          <w:p w14:paraId="1978FB00">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default" w:ascii="Times New Roman" w:hAnsi="Times New Roman" w:eastAsia="宋体" w:cs="宋体"/>
                <w:color w:val="auto"/>
                <w:spacing w:val="-6"/>
                <w:sz w:val="24"/>
                <w:szCs w:val="24"/>
                <w:lang w:val="en-US" w:eastAsia="zh-CN"/>
              </w:rPr>
            </w:pPr>
            <w:r>
              <w:rPr>
                <w:rFonts w:hint="eastAsia" w:ascii="Times New Roman" w:hAnsi="Times New Roman" w:cs="宋体"/>
                <w:color w:val="auto"/>
                <w:spacing w:val="-6"/>
                <w:sz w:val="24"/>
                <w:szCs w:val="24"/>
                <w:lang w:val="en-US" w:eastAsia="zh-CN"/>
              </w:rPr>
              <w:t>本项目为制砖项目，项目严格执行环评中所提出的废气治理措施后对环境空气影响较小，本环评要求原料堆场采用全封闭措施，洒水喷淋以减少粉尘产生量。运输过程中，车辆必须加盖苫布，控制无组织粉尘，采取以上措施后，能有效降低本项目无组织粉尘的排放量；综上所述，本项目的建设符合《昌吉州生态环境保护“十四五”规划》。</w:t>
            </w:r>
          </w:p>
          <w:p w14:paraId="5B82AAA9">
            <w:pPr>
              <w:pStyle w:val="20"/>
              <w:numPr>
                <w:ilvl w:val="0"/>
                <w:numId w:val="1"/>
              </w:numPr>
              <w:spacing w:line="360" w:lineRule="auto"/>
              <w:ind w:firstLine="474" w:firstLineChars="200"/>
              <w:rPr>
                <w:rFonts w:hint="default" w:ascii="Times New Roman" w:hAnsi="Times New Roman" w:cs="Times New Roman"/>
                <w:b/>
                <w:bCs/>
                <w:spacing w:val="-2"/>
                <w:lang w:val="en-US" w:eastAsia="zh-CN"/>
              </w:rPr>
            </w:pPr>
            <w:r>
              <w:rPr>
                <w:rFonts w:hint="eastAsia" w:ascii="Times New Roman" w:hAnsi="Times New Roman" w:cs="Times New Roman"/>
                <w:b/>
                <w:bCs/>
                <w:spacing w:val="-2"/>
                <w:lang w:val="en-US" w:eastAsia="zh-CN"/>
              </w:rPr>
              <w:t>选址合理性</w:t>
            </w:r>
          </w:p>
          <w:p w14:paraId="22DB35FA">
            <w:pPr>
              <w:pStyle w:val="20"/>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本项目位于吉木萨尔县庆阳湖乡二工梁村，用地性质为规划建设用地，本项目不占用农业用地。项目厂址所在地周围无名胜古迹、风景区、自然保护区等特殊环境敏感点，无明显的环境制约因素，不会与周围的其他服务项目和设施产生冲突。本项目建成投入使用后，在采取相应治理措施后，各类污染物可满足相应的国家和地方排放标准。项目建成后不会降低区域环境功能，项目选址可行。</w:t>
            </w:r>
          </w:p>
          <w:p w14:paraId="2F0AF4FE">
            <w:pPr>
              <w:pStyle w:val="20"/>
              <w:numPr>
                <w:ilvl w:val="0"/>
                <w:numId w:val="1"/>
              </w:numPr>
              <w:spacing w:line="360" w:lineRule="auto"/>
              <w:ind w:firstLine="474" w:firstLineChars="200"/>
              <w:rPr>
                <w:rFonts w:hint="default"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项目建设依托可行性</w:t>
            </w:r>
          </w:p>
          <w:p w14:paraId="10A23385">
            <w:pPr>
              <w:pStyle w:val="20"/>
              <w:kinsoku/>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本项目位于吉木萨尔县庆阳湖乡规划范围内，土地属于吉木萨尔县庆阳湖乡现规划的建设用地。</w:t>
            </w:r>
          </w:p>
          <w:p w14:paraId="7FF913A9">
            <w:pPr>
              <w:pStyle w:val="20"/>
              <w:kinsoku/>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项目区所在地在地貌上属于山前冲洪积倾斜平原的下部，地形由东北微倾向西南，地面坡降10‰，海拔628～625m，地貌变化不大。场地地基土主要为粉土，场地无不良地质现象存在，也没有大的活动性构造通过，场地区域稳定性较好，属于可进行工程建设的一般型场地，工程地质条件较好。</w:t>
            </w:r>
          </w:p>
          <w:p w14:paraId="4BA08307">
            <w:pPr>
              <w:pStyle w:val="20"/>
              <w:kinsoku/>
              <w:spacing w:line="360" w:lineRule="auto"/>
              <w:ind w:firstLine="456" w:firstLineChars="200"/>
              <w:rPr>
                <w:rFonts w:ascii="Times New Roman" w:hAnsi="Times New Roman"/>
                <w:spacing w:val="-6"/>
                <w:lang w:eastAsia="zh-CN"/>
              </w:rPr>
            </w:pPr>
            <w:r>
              <w:rPr>
                <w:rFonts w:hint="eastAsia" w:ascii="Times New Roman" w:hAnsi="Times New Roman"/>
                <w:spacing w:val="-6"/>
                <w:lang w:eastAsia="zh-CN"/>
              </w:rPr>
              <w:t>本项目主要依托吉木萨尔县庆阳湖乡的公共设施有：项目给水水源为吉木萨尔县庆阳湖乡供水管网，能够满足生活用水需要。项目电力由县电网10kV变电站引线接入。项目对外交通依托现有交通道路网络，交通十分便利。生活垃圾在厂区内定点统一收集后由环卫部门统一处理。</w:t>
            </w:r>
          </w:p>
          <w:p w14:paraId="02980CF7">
            <w:pPr>
              <w:pStyle w:val="20"/>
              <w:kinsoku/>
              <w:spacing w:line="360" w:lineRule="auto"/>
              <w:ind w:firstLine="456" w:firstLineChars="200"/>
              <w:rPr>
                <w:rFonts w:ascii="Times New Roman" w:hAnsi="Times New Roman"/>
                <w:spacing w:val="-2"/>
                <w:lang w:eastAsia="zh-CN"/>
              </w:rPr>
            </w:pPr>
            <w:r>
              <w:rPr>
                <w:rFonts w:hint="eastAsia" w:ascii="Times New Roman" w:hAnsi="Times New Roman"/>
                <w:spacing w:val="-6"/>
                <w:lang w:eastAsia="zh-CN"/>
              </w:rPr>
              <w:t>综上所述，本项目在区域条件、交通条件、资源条件等方面具有很好的优势，项目的建设可行。</w:t>
            </w:r>
          </w:p>
        </w:tc>
      </w:tr>
    </w:tbl>
    <w:p w14:paraId="2DC5879E">
      <w:pPr>
        <w:rPr>
          <w:lang w:eastAsia="zh-CN"/>
        </w:rPr>
        <w:sectPr>
          <w:pgSz w:w="11905" w:h="16838"/>
          <w:pgMar w:top="1701" w:right="1531" w:bottom="1701" w:left="1531" w:header="0" w:footer="913" w:gutter="0"/>
          <w:pgNumType w:start="1"/>
          <w:cols w:space="0" w:num="1"/>
        </w:sectPr>
      </w:pPr>
    </w:p>
    <w:p w14:paraId="72C5F2C4">
      <w:pPr>
        <w:numPr>
          <w:ilvl w:val="0"/>
          <w:numId w:val="2"/>
        </w:numPr>
        <w:spacing w:before="98" w:line="213" w:lineRule="auto"/>
        <w:ind w:left="3057"/>
        <w:rPr>
          <w:rFonts w:ascii="宋体" w:hAnsi="宋体" w:eastAsia="宋体" w:cs="宋体"/>
          <w:b/>
          <w:bCs/>
          <w:spacing w:val="-4"/>
          <w:sz w:val="30"/>
          <w:szCs w:val="30"/>
          <w:lang w:eastAsia="zh-CN"/>
        </w:rPr>
      </w:pPr>
      <w:r>
        <w:rPr>
          <w:rFonts w:ascii="宋体" w:hAnsi="宋体" w:eastAsia="宋体" w:cs="宋体"/>
          <w:b/>
          <w:bCs/>
          <w:spacing w:val="-4"/>
          <w:sz w:val="30"/>
          <w:szCs w:val="30"/>
        </w:rPr>
        <w:t>建设项目工程分析</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434"/>
      </w:tblGrid>
      <w:tr w14:paraId="79F9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tcPr>
          <w:p w14:paraId="6B93E02A">
            <w:pPr>
              <w:widowControl w:val="0"/>
              <w:spacing w:before="98" w:line="213" w:lineRule="auto"/>
              <w:jc w:val="both"/>
              <w:rPr>
                <w:rFonts w:ascii="宋体" w:hAnsi="宋体" w:eastAsia="宋体" w:cs="宋体"/>
                <w:b/>
                <w:bCs/>
                <w:spacing w:val="-4"/>
                <w:sz w:val="30"/>
                <w:szCs w:val="30"/>
                <w:lang w:eastAsia="zh-CN"/>
              </w:rPr>
            </w:pPr>
            <w:r>
              <w:rPr>
                <w:rFonts w:ascii="宋体" w:hAnsi="宋体" w:eastAsia="宋体" w:cs="宋体"/>
                <w:spacing w:val="6"/>
                <w:sz w:val="24"/>
                <w:szCs w:val="24"/>
              </w:rPr>
              <w:t>建设内容</w:t>
            </w:r>
          </w:p>
        </w:tc>
        <w:tc>
          <w:tcPr>
            <w:tcW w:w="8434" w:type="dxa"/>
          </w:tcPr>
          <w:p w14:paraId="457AC2CE">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1、项目背景</w:t>
            </w:r>
          </w:p>
          <w:p w14:paraId="5F370444">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随着我国</w:t>
            </w:r>
            <w:r>
              <w:rPr>
                <w:rFonts w:hint="eastAsia" w:ascii="Times New Roman" w:hAnsi="Times New Roman"/>
                <w:spacing w:val="-3"/>
                <w:lang w:eastAsia="zh-CN"/>
              </w:rPr>
              <w:t>城镇化建设</w:t>
            </w:r>
            <w:r>
              <w:rPr>
                <w:rFonts w:ascii="Times New Roman" w:hAnsi="Times New Roman"/>
                <w:spacing w:val="-3"/>
                <w:lang w:eastAsia="zh-CN"/>
              </w:rPr>
              <w:t>步伐加快，城市的生态环境承受</w:t>
            </w:r>
            <w:r>
              <w:rPr>
                <w:rFonts w:ascii="Times New Roman" w:hAnsi="Times New Roman"/>
                <w:spacing w:val="-4"/>
                <w:lang w:eastAsia="zh-CN"/>
              </w:rPr>
              <w:t>着巨大的压力。现代</w:t>
            </w:r>
            <w:r>
              <w:rPr>
                <w:rFonts w:ascii="Times New Roman" w:hAnsi="Times New Roman"/>
                <w:spacing w:val="6"/>
                <w:lang w:eastAsia="zh-CN"/>
              </w:rPr>
              <w:t>化城市的地表逐步被建筑物和</w:t>
            </w:r>
            <w:r>
              <w:rPr>
                <w:rFonts w:hint="eastAsia" w:ascii="Times New Roman" w:hAnsi="Times New Roman"/>
                <w:spacing w:val="6"/>
                <w:lang w:eastAsia="zh-CN"/>
              </w:rPr>
              <w:t>混凝土</w:t>
            </w:r>
            <w:r>
              <w:rPr>
                <w:rFonts w:ascii="Times New Roman" w:hAnsi="Times New Roman"/>
                <w:spacing w:val="6"/>
                <w:lang w:eastAsia="zh-CN"/>
              </w:rPr>
              <w:t>等阻水材料硬化覆盖，形成了生态学的</w:t>
            </w:r>
            <w:r>
              <w:rPr>
                <w:rFonts w:ascii="Times New Roman" w:hAnsi="Times New Roman" w:cs="Times New Roman"/>
                <w:lang w:eastAsia="zh-CN"/>
              </w:rPr>
              <w:t>“</w:t>
            </w:r>
            <w:r>
              <w:rPr>
                <w:rFonts w:ascii="Times New Roman" w:hAnsi="Times New Roman"/>
                <w:lang w:eastAsia="zh-CN"/>
              </w:rPr>
              <w:t>人造沙漠</w:t>
            </w:r>
            <w:r>
              <w:rPr>
                <w:rFonts w:ascii="Times New Roman" w:hAnsi="Times New Roman" w:cs="Times New Roman"/>
                <w:lang w:eastAsia="zh-CN"/>
              </w:rPr>
              <w:t>”</w:t>
            </w:r>
            <w:r>
              <w:rPr>
                <w:rFonts w:ascii="Times New Roman" w:hAnsi="Times New Roman"/>
                <w:lang w:eastAsia="zh-CN"/>
              </w:rPr>
              <w:t>，便捷的交通设施，铺设平整的道路</w:t>
            </w:r>
            <w:r>
              <w:rPr>
                <w:rFonts w:ascii="Times New Roman" w:hAnsi="Times New Roman"/>
                <w:spacing w:val="-1"/>
                <w:lang w:eastAsia="zh-CN"/>
              </w:rPr>
              <w:t>在给人们的出行带来方便的同</w:t>
            </w:r>
            <w:r>
              <w:rPr>
                <w:rFonts w:ascii="Times New Roman" w:hAnsi="Times New Roman"/>
                <w:lang w:eastAsia="zh-CN"/>
              </w:rPr>
              <w:t>时，</w:t>
            </w:r>
            <w:r>
              <w:rPr>
                <w:rFonts w:ascii="Times New Roman" w:hAnsi="Times New Roman"/>
                <w:spacing w:val="-4"/>
                <w:lang w:eastAsia="zh-CN"/>
              </w:rPr>
              <w:t>因此，如何在城市建设中实现环境保护与经济、社会的和谐发展</w:t>
            </w:r>
            <w:r>
              <w:rPr>
                <w:rFonts w:hint="eastAsia" w:ascii="Times New Roman" w:hAnsi="Times New Roman"/>
                <w:spacing w:val="-4"/>
                <w:lang w:eastAsia="zh-CN"/>
              </w:rPr>
              <w:t>日益</w:t>
            </w:r>
            <w:r>
              <w:rPr>
                <w:rFonts w:ascii="Times New Roman" w:hAnsi="Times New Roman"/>
                <w:spacing w:val="-4"/>
                <w:lang w:eastAsia="zh-CN"/>
              </w:rPr>
              <w:t>引起</w:t>
            </w:r>
            <w:r>
              <w:rPr>
                <w:rFonts w:ascii="Times New Roman" w:hAnsi="Times New Roman"/>
                <w:spacing w:val="-3"/>
                <w:lang w:eastAsia="zh-CN"/>
              </w:rPr>
              <w:t>人们的重视，透水砖作</w:t>
            </w:r>
            <w:r>
              <w:rPr>
                <w:rFonts w:hint="eastAsia" w:ascii="Times New Roman" w:hAnsi="Times New Roman"/>
                <w:spacing w:val="-3"/>
                <w:lang w:eastAsia="zh-CN"/>
              </w:rPr>
              <w:t>为一</w:t>
            </w:r>
            <w:r>
              <w:rPr>
                <w:rFonts w:ascii="Times New Roman" w:hAnsi="Times New Roman"/>
                <w:spacing w:val="-3"/>
                <w:lang w:eastAsia="zh-CN"/>
              </w:rPr>
              <w:t>种生态型环保铺地砖应运而生。透水砖是以无机非金</w:t>
            </w:r>
            <w:r>
              <w:rPr>
                <w:rFonts w:ascii="Times New Roman" w:hAnsi="Times New Roman"/>
                <w:spacing w:val="-7"/>
                <w:lang w:eastAsia="zh-CN"/>
              </w:rPr>
              <w:t>属材料为主要原料，经成型等工艺处理后制成，具有较大水渗透性能的铺地</w:t>
            </w:r>
            <w:r>
              <w:rPr>
                <w:rFonts w:ascii="Times New Roman" w:hAnsi="Times New Roman"/>
                <w:spacing w:val="-8"/>
                <w:lang w:eastAsia="zh-CN"/>
              </w:rPr>
              <w:t>砖。</w:t>
            </w:r>
            <w:r>
              <w:rPr>
                <w:rFonts w:ascii="Times New Roman" w:hAnsi="Times New Roman"/>
                <w:spacing w:val="-5"/>
                <w:lang w:eastAsia="zh-CN"/>
              </w:rPr>
              <w:t>透水砖具有</w:t>
            </w:r>
            <w:r>
              <w:rPr>
                <w:rFonts w:ascii="Times New Roman" w:hAnsi="Times New Roman" w:cs="Times New Roman"/>
                <w:spacing w:val="-5"/>
                <w:lang w:eastAsia="zh-CN"/>
              </w:rPr>
              <w:t>“</w:t>
            </w:r>
            <w:r>
              <w:rPr>
                <w:rFonts w:ascii="Times New Roman" w:hAnsi="Times New Roman"/>
                <w:spacing w:val="-5"/>
                <w:lang w:eastAsia="zh-CN"/>
              </w:rPr>
              <w:t>呼吸功能</w:t>
            </w:r>
            <w:r>
              <w:rPr>
                <w:rFonts w:ascii="Times New Roman" w:hAnsi="Times New Roman" w:cs="Times New Roman"/>
                <w:spacing w:val="-5"/>
                <w:lang w:eastAsia="zh-CN"/>
              </w:rPr>
              <w:t>”</w:t>
            </w:r>
            <w:r>
              <w:rPr>
                <w:rFonts w:ascii="Times New Roman" w:hAnsi="Times New Roman"/>
                <w:spacing w:val="-5"/>
                <w:lang w:eastAsia="zh-CN"/>
              </w:rPr>
              <w:t>，可以建成透水路面。下雨时，路面积水</w:t>
            </w:r>
            <w:r>
              <w:rPr>
                <w:rFonts w:ascii="Times New Roman" w:hAnsi="Times New Roman"/>
                <w:spacing w:val="-6"/>
                <w:lang w:eastAsia="zh-CN"/>
              </w:rPr>
              <w:t>可以通过块与块之间的砂缝迅速渗入地下，保持地下水位。而天气炎热、空气干燥时</w:t>
            </w:r>
            <w:r>
              <w:rPr>
                <w:rFonts w:ascii="Times New Roman" w:hAnsi="Times New Roman"/>
                <w:spacing w:val="-7"/>
                <w:lang w:eastAsia="zh-CN"/>
              </w:rPr>
              <w:t>，地下</w:t>
            </w:r>
            <w:r>
              <w:rPr>
                <w:rFonts w:ascii="Times New Roman" w:hAnsi="Times New Roman"/>
                <w:spacing w:val="-3"/>
                <w:lang w:eastAsia="zh-CN"/>
              </w:rPr>
              <w:t>水又可通过砂缝蒸发到大气中，使空气保持一定湿度，自动调节空气湿度，这对保护城市中土壤与植被十分有利。</w:t>
            </w:r>
          </w:p>
          <w:p w14:paraId="139EC929">
            <w:pPr>
              <w:pStyle w:val="20"/>
              <w:widowControl w:val="0"/>
              <w:spacing w:line="360" w:lineRule="auto"/>
              <w:ind w:firstLine="452" w:firstLineChars="200"/>
              <w:jc w:val="both"/>
              <w:rPr>
                <w:rFonts w:ascii="Times New Roman" w:hAnsi="Times New Roman"/>
                <w:lang w:eastAsia="zh-CN"/>
              </w:rPr>
            </w:pPr>
            <w:r>
              <w:rPr>
                <w:rFonts w:ascii="Times New Roman" w:hAnsi="Times New Roman"/>
                <w:spacing w:val="-7"/>
                <w:lang w:eastAsia="zh-CN"/>
              </w:rPr>
              <w:t>本项目于</w:t>
            </w:r>
            <w:r>
              <w:rPr>
                <w:rFonts w:ascii="Times New Roman" w:hAnsi="Times New Roman" w:cs="Times New Roman"/>
                <w:spacing w:val="-7"/>
                <w:lang w:eastAsia="zh-CN"/>
              </w:rPr>
              <w:t>2022</w:t>
            </w:r>
            <w:r>
              <w:rPr>
                <w:rFonts w:ascii="Times New Roman" w:hAnsi="Times New Roman"/>
                <w:spacing w:val="-7"/>
                <w:lang w:eastAsia="zh-CN"/>
              </w:rPr>
              <w:t>年</w:t>
            </w:r>
            <w:r>
              <w:rPr>
                <w:rFonts w:ascii="Times New Roman" w:hAnsi="Times New Roman" w:cs="Times New Roman"/>
                <w:spacing w:val="-7"/>
                <w:lang w:eastAsia="zh-CN"/>
              </w:rPr>
              <w:t>8</w:t>
            </w:r>
            <w:r>
              <w:rPr>
                <w:rFonts w:ascii="Times New Roman" w:hAnsi="Times New Roman"/>
                <w:spacing w:val="-7"/>
                <w:lang w:eastAsia="zh-CN"/>
              </w:rPr>
              <w:t>月</w:t>
            </w:r>
            <w:r>
              <w:rPr>
                <w:rFonts w:ascii="Times New Roman" w:hAnsi="Times New Roman" w:cs="Times New Roman"/>
                <w:spacing w:val="-7"/>
                <w:lang w:eastAsia="zh-CN"/>
              </w:rPr>
              <w:t>3</w:t>
            </w:r>
            <w:r>
              <w:rPr>
                <w:rFonts w:ascii="Times New Roman" w:hAnsi="Times New Roman"/>
                <w:spacing w:val="-7"/>
                <w:lang w:eastAsia="zh-CN"/>
              </w:rPr>
              <w:t>日取得了吉木萨尔县发改委（吉县发改</w:t>
            </w:r>
            <w:r>
              <w:rPr>
                <w:rFonts w:hint="eastAsia" w:ascii="Times New Roman" w:hAnsi="Times New Roman"/>
                <w:spacing w:val="-7"/>
                <w:lang w:eastAsia="zh-CN"/>
              </w:rPr>
              <w:t>〔2022〕184号</w:t>
            </w:r>
            <w:r>
              <w:rPr>
                <w:rFonts w:ascii="Times New Roman" w:hAnsi="Times New Roman"/>
                <w:lang w:eastAsia="zh-CN"/>
              </w:rPr>
              <w:t>）的企业投资项目备案证明，建设地点位于吉木萨尔县庆阳湖乡二工梁村，主要建设内容为项目投资引进、安装自动化程度较高的透水砖生</w:t>
            </w:r>
            <w:r>
              <w:rPr>
                <w:rFonts w:ascii="Times New Roman" w:hAnsi="Times New Roman"/>
                <w:spacing w:val="1"/>
                <w:lang w:eastAsia="zh-CN"/>
              </w:rPr>
              <w:t>产线</w:t>
            </w:r>
            <w:r>
              <w:rPr>
                <w:rFonts w:ascii="Times New Roman" w:hAnsi="Times New Roman" w:cs="Times New Roman"/>
                <w:spacing w:val="1"/>
                <w:lang w:eastAsia="zh-CN"/>
              </w:rPr>
              <w:t>1</w:t>
            </w:r>
            <w:r>
              <w:rPr>
                <w:rFonts w:ascii="Times New Roman" w:hAnsi="Times New Roman"/>
                <w:spacing w:val="1"/>
                <w:lang w:eastAsia="zh-CN"/>
              </w:rPr>
              <w:t>条；购置叉车、铲车、通风及除尘设备。建设规模为年产</w:t>
            </w:r>
            <w:r>
              <w:rPr>
                <w:rFonts w:ascii="Times New Roman" w:hAnsi="Times New Roman" w:cs="Times New Roman"/>
                <w:spacing w:val="1"/>
                <w:lang w:eastAsia="zh-CN"/>
              </w:rPr>
              <w:t>50</w:t>
            </w:r>
            <w:r>
              <w:rPr>
                <w:rFonts w:ascii="Times New Roman" w:hAnsi="Times New Roman"/>
                <w:lang w:eastAsia="zh-CN"/>
              </w:rPr>
              <w:t>万平方米</w:t>
            </w:r>
            <w:r>
              <w:rPr>
                <w:rFonts w:ascii="Times New Roman" w:hAnsi="Times New Roman" w:cs="Times New Roman"/>
                <w:lang w:eastAsia="zh-CN"/>
              </w:rPr>
              <w:t>/</w:t>
            </w:r>
            <w:r>
              <w:rPr>
                <w:rFonts w:ascii="Times New Roman" w:hAnsi="Times New Roman"/>
                <w:spacing w:val="2"/>
                <w:lang w:eastAsia="zh-CN"/>
              </w:rPr>
              <w:t>年透水砖，项目投资总额为</w:t>
            </w:r>
            <w:r>
              <w:rPr>
                <w:rFonts w:ascii="Times New Roman" w:hAnsi="Times New Roman" w:cs="Times New Roman"/>
                <w:spacing w:val="2"/>
                <w:lang w:eastAsia="zh-CN"/>
              </w:rPr>
              <w:t>360</w:t>
            </w:r>
            <w:r>
              <w:rPr>
                <w:rFonts w:ascii="Times New Roman" w:hAnsi="Times New Roman"/>
                <w:spacing w:val="2"/>
                <w:lang w:eastAsia="zh-CN"/>
              </w:rPr>
              <w:t>万元，全部为企业自</w:t>
            </w:r>
            <w:r>
              <w:rPr>
                <w:rFonts w:ascii="Times New Roman" w:hAnsi="Times New Roman"/>
                <w:spacing w:val="1"/>
                <w:lang w:eastAsia="zh-CN"/>
              </w:rPr>
              <w:t>筹。</w:t>
            </w:r>
            <w:r>
              <w:rPr>
                <w:rFonts w:hint="eastAsia" w:ascii="Times New Roman" w:hAnsi="Times New Roman"/>
                <w:spacing w:val="-3"/>
                <w:lang w:eastAsia="zh-CN"/>
              </w:rPr>
              <w:t>项目开工时间为 2023年3月21日，完工时间2023年6月15日。该项目未取得环评批复，根据《生态环境行政处罚办法》第十九条第四项“经审查符合下列四项条件的，予以立案：（四）违法行为未超过《中华人民共和国行政处罚法》规定的追责期限”，《中华人民共和国行政处罚法》第三十六条第一款“违法行为在二年内未被发现的，不再给予行政处罚”，该项目于2023年6月15日完工，未取得环评批复，违法行为距今已超过2年，故不再给予行政处罚，项目不予行政处罚情况说明见附件，</w:t>
            </w:r>
            <w:r>
              <w:rPr>
                <w:rFonts w:hint="eastAsia" w:ascii="Times New Roman" w:hAnsi="Times New Roman"/>
                <w:spacing w:val="-3"/>
                <w:lang w:val="en-US" w:eastAsia="zh-CN"/>
              </w:rPr>
              <w:t>本项目于2025年9月24日</w:t>
            </w:r>
            <w:r>
              <w:rPr>
                <w:rFonts w:hint="eastAsia" w:ascii="Times New Roman" w:hAnsi="Times New Roman"/>
                <w:spacing w:val="-3"/>
                <w:lang w:eastAsia="zh-CN"/>
              </w:rPr>
              <w:t>取得</w:t>
            </w:r>
            <w:r>
              <w:rPr>
                <w:rFonts w:hint="eastAsia" w:ascii="Times New Roman" w:hAnsi="Times New Roman"/>
                <w:spacing w:val="-3"/>
                <w:lang w:val="en-US" w:eastAsia="zh-CN"/>
              </w:rPr>
              <w:t>昌吉州生态环境局吉木萨尔县分局关于对《吉木萨尔县庆阳湖乡二工梁村透水砖厂建设项目环境影响报告表》的审查意见（吉环项审发</w:t>
            </w:r>
            <w:r>
              <w:rPr>
                <w:rFonts w:hint="eastAsia" w:ascii="Times New Roman" w:hAnsi="Times New Roman"/>
                <w:spacing w:val="-7"/>
                <w:lang w:eastAsia="zh-CN"/>
              </w:rPr>
              <w:t>〔20</w:t>
            </w:r>
            <w:r>
              <w:rPr>
                <w:rFonts w:hint="eastAsia" w:ascii="Times New Roman" w:hAnsi="Times New Roman"/>
                <w:spacing w:val="-7"/>
                <w:lang w:val="en-US" w:eastAsia="zh-CN"/>
              </w:rPr>
              <w:t>25</w:t>
            </w:r>
            <w:r>
              <w:rPr>
                <w:rFonts w:hint="eastAsia" w:ascii="Times New Roman" w:hAnsi="Times New Roman"/>
                <w:spacing w:val="-7"/>
                <w:lang w:eastAsia="zh-CN"/>
              </w:rPr>
              <w:t>〕</w:t>
            </w:r>
            <w:r>
              <w:rPr>
                <w:rFonts w:hint="eastAsia" w:ascii="Times New Roman" w:hAnsi="Times New Roman"/>
                <w:spacing w:val="-7"/>
                <w:lang w:val="en-US" w:eastAsia="zh-CN"/>
              </w:rPr>
              <w:t>28</w:t>
            </w:r>
            <w:r>
              <w:rPr>
                <w:rFonts w:hint="eastAsia" w:ascii="Times New Roman" w:hAnsi="Times New Roman"/>
                <w:spacing w:val="-7"/>
                <w:lang w:eastAsia="zh-CN"/>
              </w:rPr>
              <w:t>号</w:t>
            </w:r>
            <w:r>
              <w:rPr>
                <w:rFonts w:hint="eastAsia" w:ascii="Times New Roman" w:hAnsi="Times New Roman"/>
                <w:spacing w:val="-3"/>
                <w:lang w:val="en-US" w:eastAsia="zh-CN"/>
              </w:rPr>
              <w:t>），原则上同意将该《报告表》上报至昌吉州生态环境局审批</w:t>
            </w:r>
            <w:r>
              <w:rPr>
                <w:rFonts w:hint="eastAsia" w:ascii="Times New Roman" w:hAnsi="Times New Roman"/>
                <w:spacing w:val="-3"/>
                <w:lang w:eastAsia="zh-CN"/>
              </w:rPr>
              <w:t>。</w:t>
            </w:r>
          </w:p>
          <w:p w14:paraId="240F52A5">
            <w:pPr>
              <w:pStyle w:val="20"/>
              <w:widowControl/>
              <w:spacing w:line="360" w:lineRule="auto"/>
              <w:ind w:firstLine="484" w:firstLineChars="200"/>
              <w:jc w:val="both"/>
              <w:rPr>
                <w:rFonts w:ascii="Times New Roman" w:hAnsi="Times New Roman"/>
                <w:lang w:eastAsia="zh-CN"/>
              </w:rPr>
            </w:pPr>
            <w:r>
              <w:rPr>
                <w:rFonts w:ascii="Times New Roman" w:hAnsi="Times New Roman"/>
                <w:spacing w:val="1"/>
                <w:lang w:eastAsia="zh-CN"/>
              </w:rPr>
              <w:t>根据《中华人民共和国环境影响评价法》（</w:t>
            </w:r>
            <w:r>
              <w:rPr>
                <w:rFonts w:ascii="Times New Roman" w:hAnsi="Times New Roman" w:cs="Times New Roman"/>
                <w:spacing w:val="1"/>
                <w:lang w:eastAsia="zh-CN"/>
              </w:rPr>
              <w:t>2018</w:t>
            </w:r>
            <w:r>
              <w:rPr>
                <w:rFonts w:ascii="Times New Roman" w:hAnsi="Times New Roman"/>
                <w:spacing w:val="1"/>
                <w:lang w:eastAsia="zh-CN"/>
              </w:rPr>
              <w:t>年修</w:t>
            </w:r>
            <w:r>
              <w:rPr>
                <w:rFonts w:ascii="Times New Roman" w:hAnsi="Times New Roman"/>
                <w:lang w:eastAsia="zh-CN"/>
              </w:rPr>
              <w:t>正版）及国务院第</w:t>
            </w:r>
            <w:r>
              <w:rPr>
                <w:rFonts w:ascii="Times New Roman" w:hAnsi="Times New Roman" w:cs="Times New Roman"/>
                <w:spacing w:val="-5"/>
                <w:lang w:eastAsia="zh-CN"/>
              </w:rPr>
              <w:t>682</w:t>
            </w:r>
            <w:r>
              <w:rPr>
                <w:rFonts w:ascii="Times New Roman" w:hAnsi="Times New Roman"/>
                <w:spacing w:val="-5"/>
                <w:lang w:eastAsia="zh-CN"/>
              </w:rPr>
              <w:t>号令</w:t>
            </w:r>
            <w:r>
              <w:rPr>
                <w:rFonts w:hint="eastAsia" w:ascii="Times New Roman" w:hAnsi="Times New Roman"/>
                <w:spacing w:val="-5"/>
                <w:lang w:eastAsia="zh-CN"/>
              </w:rPr>
              <w:t>《建设项目环境保护管理条例》</w:t>
            </w:r>
            <w:r>
              <w:rPr>
                <w:rFonts w:ascii="Times New Roman" w:hAnsi="Times New Roman"/>
                <w:spacing w:val="-5"/>
                <w:lang w:eastAsia="zh-CN"/>
              </w:rPr>
              <w:t>的有关规定，拟建项目需开展环境影</w:t>
            </w:r>
            <w:r>
              <w:rPr>
                <w:rFonts w:ascii="Times New Roman" w:hAnsi="Times New Roman"/>
                <w:spacing w:val="1"/>
                <w:lang w:eastAsia="zh-CN"/>
              </w:rPr>
              <w:t>响评价工作。根据《建设项目环境影响评价分类管理名</w:t>
            </w:r>
            <w:r>
              <w:rPr>
                <w:rFonts w:ascii="Times New Roman" w:hAnsi="Times New Roman"/>
                <w:lang w:eastAsia="zh-CN"/>
              </w:rPr>
              <w:t>录》（</w:t>
            </w:r>
            <w:r>
              <w:rPr>
                <w:rFonts w:ascii="Times New Roman" w:hAnsi="Times New Roman" w:cs="Times New Roman"/>
                <w:lang w:eastAsia="zh-CN"/>
              </w:rPr>
              <w:t>2021</w:t>
            </w:r>
            <w:r>
              <w:rPr>
                <w:rFonts w:ascii="Times New Roman" w:hAnsi="Times New Roman"/>
                <w:lang w:eastAsia="zh-CN"/>
              </w:rPr>
              <w:t>年版）中</w:t>
            </w:r>
            <w:r>
              <w:rPr>
                <w:rFonts w:ascii="Times New Roman" w:hAnsi="Times New Roman"/>
                <w:spacing w:val="3"/>
                <w:lang w:eastAsia="zh-CN"/>
              </w:rPr>
              <w:t>的</w:t>
            </w:r>
            <w:r>
              <w:rPr>
                <w:rFonts w:ascii="Times New Roman" w:hAnsi="Times New Roman" w:cs="Times New Roman"/>
                <w:spacing w:val="3"/>
                <w:lang w:eastAsia="zh-CN"/>
              </w:rPr>
              <w:t>“</w:t>
            </w:r>
            <w:r>
              <w:rPr>
                <w:rFonts w:ascii="Times New Roman" w:hAnsi="Times New Roman"/>
                <w:spacing w:val="3"/>
                <w:lang w:eastAsia="zh-CN"/>
              </w:rPr>
              <w:t>二十七、非金属矿物制品业</w:t>
            </w:r>
            <w:r>
              <w:rPr>
                <w:rFonts w:ascii="Times New Roman" w:hAnsi="Times New Roman" w:cs="Times New Roman"/>
                <w:spacing w:val="3"/>
                <w:lang w:eastAsia="zh-CN"/>
              </w:rPr>
              <w:t>30——55</w:t>
            </w:r>
            <w:r>
              <w:rPr>
                <w:rFonts w:ascii="Times New Roman" w:hAnsi="Times New Roman"/>
                <w:spacing w:val="3"/>
                <w:lang w:eastAsia="zh-CN"/>
              </w:rPr>
              <w:t>、石膏、水泥制品及类似制品制造</w:t>
            </w:r>
            <w:r>
              <w:rPr>
                <w:rFonts w:ascii="Times New Roman" w:hAnsi="Times New Roman" w:cs="Times New Roman"/>
                <w:spacing w:val="-2"/>
                <w:lang w:eastAsia="zh-CN"/>
              </w:rPr>
              <w:t>302—</w:t>
            </w:r>
            <w:r>
              <w:rPr>
                <w:rFonts w:ascii="Times New Roman" w:hAnsi="Times New Roman"/>
                <w:spacing w:val="-2"/>
                <w:lang w:eastAsia="zh-CN"/>
              </w:rPr>
              <w:t>商品混凝土；砼结构构件制造；水泥制品制造</w:t>
            </w:r>
            <w:r>
              <w:rPr>
                <w:rFonts w:ascii="Times New Roman" w:hAnsi="Times New Roman" w:cs="Times New Roman"/>
                <w:spacing w:val="-2"/>
                <w:lang w:eastAsia="zh-CN"/>
              </w:rPr>
              <w:t>”</w:t>
            </w:r>
            <w:r>
              <w:rPr>
                <w:rFonts w:ascii="Times New Roman" w:hAnsi="Times New Roman"/>
                <w:spacing w:val="-2"/>
                <w:lang w:eastAsia="zh-CN"/>
              </w:rPr>
              <w:t>的规</w:t>
            </w:r>
            <w:r>
              <w:rPr>
                <w:rFonts w:ascii="Times New Roman" w:hAnsi="Times New Roman"/>
                <w:spacing w:val="-3"/>
                <w:lang w:eastAsia="zh-CN"/>
              </w:rPr>
              <w:t>定，本项目应编制环</w:t>
            </w:r>
            <w:r>
              <w:rPr>
                <w:rFonts w:ascii="Times New Roman" w:hAnsi="Times New Roman"/>
                <w:spacing w:val="10"/>
                <w:lang w:eastAsia="zh-CN"/>
              </w:rPr>
              <w:t>境影响报告表。受吉木萨尔县庆阳湖乡委托，我公司承担了本项目的环境</w:t>
            </w:r>
            <w:r>
              <w:rPr>
                <w:rFonts w:ascii="Times New Roman" w:hAnsi="Times New Roman"/>
                <w:spacing w:val="-6"/>
                <w:lang w:eastAsia="zh-CN"/>
              </w:rPr>
              <w:t>影响评价工作。接受委托后，项目组人员立即赴现场进行实地</w:t>
            </w:r>
            <w:r>
              <w:rPr>
                <w:rFonts w:ascii="Times New Roman" w:hAnsi="Times New Roman"/>
                <w:spacing w:val="-7"/>
                <w:lang w:eastAsia="zh-CN"/>
              </w:rPr>
              <w:t>踏勘，对评价区</w:t>
            </w:r>
            <w:r>
              <w:rPr>
                <w:rFonts w:ascii="Times New Roman" w:hAnsi="Times New Roman"/>
                <w:spacing w:val="-6"/>
                <w:lang w:eastAsia="zh-CN"/>
              </w:rPr>
              <w:t>范围的自然环境、社会环境、周边环境概况进行了调查，收集</w:t>
            </w:r>
            <w:r>
              <w:rPr>
                <w:rFonts w:ascii="Times New Roman" w:hAnsi="Times New Roman"/>
                <w:spacing w:val="-7"/>
                <w:lang w:eastAsia="zh-CN"/>
              </w:rPr>
              <w:t>了当地水文、地</w:t>
            </w:r>
            <w:r>
              <w:rPr>
                <w:rFonts w:ascii="Times New Roman" w:hAnsi="Times New Roman"/>
                <w:spacing w:val="-6"/>
                <w:lang w:eastAsia="zh-CN"/>
              </w:rPr>
              <w:t>质、气象以及环境现状等资料。按照建设项目环境影响评价工作</w:t>
            </w:r>
            <w:r>
              <w:rPr>
                <w:rFonts w:ascii="Times New Roman" w:hAnsi="Times New Roman"/>
                <w:spacing w:val="-7"/>
                <w:lang w:eastAsia="zh-CN"/>
              </w:rPr>
              <w:t>程序，依据相</w:t>
            </w:r>
            <w:r>
              <w:rPr>
                <w:rFonts w:ascii="Times New Roman" w:hAnsi="Times New Roman"/>
                <w:spacing w:val="-6"/>
                <w:lang w:eastAsia="zh-CN"/>
              </w:rPr>
              <w:t>关法律法规、技术规范，编制完成了该项目环境影响报告表。</w:t>
            </w:r>
            <w:r>
              <w:rPr>
                <w:rFonts w:ascii="Times New Roman" w:hAnsi="Times New Roman"/>
                <w:spacing w:val="-7"/>
                <w:lang w:eastAsia="zh-CN"/>
              </w:rPr>
              <w:t>由建设单位报请</w:t>
            </w:r>
            <w:r>
              <w:rPr>
                <w:rFonts w:ascii="Times New Roman" w:hAnsi="Times New Roman"/>
                <w:spacing w:val="4"/>
                <w:lang w:eastAsia="zh-CN"/>
              </w:rPr>
              <w:t>环境管理部门审批后作为建设单位在项目建设和运行过程中做好各项环保工</w:t>
            </w:r>
            <w:r>
              <w:rPr>
                <w:rFonts w:ascii="Times New Roman" w:hAnsi="Times New Roman"/>
                <w:spacing w:val="-3"/>
                <w:lang w:eastAsia="zh-CN"/>
              </w:rPr>
              <w:t>作及主管部门环境管理的依据。</w:t>
            </w:r>
          </w:p>
          <w:p w14:paraId="3C3C9284">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2、项目概况</w:t>
            </w:r>
          </w:p>
          <w:p w14:paraId="614B7C96">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项目名称：吉木萨尔县庆阳湖乡二工梁村透水砖厂建设项目</w:t>
            </w:r>
          </w:p>
          <w:p w14:paraId="2143FBCB">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建设单位：吉木萨尔县庆阳湖乡人民政府</w:t>
            </w:r>
          </w:p>
          <w:p w14:paraId="18741BBB">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建设性质：新建</w:t>
            </w:r>
          </w:p>
          <w:p w14:paraId="0523875F">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总投资：项目总投资360万元，均为企业自筹解决</w:t>
            </w:r>
          </w:p>
          <w:p w14:paraId="24B211B0">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建设地点：项目位于吉木萨尔县庆阳湖乡二工梁村。项目所在地中心地理坐标为：东经88°59′38.11</w:t>
            </w:r>
            <w:r>
              <w:rPr>
                <w:rFonts w:hint="eastAsia" w:ascii="Times New Roman" w:hAnsi="Times New Roman"/>
                <w:spacing w:val="-3"/>
                <w:lang w:eastAsia="zh-CN"/>
              </w:rPr>
              <w:t>5</w:t>
            </w:r>
            <w:r>
              <w:rPr>
                <w:rFonts w:ascii="Times New Roman" w:hAnsi="Times New Roman"/>
                <w:spacing w:val="-3"/>
                <w:lang w:eastAsia="zh-CN"/>
              </w:rPr>
              <w:t>″，北纬44°04′17.36</w:t>
            </w:r>
            <w:r>
              <w:rPr>
                <w:rFonts w:hint="eastAsia" w:ascii="Times New Roman" w:hAnsi="Times New Roman"/>
                <w:spacing w:val="-3"/>
                <w:lang w:eastAsia="zh-CN"/>
              </w:rPr>
              <w:t>5</w:t>
            </w:r>
            <w:r>
              <w:rPr>
                <w:rFonts w:ascii="Times New Roman" w:hAnsi="Times New Roman"/>
                <w:spacing w:val="-3"/>
                <w:lang w:eastAsia="zh-CN"/>
              </w:rPr>
              <w:t>″。项目区地理位置示意图见附图5，项目周边关系图见附图6。</w:t>
            </w:r>
          </w:p>
          <w:p w14:paraId="690C764C">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劳动定员：项目劳动定员为15人。</w:t>
            </w:r>
          </w:p>
          <w:p w14:paraId="3A1ED52D">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工作制度：根据项目产品特点及需求，项目年生产约为210天，采用二班制生产，每班8小时工作制度。</w:t>
            </w:r>
          </w:p>
          <w:p w14:paraId="53D3250E">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3、建设规模及内容</w:t>
            </w:r>
          </w:p>
          <w:p w14:paraId="02E92613">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（1）土建工程</w:t>
            </w:r>
          </w:p>
          <w:p w14:paraId="65CB9FEC">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本项目总占地面积为7200m</w:t>
            </w:r>
            <w:r>
              <w:rPr>
                <w:rFonts w:ascii="Times New Roman" w:hAnsi="Times New Roman"/>
                <w:spacing w:val="-3"/>
                <w:vertAlign w:val="superscript"/>
                <w:lang w:eastAsia="zh-CN"/>
              </w:rPr>
              <w:t>2</w:t>
            </w:r>
            <w:r>
              <w:rPr>
                <w:rFonts w:ascii="Times New Roman" w:hAnsi="Times New Roman"/>
                <w:spacing w:val="-3"/>
                <w:lang w:eastAsia="zh-CN"/>
              </w:rPr>
              <w:t>，项目建设用地为</w:t>
            </w:r>
            <w:r>
              <w:rPr>
                <w:rFonts w:hint="eastAsia" w:ascii="Times New Roman" w:hAnsi="Times New Roman"/>
                <w:spacing w:val="-3"/>
                <w:lang w:val="en-US" w:eastAsia="zh-CN"/>
              </w:rPr>
              <w:t>规划建设用地</w:t>
            </w:r>
            <w:r>
              <w:rPr>
                <w:rFonts w:ascii="Times New Roman" w:hAnsi="Times New Roman"/>
                <w:spacing w:val="-3"/>
                <w:lang w:eastAsia="zh-CN"/>
              </w:rPr>
              <w:t>，本项目生产车间1862.08m</w:t>
            </w:r>
            <w:r>
              <w:rPr>
                <w:rFonts w:ascii="Times New Roman" w:hAnsi="Times New Roman"/>
                <w:spacing w:val="-3"/>
                <w:vertAlign w:val="superscript"/>
                <w:lang w:eastAsia="zh-CN"/>
              </w:rPr>
              <w:t>2</w:t>
            </w:r>
            <w:r>
              <w:rPr>
                <w:rFonts w:ascii="Times New Roman" w:hAnsi="Times New Roman"/>
                <w:spacing w:val="-3"/>
                <w:lang w:eastAsia="zh-CN"/>
              </w:rPr>
              <w:t>，库房占地671.90m</w:t>
            </w:r>
            <w:r>
              <w:rPr>
                <w:rFonts w:ascii="Times New Roman" w:hAnsi="Times New Roman"/>
                <w:spacing w:val="-3"/>
                <w:vertAlign w:val="superscript"/>
                <w:lang w:eastAsia="zh-CN"/>
              </w:rPr>
              <w:t>2</w:t>
            </w:r>
            <w:r>
              <w:rPr>
                <w:rFonts w:ascii="Times New Roman" w:hAnsi="Times New Roman"/>
                <w:spacing w:val="-3"/>
                <w:lang w:eastAsia="zh-CN"/>
              </w:rPr>
              <w:t>，门卫占地61.25m</w:t>
            </w:r>
            <w:r>
              <w:rPr>
                <w:rFonts w:ascii="Times New Roman" w:hAnsi="Times New Roman"/>
                <w:spacing w:val="-3"/>
                <w:vertAlign w:val="superscript"/>
                <w:lang w:eastAsia="zh-CN"/>
              </w:rPr>
              <w:t>2</w:t>
            </w:r>
            <w:r>
              <w:rPr>
                <w:rFonts w:ascii="Times New Roman" w:hAnsi="Times New Roman"/>
                <w:spacing w:val="-3"/>
                <w:lang w:eastAsia="zh-CN"/>
              </w:rPr>
              <w:t>，其他区域为本项目的养护场地及成品堆场。</w:t>
            </w:r>
          </w:p>
          <w:p w14:paraId="0AFCE387">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（2）生产规模</w:t>
            </w:r>
          </w:p>
          <w:p w14:paraId="3B77EB3E">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本项目建成后可实现年生产50万平方米透水砖。</w:t>
            </w:r>
          </w:p>
          <w:p w14:paraId="2338B9D6">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本项目透水砖生产线组成一览表见表</w:t>
            </w:r>
            <w:r>
              <w:rPr>
                <w:rFonts w:hint="eastAsia" w:ascii="Times New Roman" w:hAnsi="Times New Roman"/>
                <w:spacing w:val="-3"/>
                <w:lang w:eastAsia="zh-CN"/>
              </w:rPr>
              <w:t>2-1</w:t>
            </w:r>
            <w:r>
              <w:rPr>
                <w:rFonts w:ascii="Times New Roman" w:hAnsi="Times New Roman"/>
                <w:spacing w:val="-3"/>
                <w:lang w:eastAsia="zh-CN"/>
              </w:rPr>
              <w:t>。</w:t>
            </w:r>
          </w:p>
          <w:p w14:paraId="3AFF22C5">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表2-1透水砖生产线组成一览表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20"/>
              <w:gridCol w:w="634"/>
              <w:gridCol w:w="968"/>
              <w:gridCol w:w="3370"/>
              <w:gridCol w:w="1000"/>
            </w:tblGrid>
            <w:tr w14:paraId="0F33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4" w:type="dxa"/>
                  <w:gridSpan w:val="2"/>
                  <w:vAlign w:val="center"/>
                </w:tcPr>
                <w:p w14:paraId="403BF33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名称</w:t>
                  </w:r>
                </w:p>
              </w:tc>
              <w:tc>
                <w:tcPr>
                  <w:tcW w:w="634" w:type="dxa"/>
                  <w:vAlign w:val="center"/>
                </w:tcPr>
                <w:p w14:paraId="121BAF4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单位</w:t>
                  </w:r>
                </w:p>
              </w:tc>
              <w:tc>
                <w:tcPr>
                  <w:tcW w:w="968" w:type="dxa"/>
                  <w:vAlign w:val="center"/>
                </w:tcPr>
                <w:p w14:paraId="658C1F2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数量</w:t>
                  </w:r>
                </w:p>
              </w:tc>
              <w:tc>
                <w:tcPr>
                  <w:tcW w:w="3370" w:type="dxa"/>
                  <w:vAlign w:val="center"/>
                </w:tcPr>
                <w:p w14:paraId="0262B48D">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主要工程内容</w:t>
                  </w:r>
                </w:p>
              </w:tc>
              <w:tc>
                <w:tcPr>
                  <w:tcW w:w="1000" w:type="dxa"/>
                  <w:vAlign w:val="center"/>
                </w:tcPr>
                <w:p w14:paraId="092BD47C">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备注</w:t>
                  </w:r>
                </w:p>
              </w:tc>
            </w:tr>
            <w:tr w14:paraId="4022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14:paraId="180E3C8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主体工程</w:t>
                  </w:r>
                </w:p>
              </w:tc>
              <w:tc>
                <w:tcPr>
                  <w:tcW w:w="1520" w:type="dxa"/>
                  <w:vAlign w:val="center"/>
                </w:tcPr>
                <w:p w14:paraId="73702CC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静压式透水砖成型机生产车间</w:t>
                  </w:r>
                </w:p>
              </w:tc>
              <w:tc>
                <w:tcPr>
                  <w:tcW w:w="634" w:type="dxa"/>
                  <w:vAlign w:val="center"/>
                </w:tcPr>
                <w:p w14:paraId="65CA2C7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m</w:t>
                  </w:r>
                  <w:r>
                    <w:rPr>
                      <w:rFonts w:hint="eastAsia" w:ascii="Times New Roman" w:hAnsi="Times New Roman"/>
                      <w:spacing w:val="-2"/>
                      <w:sz w:val="21"/>
                      <w:szCs w:val="21"/>
                      <w:vertAlign w:val="superscript"/>
                      <w:lang w:eastAsia="zh-CN"/>
                    </w:rPr>
                    <w:t>2</w:t>
                  </w:r>
                </w:p>
              </w:tc>
              <w:tc>
                <w:tcPr>
                  <w:tcW w:w="968" w:type="dxa"/>
                  <w:vAlign w:val="center"/>
                </w:tcPr>
                <w:p w14:paraId="5A55E2C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1862.08</w:t>
                  </w:r>
                </w:p>
              </w:tc>
              <w:tc>
                <w:tcPr>
                  <w:tcW w:w="3370" w:type="dxa"/>
                  <w:vAlign w:val="center"/>
                </w:tcPr>
                <w:p w14:paraId="7B5663D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生产车间位于项目区北部，为彩钢结构</w:t>
                  </w:r>
                </w:p>
              </w:tc>
              <w:tc>
                <w:tcPr>
                  <w:tcW w:w="1000" w:type="dxa"/>
                  <w:vAlign w:val="center"/>
                </w:tcPr>
                <w:p w14:paraId="18D15BC7">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已建</w:t>
                  </w:r>
                </w:p>
              </w:tc>
            </w:tr>
            <w:tr w14:paraId="05D4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14:paraId="2EB707E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辅助工程</w:t>
                  </w:r>
                </w:p>
              </w:tc>
              <w:tc>
                <w:tcPr>
                  <w:tcW w:w="1520" w:type="dxa"/>
                  <w:vAlign w:val="center"/>
                </w:tcPr>
                <w:p w14:paraId="53C6B5C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门卫室</w:t>
                  </w:r>
                </w:p>
              </w:tc>
              <w:tc>
                <w:tcPr>
                  <w:tcW w:w="634" w:type="dxa"/>
                  <w:vAlign w:val="center"/>
                </w:tcPr>
                <w:p w14:paraId="68725E8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m</w:t>
                  </w:r>
                  <w:r>
                    <w:rPr>
                      <w:rFonts w:hint="eastAsia" w:ascii="Times New Roman" w:hAnsi="Times New Roman"/>
                      <w:spacing w:val="-2"/>
                      <w:sz w:val="21"/>
                      <w:szCs w:val="21"/>
                      <w:vertAlign w:val="superscript"/>
                      <w:lang w:eastAsia="zh-CN"/>
                    </w:rPr>
                    <w:t>2</w:t>
                  </w:r>
                </w:p>
              </w:tc>
              <w:tc>
                <w:tcPr>
                  <w:tcW w:w="968" w:type="dxa"/>
                  <w:vAlign w:val="center"/>
                </w:tcPr>
                <w:p w14:paraId="61932BE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61.5</w:t>
                  </w:r>
                </w:p>
              </w:tc>
              <w:tc>
                <w:tcPr>
                  <w:tcW w:w="3370" w:type="dxa"/>
                  <w:vAlign w:val="center"/>
                </w:tcPr>
                <w:p w14:paraId="6126D95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砖混结构</w:t>
                  </w:r>
                </w:p>
              </w:tc>
              <w:tc>
                <w:tcPr>
                  <w:tcW w:w="1000" w:type="dxa"/>
                  <w:vAlign w:val="center"/>
                </w:tcPr>
                <w:p w14:paraId="0CA1F4D0">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已建</w:t>
                  </w:r>
                </w:p>
              </w:tc>
            </w:tr>
            <w:tr w14:paraId="4C71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restart"/>
                  <w:vAlign w:val="center"/>
                </w:tcPr>
                <w:p w14:paraId="6DF73BF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储运工程</w:t>
                  </w:r>
                </w:p>
              </w:tc>
              <w:tc>
                <w:tcPr>
                  <w:tcW w:w="1520" w:type="dxa"/>
                  <w:vAlign w:val="center"/>
                </w:tcPr>
                <w:p w14:paraId="2119FD6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水泥筒仓</w:t>
                  </w:r>
                </w:p>
              </w:tc>
              <w:tc>
                <w:tcPr>
                  <w:tcW w:w="634" w:type="dxa"/>
                  <w:vAlign w:val="center"/>
                </w:tcPr>
                <w:p w14:paraId="5470B9F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个</w:t>
                  </w:r>
                </w:p>
              </w:tc>
              <w:tc>
                <w:tcPr>
                  <w:tcW w:w="968" w:type="dxa"/>
                  <w:vAlign w:val="center"/>
                </w:tcPr>
                <w:p w14:paraId="153673C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w:t>
                  </w:r>
                </w:p>
              </w:tc>
              <w:tc>
                <w:tcPr>
                  <w:tcW w:w="3370" w:type="dxa"/>
                  <w:vAlign w:val="center"/>
                </w:tcPr>
                <w:p w14:paraId="386B5CB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100吨的全封闭式钢结构筒仓－转盘式透水砖生产线配套</w:t>
                  </w:r>
                </w:p>
              </w:tc>
              <w:tc>
                <w:tcPr>
                  <w:tcW w:w="1000" w:type="dxa"/>
                  <w:vAlign w:val="center"/>
                </w:tcPr>
                <w:p w14:paraId="6EA94761">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已建</w:t>
                  </w:r>
                </w:p>
              </w:tc>
            </w:tr>
            <w:tr w14:paraId="3117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52DCAEB7">
                  <w:pPr>
                    <w:pStyle w:val="20"/>
                    <w:widowControl/>
                    <w:jc w:val="center"/>
                    <w:rPr>
                      <w:rFonts w:ascii="Times New Roman" w:hAnsi="Times New Roman"/>
                      <w:spacing w:val="-2"/>
                      <w:sz w:val="21"/>
                      <w:szCs w:val="21"/>
                      <w:lang w:eastAsia="zh-CN"/>
                    </w:rPr>
                  </w:pPr>
                </w:p>
              </w:tc>
              <w:tc>
                <w:tcPr>
                  <w:tcW w:w="1520" w:type="dxa"/>
                  <w:vAlign w:val="center"/>
                </w:tcPr>
                <w:p w14:paraId="6C6A37C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仓库</w:t>
                  </w:r>
                </w:p>
              </w:tc>
              <w:tc>
                <w:tcPr>
                  <w:tcW w:w="634" w:type="dxa"/>
                  <w:vAlign w:val="center"/>
                </w:tcPr>
                <w:p w14:paraId="2DE9D75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m</w:t>
                  </w:r>
                  <w:r>
                    <w:rPr>
                      <w:rFonts w:hint="eastAsia" w:ascii="Times New Roman" w:hAnsi="Times New Roman"/>
                      <w:spacing w:val="-2"/>
                      <w:sz w:val="21"/>
                      <w:szCs w:val="21"/>
                      <w:vertAlign w:val="superscript"/>
                      <w:lang w:eastAsia="zh-CN"/>
                    </w:rPr>
                    <w:t>2</w:t>
                  </w:r>
                </w:p>
              </w:tc>
              <w:tc>
                <w:tcPr>
                  <w:tcW w:w="968" w:type="dxa"/>
                  <w:vAlign w:val="center"/>
                </w:tcPr>
                <w:p w14:paraId="793DC93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671.9</w:t>
                  </w:r>
                </w:p>
              </w:tc>
              <w:tc>
                <w:tcPr>
                  <w:tcW w:w="3370" w:type="dxa"/>
                  <w:vAlign w:val="center"/>
                </w:tcPr>
                <w:p w14:paraId="7612216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料仓3个，每个分为2格，储存石子和砂子。其中静压式透水砖成型机生产线有2个100m</w:t>
                  </w:r>
                  <w:r>
                    <w:rPr>
                      <w:rFonts w:hint="eastAsia" w:ascii="Times New Roman" w:hAnsi="Times New Roman"/>
                      <w:spacing w:val="-2"/>
                      <w:sz w:val="21"/>
                      <w:szCs w:val="21"/>
                      <w:vertAlign w:val="superscript"/>
                      <w:lang w:eastAsia="zh-CN"/>
                    </w:rPr>
                    <w:t>2</w:t>
                  </w:r>
                  <w:r>
                    <w:rPr>
                      <w:rFonts w:hint="eastAsia" w:ascii="Times New Roman" w:hAnsi="Times New Roman"/>
                      <w:spacing w:val="-2"/>
                      <w:sz w:val="21"/>
                      <w:szCs w:val="21"/>
                      <w:lang w:eastAsia="zh-CN"/>
                    </w:rPr>
                    <w:t>的料仓；转盘式透水砖成型机生产线有1个400m</w:t>
                  </w:r>
                  <w:r>
                    <w:rPr>
                      <w:rFonts w:hint="eastAsia" w:ascii="Times New Roman" w:hAnsi="Times New Roman"/>
                      <w:spacing w:val="-2"/>
                      <w:sz w:val="21"/>
                      <w:szCs w:val="21"/>
                      <w:vertAlign w:val="superscript"/>
                      <w:lang w:eastAsia="zh-CN"/>
                    </w:rPr>
                    <w:t>2</w:t>
                  </w:r>
                  <w:r>
                    <w:rPr>
                      <w:rFonts w:hint="eastAsia" w:ascii="Times New Roman" w:hAnsi="Times New Roman"/>
                      <w:spacing w:val="-2"/>
                      <w:sz w:val="21"/>
                      <w:szCs w:val="21"/>
                      <w:lang w:eastAsia="zh-CN"/>
                    </w:rPr>
                    <w:t>的料仓；料仓为地面硬化、</w:t>
                  </w:r>
                  <w:r>
                    <w:rPr>
                      <w:rFonts w:hint="eastAsia" w:ascii="Times New Roman" w:hAnsi="Times New Roman"/>
                      <w:spacing w:val="-2"/>
                      <w:sz w:val="21"/>
                      <w:szCs w:val="21"/>
                      <w:lang w:val="en-US" w:eastAsia="zh-CN"/>
                    </w:rPr>
                    <w:t>全封闭</w:t>
                  </w:r>
                </w:p>
              </w:tc>
              <w:tc>
                <w:tcPr>
                  <w:tcW w:w="1000" w:type="dxa"/>
                  <w:vAlign w:val="center"/>
                </w:tcPr>
                <w:p w14:paraId="19234A76">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现为半封闭，本环评要求仓库全封闭</w:t>
                  </w:r>
                </w:p>
              </w:tc>
            </w:tr>
            <w:tr w14:paraId="5970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7316F96C">
                  <w:pPr>
                    <w:pStyle w:val="20"/>
                    <w:widowControl/>
                    <w:jc w:val="center"/>
                    <w:rPr>
                      <w:rFonts w:ascii="Times New Roman" w:hAnsi="Times New Roman"/>
                      <w:spacing w:val="-2"/>
                      <w:sz w:val="21"/>
                      <w:szCs w:val="21"/>
                      <w:lang w:eastAsia="zh-CN"/>
                    </w:rPr>
                  </w:pPr>
                </w:p>
              </w:tc>
              <w:tc>
                <w:tcPr>
                  <w:tcW w:w="1520" w:type="dxa"/>
                  <w:vAlign w:val="center"/>
                </w:tcPr>
                <w:p w14:paraId="24D3785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养护场地及成品堆场</w:t>
                  </w:r>
                </w:p>
              </w:tc>
              <w:tc>
                <w:tcPr>
                  <w:tcW w:w="634" w:type="dxa"/>
                  <w:vAlign w:val="center"/>
                </w:tcPr>
                <w:p w14:paraId="16913EA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c>
                <w:tcPr>
                  <w:tcW w:w="968" w:type="dxa"/>
                  <w:vAlign w:val="center"/>
                </w:tcPr>
                <w:p w14:paraId="3AF81B5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w:t>
                  </w:r>
                </w:p>
              </w:tc>
              <w:tc>
                <w:tcPr>
                  <w:tcW w:w="3370" w:type="dxa"/>
                  <w:vAlign w:val="center"/>
                </w:tcPr>
                <w:p w14:paraId="5B6C892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就近原则，项目利用周边空地进行产品的养护及堆放，场地部分为混凝土硬化、部分为素土夯实路面</w:t>
                  </w:r>
                </w:p>
              </w:tc>
              <w:tc>
                <w:tcPr>
                  <w:tcW w:w="1000" w:type="dxa"/>
                  <w:vAlign w:val="center"/>
                </w:tcPr>
                <w:p w14:paraId="2907EC08">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已建，本环评要求养护区位于</w:t>
                  </w:r>
                  <w:r>
                    <w:rPr>
                      <w:rFonts w:hint="eastAsia" w:ascii="Times New Roman" w:hAnsi="Times New Roman"/>
                      <w:spacing w:val="-2"/>
                      <w:sz w:val="21"/>
                      <w:szCs w:val="21"/>
                      <w:lang w:eastAsia="zh-CN"/>
                    </w:rPr>
                    <w:t>混凝土硬化</w:t>
                  </w:r>
                  <w:r>
                    <w:rPr>
                      <w:rFonts w:hint="eastAsia" w:ascii="Times New Roman" w:hAnsi="Times New Roman"/>
                      <w:spacing w:val="-2"/>
                      <w:sz w:val="21"/>
                      <w:szCs w:val="21"/>
                      <w:lang w:val="en-US" w:eastAsia="zh-CN"/>
                    </w:rPr>
                    <w:t>区</w:t>
                  </w:r>
                </w:p>
              </w:tc>
            </w:tr>
            <w:tr w14:paraId="5FDA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6CCC3949">
                  <w:pPr>
                    <w:pStyle w:val="20"/>
                    <w:widowControl/>
                    <w:jc w:val="center"/>
                    <w:rPr>
                      <w:rFonts w:ascii="Times New Roman" w:hAnsi="Times New Roman"/>
                      <w:spacing w:val="-2"/>
                      <w:sz w:val="21"/>
                      <w:szCs w:val="21"/>
                      <w:lang w:eastAsia="zh-CN"/>
                    </w:rPr>
                  </w:pPr>
                </w:p>
              </w:tc>
              <w:tc>
                <w:tcPr>
                  <w:tcW w:w="1520" w:type="dxa"/>
                  <w:vAlign w:val="center"/>
                </w:tcPr>
                <w:p w14:paraId="574FDD0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车辆</w:t>
                  </w:r>
                </w:p>
              </w:tc>
              <w:tc>
                <w:tcPr>
                  <w:tcW w:w="634" w:type="dxa"/>
                  <w:vAlign w:val="center"/>
                </w:tcPr>
                <w:p w14:paraId="0803825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辆</w:t>
                  </w:r>
                </w:p>
              </w:tc>
              <w:tc>
                <w:tcPr>
                  <w:tcW w:w="968" w:type="dxa"/>
                  <w:vAlign w:val="center"/>
                </w:tcPr>
                <w:p w14:paraId="25AC5082">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若干</w:t>
                  </w:r>
                </w:p>
              </w:tc>
              <w:tc>
                <w:tcPr>
                  <w:tcW w:w="3370" w:type="dxa"/>
                  <w:vAlign w:val="center"/>
                </w:tcPr>
                <w:p w14:paraId="43F6FF4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铲车、装载机、叉车等</w:t>
                  </w:r>
                </w:p>
              </w:tc>
              <w:tc>
                <w:tcPr>
                  <w:tcW w:w="1000" w:type="dxa"/>
                  <w:vAlign w:val="center"/>
                </w:tcPr>
                <w:p w14:paraId="74D4303F">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已建</w:t>
                  </w:r>
                </w:p>
              </w:tc>
            </w:tr>
            <w:tr w14:paraId="5360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14" w:type="dxa"/>
                  <w:vMerge w:val="restart"/>
                  <w:vAlign w:val="center"/>
                </w:tcPr>
                <w:p w14:paraId="766DC19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公用工程</w:t>
                  </w:r>
                </w:p>
              </w:tc>
              <w:tc>
                <w:tcPr>
                  <w:tcW w:w="1520" w:type="dxa"/>
                  <w:vAlign w:val="center"/>
                </w:tcPr>
                <w:p w14:paraId="24769DF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供水</w:t>
                  </w:r>
                </w:p>
              </w:tc>
              <w:tc>
                <w:tcPr>
                  <w:tcW w:w="4972" w:type="dxa"/>
                  <w:gridSpan w:val="3"/>
                  <w:vAlign w:val="center"/>
                </w:tcPr>
                <w:p w14:paraId="00023F5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供水由乡镇供水管网统一供给</w:t>
                  </w:r>
                </w:p>
              </w:tc>
              <w:tc>
                <w:tcPr>
                  <w:tcW w:w="1000" w:type="dxa"/>
                  <w:vAlign w:val="center"/>
                </w:tcPr>
                <w:p w14:paraId="254F15CE">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r>
            <w:tr w14:paraId="63B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14:paraId="287BE961">
                  <w:pPr>
                    <w:pStyle w:val="20"/>
                    <w:widowControl/>
                    <w:jc w:val="center"/>
                    <w:rPr>
                      <w:rFonts w:ascii="Times New Roman" w:hAnsi="Times New Roman"/>
                      <w:spacing w:val="-2"/>
                      <w:sz w:val="21"/>
                      <w:szCs w:val="21"/>
                      <w:lang w:eastAsia="zh-CN"/>
                    </w:rPr>
                  </w:pPr>
                </w:p>
              </w:tc>
              <w:tc>
                <w:tcPr>
                  <w:tcW w:w="1520" w:type="dxa"/>
                  <w:vAlign w:val="center"/>
                </w:tcPr>
                <w:p w14:paraId="0970E87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供电</w:t>
                  </w:r>
                </w:p>
              </w:tc>
              <w:tc>
                <w:tcPr>
                  <w:tcW w:w="4972" w:type="dxa"/>
                  <w:gridSpan w:val="3"/>
                  <w:vAlign w:val="center"/>
                </w:tcPr>
                <w:p w14:paraId="0402D8D0">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用电由乡镇供电网统一供给</w:t>
                  </w:r>
                </w:p>
              </w:tc>
              <w:tc>
                <w:tcPr>
                  <w:tcW w:w="1000" w:type="dxa"/>
                  <w:vAlign w:val="center"/>
                </w:tcPr>
                <w:p w14:paraId="1AB7218D">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r>
            <w:tr w14:paraId="6D65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3D25DE9C">
                  <w:pPr>
                    <w:pStyle w:val="20"/>
                    <w:widowControl/>
                    <w:jc w:val="center"/>
                    <w:rPr>
                      <w:rFonts w:ascii="Times New Roman" w:hAnsi="Times New Roman"/>
                      <w:spacing w:val="-2"/>
                      <w:sz w:val="21"/>
                      <w:szCs w:val="21"/>
                      <w:lang w:eastAsia="zh-CN"/>
                    </w:rPr>
                  </w:pPr>
                </w:p>
              </w:tc>
              <w:tc>
                <w:tcPr>
                  <w:tcW w:w="1520" w:type="dxa"/>
                  <w:vAlign w:val="center"/>
                </w:tcPr>
                <w:p w14:paraId="4C773EF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供暖</w:t>
                  </w:r>
                </w:p>
              </w:tc>
              <w:tc>
                <w:tcPr>
                  <w:tcW w:w="4972" w:type="dxa"/>
                  <w:gridSpan w:val="3"/>
                  <w:vAlign w:val="center"/>
                </w:tcPr>
                <w:p w14:paraId="266BFB3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本项目冬季不生产，不考虑供暖问题</w:t>
                  </w:r>
                </w:p>
              </w:tc>
              <w:tc>
                <w:tcPr>
                  <w:tcW w:w="1000" w:type="dxa"/>
                  <w:vAlign w:val="center"/>
                </w:tcPr>
                <w:p w14:paraId="7BBB67FA">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r>
            <w:tr w14:paraId="53A1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restart"/>
                  <w:vAlign w:val="center"/>
                </w:tcPr>
                <w:p w14:paraId="20C2887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环保工程</w:t>
                  </w:r>
                </w:p>
              </w:tc>
              <w:tc>
                <w:tcPr>
                  <w:tcW w:w="1520" w:type="dxa"/>
                  <w:vAlign w:val="center"/>
                </w:tcPr>
                <w:p w14:paraId="0831070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废水</w:t>
                  </w:r>
                </w:p>
              </w:tc>
              <w:tc>
                <w:tcPr>
                  <w:tcW w:w="4972" w:type="dxa"/>
                  <w:gridSpan w:val="3"/>
                  <w:vAlign w:val="center"/>
                </w:tcPr>
                <w:p w14:paraId="2C51800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搅拌机清洗废水、</w:t>
                  </w:r>
                  <w:r>
                    <w:rPr>
                      <w:rFonts w:hint="eastAsia" w:ascii="Times New Roman" w:hAnsi="Times New Roman"/>
                      <w:spacing w:val="-2"/>
                      <w:sz w:val="21"/>
                      <w:szCs w:val="21"/>
                      <w:lang w:val="en-US" w:eastAsia="zh-CN"/>
                    </w:rPr>
                    <w:t>运输车辆清洗废水</w:t>
                  </w:r>
                  <w:r>
                    <w:rPr>
                      <w:rFonts w:hint="eastAsia" w:ascii="Times New Roman" w:hAnsi="Times New Roman"/>
                      <w:spacing w:val="-2"/>
                      <w:sz w:val="21"/>
                      <w:szCs w:val="21"/>
                      <w:lang w:eastAsia="zh-CN"/>
                    </w:rPr>
                    <w:t>经收集后用于生产</w:t>
                  </w:r>
                  <w:r>
                    <w:rPr>
                      <w:rFonts w:hint="eastAsia" w:ascii="Times New Roman" w:hAnsi="Times New Roman"/>
                      <w:color w:val="auto"/>
                      <w:spacing w:val="-2"/>
                      <w:sz w:val="21"/>
                      <w:szCs w:val="21"/>
                      <w:lang w:eastAsia="zh-CN"/>
                    </w:rPr>
                    <w:t>用水，生活污水排入农村污水管网，最终进入庆阳污水处理站处理</w:t>
                  </w:r>
                </w:p>
              </w:tc>
              <w:tc>
                <w:tcPr>
                  <w:tcW w:w="1000" w:type="dxa"/>
                  <w:vAlign w:val="center"/>
                </w:tcPr>
                <w:p w14:paraId="7056F057">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已建</w:t>
                  </w:r>
                </w:p>
              </w:tc>
            </w:tr>
            <w:tr w14:paraId="3BB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01EFC25D">
                  <w:pPr>
                    <w:pStyle w:val="20"/>
                    <w:widowControl/>
                    <w:jc w:val="center"/>
                    <w:rPr>
                      <w:rFonts w:ascii="Times New Roman" w:hAnsi="Times New Roman"/>
                      <w:spacing w:val="-2"/>
                      <w:sz w:val="21"/>
                      <w:szCs w:val="21"/>
                      <w:lang w:eastAsia="zh-CN"/>
                    </w:rPr>
                  </w:pPr>
                </w:p>
              </w:tc>
              <w:tc>
                <w:tcPr>
                  <w:tcW w:w="1520" w:type="dxa"/>
                  <w:vAlign w:val="center"/>
                </w:tcPr>
                <w:p w14:paraId="4D30F8E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废气</w:t>
                  </w:r>
                </w:p>
              </w:tc>
              <w:tc>
                <w:tcPr>
                  <w:tcW w:w="4972" w:type="dxa"/>
                  <w:gridSpan w:val="3"/>
                  <w:vAlign w:val="center"/>
                </w:tcPr>
                <w:p w14:paraId="019D78C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原料堆场采用</w:t>
                  </w:r>
                  <w:r>
                    <w:rPr>
                      <w:rFonts w:hint="eastAsia" w:ascii="Times New Roman" w:hAnsi="Times New Roman"/>
                      <w:spacing w:val="-2"/>
                      <w:sz w:val="21"/>
                      <w:szCs w:val="21"/>
                      <w:lang w:val="en-US" w:eastAsia="zh-CN"/>
                    </w:rPr>
                    <w:t>全</w:t>
                  </w:r>
                  <w:r>
                    <w:rPr>
                      <w:rFonts w:hint="eastAsia" w:ascii="Times New Roman" w:hAnsi="Times New Roman"/>
                      <w:spacing w:val="-2"/>
                      <w:sz w:val="21"/>
                      <w:szCs w:val="21"/>
                      <w:lang w:eastAsia="zh-CN"/>
                    </w:rPr>
                    <w:t>封闭措施，洒水喷淋；水泥筒仓呼吸粉尘利用筒仓仓顶自带的负压式布袋除尘器处理；投料、搅拌粉尘分别经集气罩收集后（收集效率按85%计）经布袋除尘器处理后通过同一根15m高排气筒（DA001）。</w:t>
                  </w:r>
                </w:p>
              </w:tc>
              <w:tc>
                <w:tcPr>
                  <w:tcW w:w="1000" w:type="dxa"/>
                  <w:vAlign w:val="center"/>
                </w:tcPr>
                <w:p w14:paraId="76F5F416">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现为半封闭，本环评要求原料堆场全封闭；要求</w:t>
                  </w:r>
                  <w:r>
                    <w:rPr>
                      <w:rFonts w:hint="eastAsia" w:ascii="Times New Roman" w:hAnsi="Times New Roman"/>
                      <w:spacing w:val="-2"/>
                      <w:sz w:val="21"/>
                      <w:szCs w:val="21"/>
                      <w:lang w:eastAsia="zh-CN"/>
                    </w:rPr>
                    <w:t>投料、搅拌粉尘分别经集气罩收集后经布袋除尘器处理后通过同一根15m高排气筒</w:t>
                  </w:r>
                </w:p>
              </w:tc>
            </w:tr>
            <w:tr w14:paraId="6E9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42FAFD69">
                  <w:pPr>
                    <w:pStyle w:val="20"/>
                    <w:widowControl/>
                    <w:jc w:val="center"/>
                    <w:rPr>
                      <w:rFonts w:ascii="Times New Roman" w:hAnsi="Times New Roman"/>
                      <w:spacing w:val="-2"/>
                      <w:sz w:val="21"/>
                      <w:szCs w:val="21"/>
                      <w:lang w:eastAsia="zh-CN"/>
                    </w:rPr>
                  </w:pPr>
                </w:p>
              </w:tc>
              <w:tc>
                <w:tcPr>
                  <w:tcW w:w="1520" w:type="dxa"/>
                  <w:vAlign w:val="center"/>
                </w:tcPr>
                <w:p w14:paraId="29C4C87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噪声治理</w:t>
                  </w:r>
                </w:p>
              </w:tc>
              <w:tc>
                <w:tcPr>
                  <w:tcW w:w="4972" w:type="dxa"/>
                  <w:gridSpan w:val="3"/>
                  <w:vAlign w:val="center"/>
                </w:tcPr>
                <w:p w14:paraId="728780B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基础减震，隔音措施</w:t>
                  </w:r>
                </w:p>
              </w:tc>
              <w:tc>
                <w:tcPr>
                  <w:tcW w:w="1000" w:type="dxa"/>
                  <w:vAlign w:val="center"/>
                </w:tcPr>
                <w:p w14:paraId="13C36B9C">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r>
            <w:tr w14:paraId="6D99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Merge w:val="continue"/>
                  <w:vAlign w:val="center"/>
                </w:tcPr>
                <w:p w14:paraId="6AB80C3A">
                  <w:pPr>
                    <w:pStyle w:val="20"/>
                    <w:widowControl/>
                    <w:jc w:val="center"/>
                    <w:rPr>
                      <w:rFonts w:ascii="Times New Roman" w:hAnsi="Times New Roman"/>
                      <w:spacing w:val="-2"/>
                      <w:sz w:val="21"/>
                      <w:szCs w:val="21"/>
                      <w:lang w:eastAsia="zh-CN"/>
                    </w:rPr>
                  </w:pPr>
                </w:p>
              </w:tc>
              <w:tc>
                <w:tcPr>
                  <w:tcW w:w="1520" w:type="dxa"/>
                  <w:vAlign w:val="center"/>
                </w:tcPr>
                <w:p w14:paraId="3A21CF3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固废治理</w:t>
                  </w:r>
                </w:p>
              </w:tc>
              <w:tc>
                <w:tcPr>
                  <w:tcW w:w="4972" w:type="dxa"/>
                  <w:gridSpan w:val="3"/>
                  <w:vAlign w:val="center"/>
                </w:tcPr>
                <w:p w14:paraId="3718DED4">
                  <w:pPr>
                    <w:pStyle w:val="20"/>
                    <w:widowControl/>
                    <w:jc w:val="left"/>
                    <w:rPr>
                      <w:rFonts w:ascii="Times New Roman" w:hAnsi="Times New Roman"/>
                      <w:spacing w:val="-2"/>
                      <w:sz w:val="21"/>
                      <w:szCs w:val="21"/>
                      <w:lang w:eastAsia="zh-CN"/>
                    </w:rPr>
                  </w:pPr>
                  <w:r>
                    <w:rPr>
                      <w:rFonts w:hint="eastAsia" w:ascii="Times New Roman" w:hAnsi="Times New Roman"/>
                      <w:spacing w:val="-2"/>
                      <w:sz w:val="21"/>
                      <w:szCs w:val="21"/>
                      <w:lang w:eastAsia="zh-CN"/>
                    </w:rPr>
                    <w:t>一般固废：拌合料废渣经破碎机破碎后返回工序，不合格产品及边角料全部返回生产工序，均不外排；生活垃圾：集中收集后交由环卫部门统一处理。</w:t>
                  </w:r>
                </w:p>
                <w:p w14:paraId="5EEC33E7">
                  <w:pPr>
                    <w:pStyle w:val="20"/>
                    <w:widowControl/>
                    <w:jc w:val="left"/>
                    <w:rPr>
                      <w:rFonts w:ascii="Times New Roman" w:hAnsi="Times New Roman"/>
                      <w:spacing w:val="-2"/>
                      <w:sz w:val="21"/>
                      <w:szCs w:val="21"/>
                      <w:lang w:eastAsia="zh-CN"/>
                    </w:rPr>
                  </w:pPr>
                  <w:r>
                    <w:rPr>
                      <w:rFonts w:hint="eastAsia" w:ascii="Times New Roman" w:hAnsi="Times New Roman"/>
                      <w:spacing w:val="-2"/>
                      <w:sz w:val="21"/>
                      <w:szCs w:val="21"/>
                      <w:lang w:eastAsia="zh-CN"/>
                    </w:rPr>
                    <w:t>危险废物</w:t>
                  </w:r>
                  <w:r>
                    <w:rPr>
                      <w:rFonts w:hint="eastAsia" w:ascii="Times New Roman" w:hAnsi="Times New Roman"/>
                      <w:color w:val="auto"/>
                      <w:spacing w:val="-2"/>
                      <w:sz w:val="21"/>
                      <w:szCs w:val="21"/>
                      <w:lang w:eastAsia="zh-CN"/>
                    </w:rPr>
                    <w:t>：废机油、</w:t>
                  </w:r>
                  <w:r>
                    <w:rPr>
                      <w:rFonts w:hint="eastAsia" w:ascii="Times New Roman" w:hAnsi="Times New Roman"/>
                      <w:color w:val="auto"/>
                      <w:spacing w:val="-2"/>
                      <w:sz w:val="21"/>
                      <w:szCs w:val="21"/>
                      <w:lang w:val="en-US" w:eastAsia="zh-CN"/>
                    </w:rPr>
                    <w:t>废油桶</w:t>
                  </w:r>
                  <w:r>
                    <w:rPr>
                      <w:rFonts w:hint="eastAsia" w:ascii="Times New Roman" w:hAnsi="Times New Roman"/>
                      <w:spacing w:val="-2"/>
                      <w:sz w:val="21"/>
                      <w:szCs w:val="21"/>
                      <w:lang w:eastAsia="zh-CN"/>
                    </w:rPr>
                    <w:t>集中收集暂存于危废间内（3m</w:t>
                  </w:r>
                  <w:r>
                    <w:rPr>
                      <w:rFonts w:hint="eastAsia" w:ascii="Times New Roman" w:hAnsi="Times New Roman"/>
                      <w:spacing w:val="-2"/>
                      <w:sz w:val="21"/>
                      <w:szCs w:val="21"/>
                      <w:vertAlign w:val="superscript"/>
                      <w:lang w:eastAsia="zh-CN"/>
                    </w:rPr>
                    <w:t>2</w:t>
                  </w:r>
                  <w:r>
                    <w:rPr>
                      <w:rFonts w:hint="eastAsia" w:ascii="Times New Roman" w:hAnsi="Times New Roman"/>
                      <w:spacing w:val="-2"/>
                      <w:sz w:val="21"/>
                      <w:szCs w:val="21"/>
                      <w:lang w:eastAsia="zh-CN"/>
                    </w:rPr>
                    <w:t>），委托具有相关资质的单位进行清运处置</w:t>
                  </w:r>
                </w:p>
              </w:tc>
              <w:tc>
                <w:tcPr>
                  <w:tcW w:w="1000" w:type="dxa"/>
                  <w:vAlign w:val="center"/>
                </w:tcPr>
                <w:p w14:paraId="49406BC2">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val="en-US" w:eastAsia="zh-CN"/>
                    </w:rPr>
                    <w:t>已建</w:t>
                  </w:r>
                </w:p>
              </w:tc>
            </w:tr>
          </w:tbl>
          <w:p w14:paraId="2E6A0699">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（3）生产规模</w:t>
            </w:r>
          </w:p>
          <w:p w14:paraId="3F272E52">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本项目建成后可实现年生产50万平方米透水砖。透水砖生产线1条。产品方案见表</w:t>
            </w:r>
            <w:r>
              <w:rPr>
                <w:rFonts w:hint="eastAsia" w:ascii="Times New Roman" w:hAnsi="Times New Roman"/>
                <w:spacing w:val="-3"/>
                <w:lang w:eastAsia="zh-CN"/>
              </w:rPr>
              <w:t>2-2</w:t>
            </w:r>
            <w:r>
              <w:rPr>
                <w:rFonts w:ascii="Times New Roman" w:hAnsi="Times New Roman"/>
                <w:spacing w:val="-3"/>
                <w:lang w:eastAsia="zh-CN"/>
              </w:rPr>
              <w:t>。</w:t>
            </w:r>
          </w:p>
          <w:p w14:paraId="756EB69C">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表2-2项目产品方案</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38"/>
              <w:gridCol w:w="4884"/>
              <w:gridCol w:w="1783"/>
            </w:tblGrid>
            <w:tr w14:paraId="1AF6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937" w:type="pct"/>
                  <w:vAlign w:val="center"/>
                </w:tcPr>
                <w:p w14:paraId="137F736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产品名称</w:t>
                  </w:r>
                </w:p>
              </w:tc>
              <w:tc>
                <w:tcPr>
                  <w:tcW w:w="2975" w:type="pct"/>
                  <w:vAlign w:val="center"/>
                </w:tcPr>
                <w:p w14:paraId="68C72FF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产品规格</w:t>
                  </w:r>
                </w:p>
              </w:tc>
              <w:tc>
                <w:tcPr>
                  <w:tcW w:w="1086" w:type="pct"/>
                  <w:vAlign w:val="center"/>
                </w:tcPr>
                <w:p w14:paraId="04793E3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年产量</w:t>
                  </w:r>
                </w:p>
              </w:tc>
            </w:tr>
            <w:tr w14:paraId="2773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937" w:type="pct"/>
                  <w:vAlign w:val="center"/>
                </w:tcPr>
                <w:p w14:paraId="46A90A00">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透水砖</w:t>
                  </w:r>
                </w:p>
              </w:tc>
              <w:tc>
                <w:tcPr>
                  <w:tcW w:w="2975" w:type="pct"/>
                  <w:vAlign w:val="center"/>
                </w:tcPr>
                <w:p w14:paraId="60E9CBB1">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500mm*250mm*60mm</w:t>
                  </w:r>
                </w:p>
                <w:p w14:paraId="7F74D8A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600mm*300mm*60mm</w:t>
                  </w:r>
                </w:p>
              </w:tc>
              <w:tc>
                <w:tcPr>
                  <w:tcW w:w="1086" w:type="pct"/>
                  <w:vAlign w:val="center"/>
                </w:tcPr>
                <w:p w14:paraId="6DE360B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约200万块</w:t>
                  </w:r>
                </w:p>
              </w:tc>
            </w:tr>
          </w:tbl>
          <w:p w14:paraId="3E010DF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（3）主要原辅材料</w:t>
            </w:r>
          </w:p>
          <w:p w14:paraId="08EF0129">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ascii="Times New Roman" w:hAnsi="Times New Roman"/>
                <w:spacing w:val="-3"/>
                <w:lang w:eastAsia="zh-CN"/>
              </w:rPr>
              <w:t>本项目主要原辅料均为外购，本项目产品</w:t>
            </w:r>
            <w:r>
              <w:rPr>
                <w:rFonts w:hint="eastAsia" w:ascii="Times New Roman" w:hAnsi="Times New Roman"/>
                <w:spacing w:val="-3"/>
                <w:lang w:eastAsia="zh-CN"/>
              </w:rPr>
              <w:t>透水砖</w:t>
            </w:r>
            <w:r>
              <w:rPr>
                <w:rFonts w:ascii="Times New Roman" w:hAnsi="Times New Roman"/>
                <w:spacing w:val="-3"/>
                <w:lang w:eastAsia="zh-CN"/>
              </w:rPr>
              <w:t>。原辅料消耗情况见表</w:t>
            </w:r>
            <w:r>
              <w:rPr>
                <w:rFonts w:hint="eastAsia" w:ascii="Times New Roman" w:hAnsi="Times New Roman"/>
                <w:spacing w:val="-3"/>
                <w:lang w:eastAsia="zh-CN"/>
              </w:rPr>
              <w:t>2-3</w:t>
            </w:r>
            <w:r>
              <w:rPr>
                <w:rFonts w:ascii="Times New Roman" w:hAnsi="Times New Roman"/>
                <w:spacing w:val="-3"/>
                <w:lang w:eastAsia="zh-CN"/>
              </w:rPr>
              <w:t>。</w:t>
            </w:r>
          </w:p>
          <w:p w14:paraId="377287AE">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表2-3原辅材料消耗情况表</w:t>
            </w:r>
          </w:p>
          <w:tbl>
            <w:tblPr>
              <w:tblStyle w:val="19"/>
              <w:tblW w:w="793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4"/>
              <w:gridCol w:w="1373"/>
              <w:gridCol w:w="1882"/>
              <w:gridCol w:w="1791"/>
              <w:gridCol w:w="1858"/>
            </w:tblGrid>
            <w:tr w14:paraId="5240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034" w:type="dxa"/>
                  <w:vAlign w:val="center"/>
                </w:tcPr>
                <w:p w14:paraId="7EB41B4D">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序号</w:t>
                  </w:r>
                </w:p>
              </w:tc>
              <w:tc>
                <w:tcPr>
                  <w:tcW w:w="1373" w:type="dxa"/>
                  <w:vAlign w:val="center"/>
                </w:tcPr>
                <w:p w14:paraId="699305E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产品</w:t>
                  </w:r>
                </w:p>
              </w:tc>
              <w:tc>
                <w:tcPr>
                  <w:tcW w:w="1882" w:type="dxa"/>
                </w:tcPr>
                <w:p w14:paraId="28F152B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原材料名称</w:t>
                  </w:r>
                </w:p>
              </w:tc>
              <w:tc>
                <w:tcPr>
                  <w:tcW w:w="1791" w:type="dxa"/>
                </w:tcPr>
                <w:p w14:paraId="6F78B37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单位</w:t>
                  </w:r>
                </w:p>
              </w:tc>
              <w:tc>
                <w:tcPr>
                  <w:tcW w:w="1858" w:type="dxa"/>
                </w:tcPr>
                <w:p w14:paraId="05F7A5EB">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年耗</w:t>
                  </w:r>
                </w:p>
              </w:tc>
            </w:tr>
            <w:tr w14:paraId="17E6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034" w:type="dxa"/>
                  <w:vMerge w:val="restart"/>
                  <w:vAlign w:val="center"/>
                </w:tcPr>
                <w:p w14:paraId="19DCC52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原辅料</w:t>
                  </w:r>
                </w:p>
              </w:tc>
              <w:tc>
                <w:tcPr>
                  <w:tcW w:w="1373" w:type="dxa"/>
                  <w:vMerge w:val="restart"/>
                  <w:vAlign w:val="center"/>
                </w:tcPr>
                <w:p w14:paraId="45A54975">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透水砖</w:t>
                  </w:r>
                </w:p>
              </w:tc>
              <w:tc>
                <w:tcPr>
                  <w:tcW w:w="1882" w:type="dxa"/>
                </w:tcPr>
                <w:p w14:paraId="3BC685D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水泥</w:t>
                  </w:r>
                </w:p>
              </w:tc>
              <w:tc>
                <w:tcPr>
                  <w:tcW w:w="1791" w:type="dxa"/>
                </w:tcPr>
                <w:p w14:paraId="2EE7DEA8">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70EE902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6788</w:t>
                  </w:r>
                </w:p>
              </w:tc>
            </w:tr>
            <w:tr w14:paraId="1DE1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034" w:type="dxa"/>
                  <w:vMerge w:val="continue"/>
                </w:tcPr>
                <w:p w14:paraId="54897BCE">
                  <w:pPr>
                    <w:pStyle w:val="20"/>
                    <w:jc w:val="center"/>
                    <w:rPr>
                      <w:rFonts w:ascii="Times New Roman" w:hAnsi="Times New Roman"/>
                      <w:spacing w:val="-2"/>
                      <w:sz w:val="21"/>
                      <w:szCs w:val="21"/>
                      <w:lang w:eastAsia="zh-CN"/>
                    </w:rPr>
                  </w:pPr>
                </w:p>
              </w:tc>
              <w:tc>
                <w:tcPr>
                  <w:tcW w:w="1373" w:type="dxa"/>
                  <w:vMerge w:val="continue"/>
                </w:tcPr>
                <w:p w14:paraId="55D3AEEC">
                  <w:pPr>
                    <w:pStyle w:val="20"/>
                    <w:jc w:val="center"/>
                    <w:rPr>
                      <w:rFonts w:ascii="Times New Roman" w:hAnsi="Times New Roman"/>
                      <w:spacing w:val="-2"/>
                      <w:sz w:val="21"/>
                      <w:szCs w:val="21"/>
                      <w:lang w:eastAsia="zh-CN"/>
                    </w:rPr>
                  </w:pPr>
                </w:p>
              </w:tc>
              <w:tc>
                <w:tcPr>
                  <w:tcW w:w="1882" w:type="dxa"/>
                </w:tcPr>
                <w:p w14:paraId="3A68C36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白水泥</w:t>
                  </w:r>
                </w:p>
              </w:tc>
              <w:tc>
                <w:tcPr>
                  <w:tcW w:w="1791" w:type="dxa"/>
                </w:tcPr>
                <w:p w14:paraId="6F1E666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517BE04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1197</w:t>
                  </w:r>
                </w:p>
              </w:tc>
            </w:tr>
            <w:tr w14:paraId="326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continue"/>
                </w:tcPr>
                <w:p w14:paraId="3843D91D">
                  <w:pPr>
                    <w:pStyle w:val="20"/>
                    <w:jc w:val="center"/>
                    <w:rPr>
                      <w:rFonts w:ascii="Times New Roman" w:hAnsi="Times New Roman"/>
                      <w:spacing w:val="-2"/>
                      <w:sz w:val="21"/>
                      <w:szCs w:val="21"/>
                      <w:lang w:eastAsia="zh-CN"/>
                    </w:rPr>
                  </w:pPr>
                </w:p>
              </w:tc>
              <w:tc>
                <w:tcPr>
                  <w:tcW w:w="1373" w:type="dxa"/>
                  <w:vMerge w:val="continue"/>
                </w:tcPr>
                <w:p w14:paraId="12B4CCCD">
                  <w:pPr>
                    <w:pStyle w:val="20"/>
                    <w:jc w:val="center"/>
                    <w:rPr>
                      <w:rFonts w:ascii="Times New Roman" w:hAnsi="Times New Roman"/>
                      <w:spacing w:val="-2"/>
                      <w:sz w:val="21"/>
                      <w:szCs w:val="21"/>
                      <w:lang w:eastAsia="zh-CN"/>
                    </w:rPr>
                  </w:pPr>
                </w:p>
              </w:tc>
              <w:tc>
                <w:tcPr>
                  <w:tcW w:w="1882" w:type="dxa"/>
                </w:tcPr>
                <w:p w14:paraId="5205DC9E">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石英砂</w:t>
                  </w:r>
                </w:p>
              </w:tc>
              <w:tc>
                <w:tcPr>
                  <w:tcW w:w="1791" w:type="dxa"/>
                </w:tcPr>
                <w:p w14:paraId="7699D8D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61207E3F">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3144</w:t>
                  </w:r>
                </w:p>
              </w:tc>
            </w:tr>
            <w:tr w14:paraId="0005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continue"/>
                </w:tcPr>
                <w:p w14:paraId="37B075E0">
                  <w:pPr>
                    <w:pStyle w:val="20"/>
                    <w:jc w:val="center"/>
                    <w:rPr>
                      <w:rFonts w:ascii="Times New Roman" w:hAnsi="Times New Roman"/>
                      <w:spacing w:val="-2"/>
                      <w:sz w:val="21"/>
                      <w:szCs w:val="21"/>
                      <w:lang w:eastAsia="zh-CN"/>
                    </w:rPr>
                  </w:pPr>
                </w:p>
              </w:tc>
              <w:tc>
                <w:tcPr>
                  <w:tcW w:w="1373" w:type="dxa"/>
                  <w:vMerge w:val="continue"/>
                </w:tcPr>
                <w:p w14:paraId="1279FD5E">
                  <w:pPr>
                    <w:pStyle w:val="20"/>
                    <w:jc w:val="center"/>
                    <w:rPr>
                      <w:rFonts w:ascii="Times New Roman" w:hAnsi="Times New Roman"/>
                      <w:spacing w:val="-2"/>
                      <w:sz w:val="21"/>
                      <w:szCs w:val="21"/>
                      <w:lang w:eastAsia="zh-CN"/>
                    </w:rPr>
                  </w:pPr>
                </w:p>
              </w:tc>
              <w:tc>
                <w:tcPr>
                  <w:tcW w:w="1882" w:type="dxa"/>
                </w:tcPr>
                <w:p w14:paraId="5744BCE8">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彩色颜料</w:t>
                  </w:r>
                </w:p>
              </w:tc>
              <w:tc>
                <w:tcPr>
                  <w:tcW w:w="1791" w:type="dxa"/>
                </w:tcPr>
                <w:p w14:paraId="4CDE7939">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466B4540">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134</w:t>
                  </w:r>
                </w:p>
              </w:tc>
            </w:tr>
            <w:tr w14:paraId="428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continue"/>
                </w:tcPr>
                <w:p w14:paraId="2F12E604">
                  <w:pPr>
                    <w:pStyle w:val="20"/>
                    <w:jc w:val="center"/>
                    <w:rPr>
                      <w:rFonts w:ascii="Times New Roman" w:hAnsi="Times New Roman"/>
                      <w:spacing w:val="-2"/>
                      <w:sz w:val="21"/>
                      <w:szCs w:val="21"/>
                      <w:lang w:eastAsia="zh-CN"/>
                    </w:rPr>
                  </w:pPr>
                </w:p>
              </w:tc>
              <w:tc>
                <w:tcPr>
                  <w:tcW w:w="1373" w:type="dxa"/>
                  <w:vMerge w:val="continue"/>
                </w:tcPr>
                <w:p w14:paraId="697A4B81">
                  <w:pPr>
                    <w:pStyle w:val="20"/>
                    <w:jc w:val="center"/>
                    <w:rPr>
                      <w:rFonts w:ascii="Times New Roman" w:hAnsi="Times New Roman"/>
                      <w:spacing w:val="-2"/>
                      <w:sz w:val="21"/>
                      <w:szCs w:val="21"/>
                      <w:lang w:eastAsia="zh-CN"/>
                    </w:rPr>
                  </w:pPr>
                </w:p>
              </w:tc>
              <w:tc>
                <w:tcPr>
                  <w:tcW w:w="1882" w:type="dxa"/>
                </w:tcPr>
                <w:p w14:paraId="3BD2324E">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沙子</w:t>
                  </w:r>
                </w:p>
              </w:tc>
              <w:tc>
                <w:tcPr>
                  <w:tcW w:w="1791" w:type="dxa"/>
                </w:tcPr>
                <w:p w14:paraId="6964693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322981F4">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14976</w:t>
                  </w:r>
                </w:p>
              </w:tc>
            </w:tr>
            <w:tr w14:paraId="5C26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continue"/>
                </w:tcPr>
                <w:p w14:paraId="3342C8E2">
                  <w:pPr>
                    <w:pStyle w:val="20"/>
                    <w:jc w:val="center"/>
                    <w:rPr>
                      <w:rFonts w:ascii="Times New Roman" w:hAnsi="Times New Roman"/>
                      <w:spacing w:val="-2"/>
                      <w:sz w:val="21"/>
                      <w:szCs w:val="21"/>
                      <w:lang w:eastAsia="zh-CN"/>
                    </w:rPr>
                  </w:pPr>
                </w:p>
              </w:tc>
              <w:tc>
                <w:tcPr>
                  <w:tcW w:w="1373" w:type="dxa"/>
                  <w:vMerge w:val="continue"/>
                </w:tcPr>
                <w:p w14:paraId="17200499">
                  <w:pPr>
                    <w:pStyle w:val="20"/>
                    <w:jc w:val="center"/>
                    <w:rPr>
                      <w:rFonts w:ascii="Times New Roman" w:hAnsi="Times New Roman"/>
                      <w:spacing w:val="-2"/>
                      <w:sz w:val="21"/>
                      <w:szCs w:val="21"/>
                      <w:lang w:eastAsia="zh-CN"/>
                    </w:rPr>
                  </w:pPr>
                </w:p>
              </w:tc>
              <w:tc>
                <w:tcPr>
                  <w:tcW w:w="1882" w:type="dxa"/>
                </w:tcPr>
                <w:p w14:paraId="6DCB9FE4">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石子</w:t>
                  </w:r>
                </w:p>
              </w:tc>
              <w:tc>
                <w:tcPr>
                  <w:tcW w:w="1791" w:type="dxa"/>
                </w:tcPr>
                <w:p w14:paraId="474D9A3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吨</w:t>
                  </w:r>
                </w:p>
              </w:tc>
              <w:tc>
                <w:tcPr>
                  <w:tcW w:w="1858" w:type="dxa"/>
                </w:tcPr>
                <w:p w14:paraId="0520433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46176</w:t>
                  </w:r>
                </w:p>
              </w:tc>
            </w:tr>
            <w:tr w14:paraId="211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restart"/>
                </w:tcPr>
                <w:p w14:paraId="7B650CC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能源</w:t>
                  </w:r>
                </w:p>
              </w:tc>
              <w:tc>
                <w:tcPr>
                  <w:tcW w:w="3255" w:type="dxa"/>
                  <w:gridSpan w:val="2"/>
                </w:tcPr>
                <w:p w14:paraId="05E8680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电</w:t>
                  </w:r>
                </w:p>
              </w:tc>
              <w:tc>
                <w:tcPr>
                  <w:tcW w:w="1791" w:type="dxa"/>
                </w:tcPr>
                <w:p w14:paraId="0F0E7C99">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万kW·h</w:t>
                  </w:r>
                </w:p>
              </w:tc>
              <w:tc>
                <w:tcPr>
                  <w:tcW w:w="1858" w:type="dxa"/>
                </w:tcPr>
                <w:p w14:paraId="320BF3E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124</w:t>
                  </w:r>
                </w:p>
              </w:tc>
            </w:tr>
            <w:tr w14:paraId="05EA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1034" w:type="dxa"/>
                  <w:vMerge w:val="continue"/>
                </w:tcPr>
                <w:p w14:paraId="1ED41E2B">
                  <w:pPr>
                    <w:pStyle w:val="20"/>
                    <w:jc w:val="center"/>
                    <w:rPr>
                      <w:rFonts w:ascii="Times New Roman" w:hAnsi="Times New Roman"/>
                      <w:spacing w:val="-2"/>
                      <w:sz w:val="21"/>
                      <w:szCs w:val="21"/>
                      <w:lang w:eastAsia="zh-CN"/>
                    </w:rPr>
                  </w:pPr>
                </w:p>
              </w:tc>
              <w:tc>
                <w:tcPr>
                  <w:tcW w:w="3255" w:type="dxa"/>
                  <w:gridSpan w:val="2"/>
                </w:tcPr>
                <w:p w14:paraId="79D4FDA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w:t>
                  </w:r>
                </w:p>
              </w:tc>
              <w:tc>
                <w:tcPr>
                  <w:tcW w:w="1791" w:type="dxa"/>
                </w:tcPr>
                <w:p w14:paraId="2A3313E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m</w:t>
                  </w:r>
                  <w:r>
                    <w:rPr>
                      <w:rFonts w:hint="eastAsia" w:ascii="Times New Roman" w:hAnsi="Times New Roman"/>
                      <w:spacing w:val="-2"/>
                      <w:sz w:val="21"/>
                      <w:szCs w:val="21"/>
                      <w:vertAlign w:val="superscript"/>
                      <w:lang w:eastAsia="zh-CN"/>
                    </w:rPr>
                    <w:t>3</w:t>
                  </w:r>
                </w:p>
              </w:tc>
              <w:tc>
                <w:tcPr>
                  <w:tcW w:w="1858" w:type="dxa"/>
                </w:tcPr>
                <w:p w14:paraId="7D5B8E51">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5416</w:t>
                  </w:r>
                </w:p>
              </w:tc>
            </w:tr>
          </w:tbl>
          <w:p w14:paraId="199A4F9E">
            <w:pPr>
              <w:pStyle w:val="20"/>
              <w:widowControl w:val="0"/>
              <w:spacing w:line="212" w:lineRule="auto"/>
              <w:jc w:val="both"/>
              <w:rPr>
                <w:b/>
                <w:bCs/>
                <w:spacing w:val="-2"/>
                <w:sz w:val="21"/>
                <w:szCs w:val="21"/>
                <w:lang w:eastAsia="zh-CN"/>
              </w:rPr>
            </w:pPr>
          </w:p>
          <w:p w14:paraId="3C3A17CC">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①生产场地的要求</w:t>
            </w:r>
          </w:p>
          <w:p w14:paraId="6D3CF72F">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本项目生产产品为透水砖，所用的原料为石子砂子等，都需要装载机进行上料至料斗，料斗</w:t>
            </w:r>
            <w:r>
              <w:rPr>
                <w:rFonts w:hint="eastAsia" w:ascii="Times New Roman" w:hAnsi="Times New Roman"/>
                <w:spacing w:val="-3"/>
                <w:lang w:eastAsia="zh-CN"/>
              </w:rPr>
              <w:t>再经过</w:t>
            </w:r>
            <w:r>
              <w:rPr>
                <w:rFonts w:ascii="Times New Roman" w:hAnsi="Times New Roman"/>
                <w:spacing w:val="-3"/>
                <w:lang w:eastAsia="zh-CN"/>
              </w:rPr>
              <w:t>提升机至搅拌机进行搅拌，在考虑到生产的便捷性下为减少粉尘产生的排放量，本环评要求，上料至搅拌工序的生产场地地面需进行硬化且该工序必须在三面围挡的情况下进行作业。搅拌后进入的各设备或模具的生产工序的生产场地不</w:t>
            </w:r>
            <w:r>
              <w:rPr>
                <w:rFonts w:hint="eastAsia" w:ascii="Times New Roman" w:hAnsi="Times New Roman"/>
                <w:spacing w:val="-3"/>
                <w:lang w:eastAsia="zh-CN"/>
              </w:rPr>
              <w:t>作</w:t>
            </w:r>
            <w:r>
              <w:rPr>
                <w:rFonts w:ascii="Times New Roman" w:hAnsi="Times New Roman"/>
                <w:spacing w:val="-3"/>
                <w:lang w:eastAsia="zh-CN"/>
              </w:rPr>
              <w:t>要求，但必须保证地面整洁，经常对散落的物料进行收集处理。</w:t>
            </w:r>
          </w:p>
          <w:p w14:paraId="4C0643B6">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②原辅材料场内输送和储存方式</w:t>
            </w:r>
          </w:p>
          <w:p w14:paraId="41A7ADA8">
            <w:pPr>
              <w:pStyle w:val="20"/>
              <w:widowControl w:val="0"/>
              <w:spacing w:line="360" w:lineRule="auto"/>
              <w:ind w:firstLine="468" w:firstLineChars="200"/>
              <w:jc w:val="both"/>
              <w:rPr>
                <w:rFonts w:hint="eastAsia" w:ascii="Times New Roman" w:hAnsi="Times New Roman"/>
                <w:spacing w:val="-3"/>
                <w:lang w:eastAsia="zh-CN"/>
              </w:rPr>
            </w:pPr>
            <w:r>
              <w:rPr>
                <w:rFonts w:ascii="Times New Roman" w:hAnsi="Times New Roman"/>
                <w:spacing w:val="-3"/>
                <w:lang w:eastAsia="zh-CN"/>
              </w:rPr>
              <w:t>水泥：本项目水泥经罐车运送至厂内，通过运输罐车放料阀由空压机通过气力运输输送至水泥筒仓内</w:t>
            </w:r>
            <w:r>
              <w:rPr>
                <w:rFonts w:hint="eastAsia" w:ascii="Times New Roman" w:hAnsi="Times New Roman"/>
                <w:spacing w:val="-3"/>
                <w:lang w:eastAsia="zh-CN"/>
              </w:rPr>
              <w:t>。</w:t>
            </w:r>
          </w:p>
          <w:p w14:paraId="6685953A">
            <w:pPr>
              <w:pStyle w:val="20"/>
              <w:widowControl w:val="0"/>
              <w:spacing w:line="360" w:lineRule="auto"/>
              <w:ind w:firstLine="468" w:firstLineChars="200"/>
              <w:jc w:val="both"/>
              <w:rPr>
                <w:rFonts w:ascii="Times New Roman" w:hAnsi="Times New Roman"/>
                <w:spacing w:val="-3"/>
                <w:lang w:eastAsia="zh-CN"/>
              </w:rPr>
            </w:pPr>
            <w:r>
              <w:rPr>
                <w:rFonts w:hint="eastAsia" w:ascii="Times New Roman" w:hAnsi="Times New Roman"/>
                <w:spacing w:val="-3"/>
                <w:lang w:val="en-US" w:eastAsia="zh-CN"/>
              </w:rPr>
              <w:t>白水泥、彩色颜料：</w:t>
            </w:r>
            <w:r>
              <w:rPr>
                <w:rFonts w:ascii="Times New Roman" w:hAnsi="Times New Roman"/>
                <w:spacing w:val="-3"/>
                <w:lang w:eastAsia="zh-CN"/>
              </w:rPr>
              <w:t>本项目静压式透水砖生产线使用的是</w:t>
            </w:r>
            <w:r>
              <w:rPr>
                <w:rFonts w:hint="eastAsia" w:ascii="Times New Roman" w:hAnsi="Times New Roman"/>
                <w:spacing w:val="-3"/>
                <w:lang w:val="en-US" w:eastAsia="zh-CN"/>
              </w:rPr>
              <w:t>白水泥、彩色颜料等为</w:t>
            </w:r>
            <w:r>
              <w:rPr>
                <w:rFonts w:ascii="Times New Roman" w:hAnsi="Times New Roman"/>
                <w:spacing w:val="-3"/>
                <w:lang w:eastAsia="zh-CN"/>
              </w:rPr>
              <w:t>袋装，进场后必须进入料仓或库房内，不得露天堆放。</w:t>
            </w:r>
          </w:p>
          <w:p w14:paraId="2C7D3EE8">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砂子、石子等砾石：该物料全部由密闭自卸货车运输进厂，按产地、批次、分别卸入料仓。</w:t>
            </w:r>
          </w:p>
          <w:p w14:paraId="124EA713">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③原辅材料暂存场所要求</w:t>
            </w:r>
          </w:p>
          <w:p w14:paraId="149D29C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堆场地面必须硬化，整个堆场成</w:t>
            </w:r>
            <w:r>
              <w:rPr>
                <w:rFonts w:hint="eastAsia" w:ascii="Times New Roman" w:hAnsi="Times New Roman"/>
                <w:spacing w:val="-3"/>
                <w:lang w:val="en-US" w:eastAsia="zh-CN"/>
              </w:rPr>
              <w:t>全</w:t>
            </w:r>
            <w:r>
              <w:rPr>
                <w:rFonts w:ascii="Times New Roman" w:hAnsi="Times New Roman"/>
                <w:spacing w:val="-3"/>
                <w:lang w:eastAsia="zh-CN"/>
              </w:rPr>
              <w:t>封闭，严禁原辅料露天堆放，在原料堆场安装洒水装置或由人工进行喷洒，定期向棚内原材料进行洒水，保持湿度，</w:t>
            </w:r>
            <w:r>
              <w:rPr>
                <w:rFonts w:hint="eastAsia" w:ascii="Times New Roman" w:hAnsi="Times New Roman"/>
                <w:spacing w:val="-3"/>
                <w:lang w:eastAsia="zh-CN"/>
              </w:rPr>
              <w:t>减少</w:t>
            </w:r>
            <w:r>
              <w:rPr>
                <w:rFonts w:ascii="Times New Roman" w:hAnsi="Times New Roman"/>
                <w:spacing w:val="-3"/>
                <w:lang w:eastAsia="zh-CN"/>
              </w:rPr>
              <w:t>粉尘产生。</w:t>
            </w:r>
          </w:p>
          <w:p w14:paraId="0AADCF07">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ascii="Times New Roman" w:hAnsi="Times New Roman"/>
                <w:spacing w:val="-3"/>
                <w:lang w:eastAsia="zh-CN"/>
              </w:rPr>
              <w:t>④原辅材料运输过程中的环保措施要求</w:t>
            </w:r>
          </w:p>
          <w:p w14:paraId="3D68AD42">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Times New Roman" w:hAnsi="Times New Roman"/>
                <w:spacing w:val="-3"/>
                <w:lang w:eastAsia="zh-CN"/>
              </w:rPr>
            </w:pPr>
            <w:r>
              <w:rPr>
                <w:rFonts w:hint="eastAsia" w:ascii="Times New Roman" w:hAnsi="Times New Roman"/>
                <w:spacing w:val="-3"/>
                <w:lang w:eastAsia="zh-CN"/>
              </w:rPr>
              <w:t>a加强机械、车辆维护保养，优先使用新能源货车，非道路移动机械入场前须完成编码登记，同时建立车辆管理台账。</w:t>
            </w:r>
          </w:p>
          <w:p w14:paraId="753E6218">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b</w:t>
            </w:r>
            <w:r>
              <w:rPr>
                <w:rFonts w:ascii="Times New Roman" w:hAnsi="Times New Roman"/>
                <w:spacing w:val="-3"/>
                <w:lang w:eastAsia="zh-CN"/>
              </w:rPr>
              <w:t>运输车辆不得超载，防止物料泼洒；</w:t>
            </w:r>
          </w:p>
          <w:p w14:paraId="75F54B7A">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c</w:t>
            </w:r>
            <w:r>
              <w:rPr>
                <w:rFonts w:ascii="Times New Roman" w:hAnsi="Times New Roman"/>
                <w:spacing w:val="-3"/>
                <w:lang w:eastAsia="zh-CN"/>
              </w:rPr>
              <w:t>运输物料的车辆应当密闭或者加盖篷布，并保证物料不遗撒外漏；</w:t>
            </w:r>
          </w:p>
          <w:p w14:paraId="1F8AA7A1">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d</w:t>
            </w:r>
            <w:r>
              <w:rPr>
                <w:rFonts w:ascii="Times New Roman" w:hAnsi="Times New Roman"/>
                <w:spacing w:val="-3"/>
                <w:lang w:eastAsia="zh-CN"/>
              </w:rPr>
              <w:t>运输车辆</w:t>
            </w:r>
            <w:r>
              <w:rPr>
                <w:rFonts w:hint="eastAsia" w:ascii="Times New Roman" w:hAnsi="Times New Roman"/>
                <w:spacing w:val="-3"/>
                <w:lang w:eastAsia="zh-CN"/>
              </w:rPr>
              <w:t>驶出</w:t>
            </w:r>
            <w:r>
              <w:rPr>
                <w:rFonts w:ascii="Times New Roman" w:hAnsi="Times New Roman"/>
                <w:spacing w:val="-3"/>
                <w:lang w:eastAsia="zh-CN"/>
              </w:rPr>
              <w:t>厂区前要将车轮和槽帮冲洗干净，确保车辆不带泥土驶离场地，项目区内运输通道及时清扫冲洗，以减少汽车行驶扬尘；</w:t>
            </w:r>
          </w:p>
          <w:p w14:paraId="21278A23">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e</w:t>
            </w:r>
            <w:r>
              <w:rPr>
                <w:rFonts w:ascii="Times New Roman" w:hAnsi="Times New Roman"/>
                <w:spacing w:val="-3"/>
                <w:lang w:eastAsia="zh-CN"/>
              </w:rPr>
              <w:t>运输车辆</w:t>
            </w:r>
            <w:r>
              <w:rPr>
                <w:rFonts w:hint="eastAsia" w:ascii="Times New Roman" w:hAnsi="Times New Roman"/>
                <w:spacing w:val="-3"/>
                <w:lang w:eastAsia="zh-CN"/>
              </w:rPr>
              <w:t>行驶路线应</w:t>
            </w:r>
            <w:r>
              <w:rPr>
                <w:rFonts w:ascii="Times New Roman" w:hAnsi="Times New Roman"/>
                <w:spacing w:val="-3"/>
                <w:lang w:eastAsia="zh-CN"/>
              </w:rPr>
              <w:t>尽量避开环境敏感点。</w:t>
            </w:r>
          </w:p>
          <w:p w14:paraId="2AF31C1D">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f</w:t>
            </w:r>
            <w:r>
              <w:rPr>
                <w:rFonts w:ascii="Times New Roman" w:hAnsi="Times New Roman"/>
                <w:spacing w:val="-3"/>
                <w:lang w:eastAsia="zh-CN"/>
              </w:rPr>
              <w:t>合理安排作业时间，尽量减少夜间运输频次。</w:t>
            </w:r>
          </w:p>
          <w:p w14:paraId="1B579CC2">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Times New Roman" w:hAnsi="Times New Roman"/>
                <w:spacing w:val="-3"/>
                <w:lang w:val="en-US" w:eastAsia="zh-CN"/>
              </w:rPr>
            </w:pPr>
            <w:r>
              <w:rPr>
                <w:rFonts w:hint="eastAsia" w:ascii="Times New Roman" w:hAnsi="Times New Roman"/>
                <w:spacing w:val="-3"/>
                <w:lang w:val="en-US" w:eastAsia="zh-CN"/>
              </w:rPr>
              <w:t>⑤非道路移动机械要求</w:t>
            </w:r>
          </w:p>
          <w:p w14:paraId="661B74A2">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hint="default" w:ascii="Times New Roman" w:hAnsi="Times New Roman"/>
                <w:spacing w:val="-3"/>
                <w:lang w:val="en-US" w:eastAsia="zh-CN"/>
              </w:rPr>
            </w:pPr>
            <w:r>
              <w:rPr>
                <w:rFonts w:hint="eastAsia" w:ascii="Times New Roman" w:hAnsi="Times New Roman"/>
                <w:spacing w:val="-3"/>
                <w:lang w:val="en-US" w:eastAsia="zh-CN"/>
              </w:rPr>
              <w:t>a</w:t>
            </w:r>
            <w:r>
              <w:rPr>
                <w:rFonts w:hint="default" w:ascii="Times New Roman" w:hAnsi="Times New Roman"/>
                <w:spacing w:val="-3"/>
                <w:lang w:val="en-US" w:eastAsia="zh-CN"/>
              </w:rPr>
              <w:t>加强在用非道路移动机械的排放检测和维修。加强非道路移动机械的维修、保养，使其保持良好的技术状态。加强对非道路移动机械排放检测能力的建设；经检测排放不达标的非道路移动机械，应强制进行维修、保养，保证非道路移动机械及其污染控制装置处于正常技术状态。非道路移动机械维修企业应配备必要的排放检测及诊断设备，确保维修后的非道路移动机械排放稳定达标，同时妥善保存维修记录。</w:t>
            </w:r>
          </w:p>
          <w:p w14:paraId="65A3D2B0">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hint="default" w:ascii="Times New Roman" w:hAnsi="Times New Roman"/>
                <w:spacing w:val="-3"/>
                <w:lang w:val="en-US" w:eastAsia="zh-CN"/>
              </w:rPr>
            </w:pPr>
            <w:r>
              <w:rPr>
                <w:rFonts w:hint="eastAsia" w:ascii="Times New Roman" w:hAnsi="Times New Roman"/>
                <w:spacing w:val="-3"/>
                <w:lang w:val="en-US" w:eastAsia="zh-CN"/>
              </w:rPr>
              <w:t>b</w:t>
            </w:r>
            <w:r>
              <w:rPr>
                <w:rFonts w:hint="default" w:ascii="Times New Roman" w:hAnsi="Times New Roman"/>
                <w:spacing w:val="-3"/>
                <w:lang w:val="en-US" w:eastAsia="zh-CN"/>
              </w:rPr>
              <w:t>研究建立在用非道路移动机械登记制度。鼓励有条件的地方，对需要重点监控的在用非道路移动机械进行登记，并对其排放状况进行监督检查。</w:t>
            </w:r>
          </w:p>
          <w:p w14:paraId="583BE63B">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hint="default" w:ascii="Times New Roman" w:hAnsi="Times New Roman"/>
                <w:spacing w:val="-3"/>
                <w:lang w:val="en-US" w:eastAsia="zh-CN"/>
              </w:rPr>
            </w:pPr>
            <w:r>
              <w:rPr>
                <w:rFonts w:hint="eastAsia" w:ascii="Times New Roman" w:hAnsi="Times New Roman"/>
                <w:spacing w:val="-3"/>
                <w:lang w:val="en-US" w:eastAsia="zh-CN"/>
              </w:rPr>
              <w:t>c</w:t>
            </w:r>
            <w:r>
              <w:rPr>
                <w:rFonts w:hint="default" w:ascii="Times New Roman" w:hAnsi="Times New Roman"/>
                <w:spacing w:val="-3"/>
                <w:lang w:val="en-US" w:eastAsia="zh-CN"/>
              </w:rPr>
              <w:t>加强非道路移动机械的噪声控制。禁止任何单位或个人擅自拆除弃用非道路移动机械的消声、隔声和吸声装置，加强对噪声控制装置的维护保养。</w:t>
            </w:r>
          </w:p>
          <w:p w14:paraId="2EE89E61">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hint="eastAsia" w:ascii="Times New Roman" w:hAnsi="Times New Roman"/>
                <w:spacing w:val="-3"/>
                <w:lang w:val="en-US" w:eastAsia="zh-CN"/>
              </w:rPr>
              <w:t>⑥</w:t>
            </w:r>
            <w:r>
              <w:rPr>
                <w:rFonts w:hint="eastAsia" w:ascii="Times New Roman" w:hAnsi="Times New Roman"/>
                <w:spacing w:val="-3"/>
                <w:lang w:eastAsia="zh-CN"/>
              </w:rPr>
              <w:t>原辅料理化性质</w:t>
            </w:r>
          </w:p>
          <w:p w14:paraId="415687A7">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表2-4原材料性质一览表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2737"/>
              <w:gridCol w:w="2746"/>
            </w:tblGrid>
            <w:tr w14:paraId="1586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360F1D21">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原料</w:t>
                  </w:r>
                </w:p>
              </w:tc>
              <w:tc>
                <w:tcPr>
                  <w:tcW w:w="2749" w:type="dxa"/>
                  <w:vAlign w:val="center"/>
                </w:tcPr>
                <w:p w14:paraId="12857B8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物理性质</w:t>
                  </w:r>
                </w:p>
              </w:tc>
              <w:tc>
                <w:tcPr>
                  <w:tcW w:w="2749" w:type="dxa"/>
                  <w:vAlign w:val="center"/>
                </w:tcPr>
                <w:p w14:paraId="5D6C4956">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化学性质</w:t>
                  </w:r>
                </w:p>
              </w:tc>
            </w:tr>
            <w:tr w14:paraId="4D6F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57A962C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水泥</w:t>
                  </w:r>
                </w:p>
              </w:tc>
              <w:tc>
                <w:tcPr>
                  <w:tcW w:w="2749" w:type="dxa"/>
                  <w:vAlign w:val="center"/>
                </w:tcPr>
                <w:p w14:paraId="3B3178B2">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通常为灰色粉末，密度约3.1</w:t>
                  </w:r>
                  <w:r>
                    <w:rPr>
                      <w:rFonts w:hint="eastAsia" w:ascii="Times New Roman" w:hAnsi="Times New Roman"/>
                      <w:spacing w:val="-2"/>
                      <w:sz w:val="21"/>
                      <w:szCs w:val="21"/>
                      <w:lang w:eastAsia="zh-CN"/>
                    </w:rPr>
                    <w:t>～</w:t>
                  </w:r>
                  <w:r>
                    <w:rPr>
                      <w:rFonts w:ascii="Times New Roman" w:hAnsi="Times New Roman"/>
                      <w:spacing w:val="-2"/>
                      <w:sz w:val="21"/>
                      <w:szCs w:val="21"/>
                      <w:lang w:eastAsia="zh-CN"/>
                    </w:rPr>
                    <w:t>3.2g/cm³，堆积密度约1000</w:t>
                  </w:r>
                  <w:r>
                    <w:rPr>
                      <w:rFonts w:hint="eastAsia" w:ascii="Times New Roman" w:hAnsi="Times New Roman"/>
                      <w:spacing w:val="-2"/>
                      <w:sz w:val="21"/>
                      <w:szCs w:val="21"/>
                      <w:lang w:eastAsia="zh-CN"/>
                    </w:rPr>
                    <w:t>～</w:t>
                  </w:r>
                  <w:r>
                    <w:rPr>
                      <w:rFonts w:ascii="Times New Roman" w:hAnsi="Times New Roman"/>
                      <w:spacing w:val="-2"/>
                      <w:sz w:val="21"/>
                      <w:szCs w:val="21"/>
                      <w:lang w:eastAsia="zh-CN"/>
                    </w:rPr>
                    <w:t>1600kg/m³；细度通过80μm方孔筛筛余不大于10%；标准稠度用水量一般在24%</w:t>
                  </w:r>
                  <w:r>
                    <w:rPr>
                      <w:rFonts w:hint="eastAsia" w:ascii="Times New Roman" w:hAnsi="Times New Roman"/>
                      <w:spacing w:val="-2"/>
                      <w:sz w:val="21"/>
                      <w:szCs w:val="21"/>
                      <w:lang w:eastAsia="zh-CN"/>
                    </w:rPr>
                    <w:t>～</w:t>
                  </w:r>
                  <w:r>
                    <w:rPr>
                      <w:rFonts w:ascii="Times New Roman" w:hAnsi="Times New Roman"/>
                      <w:spacing w:val="-2"/>
                      <w:sz w:val="21"/>
                      <w:szCs w:val="21"/>
                      <w:lang w:eastAsia="zh-CN"/>
                    </w:rPr>
                    <w:t>30%；凝结时间：初凝不早于45分钟，终凝不迟于600分钟（不同品种略有差异）；强度随龄期增长，28天抗压强度根据等级（如32.5、42.5等）达到对应标准值。</w:t>
                  </w:r>
                </w:p>
              </w:tc>
              <w:tc>
                <w:tcPr>
                  <w:tcW w:w="2749" w:type="dxa"/>
                  <w:vAlign w:val="center"/>
                </w:tcPr>
                <w:p w14:paraId="585A27B9">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主要成分为硅酸三钙（3CaO·SiO₂）、硅酸二钙（2CaO·SiO₂）、铝酸三钙（3CaO·Al₂O₃）、铁铝酸四钙（4CaO·Al₂O₃·Fe₂O₃），占比约90%以上；遇水发生水化反应，生成水化硅酸钙、氢氧化钙等凝胶体，逐渐硬化并产生强度；具有一定碱性，pH值约12~13。</w:t>
                  </w:r>
                </w:p>
              </w:tc>
            </w:tr>
            <w:tr w14:paraId="0CAE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4A42E43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白水泥</w:t>
                  </w:r>
                </w:p>
              </w:tc>
              <w:tc>
                <w:tcPr>
                  <w:tcW w:w="2749" w:type="dxa"/>
                  <w:vAlign w:val="center"/>
                </w:tcPr>
                <w:p w14:paraId="1549AC15">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纯白色粉末，白度（白度值）通常不低于87%（特级）；密度、堆积密度与普通水泥接近；凝结时间、强度特性类似普通水泥，但早期强度略低；细度更细，有助于提高白度和强度。</w:t>
                  </w:r>
                </w:p>
              </w:tc>
              <w:tc>
                <w:tcPr>
                  <w:tcW w:w="2749" w:type="dxa"/>
                  <w:vAlign w:val="center"/>
                </w:tcPr>
                <w:p w14:paraId="69AB1B1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主要成分与普通水泥类似，但严格控制铁、锰等着色元素含量（Fe₂O₃含量通常≤0.5%）；水化反应原理相同，生成的水化产物颜色较浅；同样具有强碱性。</w:t>
                  </w:r>
                </w:p>
              </w:tc>
            </w:tr>
            <w:tr w14:paraId="543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5D24B8ED">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石英砂</w:t>
                  </w:r>
                </w:p>
              </w:tc>
              <w:tc>
                <w:tcPr>
                  <w:tcW w:w="2749" w:type="dxa"/>
                  <w:vAlign w:val="center"/>
                </w:tcPr>
                <w:p w14:paraId="1B0D592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无色/白色/灰白色颗粒或粉末，莫氏硬度7（坚硬），密度2.65g/cm³左右，堆积密度1.2～1.6g/cm³；熔点约1713℃，耐高温；化学稳定性好，不溶于水和多数酸碱（氢氟酸除外）。</w:t>
                  </w:r>
                </w:p>
              </w:tc>
              <w:tc>
                <w:tcPr>
                  <w:tcW w:w="2749" w:type="dxa"/>
                  <w:vAlign w:val="center"/>
                </w:tcPr>
                <w:p w14:paraId="3303E0F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主要成分为二氧化硅（SiO₂），纯度通常&gt;90%（高纯石英砂可达99.9%以上）；具有酸性氧化物特性，高温下可与碱（如NaOH）或碳酸盐反应生成硅酸盐；不与普通酸（盐酸、硫酸等）反应，但能被氢氟酸溶解（生成SiF₄气体）。</w:t>
                  </w:r>
                </w:p>
              </w:tc>
            </w:tr>
            <w:tr w14:paraId="011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7254D4C0">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彩色颜料</w:t>
                  </w:r>
                </w:p>
              </w:tc>
              <w:tc>
                <w:tcPr>
                  <w:tcW w:w="2749" w:type="dxa"/>
                  <w:vAlign w:val="center"/>
                </w:tcPr>
                <w:p w14:paraId="70C84BBD">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粉末状，颜色多样（红、黄、蓝、绿等），遮盖力和着色力强；密度因种类而异（如氧化铁红约5.2g/cm³，钛白约4.2g/cm³）；耐光性、耐热性较好（无机颜料优于有机颜料），多数耐温&gt;200℃。</w:t>
                  </w:r>
                </w:p>
              </w:tc>
              <w:tc>
                <w:tcPr>
                  <w:tcW w:w="2749" w:type="dxa"/>
                  <w:vAlign w:val="center"/>
                </w:tcPr>
                <w:p w14:paraId="455DBA1E">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成分多为金属氧化物（如氧化铁、氧化铬）、硫化物或碳酸盐；化学稳定性高，不易被氧化或还原；耐酸碱性能因种类而异（如氧化铁颜料耐稀酸，不耐强碱性；钛白耐酸碱）；不溶于水和有机溶剂。</w:t>
                  </w:r>
                </w:p>
              </w:tc>
            </w:tr>
            <w:tr w14:paraId="4E2D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1B90C452">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沙子</w:t>
                  </w:r>
                </w:p>
              </w:tc>
              <w:tc>
                <w:tcPr>
                  <w:tcW w:w="2749" w:type="dxa"/>
                  <w:vAlign w:val="center"/>
                </w:tcPr>
                <w:p w14:paraId="7A97C26A">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颗粒状，颜色随成分变化（石英砂偏白，长石砂偏黄，含杂质时呈灰、褐等色）；堆积密度1400</w:t>
                  </w:r>
                  <w:r>
                    <w:rPr>
                      <w:rFonts w:hint="eastAsia" w:ascii="Times New Roman" w:hAnsi="Times New Roman"/>
                      <w:spacing w:val="-2"/>
                      <w:sz w:val="21"/>
                      <w:szCs w:val="21"/>
                      <w:lang w:eastAsia="zh-CN"/>
                    </w:rPr>
                    <w:t>～</w:t>
                  </w:r>
                  <w:r>
                    <w:rPr>
                      <w:rFonts w:ascii="Times New Roman" w:hAnsi="Times New Roman"/>
                      <w:spacing w:val="-2"/>
                      <w:sz w:val="21"/>
                      <w:szCs w:val="21"/>
                      <w:lang w:eastAsia="zh-CN"/>
                    </w:rPr>
                    <w:t>1650kg/m³，表观密度2500</w:t>
                  </w:r>
                  <w:r>
                    <w:rPr>
                      <w:rFonts w:hint="eastAsia" w:ascii="Times New Roman" w:hAnsi="Times New Roman"/>
                      <w:spacing w:val="-2"/>
                      <w:sz w:val="21"/>
                      <w:szCs w:val="21"/>
                      <w:lang w:eastAsia="zh-CN"/>
                    </w:rPr>
                    <w:t>～</w:t>
                  </w:r>
                  <w:r>
                    <w:rPr>
                      <w:rFonts w:ascii="Times New Roman" w:hAnsi="Times New Roman"/>
                      <w:spacing w:val="-2"/>
                      <w:sz w:val="21"/>
                      <w:szCs w:val="21"/>
                      <w:lang w:eastAsia="zh-CN"/>
                    </w:rPr>
                    <w:t>2700kg/m³；孔隙率30%</w:t>
                  </w:r>
                  <w:r>
                    <w:rPr>
                      <w:rFonts w:hint="eastAsia" w:ascii="Times New Roman" w:hAnsi="Times New Roman"/>
                      <w:spacing w:val="-2"/>
                      <w:sz w:val="21"/>
                      <w:szCs w:val="21"/>
                      <w:lang w:eastAsia="zh-CN"/>
                    </w:rPr>
                    <w:t>～</w:t>
                  </w:r>
                  <w:r>
                    <w:rPr>
                      <w:rFonts w:ascii="Times New Roman" w:hAnsi="Times New Roman"/>
                      <w:spacing w:val="-2"/>
                      <w:sz w:val="21"/>
                      <w:szCs w:val="21"/>
                      <w:lang w:eastAsia="zh-CN"/>
                    </w:rPr>
                    <w:t>45%，透气性好；硬度取决于主要矿物（石英砂硬度高，长石砂较低）。</w:t>
                  </w:r>
                </w:p>
              </w:tc>
              <w:tc>
                <w:tcPr>
                  <w:tcW w:w="2749" w:type="dxa"/>
                  <w:vAlign w:val="center"/>
                </w:tcPr>
                <w:p w14:paraId="7CBDD013">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主要成分为SiO₂（石英为主），含少量长石、云母等矿物；化学稳定性较好，耐普通酸碱（氢氟酸除外）；长期浸泡于水或潮湿环境中化学性质稳定，不易分解。</w:t>
                  </w:r>
                </w:p>
              </w:tc>
            </w:tr>
            <w:tr w14:paraId="2DC8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vAlign w:val="center"/>
                </w:tcPr>
                <w:p w14:paraId="446A932C">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石子</w:t>
                  </w:r>
                </w:p>
              </w:tc>
              <w:tc>
                <w:tcPr>
                  <w:tcW w:w="2749" w:type="dxa"/>
                  <w:vAlign w:val="center"/>
                </w:tcPr>
                <w:p w14:paraId="193464BE">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颗粒较大（粒径5</w:t>
                  </w:r>
                  <w:r>
                    <w:rPr>
                      <w:rFonts w:hint="eastAsia" w:ascii="Times New Roman" w:hAnsi="Times New Roman"/>
                      <w:spacing w:val="-2"/>
                      <w:sz w:val="21"/>
                      <w:szCs w:val="21"/>
                      <w:lang w:eastAsia="zh-CN"/>
                    </w:rPr>
                    <w:t>～</w:t>
                  </w:r>
                  <w:r>
                    <w:rPr>
                      <w:rFonts w:ascii="Times New Roman" w:hAnsi="Times New Roman"/>
                      <w:spacing w:val="-2"/>
                      <w:sz w:val="21"/>
                      <w:szCs w:val="21"/>
                      <w:lang w:eastAsia="zh-CN"/>
                    </w:rPr>
                    <w:t>100mm以上），形状多样（碎石棱角多，卵石较圆润）；颜色随母岩成分变化（如花岗岩呈灰白，石灰岩呈灰黑）；表观密度2600</w:t>
                  </w:r>
                  <w:r>
                    <w:rPr>
                      <w:rFonts w:hint="eastAsia" w:ascii="Times New Roman" w:hAnsi="Times New Roman"/>
                      <w:spacing w:val="-2"/>
                      <w:sz w:val="21"/>
                      <w:szCs w:val="21"/>
                      <w:lang w:eastAsia="zh-CN"/>
                    </w:rPr>
                    <w:t>～</w:t>
                  </w:r>
                  <w:r>
                    <w:rPr>
                      <w:rFonts w:ascii="Times New Roman" w:hAnsi="Times New Roman"/>
                      <w:spacing w:val="-2"/>
                      <w:sz w:val="21"/>
                      <w:szCs w:val="21"/>
                      <w:lang w:eastAsia="zh-CN"/>
                    </w:rPr>
                    <w:t>2800kg/m³，堆积密度1500</w:t>
                  </w:r>
                  <w:r>
                    <w:rPr>
                      <w:rFonts w:hint="eastAsia" w:ascii="Times New Roman" w:hAnsi="Times New Roman"/>
                      <w:spacing w:val="-2"/>
                      <w:sz w:val="21"/>
                      <w:szCs w:val="21"/>
                      <w:lang w:eastAsia="zh-CN"/>
                    </w:rPr>
                    <w:t>～</w:t>
                  </w:r>
                  <w:r>
                    <w:rPr>
                      <w:rFonts w:ascii="Times New Roman" w:hAnsi="Times New Roman"/>
                      <w:spacing w:val="-2"/>
                      <w:sz w:val="21"/>
                      <w:szCs w:val="21"/>
                      <w:lang w:eastAsia="zh-CN"/>
                    </w:rPr>
                    <w:t>1700kg/m³；抗压强度高（通常&gt;30MPa），硬度取决于母岩（如花岗岩硬度高于石灰岩）。</w:t>
                  </w:r>
                </w:p>
              </w:tc>
              <w:tc>
                <w:tcPr>
                  <w:tcW w:w="2749" w:type="dxa"/>
                  <w:vAlign w:val="center"/>
                </w:tcPr>
                <w:p w14:paraId="5F4F36D3">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成分由母岩决定（如花岗岩含石英、长石，石灰岩含碳酸钙）；石英质石子耐酸碱，碳酸钙质石子（如石灰岩）易被强酸腐蚀（生成CO₂）；整体化学稳定性较好，耐风化和侵蚀（除可溶性岩石外）。</w:t>
                  </w:r>
                </w:p>
              </w:tc>
            </w:tr>
          </w:tbl>
          <w:p w14:paraId="70B3C1D8">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（4）主要生产设备</w:t>
            </w:r>
          </w:p>
          <w:p w14:paraId="79DC5A12">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表2-5主要设备一览表</w:t>
            </w:r>
          </w:p>
          <w:tbl>
            <w:tblPr>
              <w:tblStyle w:val="19"/>
              <w:tblW w:w="79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84"/>
              <w:gridCol w:w="1982"/>
              <w:gridCol w:w="3558"/>
              <w:gridCol w:w="1319"/>
            </w:tblGrid>
            <w:tr w14:paraId="0DB7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1084" w:type="dxa"/>
                  <w:vAlign w:val="center"/>
                </w:tcPr>
                <w:p w14:paraId="3EFFA2E1">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生产线</w:t>
                  </w:r>
                </w:p>
              </w:tc>
              <w:tc>
                <w:tcPr>
                  <w:tcW w:w="1982" w:type="dxa"/>
                  <w:vAlign w:val="center"/>
                </w:tcPr>
                <w:p w14:paraId="63E510CE">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设备名称</w:t>
                  </w:r>
                </w:p>
              </w:tc>
              <w:tc>
                <w:tcPr>
                  <w:tcW w:w="3558" w:type="dxa"/>
                  <w:vAlign w:val="center"/>
                </w:tcPr>
                <w:p w14:paraId="27B766F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型号</w:t>
                  </w:r>
                </w:p>
              </w:tc>
              <w:tc>
                <w:tcPr>
                  <w:tcW w:w="1319" w:type="dxa"/>
                  <w:vAlign w:val="center"/>
                </w:tcPr>
                <w:p w14:paraId="04A6A521">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数量</w:t>
                  </w:r>
                </w:p>
              </w:tc>
            </w:tr>
            <w:tr w14:paraId="426E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084" w:type="dxa"/>
                  <w:vMerge w:val="restart"/>
                  <w:tcBorders>
                    <w:bottom w:val="nil"/>
                  </w:tcBorders>
                  <w:vAlign w:val="center"/>
                </w:tcPr>
                <w:p w14:paraId="1F350ECF">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透水砖</w:t>
                  </w:r>
                </w:p>
              </w:tc>
              <w:tc>
                <w:tcPr>
                  <w:tcW w:w="1982" w:type="dxa"/>
                  <w:vAlign w:val="center"/>
                </w:tcPr>
                <w:p w14:paraId="429EEC40">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水泥筒仓</w:t>
                  </w:r>
                </w:p>
              </w:tc>
              <w:tc>
                <w:tcPr>
                  <w:tcW w:w="3558" w:type="dxa"/>
                  <w:vAlign w:val="center"/>
                </w:tcPr>
                <w:p w14:paraId="19CE100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100吨</w:t>
                  </w:r>
                </w:p>
              </w:tc>
              <w:tc>
                <w:tcPr>
                  <w:tcW w:w="1319" w:type="dxa"/>
                  <w:vAlign w:val="center"/>
                </w:tcPr>
                <w:p w14:paraId="37404EC9">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1个</w:t>
                  </w:r>
                </w:p>
              </w:tc>
            </w:tr>
            <w:tr w14:paraId="7A55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5E281DFE">
                  <w:pPr>
                    <w:pStyle w:val="20"/>
                    <w:jc w:val="center"/>
                    <w:rPr>
                      <w:rFonts w:ascii="Times New Roman" w:hAnsi="Times New Roman"/>
                      <w:spacing w:val="-2"/>
                      <w:sz w:val="21"/>
                      <w:szCs w:val="21"/>
                      <w:lang w:eastAsia="zh-CN"/>
                    </w:rPr>
                  </w:pPr>
                </w:p>
              </w:tc>
              <w:tc>
                <w:tcPr>
                  <w:tcW w:w="1982" w:type="dxa"/>
                  <w:vAlign w:val="center"/>
                </w:tcPr>
                <w:p w14:paraId="3ECD80B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底料螺旋输送机</w:t>
                  </w:r>
                </w:p>
              </w:tc>
              <w:tc>
                <w:tcPr>
                  <w:tcW w:w="3558" w:type="dxa"/>
                  <w:vAlign w:val="center"/>
                </w:tcPr>
                <w:p w14:paraId="67680769">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直径：Ф219mm</w:t>
                  </w:r>
                </w:p>
              </w:tc>
              <w:tc>
                <w:tcPr>
                  <w:tcW w:w="1319" w:type="dxa"/>
                  <w:vAlign w:val="center"/>
                </w:tcPr>
                <w:p w14:paraId="6C670176">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1条</w:t>
                  </w:r>
                </w:p>
              </w:tc>
            </w:tr>
            <w:tr w14:paraId="4BB9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21FD2143">
                  <w:pPr>
                    <w:pStyle w:val="20"/>
                    <w:jc w:val="center"/>
                    <w:rPr>
                      <w:rFonts w:ascii="Times New Roman" w:hAnsi="Times New Roman"/>
                      <w:spacing w:val="-2"/>
                      <w:sz w:val="21"/>
                      <w:szCs w:val="21"/>
                      <w:lang w:eastAsia="zh-CN"/>
                    </w:rPr>
                  </w:pPr>
                </w:p>
              </w:tc>
              <w:tc>
                <w:tcPr>
                  <w:tcW w:w="1982" w:type="dxa"/>
                  <w:vAlign w:val="center"/>
                </w:tcPr>
                <w:p w14:paraId="13C97FB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底料配料机</w:t>
                  </w:r>
                </w:p>
              </w:tc>
              <w:tc>
                <w:tcPr>
                  <w:tcW w:w="3558" w:type="dxa"/>
                  <w:vAlign w:val="center"/>
                </w:tcPr>
                <w:p w14:paraId="1AEFC39A">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骨料仓：3个；每仓容量：6m³</w:t>
                  </w:r>
                </w:p>
              </w:tc>
              <w:tc>
                <w:tcPr>
                  <w:tcW w:w="1319" w:type="dxa"/>
                  <w:vAlign w:val="center"/>
                </w:tcPr>
                <w:p w14:paraId="76232656">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1D1A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3047EBD5">
                  <w:pPr>
                    <w:pStyle w:val="20"/>
                    <w:jc w:val="center"/>
                    <w:rPr>
                      <w:rFonts w:ascii="Times New Roman" w:hAnsi="Times New Roman"/>
                      <w:spacing w:val="-2"/>
                      <w:sz w:val="21"/>
                      <w:szCs w:val="21"/>
                      <w:lang w:eastAsia="zh-CN"/>
                    </w:rPr>
                  </w:pPr>
                </w:p>
              </w:tc>
              <w:tc>
                <w:tcPr>
                  <w:tcW w:w="1982" w:type="dxa"/>
                  <w:vAlign w:val="center"/>
                </w:tcPr>
                <w:p w14:paraId="7BDC601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底料双卧轴搅拌机</w:t>
                  </w:r>
                </w:p>
              </w:tc>
              <w:tc>
                <w:tcPr>
                  <w:tcW w:w="3558" w:type="dxa"/>
                  <w:vAlign w:val="center"/>
                </w:tcPr>
                <w:p w14:paraId="0D253991">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JS750</w:t>
                  </w:r>
                </w:p>
              </w:tc>
              <w:tc>
                <w:tcPr>
                  <w:tcW w:w="1319" w:type="dxa"/>
                  <w:vAlign w:val="center"/>
                </w:tcPr>
                <w:p w14:paraId="423C75C0">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w:t>
                  </w:r>
                  <w:r>
                    <w:rPr>
                      <w:rFonts w:ascii="Times New Roman" w:hAnsi="Times New Roman"/>
                      <w:spacing w:val="-2"/>
                      <w:sz w:val="21"/>
                      <w:szCs w:val="21"/>
                      <w:lang w:eastAsia="zh-CN"/>
                    </w:rPr>
                    <w:t>台</w:t>
                  </w:r>
                </w:p>
              </w:tc>
            </w:tr>
            <w:tr w14:paraId="335D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084" w:type="dxa"/>
                  <w:vMerge w:val="continue"/>
                  <w:tcBorders>
                    <w:top w:val="nil"/>
                    <w:bottom w:val="nil"/>
                  </w:tcBorders>
                  <w:vAlign w:val="center"/>
                </w:tcPr>
                <w:p w14:paraId="1E6F8496">
                  <w:pPr>
                    <w:pStyle w:val="20"/>
                    <w:jc w:val="center"/>
                    <w:rPr>
                      <w:rFonts w:ascii="Times New Roman" w:hAnsi="Times New Roman"/>
                      <w:spacing w:val="-2"/>
                      <w:sz w:val="21"/>
                      <w:szCs w:val="21"/>
                      <w:lang w:eastAsia="zh-CN"/>
                    </w:rPr>
                  </w:pPr>
                </w:p>
              </w:tc>
              <w:tc>
                <w:tcPr>
                  <w:tcW w:w="1982" w:type="dxa"/>
                  <w:vAlign w:val="center"/>
                </w:tcPr>
                <w:p w14:paraId="3C7BA6A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底料水泥计量系统</w:t>
                  </w:r>
                </w:p>
              </w:tc>
              <w:tc>
                <w:tcPr>
                  <w:tcW w:w="3558" w:type="dxa"/>
                  <w:vAlign w:val="center"/>
                </w:tcPr>
                <w:p w14:paraId="4F40969B">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1、水泥计量斗：350kg</w:t>
                  </w:r>
                </w:p>
                <w:p w14:paraId="3BB0CA9E">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2、计量精度：±1%</w:t>
                  </w:r>
                </w:p>
              </w:tc>
              <w:tc>
                <w:tcPr>
                  <w:tcW w:w="1319" w:type="dxa"/>
                  <w:vAlign w:val="center"/>
                </w:tcPr>
                <w:p w14:paraId="45656AA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435D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5167CB50">
                  <w:pPr>
                    <w:pStyle w:val="20"/>
                    <w:jc w:val="center"/>
                    <w:rPr>
                      <w:rFonts w:ascii="Times New Roman" w:hAnsi="Times New Roman"/>
                      <w:spacing w:val="-2"/>
                      <w:sz w:val="21"/>
                      <w:szCs w:val="21"/>
                      <w:lang w:eastAsia="zh-CN"/>
                    </w:rPr>
                  </w:pPr>
                </w:p>
              </w:tc>
              <w:tc>
                <w:tcPr>
                  <w:tcW w:w="1982" w:type="dxa"/>
                  <w:vAlign w:val="center"/>
                </w:tcPr>
                <w:p w14:paraId="1BFF1A23">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底料皮带输送机</w:t>
                  </w:r>
                </w:p>
              </w:tc>
              <w:tc>
                <w:tcPr>
                  <w:tcW w:w="3558" w:type="dxa"/>
                  <w:vAlign w:val="center"/>
                </w:tcPr>
                <w:p w14:paraId="5AE6DF4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B600</w:t>
                  </w:r>
                </w:p>
              </w:tc>
              <w:tc>
                <w:tcPr>
                  <w:tcW w:w="1319" w:type="dxa"/>
                  <w:vAlign w:val="center"/>
                </w:tcPr>
                <w:p w14:paraId="34769603">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04D3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2539D4F6">
                  <w:pPr>
                    <w:pStyle w:val="20"/>
                    <w:jc w:val="center"/>
                    <w:rPr>
                      <w:rFonts w:ascii="Times New Roman" w:hAnsi="Times New Roman"/>
                      <w:spacing w:val="-2"/>
                      <w:sz w:val="21"/>
                      <w:szCs w:val="21"/>
                      <w:lang w:eastAsia="zh-CN"/>
                    </w:rPr>
                  </w:pPr>
                </w:p>
              </w:tc>
              <w:tc>
                <w:tcPr>
                  <w:tcW w:w="1982" w:type="dxa"/>
                  <w:vAlign w:val="center"/>
                </w:tcPr>
                <w:p w14:paraId="14DE0E80">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面料水泥筒仓</w:t>
                  </w:r>
                </w:p>
              </w:tc>
              <w:tc>
                <w:tcPr>
                  <w:tcW w:w="3558" w:type="dxa"/>
                  <w:vAlign w:val="center"/>
                </w:tcPr>
                <w:p w14:paraId="1C4DBB6E">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50吨</w:t>
                  </w:r>
                </w:p>
              </w:tc>
              <w:tc>
                <w:tcPr>
                  <w:tcW w:w="1319" w:type="dxa"/>
                  <w:vAlign w:val="center"/>
                </w:tcPr>
                <w:p w14:paraId="3DE59A4A">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1个</w:t>
                  </w:r>
                </w:p>
              </w:tc>
            </w:tr>
            <w:tr w14:paraId="7D825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084" w:type="dxa"/>
                  <w:vMerge w:val="continue"/>
                  <w:tcBorders>
                    <w:top w:val="nil"/>
                    <w:bottom w:val="nil"/>
                  </w:tcBorders>
                  <w:vAlign w:val="center"/>
                </w:tcPr>
                <w:p w14:paraId="7C440FFD">
                  <w:pPr>
                    <w:pStyle w:val="20"/>
                    <w:jc w:val="center"/>
                    <w:rPr>
                      <w:rFonts w:ascii="Times New Roman" w:hAnsi="Times New Roman"/>
                      <w:spacing w:val="-2"/>
                      <w:sz w:val="21"/>
                      <w:szCs w:val="21"/>
                      <w:lang w:eastAsia="zh-CN"/>
                    </w:rPr>
                  </w:pPr>
                </w:p>
              </w:tc>
              <w:tc>
                <w:tcPr>
                  <w:tcW w:w="1982" w:type="dxa"/>
                  <w:vAlign w:val="center"/>
                </w:tcPr>
                <w:p w14:paraId="3C873B01">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面料螺旋输送机</w:t>
                  </w:r>
                </w:p>
              </w:tc>
              <w:tc>
                <w:tcPr>
                  <w:tcW w:w="3558" w:type="dxa"/>
                  <w:vAlign w:val="center"/>
                </w:tcPr>
                <w:p w14:paraId="6AA7A13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Ф168mm</w:t>
                  </w:r>
                </w:p>
              </w:tc>
              <w:tc>
                <w:tcPr>
                  <w:tcW w:w="1319" w:type="dxa"/>
                  <w:vAlign w:val="center"/>
                </w:tcPr>
                <w:p w14:paraId="58BB588D">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1条</w:t>
                  </w:r>
                </w:p>
              </w:tc>
            </w:tr>
            <w:tr w14:paraId="2525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4026539D">
                  <w:pPr>
                    <w:pStyle w:val="20"/>
                    <w:jc w:val="center"/>
                    <w:rPr>
                      <w:rFonts w:ascii="Times New Roman" w:hAnsi="Times New Roman"/>
                      <w:spacing w:val="-2"/>
                      <w:sz w:val="21"/>
                      <w:szCs w:val="21"/>
                      <w:lang w:eastAsia="zh-CN"/>
                    </w:rPr>
                  </w:pPr>
                </w:p>
              </w:tc>
              <w:tc>
                <w:tcPr>
                  <w:tcW w:w="1982" w:type="dxa"/>
                  <w:vAlign w:val="center"/>
                </w:tcPr>
                <w:p w14:paraId="10EDACCF">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面料配料机</w:t>
                  </w:r>
                </w:p>
              </w:tc>
              <w:tc>
                <w:tcPr>
                  <w:tcW w:w="3558" w:type="dxa"/>
                  <w:vAlign w:val="center"/>
                </w:tcPr>
                <w:p w14:paraId="434AA70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骨料仓：1个；每仓容量：6m³</w:t>
                  </w:r>
                </w:p>
              </w:tc>
              <w:tc>
                <w:tcPr>
                  <w:tcW w:w="1319" w:type="dxa"/>
                  <w:vAlign w:val="center"/>
                </w:tcPr>
                <w:p w14:paraId="7FB751AB">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131B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84" w:type="dxa"/>
                  <w:vMerge w:val="continue"/>
                  <w:tcBorders>
                    <w:top w:val="nil"/>
                    <w:bottom w:val="nil"/>
                  </w:tcBorders>
                  <w:vAlign w:val="center"/>
                </w:tcPr>
                <w:p w14:paraId="42B4F505">
                  <w:pPr>
                    <w:pStyle w:val="20"/>
                    <w:jc w:val="center"/>
                    <w:rPr>
                      <w:rFonts w:ascii="Times New Roman" w:hAnsi="Times New Roman"/>
                      <w:spacing w:val="-2"/>
                      <w:sz w:val="21"/>
                      <w:szCs w:val="21"/>
                      <w:lang w:eastAsia="zh-CN"/>
                    </w:rPr>
                  </w:pPr>
                </w:p>
              </w:tc>
              <w:tc>
                <w:tcPr>
                  <w:tcW w:w="1982" w:type="dxa"/>
                  <w:vAlign w:val="center"/>
                </w:tcPr>
                <w:p w14:paraId="14D7599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面料搅拌机</w:t>
                  </w:r>
                </w:p>
              </w:tc>
              <w:tc>
                <w:tcPr>
                  <w:tcW w:w="3558" w:type="dxa"/>
                  <w:vAlign w:val="center"/>
                </w:tcPr>
                <w:p w14:paraId="49479E9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JN350</w:t>
                  </w:r>
                </w:p>
              </w:tc>
              <w:tc>
                <w:tcPr>
                  <w:tcW w:w="1319" w:type="dxa"/>
                  <w:vAlign w:val="center"/>
                </w:tcPr>
                <w:p w14:paraId="4539A355">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w:t>
                  </w:r>
                  <w:r>
                    <w:rPr>
                      <w:rFonts w:ascii="Times New Roman" w:hAnsi="Times New Roman"/>
                      <w:spacing w:val="-2"/>
                      <w:sz w:val="21"/>
                      <w:szCs w:val="21"/>
                      <w:lang w:eastAsia="zh-CN"/>
                    </w:rPr>
                    <w:t>台</w:t>
                  </w:r>
                </w:p>
              </w:tc>
            </w:tr>
            <w:tr w14:paraId="7CED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84" w:type="dxa"/>
                  <w:vMerge w:val="continue"/>
                  <w:tcBorders>
                    <w:top w:val="nil"/>
                    <w:bottom w:val="nil"/>
                  </w:tcBorders>
                  <w:vAlign w:val="center"/>
                </w:tcPr>
                <w:p w14:paraId="1CAC2275">
                  <w:pPr>
                    <w:pStyle w:val="20"/>
                    <w:jc w:val="center"/>
                    <w:rPr>
                      <w:rFonts w:ascii="Times New Roman" w:hAnsi="Times New Roman"/>
                      <w:spacing w:val="-2"/>
                      <w:sz w:val="21"/>
                      <w:szCs w:val="21"/>
                      <w:lang w:eastAsia="zh-CN"/>
                    </w:rPr>
                  </w:pPr>
                </w:p>
              </w:tc>
              <w:tc>
                <w:tcPr>
                  <w:tcW w:w="1982" w:type="dxa"/>
                  <w:vAlign w:val="center"/>
                </w:tcPr>
                <w:p w14:paraId="644B2C9F">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面料水泥计量系统</w:t>
                  </w:r>
                </w:p>
              </w:tc>
              <w:tc>
                <w:tcPr>
                  <w:tcW w:w="3558" w:type="dxa"/>
                  <w:vAlign w:val="center"/>
                </w:tcPr>
                <w:p w14:paraId="43269A0D">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1、水泥计量斗：150kg</w:t>
                  </w:r>
                </w:p>
                <w:p w14:paraId="2601122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2、计量精度：±1%/</w:t>
                  </w:r>
                </w:p>
              </w:tc>
              <w:tc>
                <w:tcPr>
                  <w:tcW w:w="1319" w:type="dxa"/>
                  <w:vAlign w:val="center"/>
                </w:tcPr>
                <w:p w14:paraId="55573F5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2513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84" w:type="dxa"/>
                  <w:vMerge w:val="continue"/>
                  <w:tcBorders>
                    <w:top w:val="nil"/>
                    <w:bottom w:val="nil"/>
                  </w:tcBorders>
                  <w:vAlign w:val="center"/>
                </w:tcPr>
                <w:p w14:paraId="10144ABA">
                  <w:pPr>
                    <w:pStyle w:val="20"/>
                    <w:jc w:val="center"/>
                    <w:rPr>
                      <w:rFonts w:ascii="Times New Roman" w:hAnsi="Times New Roman"/>
                      <w:spacing w:val="-2"/>
                      <w:sz w:val="21"/>
                      <w:szCs w:val="21"/>
                      <w:lang w:eastAsia="zh-CN"/>
                    </w:rPr>
                  </w:pPr>
                </w:p>
              </w:tc>
              <w:tc>
                <w:tcPr>
                  <w:tcW w:w="1982" w:type="dxa"/>
                  <w:vAlign w:val="center"/>
                </w:tcPr>
                <w:p w14:paraId="6317D8FB">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面料皮带输送机</w:t>
                  </w:r>
                </w:p>
              </w:tc>
              <w:tc>
                <w:tcPr>
                  <w:tcW w:w="3558" w:type="dxa"/>
                  <w:vAlign w:val="center"/>
                </w:tcPr>
                <w:p w14:paraId="431D0A2F">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B500</w:t>
                  </w:r>
                </w:p>
              </w:tc>
              <w:tc>
                <w:tcPr>
                  <w:tcW w:w="1319" w:type="dxa"/>
                  <w:vAlign w:val="center"/>
                </w:tcPr>
                <w:p w14:paraId="7B60DC2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7C693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084" w:type="dxa"/>
                  <w:vMerge w:val="continue"/>
                  <w:tcBorders>
                    <w:top w:val="nil"/>
                    <w:bottom w:val="nil"/>
                  </w:tcBorders>
                  <w:vAlign w:val="center"/>
                </w:tcPr>
                <w:p w14:paraId="11E29B16">
                  <w:pPr>
                    <w:pStyle w:val="20"/>
                    <w:jc w:val="center"/>
                    <w:rPr>
                      <w:rFonts w:ascii="Times New Roman" w:hAnsi="Times New Roman"/>
                      <w:spacing w:val="-2"/>
                      <w:sz w:val="21"/>
                      <w:szCs w:val="21"/>
                      <w:lang w:eastAsia="zh-CN"/>
                    </w:rPr>
                  </w:pPr>
                </w:p>
              </w:tc>
              <w:tc>
                <w:tcPr>
                  <w:tcW w:w="1982" w:type="dxa"/>
                  <w:vAlign w:val="center"/>
                </w:tcPr>
                <w:p w14:paraId="1874E186">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QT10砌块成型机</w:t>
                  </w:r>
                </w:p>
              </w:tc>
              <w:tc>
                <w:tcPr>
                  <w:tcW w:w="3558" w:type="dxa"/>
                  <w:vAlign w:val="center"/>
                </w:tcPr>
                <w:p w14:paraId="18F1E9A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QT10</w:t>
                  </w:r>
                </w:p>
              </w:tc>
              <w:tc>
                <w:tcPr>
                  <w:tcW w:w="1319" w:type="dxa"/>
                  <w:vAlign w:val="center"/>
                </w:tcPr>
                <w:p w14:paraId="6AABF3F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3台</w:t>
                  </w:r>
                </w:p>
              </w:tc>
            </w:tr>
            <w:tr w14:paraId="110B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84" w:type="dxa"/>
                  <w:vMerge w:val="continue"/>
                  <w:tcBorders>
                    <w:top w:val="nil"/>
                    <w:bottom w:val="nil"/>
                  </w:tcBorders>
                  <w:vAlign w:val="center"/>
                </w:tcPr>
                <w:p w14:paraId="6CF9B5F1">
                  <w:pPr>
                    <w:pStyle w:val="20"/>
                    <w:jc w:val="center"/>
                    <w:rPr>
                      <w:rFonts w:ascii="Times New Roman" w:hAnsi="Times New Roman"/>
                      <w:spacing w:val="-2"/>
                      <w:sz w:val="21"/>
                      <w:szCs w:val="21"/>
                      <w:lang w:eastAsia="zh-CN"/>
                    </w:rPr>
                  </w:pPr>
                </w:p>
              </w:tc>
              <w:tc>
                <w:tcPr>
                  <w:tcW w:w="1982" w:type="dxa"/>
                  <w:vAlign w:val="center"/>
                </w:tcPr>
                <w:p w14:paraId="048A1C59">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QT10面料装置</w:t>
                  </w:r>
                </w:p>
              </w:tc>
              <w:tc>
                <w:tcPr>
                  <w:tcW w:w="3558" w:type="dxa"/>
                  <w:vAlign w:val="center"/>
                </w:tcPr>
                <w:p w14:paraId="3D93F55E">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QT10</w:t>
                  </w:r>
                </w:p>
              </w:tc>
              <w:tc>
                <w:tcPr>
                  <w:tcW w:w="1319" w:type="dxa"/>
                  <w:vAlign w:val="center"/>
                </w:tcPr>
                <w:p w14:paraId="34C7E4C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760A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084" w:type="dxa"/>
                  <w:vMerge w:val="continue"/>
                  <w:tcBorders>
                    <w:top w:val="nil"/>
                    <w:bottom w:val="nil"/>
                  </w:tcBorders>
                  <w:vAlign w:val="center"/>
                </w:tcPr>
                <w:p w14:paraId="0D6EDADD">
                  <w:pPr>
                    <w:pStyle w:val="20"/>
                    <w:jc w:val="center"/>
                    <w:rPr>
                      <w:rFonts w:ascii="Times New Roman" w:hAnsi="Times New Roman"/>
                      <w:spacing w:val="-2"/>
                      <w:sz w:val="21"/>
                      <w:szCs w:val="21"/>
                      <w:lang w:eastAsia="zh-CN"/>
                    </w:rPr>
                  </w:pPr>
                </w:p>
              </w:tc>
              <w:tc>
                <w:tcPr>
                  <w:tcW w:w="1982" w:type="dxa"/>
                  <w:vAlign w:val="center"/>
                </w:tcPr>
                <w:p w14:paraId="3B1A04F6">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叠板机</w:t>
                  </w:r>
                </w:p>
              </w:tc>
              <w:tc>
                <w:tcPr>
                  <w:tcW w:w="3558" w:type="dxa"/>
                  <w:vAlign w:val="center"/>
                </w:tcPr>
                <w:p w14:paraId="37AA32E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配QT10</w:t>
                  </w:r>
                </w:p>
              </w:tc>
              <w:tc>
                <w:tcPr>
                  <w:tcW w:w="1319" w:type="dxa"/>
                  <w:vAlign w:val="center"/>
                </w:tcPr>
                <w:p w14:paraId="3D453A8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6C13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0C517F69">
                  <w:pPr>
                    <w:pStyle w:val="20"/>
                    <w:jc w:val="center"/>
                    <w:rPr>
                      <w:rFonts w:ascii="Times New Roman" w:hAnsi="Times New Roman"/>
                      <w:spacing w:val="-2"/>
                      <w:sz w:val="21"/>
                      <w:szCs w:val="21"/>
                      <w:lang w:eastAsia="zh-CN"/>
                    </w:rPr>
                  </w:pPr>
                </w:p>
              </w:tc>
              <w:tc>
                <w:tcPr>
                  <w:tcW w:w="1982" w:type="dxa"/>
                  <w:vAlign w:val="center"/>
                </w:tcPr>
                <w:p w14:paraId="5516CF7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自动上板机</w:t>
                  </w:r>
                </w:p>
              </w:tc>
              <w:tc>
                <w:tcPr>
                  <w:tcW w:w="3558" w:type="dxa"/>
                  <w:vAlign w:val="center"/>
                </w:tcPr>
                <w:p w14:paraId="39610D69">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配QT10</w:t>
                  </w:r>
                </w:p>
              </w:tc>
              <w:tc>
                <w:tcPr>
                  <w:tcW w:w="1319" w:type="dxa"/>
                  <w:vAlign w:val="center"/>
                </w:tcPr>
                <w:p w14:paraId="73FA09FB">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33FD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084" w:type="dxa"/>
                  <w:vMerge w:val="continue"/>
                  <w:tcBorders>
                    <w:top w:val="nil"/>
                    <w:bottom w:val="nil"/>
                  </w:tcBorders>
                  <w:vAlign w:val="center"/>
                </w:tcPr>
                <w:p w14:paraId="143E53E0">
                  <w:pPr>
                    <w:pStyle w:val="20"/>
                    <w:jc w:val="center"/>
                    <w:rPr>
                      <w:rFonts w:ascii="Times New Roman" w:hAnsi="Times New Roman"/>
                      <w:spacing w:val="-2"/>
                      <w:sz w:val="21"/>
                      <w:szCs w:val="21"/>
                      <w:lang w:eastAsia="zh-CN"/>
                    </w:rPr>
                  </w:pPr>
                </w:p>
              </w:tc>
              <w:tc>
                <w:tcPr>
                  <w:tcW w:w="1982" w:type="dxa"/>
                  <w:vAlign w:val="center"/>
                </w:tcPr>
                <w:p w14:paraId="48B8607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离线推砖码垛机系统</w:t>
                  </w:r>
                </w:p>
              </w:tc>
              <w:tc>
                <w:tcPr>
                  <w:tcW w:w="3558" w:type="dxa"/>
                  <w:vAlign w:val="center"/>
                </w:tcPr>
                <w:p w14:paraId="74DF1DED">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配QT10砌块成型机生产线</w:t>
                  </w:r>
                </w:p>
              </w:tc>
              <w:tc>
                <w:tcPr>
                  <w:tcW w:w="1319" w:type="dxa"/>
                  <w:vAlign w:val="center"/>
                </w:tcPr>
                <w:p w14:paraId="74CA004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5D5E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34FBF55B">
                  <w:pPr>
                    <w:pStyle w:val="20"/>
                    <w:jc w:val="center"/>
                    <w:rPr>
                      <w:rFonts w:ascii="Times New Roman" w:hAnsi="Times New Roman"/>
                      <w:spacing w:val="-2"/>
                      <w:sz w:val="21"/>
                      <w:szCs w:val="21"/>
                      <w:lang w:eastAsia="zh-CN"/>
                    </w:rPr>
                  </w:pPr>
                </w:p>
              </w:tc>
              <w:tc>
                <w:tcPr>
                  <w:tcW w:w="1982" w:type="dxa"/>
                  <w:vAlign w:val="center"/>
                </w:tcPr>
                <w:p w14:paraId="7F445EF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控制系统</w:t>
                  </w:r>
                </w:p>
              </w:tc>
              <w:tc>
                <w:tcPr>
                  <w:tcW w:w="3558" w:type="dxa"/>
                  <w:vAlign w:val="center"/>
                </w:tcPr>
                <w:p w14:paraId="0DD7B50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配QT10砌块成型机生产线</w:t>
                  </w:r>
                </w:p>
              </w:tc>
              <w:tc>
                <w:tcPr>
                  <w:tcW w:w="1319" w:type="dxa"/>
                  <w:vAlign w:val="center"/>
                </w:tcPr>
                <w:p w14:paraId="6AE3ED3A">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1套</w:t>
                  </w:r>
                </w:p>
              </w:tc>
            </w:tr>
            <w:tr w14:paraId="10F62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084" w:type="dxa"/>
                  <w:vMerge w:val="continue"/>
                  <w:tcBorders>
                    <w:top w:val="nil"/>
                  </w:tcBorders>
                  <w:vAlign w:val="center"/>
                </w:tcPr>
                <w:p w14:paraId="71EFD227">
                  <w:pPr>
                    <w:pStyle w:val="20"/>
                    <w:jc w:val="center"/>
                    <w:rPr>
                      <w:rFonts w:ascii="Times New Roman" w:hAnsi="Times New Roman"/>
                      <w:spacing w:val="-2"/>
                      <w:sz w:val="21"/>
                      <w:szCs w:val="21"/>
                      <w:lang w:eastAsia="zh-CN"/>
                    </w:rPr>
                  </w:pPr>
                </w:p>
              </w:tc>
              <w:tc>
                <w:tcPr>
                  <w:tcW w:w="1982" w:type="dxa"/>
                  <w:vAlign w:val="center"/>
                </w:tcPr>
                <w:p w14:paraId="1B83181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气动系统</w:t>
                  </w:r>
                </w:p>
              </w:tc>
              <w:tc>
                <w:tcPr>
                  <w:tcW w:w="3558" w:type="dxa"/>
                  <w:vAlign w:val="center"/>
                </w:tcPr>
                <w:p w14:paraId="4572399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配QT10砌块成型机生产线</w:t>
                  </w:r>
                </w:p>
              </w:tc>
              <w:tc>
                <w:tcPr>
                  <w:tcW w:w="1319" w:type="dxa"/>
                  <w:vAlign w:val="center"/>
                </w:tcPr>
                <w:p w14:paraId="448B695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1套</w:t>
                  </w:r>
                </w:p>
              </w:tc>
            </w:tr>
            <w:tr w14:paraId="4056C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084" w:type="dxa"/>
                  <w:vMerge w:val="restart"/>
                  <w:tcBorders>
                    <w:bottom w:val="nil"/>
                  </w:tcBorders>
                  <w:vAlign w:val="center"/>
                </w:tcPr>
                <w:p w14:paraId="603CC3D0">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附属设施</w:t>
                  </w:r>
                </w:p>
              </w:tc>
              <w:tc>
                <w:tcPr>
                  <w:tcW w:w="1982" w:type="dxa"/>
                  <w:vAlign w:val="center"/>
                </w:tcPr>
                <w:p w14:paraId="4CBC0C81">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破碎机</w:t>
                  </w:r>
                </w:p>
              </w:tc>
              <w:tc>
                <w:tcPr>
                  <w:tcW w:w="3558" w:type="dxa"/>
                  <w:vAlign w:val="center"/>
                </w:tcPr>
                <w:p w14:paraId="02A9DF5B">
                  <w:pPr>
                    <w:pStyle w:val="20"/>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c>
                <w:tcPr>
                  <w:tcW w:w="1319" w:type="dxa"/>
                  <w:vAlign w:val="center"/>
                </w:tcPr>
                <w:p w14:paraId="5A46726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w:t>
                  </w:r>
                </w:p>
              </w:tc>
            </w:tr>
            <w:tr w14:paraId="5CCE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084" w:type="dxa"/>
                  <w:vMerge w:val="continue"/>
                  <w:tcBorders>
                    <w:top w:val="nil"/>
                    <w:bottom w:val="nil"/>
                  </w:tcBorders>
                  <w:vAlign w:val="center"/>
                </w:tcPr>
                <w:p w14:paraId="2F1BCDE3">
                  <w:pPr>
                    <w:pStyle w:val="20"/>
                    <w:jc w:val="center"/>
                    <w:rPr>
                      <w:rFonts w:ascii="Times New Roman" w:hAnsi="Times New Roman"/>
                      <w:spacing w:val="-2"/>
                      <w:sz w:val="21"/>
                      <w:szCs w:val="21"/>
                      <w:lang w:eastAsia="zh-CN"/>
                    </w:rPr>
                  </w:pPr>
                </w:p>
              </w:tc>
              <w:tc>
                <w:tcPr>
                  <w:tcW w:w="1982" w:type="dxa"/>
                  <w:vAlign w:val="center"/>
                </w:tcPr>
                <w:p w14:paraId="37631CF7">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铲车</w:t>
                  </w:r>
                </w:p>
              </w:tc>
              <w:tc>
                <w:tcPr>
                  <w:tcW w:w="3558" w:type="dxa"/>
                  <w:vAlign w:val="center"/>
                </w:tcPr>
                <w:p w14:paraId="0ED1C61C">
                  <w:pPr>
                    <w:pStyle w:val="20"/>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c>
                <w:tcPr>
                  <w:tcW w:w="1319" w:type="dxa"/>
                  <w:vAlign w:val="center"/>
                </w:tcPr>
                <w:p w14:paraId="1BF82390">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1台</w:t>
                  </w:r>
                </w:p>
              </w:tc>
            </w:tr>
            <w:tr w14:paraId="696F5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084" w:type="dxa"/>
                  <w:vMerge w:val="continue"/>
                  <w:tcBorders>
                    <w:top w:val="nil"/>
                    <w:bottom w:val="nil"/>
                  </w:tcBorders>
                  <w:vAlign w:val="center"/>
                </w:tcPr>
                <w:p w14:paraId="5DF8DE65">
                  <w:pPr>
                    <w:pStyle w:val="20"/>
                    <w:jc w:val="center"/>
                    <w:rPr>
                      <w:rFonts w:ascii="Times New Roman" w:hAnsi="Times New Roman"/>
                      <w:spacing w:val="-2"/>
                      <w:sz w:val="21"/>
                      <w:szCs w:val="21"/>
                      <w:lang w:eastAsia="zh-CN"/>
                    </w:rPr>
                  </w:pPr>
                </w:p>
              </w:tc>
              <w:tc>
                <w:tcPr>
                  <w:tcW w:w="1982" w:type="dxa"/>
                  <w:vAlign w:val="center"/>
                </w:tcPr>
                <w:p w14:paraId="4E56A12C">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叉车</w:t>
                  </w:r>
                </w:p>
              </w:tc>
              <w:tc>
                <w:tcPr>
                  <w:tcW w:w="3558" w:type="dxa"/>
                  <w:vAlign w:val="center"/>
                </w:tcPr>
                <w:p w14:paraId="5B467CED">
                  <w:pPr>
                    <w:pStyle w:val="20"/>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c>
                <w:tcPr>
                  <w:tcW w:w="1319" w:type="dxa"/>
                  <w:vAlign w:val="center"/>
                </w:tcPr>
                <w:p w14:paraId="33E2F75E">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2台</w:t>
                  </w:r>
                </w:p>
              </w:tc>
            </w:tr>
            <w:tr w14:paraId="5561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84" w:type="dxa"/>
                  <w:vMerge w:val="continue"/>
                  <w:tcBorders>
                    <w:top w:val="nil"/>
                    <w:bottom w:val="nil"/>
                  </w:tcBorders>
                  <w:vAlign w:val="center"/>
                </w:tcPr>
                <w:p w14:paraId="07950100">
                  <w:pPr>
                    <w:pStyle w:val="20"/>
                    <w:jc w:val="center"/>
                    <w:rPr>
                      <w:rFonts w:ascii="Times New Roman" w:hAnsi="Times New Roman"/>
                      <w:spacing w:val="-2"/>
                      <w:sz w:val="21"/>
                      <w:szCs w:val="21"/>
                      <w:lang w:eastAsia="zh-CN"/>
                    </w:rPr>
                  </w:pPr>
                </w:p>
              </w:tc>
              <w:tc>
                <w:tcPr>
                  <w:tcW w:w="1982" w:type="dxa"/>
                  <w:vAlign w:val="center"/>
                </w:tcPr>
                <w:p w14:paraId="4F489224">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纤维托板</w:t>
                  </w:r>
                </w:p>
              </w:tc>
              <w:tc>
                <w:tcPr>
                  <w:tcW w:w="3558" w:type="dxa"/>
                  <w:vAlign w:val="center"/>
                </w:tcPr>
                <w:p w14:paraId="2E01157A">
                  <w:pPr>
                    <w:pStyle w:val="20"/>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c>
                <w:tcPr>
                  <w:tcW w:w="1319" w:type="dxa"/>
                  <w:vAlign w:val="center"/>
                </w:tcPr>
                <w:p w14:paraId="57D747C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2000片</w:t>
                  </w:r>
                </w:p>
              </w:tc>
            </w:tr>
            <w:tr w14:paraId="3D2A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1084" w:type="dxa"/>
                  <w:vMerge w:val="continue"/>
                  <w:tcBorders>
                    <w:top w:val="nil"/>
                  </w:tcBorders>
                  <w:vAlign w:val="center"/>
                </w:tcPr>
                <w:p w14:paraId="4EA47E0F">
                  <w:pPr>
                    <w:pStyle w:val="20"/>
                    <w:jc w:val="center"/>
                    <w:rPr>
                      <w:rFonts w:ascii="Times New Roman" w:hAnsi="Times New Roman"/>
                      <w:spacing w:val="-2"/>
                      <w:sz w:val="21"/>
                      <w:szCs w:val="21"/>
                      <w:lang w:eastAsia="zh-CN"/>
                    </w:rPr>
                  </w:pPr>
                </w:p>
              </w:tc>
              <w:tc>
                <w:tcPr>
                  <w:tcW w:w="1982" w:type="dxa"/>
                  <w:vAlign w:val="center"/>
                </w:tcPr>
                <w:p w14:paraId="6990940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模具</w:t>
                  </w:r>
                </w:p>
              </w:tc>
              <w:tc>
                <w:tcPr>
                  <w:tcW w:w="3558" w:type="dxa"/>
                  <w:vAlign w:val="center"/>
                </w:tcPr>
                <w:p w14:paraId="205094BC">
                  <w:pPr>
                    <w:pStyle w:val="20"/>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w:t>
                  </w:r>
                </w:p>
              </w:tc>
              <w:tc>
                <w:tcPr>
                  <w:tcW w:w="1319" w:type="dxa"/>
                  <w:vAlign w:val="center"/>
                </w:tcPr>
                <w:p w14:paraId="72B808FB">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4套</w:t>
                  </w:r>
                </w:p>
              </w:tc>
            </w:tr>
          </w:tbl>
          <w:p w14:paraId="3B196A4F">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4、公用工程</w:t>
            </w:r>
          </w:p>
          <w:p w14:paraId="48C936F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（1）供电</w:t>
            </w:r>
          </w:p>
          <w:p w14:paraId="2FD65BCE">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本项目电源由</w:t>
            </w:r>
            <w:r>
              <w:rPr>
                <w:rFonts w:hint="eastAsia" w:ascii="Times New Roman" w:hAnsi="Times New Roman"/>
                <w:spacing w:val="-3"/>
                <w:lang w:eastAsia="zh-CN"/>
              </w:rPr>
              <w:t>乡镇</w:t>
            </w:r>
            <w:r>
              <w:rPr>
                <w:rFonts w:ascii="Times New Roman" w:hAnsi="Times New Roman"/>
                <w:spacing w:val="-3"/>
                <w:lang w:eastAsia="zh-CN"/>
              </w:rPr>
              <w:t>供电网统一供给，电力设施基础完好，能满足项目用电需求。</w:t>
            </w:r>
          </w:p>
          <w:p w14:paraId="209D418E">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（2）给排水</w:t>
            </w:r>
          </w:p>
          <w:p w14:paraId="0D3E038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本项目用水主要为生产用水、设备清洗用水、养护用水以及员工的生活用水，全部由</w:t>
            </w:r>
            <w:r>
              <w:rPr>
                <w:rFonts w:hint="eastAsia" w:ascii="Times New Roman" w:hAnsi="Times New Roman"/>
                <w:spacing w:val="-3"/>
                <w:lang w:eastAsia="zh-CN"/>
              </w:rPr>
              <w:t>乡镇</w:t>
            </w:r>
            <w:r>
              <w:rPr>
                <w:rFonts w:ascii="Times New Roman" w:hAnsi="Times New Roman"/>
                <w:spacing w:val="-3"/>
                <w:lang w:eastAsia="zh-CN"/>
              </w:rPr>
              <w:t>供水管网统一供给。</w:t>
            </w:r>
          </w:p>
          <w:p w14:paraId="4B21078A">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1）生产用水</w:t>
            </w:r>
          </w:p>
          <w:p w14:paraId="36E21AC2">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本项目生产用水环节为拌合料用水和打磨时用水。</w:t>
            </w:r>
          </w:p>
          <w:p w14:paraId="76A827E3">
            <w:pPr>
              <w:pStyle w:val="20"/>
              <w:widowControl w:val="0"/>
              <w:spacing w:line="360" w:lineRule="auto"/>
              <w:ind w:firstLine="480" w:firstLineChars="200"/>
              <w:jc w:val="both"/>
              <w:rPr>
                <w:lang w:eastAsia="zh-CN"/>
              </w:rPr>
            </w:pPr>
            <w:r>
              <w:rPr>
                <w:rFonts w:hint="eastAsia" w:cs="Times New Roman"/>
                <w:color w:val="auto"/>
                <w:lang w:eastAsia="zh-CN"/>
              </w:rPr>
              <w:t>透水砖</w:t>
            </w:r>
            <w:r>
              <w:rPr>
                <w:rFonts w:ascii="Times New Roman" w:hAnsi="Times New Roman" w:cs="Times New Roman"/>
                <w:color w:val="auto"/>
                <w:lang w:eastAsia="zh-CN"/>
              </w:rPr>
              <w:t>生产过程中，压砖机中搅拌工序需加入一定比例的水，</w:t>
            </w:r>
            <w:r>
              <w:rPr>
                <w:rFonts w:ascii="Times New Roman" w:hAnsi="Times New Roman" w:cs="Times New Roman"/>
                <w:lang w:eastAsia="zh-CN"/>
              </w:rPr>
              <w:t>生产用水量约为3.5m</w:t>
            </w:r>
            <w:r>
              <w:rPr>
                <w:rFonts w:ascii="Times New Roman" w:hAnsi="Times New Roman" w:cs="Times New Roman"/>
                <w:vertAlign w:val="superscript"/>
                <w:lang w:eastAsia="zh-CN"/>
              </w:rPr>
              <w:t>3</w:t>
            </w:r>
            <w:r>
              <w:rPr>
                <w:rFonts w:ascii="Times New Roman" w:hAnsi="Times New Roman" w:cs="Times New Roman"/>
                <w:lang w:eastAsia="zh-CN"/>
              </w:rPr>
              <w:t>/万块，项目预计年生产</w:t>
            </w:r>
            <w:r>
              <w:rPr>
                <w:rFonts w:hint="eastAsia" w:ascii="Times New Roman" w:hAnsi="Times New Roman" w:cs="Times New Roman"/>
                <w:lang w:eastAsia="zh-CN"/>
              </w:rPr>
              <w:t>200</w:t>
            </w:r>
            <w:r>
              <w:rPr>
                <w:rFonts w:ascii="Times New Roman" w:hAnsi="Times New Roman" w:cs="Times New Roman"/>
                <w:lang w:eastAsia="zh-CN"/>
              </w:rPr>
              <w:t>万块，则年用水量为</w:t>
            </w:r>
            <w:r>
              <w:rPr>
                <w:rFonts w:hint="eastAsia" w:ascii="Times New Roman" w:hAnsi="Times New Roman" w:cs="Times New Roman"/>
                <w:lang w:eastAsia="zh-CN"/>
              </w:rPr>
              <w:t>700</w:t>
            </w:r>
            <w:r>
              <w:rPr>
                <w:rFonts w:ascii="Times New Roman" w:hAnsi="Times New Roman" w:cs="Times New Roman"/>
                <w:lang w:eastAsia="zh-CN"/>
              </w:rPr>
              <w:t>m</w:t>
            </w:r>
            <w:r>
              <w:rPr>
                <w:rFonts w:ascii="Times New Roman" w:hAnsi="Times New Roman" w:cs="Times New Roman"/>
                <w:vertAlign w:val="superscript"/>
                <w:lang w:eastAsia="zh-CN"/>
              </w:rPr>
              <w:t>3</w:t>
            </w:r>
            <w:r>
              <w:rPr>
                <w:rFonts w:ascii="Times New Roman" w:hAnsi="Times New Roman" w:cs="Times New Roman"/>
                <w:lang w:eastAsia="zh-CN"/>
              </w:rPr>
              <w:t>/a（</w:t>
            </w:r>
            <w:r>
              <w:rPr>
                <w:rFonts w:hint="eastAsia" w:ascii="Times New Roman" w:hAnsi="Times New Roman" w:cs="Times New Roman"/>
                <w:color w:val="auto"/>
                <w:lang w:eastAsia="zh-CN"/>
              </w:rPr>
              <w:t>3.33</w:t>
            </w:r>
            <w:r>
              <w:rPr>
                <w:rFonts w:ascii="Times New Roman" w:hAnsi="Times New Roman" w:cs="Times New Roman"/>
                <w:color w:val="auto"/>
                <w:lang w:eastAsia="zh-CN"/>
              </w:rPr>
              <w:t>m</w:t>
            </w:r>
            <w:r>
              <w:rPr>
                <w:rFonts w:ascii="Times New Roman" w:hAnsi="Times New Roman" w:cs="Times New Roman"/>
                <w:color w:val="auto"/>
                <w:vertAlign w:val="superscript"/>
                <w:lang w:eastAsia="zh-CN"/>
              </w:rPr>
              <w:t>3</w:t>
            </w:r>
            <w:r>
              <w:rPr>
                <w:rFonts w:ascii="Times New Roman" w:hAnsi="Times New Roman" w:cs="Times New Roman"/>
                <w:color w:val="auto"/>
                <w:lang w:eastAsia="zh-CN"/>
              </w:rPr>
              <w:t>/d）。</w:t>
            </w:r>
            <w:r>
              <w:rPr>
                <w:rFonts w:hint="eastAsia"/>
                <w:lang w:eastAsia="zh-CN"/>
              </w:rPr>
              <w:t>全部进入产品，无废水产生。</w:t>
            </w:r>
          </w:p>
          <w:p w14:paraId="2162C243">
            <w:pPr>
              <w:widowControl/>
              <w:spacing w:line="360" w:lineRule="auto"/>
              <w:ind w:firstLine="480" w:firstLineChars="200"/>
              <w:jc w:val="both"/>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在养护之后经过水磨拉丝机进行打磨，拉丝机钻头进行喷水，沉淀池容积为200m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，生产前将沉淀池注入80%的净水，约160m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，此部分水全部循环使用，每天需补充新鲜水1.4m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，年用水量294m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，冬季停产时该部分水不排放，可留至次年使用。</w:t>
            </w:r>
          </w:p>
          <w:p w14:paraId="3583B26B">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综上所述生产过程中用水量共计</w:t>
            </w:r>
            <w:r>
              <w:rPr>
                <w:rFonts w:hint="eastAsia" w:ascii="Times New Roman" w:hAnsi="Times New Roman"/>
                <w:spacing w:val="-3"/>
                <w:lang w:eastAsia="zh-CN"/>
              </w:rPr>
              <w:t>1154</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/a，其中</w:t>
            </w:r>
            <w:r>
              <w:rPr>
                <w:rFonts w:hint="eastAsia" w:ascii="Times New Roman" w:hAnsi="Times New Roman"/>
                <w:spacing w:val="-3"/>
                <w:lang w:eastAsia="zh-CN"/>
              </w:rPr>
              <w:t>160</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为循环使用。</w:t>
            </w:r>
          </w:p>
          <w:p w14:paraId="6C5651DF">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2）搅拌机清洗</w:t>
            </w:r>
            <w:r>
              <w:rPr>
                <w:rFonts w:hint="eastAsia" w:ascii="Times New Roman" w:hAnsi="Times New Roman"/>
                <w:spacing w:val="-3"/>
                <w:lang w:eastAsia="zh-CN"/>
              </w:rPr>
              <w:t>、</w:t>
            </w:r>
            <w:r>
              <w:rPr>
                <w:rFonts w:hint="eastAsia" w:ascii="Times New Roman" w:hAnsi="Times New Roman"/>
                <w:spacing w:val="-3"/>
                <w:lang w:val="en-US" w:eastAsia="zh-CN"/>
              </w:rPr>
              <w:t>运输车辆清洗</w:t>
            </w:r>
            <w:r>
              <w:rPr>
                <w:rFonts w:ascii="Times New Roman" w:hAnsi="Times New Roman"/>
                <w:spacing w:val="-3"/>
                <w:lang w:eastAsia="zh-CN"/>
              </w:rPr>
              <w:t>用水</w:t>
            </w:r>
          </w:p>
          <w:p w14:paraId="49580C4A">
            <w:pPr>
              <w:pStyle w:val="20"/>
              <w:keepNext w:val="0"/>
              <w:keepLines w:val="0"/>
              <w:pageBreakBefore w:val="0"/>
              <w:widowControl w:val="0"/>
              <w:kinsoku/>
              <w:wordWrap/>
              <w:overflowPunct/>
              <w:topLinePunct w:val="0"/>
              <w:autoSpaceDE w:val="0"/>
              <w:autoSpaceDN w:val="0"/>
              <w:bidi w:val="0"/>
              <w:adjustRightInd w:val="0"/>
              <w:snapToGrid w:val="0"/>
              <w:spacing w:line="360" w:lineRule="auto"/>
              <w:ind w:firstLine="468" w:firstLineChars="200"/>
              <w:jc w:val="both"/>
              <w:textAlignment w:val="baseline"/>
              <w:rPr>
                <w:rFonts w:ascii="Times New Roman" w:hAnsi="Times New Roman"/>
                <w:spacing w:val="-3"/>
                <w:lang w:eastAsia="zh-CN"/>
              </w:rPr>
            </w:pPr>
            <w:r>
              <w:rPr>
                <w:rFonts w:ascii="Times New Roman" w:hAnsi="Times New Roman"/>
                <w:spacing w:val="-3"/>
                <w:lang w:eastAsia="zh-CN"/>
              </w:rPr>
              <w:t>根据业主提供，项目搅拌机在停止生产时需对其进行清理，采用冲击钻将设备上浆料冲掉后使用高压水枪进行冲洗，按一个月冲洗一次，每台搅拌机每次用水量约</w:t>
            </w:r>
            <w:r>
              <w:rPr>
                <w:rFonts w:hint="eastAsia" w:ascii="Times New Roman" w:hAnsi="Times New Roman"/>
                <w:spacing w:val="-3"/>
                <w:lang w:eastAsia="zh-CN"/>
              </w:rPr>
              <w:t>200</w:t>
            </w:r>
            <w:r>
              <w:rPr>
                <w:rFonts w:ascii="Times New Roman" w:hAnsi="Times New Roman"/>
                <w:spacing w:val="-3"/>
                <w:lang w:eastAsia="zh-CN"/>
              </w:rPr>
              <w:t>L，则项目冲洗水量为</w:t>
            </w:r>
            <w:r>
              <w:rPr>
                <w:rFonts w:hint="eastAsia" w:ascii="Times New Roman" w:hAnsi="Times New Roman"/>
                <w:spacing w:val="-3"/>
                <w:lang w:eastAsia="zh-CN"/>
              </w:rPr>
              <w:t>2.80</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hint="eastAsia" w:ascii="Times New Roman" w:hAnsi="Times New Roman"/>
                <w:spacing w:val="-3"/>
                <w:lang w:val="en-US" w:eastAsia="zh-CN"/>
              </w:rPr>
              <w:t>每台车辆每次清洗用水量为10L，本项目年运输约3500次，则运输车辆</w:t>
            </w:r>
            <w:r>
              <w:rPr>
                <w:rFonts w:ascii="Times New Roman" w:hAnsi="Times New Roman"/>
                <w:spacing w:val="-3"/>
                <w:lang w:eastAsia="zh-CN"/>
              </w:rPr>
              <w:t>冲洗水量为</w:t>
            </w:r>
            <w:r>
              <w:rPr>
                <w:rFonts w:hint="eastAsia" w:ascii="Times New Roman" w:hAnsi="Times New Roman"/>
                <w:spacing w:val="-3"/>
                <w:lang w:val="en-US" w:eastAsia="zh-CN"/>
              </w:rPr>
              <w:t>35</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hint="eastAsia" w:ascii="Times New Roman" w:hAnsi="Times New Roman"/>
                <w:spacing w:val="-3"/>
                <w:lang w:eastAsia="zh-CN"/>
              </w:rPr>
              <w:t>，</w:t>
            </w:r>
            <w:r>
              <w:rPr>
                <w:rFonts w:hint="eastAsia" w:ascii="Times New Roman" w:hAnsi="Times New Roman"/>
                <w:spacing w:val="-3"/>
                <w:lang w:val="en-US" w:eastAsia="zh-CN"/>
              </w:rPr>
              <w:t>清洗用水为37.8</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p>
          <w:p w14:paraId="5037D6D7">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3）养护用水</w:t>
            </w:r>
          </w:p>
          <w:p w14:paraId="76A921DE">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本项目生产的砖采用自然养护的方式，需定时洒水，根据业主提供，每天需洒水3次，养护用水量为0.8m</w:t>
            </w:r>
            <w:r>
              <w:rPr>
                <w:rFonts w:hint="eastAsia" w:ascii="Times New Roman" w:hAnsi="Times New Roman"/>
                <w:spacing w:val="-3"/>
                <w:vertAlign w:val="superscript"/>
                <w:lang w:eastAsia="zh-CN"/>
              </w:rPr>
              <w:t>3</w:t>
            </w:r>
            <w:r>
              <w:rPr>
                <w:rFonts w:ascii="Times New Roman" w:hAnsi="Times New Roman"/>
                <w:spacing w:val="-3"/>
                <w:lang w:eastAsia="zh-CN"/>
              </w:rPr>
              <w:t>/d。则本项目养护用水共计</w:t>
            </w:r>
            <w:r>
              <w:rPr>
                <w:rFonts w:hint="eastAsia" w:ascii="Times New Roman" w:hAnsi="Times New Roman"/>
                <w:spacing w:val="-3"/>
                <w:lang w:eastAsia="zh-CN"/>
              </w:rPr>
              <w:t>168</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/a，该部分水全部在使用过程中损耗，无废水产生。</w:t>
            </w:r>
          </w:p>
          <w:p w14:paraId="225098DC">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4）生活用水</w:t>
            </w:r>
          </w:p>
          <w:p w14:paraId="0FF26D27">
            <w:pPr>
              <w:pStyle w:val="20"/>
              <w:widowControl w:val="0"/>
              <w:spacing w:line="360" w:lineRule="auto"/>
              <w:ind w:firstLine="468" w:firstLineChars="200"/>
              <w:jc w:val="both"/>
              <w:rPr>
                <w:rFonts w:ascii="Times New Roman" w:hAnsi="Times New Roman"/>
                <w:color w:val="auto"/>
                <w:spacing w:val="-3"/>
                <w:lang w:eastAsia="zh-CN"/>
              </w:rPr>
            </w:pPr>
            <w:r>
              <w:rPr>
                <w:rFonts w:ascii="Times New Roman" w:hAnsi="Times New Roman"/>
                <w:spacing w:val="-3"/>
                <w:lang w:eastAsia="zh-CN"/>
              </w:rPr>
              <w:t>本项目劳动定员为15人，生活用水量按每人每天100L计算。本项目生活用水量为</w:t>
            </w:r>
            <w:r>
              <w:rPr>
                <w:rFonts w:hint="eastAsia" w:ascii="Times New Roman" w:hAnsi="Times New Roman"/>
                <w:spacing w:val="-3"/>
                <w:lang w:eastAsia="zh-CN"/>
              </w:rPr>
              <w:t>315</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/a，废水的排放量按用水量的80%计算，则本项目生活污水排放量为</w:t>
            </w:r>
            <w:r>
              <w:rPr>
                <w:rFonts w:hint="eastAsia" w:ascii="Times New Roman" w:hAnsi="Times New Roman"/>
                <w:spacing w:val="-3"/>
                <w:lang w:eastAsia="zh-CN"/>
              </w:rPr>
              <w:t>252</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ascii="Times New Roman" w:hAnsi="Times New Roman"/>
                <w:color w:val="auto"/>
                <w:spacing w:val="-3"/>
                <w:lang w:eastAsia="zh-CN"/>
              </w:rPr>
              <w:t>，</w:t>
            </w:r>
            <w:r>
              <w:rPr>
                <w:rFonts w:hint="eastAsia"/>
                <w:color w:val="auto"/>
              </w:rPr>
              <w:t>生活污水排入农村污水管网，最终进入庆阳污水处理站处理</w:t>
            </w:r>
            <w:r>
              <w:rPr>
                <w:rFonts w:ascii="Times New Roman" w:hAnsi="Times New Roman"/>
                <w:color w:val="auto"/>
                <w:spacing w:val="-3"/>
                <w:lang w:eastAsia="zh-CN"/>
              </w:rPr>
              <w:t>。</w:t>
            </w:r>
          </w:p>
          <w:p w14:paraId="04BA693C">
            <w:pPr>
              <w:pStyle w:val="20"/>
              <w:widowControl w:val="0"/>
              <w:spacing w:line="360" w:lineRule="auto"/>
              <w:ind w:firstLine="468" w:firstLineChars="200"/>
              <w:jc w:val="both"/>
              <w:rPr>
                <w:rFonts w:ascii="Times New Roman" w:hAnsi="Times New Roman"/>
                <w:color w:val="auto"/>
                <w:spacing w:val="-3"/>
                <w:lang w:eastAsia="zh-CN"/>
              </w:rPr>
            </w:pPr>
            <w:r>
              <w:rPr>
                <w:rFonts w:ascii="Times New Roman" w:hAnsi="Times New Roman"/>
                <w:color w:val="auto"/>
                <w:spacing w:val="-3"/>
                <w:lang w:eastAsia="zh-CN"/>
              </w:rPr>
              <w:t>本项目生产过程中搅拌机清洗</w:t>
            </w:r>
            <w:r>
              <w:rPr>
                <w:rFonts w:hint="eastAsia" w:ascii="Times New Roman" w:hAnsi="Times New Roman"/>
                <w:color w:val="auto"/>
                <w:spacing w:val="-3"/>
                <w:lang w:eastAsia="zh-CN"/>
              </w:rPr>
              <w:t>、</w:t>
            </w:r>
            <w:r>
              <w:rPr>
                <w:rFonts w:hint="eastAsia" w:ascii="Times New Roman" w:hAnsi="Times New Roman"/>
                <w:color w:val="auto"/>
                <w:spacing w:val="-3"/>
                <w:lang w:val="en-US" w:eastAsia="zh-CN"/>
              </w:rPr>
              <w:t>运输车辆清洗</w:t>
            </w:r>
            <w:r>
              <w:rPr>
                <w:rFonts w:ascii="Times New Roman" w:hAnsi="Times New Roman"/>
                <w:color w:val="auto"/>
                <w:spacing w:val="-3"/>
                <w:lang w:eastAsia="zh-CN"/>
              </w:rPr>
              <w:t>用水量很少，全部用泥浆泵抽取回用于生产，自然养护水全部自然蒸发及损耗，无生产废水产生。废水主要为员工生活污水，</w:t>
            </w:r>
            <w:r>
              <w:rPr>
                <w:rFonts w:hint="eastAsia"/>
                <w:color w:val="auto"/>
              </w:rPr>
              <w:t>生活污水排入农村污水管网，最终进入庆阳污水处理站处理</w:t>
            </w:r>
            <w:r>
              <w:rPr>
                <w:rFonts w:ascii="Times New Roman" w:hAnsi="Times New Roman"/>
                <w:color w:val="auto"/>
                <w:spacing w:val="-3"/>
                <w:lang w:eastAsia="zh-CN"/>
              </w:rPr>
              <w:t>。</w:t>
            </w:r>
          </w:p>
          <w:p w14:paraId="44AED14E">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表2-6项目用水及排水量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364"/>
              <w:gridCol w:w="1373"/>
              <w:gridCol w:w="1366"/>
              <w:gridCol w:w="1370"/>
              <w:gridCol w:w="1371"/>
            </w:tblGrid>
            <w:tr w14:paraId="27FF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center"/>
                </w:tcPr>
                <w:p w14:paraId="0D3A6DA3">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项目</w:t>
                  </w:r>
                </w:p>
              </w:tc>
              <w:tc>
                <w:tcPr>
                  <w:tcW w:w="1364" w:type="dxa"/>
                  <w:vAlign w:val="center"/>
                </w:tcPr>
                <w:p w14:paraId="7EDDD0F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类型</w:t>
                  </w:r>
                </w:p>
              </w:tc>
              <w:tc>
                <w:tcPr>
                  <w:tcW w:w="1373" w:type="dxa"/>
                  <w:vAlign w:val="center"/>
                </w:tcPr>
                <w:p w14:paraId="3B978B59">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用水标准</w:t>
                  </w:r>
                </w:p>
              </w:tc>
              <w:tc>
                <w:tcPr>
                  <w:tcW w:w="1366" w:type="dxa"/>
                  <w:vAlign w:val="center"/>
                </w:tcPr>
                <w:p w14:paraId="7FE1C741">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数量规模</w:t>
                  </w:r>
                </w:p>
              </w:tc>
              <w:tc>
                <w:tcPr>
                  <w:tcW w:w="1370" w:type="dxa"/>
                  <w:vAlign w:val="center"/>
                </w:tcPr>
                <w:p w14:paraId="54C195A1">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新鲜水用量（t/a）</w:t>
                  </w:r>
                </w:p>
              </w:tc>
              <w:tc>
                <w:tcPr>
                  <w:tcW w:w="1371" w:type="dxa"/>
                  <w:vAlign w:val="center"/>
                </w:tcPr>
                <w:p w14:paraId="0BE9DB03">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排水量（t/a）</w:t>
                  </w:r>
                </w:p>
              </w:tc>
            </w:tr>
            <w:tr w14:paraId="1989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restart"/>
                  <w:vAlign w:val="center"/>
                </w:tcPr>
                <w:p w14:paraId="349CA308">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生产用水</w:t>
                  </w:r>
                </w:p>
              </w:tc>
              <w:tc>
                <w:tcPr>
                  <w:tcW w:w="1364" w:type="dxa"/>
                  <w:vAlign w:val="center"/>
                </w:tcPr>
                <w:p w14:paraId="0FD2DED4">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搅拌用水</w:t>
                  </w:r>
                </w:p>
              </w:tc>
              <w:tc>
                <w:tcPr>
                  <w:tcW w:w="1373" w:type="dxa"/>
                  <w:vAlign w:val="center"/>
                </w:tcPr>
                <w:p w14:paraId="72248F24">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3.5</w:t>
                  </w:r>
                  <w:r>
                    <w:rPr>
                      <w:rFonts w:ascii="Times New Roman" w:hAnsi="Times New Roman"/>
                      <w:spacing w:val="-2"/>
                      <w:sz w:val="21"/>
                      <w:szCs w:val="21"/>
                      <w:lang w:eastAsia="zh-CN"/>
                    </w:rPr>
                    <w:t>m</w:t>
                  </w:r>
                  <w:r>
                    <w:rPr>
                      <w:rFonts w:ascii="Times New Roman" w:hAnsi="Times New Roman"/>
                      <w:spacing w:val="-2"/>
                      <w:sz w:val="21"/>
                      <w:szCs w:val="21"/>
                      <w:vertAlign w:val="superscript"/>
                      <w:lang w:eastAsia="zh-CN"/>
                    </w:rPr>
                    <w:t>3</w:t>
                  </w:r>
                  <w:r>
                    <w:rPr>
                      <w:rFonts w:ascii="Times New Roman" w:hAnsi="Times New Roman"/>
                      <w:spacing w:val="-2"/>
                      <w:sz w:val="21"/>
                      <w:szCs w:val="21"/>
                      <w:lang w:eastAsia="zh-CN"/>
                    </w:rPr>
                    <w:t>/万块</w:t>
                  </w:r>
                </w:p>
              </w:tc>
              <w:tc>
                <w:tcPr>
                  <w:tcW w:w="1366" w:type="dxa"/>
                  <w:vAlign w:val="center"/>
                </w:tcPr>
                <w:p w14:paraId="7090A49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200万</w:t>
                  </w:r>
                </w:p>
              </w:tc>
              <w:tc>
                <w:tcPr>
                  <w:tcW w:w="1370" w:type="dxa"/>
                  <w:vAlign w:val="center"/>
                </w:tcPr>
                <w:p w14:paraId="5B27D6AD">
                  <w:pPr>
                    <w:pStyle w:val="20"/>
                    <w:widowControl/>
                    <w:jc w:val="center"/>
                    <w:rPr>
                      <w:rFonts w:ascii="Times New Roman" w:hAnsi="Times New Roman"/>
                      <w:spacing w:val="-2"/>
                      <w:sz w:val="21"/>
                      <w:szCs w:val="21"/>
                      <w:lang w:eastAsia="zh-CN"/>
                    </w:rPr>
                  </w:pPr>
                  <w:r>
                    <w:rPr>
                      <w:rFonts w:hint="eastAsia" w:ascii="Times New Roman" w:hAnsi="Times New Roman" w:cs="Times New Roman"/>
                      <w:sz w:val="21"/>
                      <w:szCs w:val="21"/>
                      <w:lang w:eastAsia="zh-CN"/>
                    </w:rPr>
                    <w:t>700</w:t>
                  </w:r>
                </w:p>
              </w:tc>
              <w:tc>
                <w:tcPr>
                  <w:tcW w:w="1371" w:type="dxa"/>
                  <w:vAlign w:val="center"/>
                </w:tcPr>
                <w:p w14:paraId="4BBA9B0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0</w:t>
                  </w:r>
                </w:p>
              </w:tc>
            </w:tr>
            <w:tr w14:paraId="117D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continue"/>
                  <w:vAlign w:val="center"/>
                </w:tcPr>
                <w:p w14:paraId="7CA690D7">
                  <w:pPr>
                    <w:pStyle w:val="20"/>
                    <w:widowControl/>
                    <w:jc w:val="center"/>
                    <w:rPr>
                      <w:rFonts w:ascii="Times New Roman" w:hAnsi="Times New Roman"/>
                      <w:spacing w:val="-2"/>
                      <w:sz w:val="21"/>
                      <w:szCs w:val="21"/>
                      <w:lang w:eastAsia="zh-CN"/>
                    </w:rPr>
                  </w:pPr>
                </w:p>
              </w:tc>
              <w:tc>
                <w:tcPr>
                  <w:tcW w:w="1364" w:type="dxa"/>
                  <w:vAlign w:val="center"/>
                </w:tcPr>
                <w:p w14:paraId="7D1A1F75">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打磨用水</w:t>
                  </w:r>
                </w:p>
              </w:tc>
              <w:tc>
                <w:tcPr>
                  <w:tcW w:w="1373" w:type="dxa"/>
                  <w:vAlign w:val="center"/>
                </w:tcPr>
                <w:p w14:paraId="22BEB80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1.4</w:t>
                  </w:r>
                  <w:r>
                    <w:rPr>
                      <w:rFonts w:ascii="Times New Roman" w:hAnsi="Times New Roman"/>
                      <w:spacing w:val="-2"/>
                      <w:sz w:val="21"/>
                      <w:szCs w:val="21"/>
                      <w:lang w:eastAsia="zh-CN"/>
                    </w:rPr>
                    <w:t>m</w:t>
                  </w:r>
                  <w:r>
                    <w:rPr>
                      <w:rFonts w:ascii="Times New Roman" w:hAnsi="Times New Roman"/>
                      <w:spacing w:val="-2"/>
                      <w:sz w:val="21"/>
                      <w:szCs w:val="21"/>
                      <w:vertAlign w:val="superscript"/>
                      <w:lang w:eastAsia="zh-CN"/>
                    </w:rPr>
                    <w:t>3</w:t>
                  </w:r>
                  <w:r>
                    <w:rPr>
                      <w:rFonts w:ascii="Times New Roman" w:hAnsi="Times New Roman"/>
                      <w:spacing w:val="-2"/>
                      <w:sz w:val="21"/>
                      <w:szCs w:val="21"/>
                      <w:lang w:eastAsia="zh-CN"/>
                    </w:rPr>
                    <w:t>/</w:t>
                  </w:r>
                  <w:r>
                    <w:rPr>
                      <w:rFonts w:hint="eastAsia" w:ascii="Times New Roman" w:hAnsi="Times New Roman"/>
                      <w:spacing w:val="-2"/>
                      <w:sz w:val="21"/>
                      <w:szCs w:val="21"/>
                      <w:lang w:eastAsia="zh-CN"/>
                    </w:rPr>
                    <w:t>d</w:t>
                  </w:r>
                </w:p>
              </w:tc>
              <w:tc>
                <w:tcPr>
                  <w:tcW w:w="1366" w:type="dxa"/>
                  <w:vAlign w:val="center"/>
                </w:tcPr>
                <w:p w14:paraId="345FE810">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210</w:t>
                  </w:r>
                  <w:r>
                    <w:rPr>
                      <w:rFonts w:hint="eastAsia" w:ascii="Times New Roman" w:hAnsi="Times New Roman"/>
                      <w:spacing w:val="-2"/>
                      <w:sz w:val="21"/>
                      <w:szCs w:val="21"/>
                      <w:lang w:eastAsia="zh-CN"/>
                    </w:rPr>
                    <w:t>天</w:t>
                  </w:r>
                </w:p>
              </w:tc>
              <w:tc>
                <w:tcPr>
                  <w:tcW w:w="1370" w:type="dxa"/>
                  <w:vAlign w:val="center"/>
                </w:tcPr>
                <w:p w14:paraId="17DD32C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294</w:t>
                  </w:r>
                </w:p>
              </w:tc>
              <w:tc>
                <w:tcPr>
                  <w:tcW w:w="1371" w:type="dxa"/>
                  <w:vAlign w:val="center"/>
                </w:tcPr>
                <w:p w14:paraId="1349AAA8">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0</w:t>
                  </w:r>
                </w:p>
              </w:tc>
            </w:tr>
            <w:tr w14:paraId="0E9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center"/>
                </w:tcPr>
                <w:p w14:paraId="4791BE73">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搅拌机清洗</w:t>
                  </w:r>
                  <w:r>
                    <w:rPr>
                      <w:rFonts w:hint="eastAsia" w:ascii="Times New Roman" w:hAnsi="Times New Roman"/>
                      <w:spacing w:val="-2"/>
                      <w:sz w:val="21"/>
                      <w:szCs w:val="21"/>
                      <w:lang w:eastAsia="zh-CN"/>
                    </w:rPr>
                    <w:t>、</w:t>
                  </w:r>
                  <w:r>
                    <w:rPr>
                      <w:rFonts w:hint="eastAsia" w:ascii="Times New Roman" w:hAnsi="Times New Roman"/>
                      <w:spacing w:val="-2"/>
                      <w:sz w:val="21"/>
                      <w:szCs w:val="21"/>
                      <w:lang w:val="en-US" w:eastAsia="zh-CN"/>
                    </w:rPr>
                    <w:t>运输车辆清洗</w:t>
                  </w:r>
                  <w:r>
                    <w:rPr>
                      <w:rFonts w:ascii="Times New Roman" w:hAnsi="Times New Roman"/>
                      <w:spacing w:val="-2"/>
                      <w:sz w:val="21"/>
                      <w:szCs w:val="21"/>
                      <w:lang w:eastAsia="zh-CN"/>
                    </w:rPr>
                    <w:t>用水</w:t>
                  </w:r>
                </w:p>
              </w:tc>
              <w:tc>
                <w:tcPr>
                  <w:tcW w:w="1364" w:type="dxa"/>
                  <w:vAlign w:val="center"/>
                </w:tcPr>
                <w:p w14:paraId="477D42F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清洗水</w:t>
                  </w:r>
                </w:p>
              </w:tc>
              <w:tc>
                <w:tcPr>
                  <w:tcW w:w="1373" w:type="dxa"/>
                  <w:vAlign w:val="center"/>
                </w:tcPr>
                <w:p w14:paraId="0B732F9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200</w:t>
                  </w:r>
                  <w:r>
                    <w:rPr>
                      <w:rFonts w:ascii="Times New Roman" w:hAnsi="Times New Roman"/>
                      <w:spacing w:val="-2"/>
                      <w:sz w:val="21"/>
                      <w:szCs w:val="21"/>
                      <w:lang w:eastAsia="zh-CN"/>
                    </w:rPr>
                    <w:t>L/月·台</w:t>
                  </w:r>
                </w:p>
                <w:p w14:paraId="0CD5FE34">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10L/次</w:t>
                  </w:r>
                </w:p>
              </w:tc>
              <w:tc>
                <w:tcPr>
                  <w:tcW w:w="1366" w:type="dxa"/>
                  <w:vAlign w:val="center"/>
                </w:tcPr>
                <w:p w14:paraId="50C5FA6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w:t>
                  </w:r>
                  <w:r>
                    <w:rPr>
                      <w:rFonts w:ascii="Times New Roman" w:hAnsi="Times New Roman"/>
                      <w:spacing w:val="-2"/>
                      <w:sz w:val="21"/>
                      <w:szCs w:val="21"/>
                      <w:lang w:eastAsia="zh-CN"/>
                    </w:rPr>
                    <w:t>台</w:t>
                  </w:r>
                </w:p>
                <w:p w14:paraId="30B172D2">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3500次</w:t>
                  </w:r>
                </w:p>
              </w:tc>
              <w:tc>
                <w:tcPr>
                  <w:tcW w:w="1370" w:type="dxa"/>
                  <w:vAlign w:val="center"/>
                </w:tcPr>
                <w:p w14:paraId="4D5E8F42">
                  <w:pPr>
                    <w:pStyle w:val="20"/>
                    <w:widowControl/>
                    <w:jc w:val="center"/>
                    <w:rPr>
                      <w:rFonts w:hint="eastAsia" w:ascii="Times New Roman" w:hAnsi="Times New Roman"/>
                      <w:spacing w:val="-2"/>
                      <w:sz w:val="21"/>
                      <w:szCs w:val="21"/>
                      <w:lang w:eastAsia="zh-CN"/>
                    </w:rPr>
                  </w:pPr>
                  <w:r>
                    <w:rPr>
                      <w:rFonts w:hint="eastAsia" w:ascii="Times New Roman" w:hAnsi="Times New Roman"/>
                      <w:spacing w:val="-2"/>
                      <w:sz w:val="21"/>
                      <w:szCs w:val="21"/>
                      <w:lang w:eastAsia="zh-CN"/>
                    </w:rPr>
                    <w:t>2.8</w:t>
                  </w:r>
                </w:p>
                <w:p w14:paraId="192C9E6D">
                  <w:pPr>
                    <w:pStyle w:val="20"/>
                    <w:widowControl/>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val="en-US" w:eastAsia="zh-CN"/>
                    </w:rPr>
                    <w:t>35</w:t>
                  </w:r>
                </w:p>
              </w:tc>
              <w:tc>
                <w:tcPr>
                  <w:tcW w:w="1371" w:type="dxa"/>
                  <w:vAlign w:val="center"/>
                </w:tcPr>
                <w:p w14:paraId="18C26198">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0</w:t>
                  </w:r>
                </w:p>
              </w:tc>
            </w:tr>
            <w:tr w14:paraId="4AC9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center"/>
                </w:tcPr>
                <w:p w14:paraId="041714AB">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养护用水</w:t>
                  </w:r>
                </w:p>
              </w:tc>
              <w:tc>
                <w:tcPr>
                  <w:tcW w:w="1364" w:type="dxa"/>
                  <w:vAlign w:val="center"/>
                </w:tcPr>
                <w:p w14:paraId="1FD0466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自然养护用水</w:t>
                  </w:r>
                </w:p>
              </w:tc>
              <w:tc>
                <w:tcPr>
                  <w:tcW w:w="1373" w:type="dxa"/>
                  <w:vAlign w:val="center"/>
                </w:tcPr>
                <w:p w14:paraId="3D1D71C6">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0.8m</w:t>
                  </w:r>
                  <w:r>
                    <w:rPr>
                      <w:rFonts w:ascii="Times New Roman" w:hAnsi="Times New Roman"/>
                      <w:spacing w:val="-2"/>
                      <w:sz w:val="21"/>
                      <w:szCs w:val="21"/>
                      <w:vertAlign w:val="superscript"/>
                      <w:lang w:eastAsia="zh-CN"/>
                    </w:rPr>
                    <w:t>3</w:t>
                  </w:r>
                  <w:r>
                    <w:rPr>
                      <w:rFonts w:ascii="Times New Roman" w:hAnsi="Times New Roman"/>
                      <w:spacing w:val="-2"/>
                      <w:sz w:val="21"/>
                      <w:szCs w:val="21"/>
                      <w:lang w:eastAsia="zh-CN"/>
                    </w:rPr>
                    <w:t>/d</w:t>
                  </w:r>
                </w:p>
              </w:tc>
              <w:tc>
                <w:tcPr>
                  <w:tcW w:w="1366" w:type="dxa"/>
                  <w:vAlign w:val="center"/>
                </w:tcPr>
                <w:p w14:paraId="1F6FE237">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210天</w:t>
                  </w:r>
                </w:p>
              </w:tc>
              <w:tc>
                <w:tcPr>
                  <w:tcW w:w="1370" w:type="dxa"/>
                  <w:vAlign w:val="center"/>
                </w:tcPr>
                <w:p w14:paraId="448215B8">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168</w:t>
                  </w:r>
                </w:p>
              </w:tc>
              <w:tc>
                <w:tcPr>
                  <w:tcW w:w="1371" w:type="dxa"/>
                  <w:vAlign w:val="center"/>
                </w:tcPr>
                <w:p w14:paraId="0768D194">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0</w:t>
                  </w:r>
                </w:p>
              </w:tc>
            </w:tr>
            <w:tr w14:paraId="65C9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center"/>
                </w:tcPr>
                <w:p w14:paraId="39258F58">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生活用水</w:t>
                  </w:r>
                </w:p>
              </w:tc>
              <w:tc>
                <w:tcPr>
                  <w:tcW w:w="1364" w:type="dxa"/>
                  <w:vAlign w:val="center"/>
                </w:tcPr>
                <w:p w14:paraId="6D7304F9">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员工生活用水</w:t>
                  </w:r>
                </w:p>
              </w:tc>
              <w:tc>
                <w:tcPr>
                  <w:tcW w:w="1373" w:type="dxa"/>
                  <w:vAlign w:val="center"/>
                </w:tcPr>
                <w:p w14:paraId="6B90EF2D">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100L/人·d</w:t>
                  </w:r>
                </w:p>
              </w:tc>
              <w:tc>
                <w:tcPr>
                  <w:tcW w:w="1366" w:type="dxa"/>
                  <w:vAlign w:val="center"/>
                </w:tcPr>
                <w:p w14:paraId="32EFA76F">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15人</w:t>
                  </w:r>
                </w:p>
              </w:tc>
              <w:tc>
                <w:tcPr>
                  <w:tcW w:w="1370" w:type="dxa"/>
                  <w:vAlign w:val="center"/>
                </w:tcPr>
                <w:p w14:paraId="522BBB6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315</w:t>
                  </w:r>
                </w:p>
              </w:tc>
              <w:tc>
                <w:tcPr>
                  <w:tcW w:w="1371" w:type="dxa"/>
                  <w:vAlign w:val="center"/>
                </w:tcPr>
                <w:p w14:paraId="550914D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252</w:t>
                  </w:r>
                </w:p>
              </w:tc>
            </w:tr>
            <w:tr w14:paraId="1D4A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7" w:type="dxa"/>
                  <w:gridSpan w:val="4"/>
                  <w:vAlign w:val="center"/>
                </w:tcPr>
                <w:p w14:paraId="6CA43392">
                  <w:pPr>
                    <w:pStyle w:val="20"/>
                    <w:widowControl/>
                    <w:jc w:val="center"/>
                    <w:rPr>
                      <w:rFonts w:ascii="Times New Roman" w:hAnsi="Times New Roman"/>
                      <w:spacing w:val="-2"/>
                      <w:sz w:val="21"/>
                      <w:szCs w:val="21"/>
                      <w:lang w:eastAsia="zh-CN"/>
                    </w:rPr>
                  </w:pPr>
                  <w:r>
                    <w:rPr>
                      <w:rFonts w:ascii="Times New Roman" w:hAnsi="Times New Roman"/>
                      <w:spacing w:val="-2"/>
                      <w:sz w:val="21"/>
                      <w:szCs w:val="21"/>
                      <w:lang w:eastAsia="zh-CN"/>
                    </w:rPr>
                    <w:t>合计</w:t>
                  </w:r>
                </w:p>
              </w:tc>
              <w:tc>
                <w:tcPr>
                  <w:tcW w:w="1370" w:type="dxa"/>
                  <w:vAlign w:val="center"/>
                </w:tcPr>
                <w:p w14:paraId="39DDA48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1</w:t>
                  </w:r>
                  <w:r>
                    <w:rPr>
                      <w:rFonts w:hint="eastAsia" w:ascii="Times New Roman" w:hAnsi="Times New Roman"/>
                      <w:spacing w:val="-2"/>
                      <w:sz w:val="21"/>
                      <w:szCs w:val="21"/>
                      <w:lang w:val="en-US" w:eastAsia="zh-CN"/>
                    </w:rPr>
                    <w:t>514</w:t>
                  </w:r>
                  <w:r>
                    <w:rPr>
                      <w:rFonts w:hint="eastAsia" w:ascii="Times New Roman" w:hAnsi="Times New Roman"/>
                      <w:spacing w:val="-2"/>
                      <w:sz w:val="21"/>
                      <w:szCs w:val="21"/>
                      <w:lang w:eastAsia="zh-CN"/>
                    </w:rPr>
                    <w:t>.8</w:t>
                  </w:r>
                </w:p>
              </w:tc>
              <w:tc>
                <w:tcPr>
                  <w:tcW w:w="1371" w:type="dxa"/>
                  <w:vAlign w:val="center"/>
                </w:tcPr>
                <w:p w14:paraId="4D4155AB">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252</w:t>
                  </w:r>
                </w:p>
              </w:tc>
            </w:tr>
          </w:tbl>
          <w:p w14:paraId="23F39D34">
            <w:pPr>
              <w:pStyle w:val="20"/>
              <w:widowControl w:val="0"/>
              <w:spacing w:before="207" w:line="234" w:lineRule="auto"/>
              <w:jc w:val="center"/>
            </w:pPr>
            <w:r>
              <w:drawing>
                <wp:inline distT="0" distB="0" distL="114300" distR="114300">
                  <wp:extent cx="3085465" cy="2567940"/>
                  <wp:effectExtent l="0" t="0" r="0" b="0"/>
                  <wp:docPr id="1" name="ECB019B1-382A-4266-B25C-5B523AA43C14-1" descr="C:/Users/86186/AppData/Local/Temp/wps.beQTd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86186/AppData/Local/Temp/wps.beQTdewps"/>
                          <pic:cNvPicPr>
                            <a:picLocks noChangeAspect="1"/>
                          </pic:cNvPicPr>
                        </pic:nvPicPr>
                        <pic:blipFill>
                          <a:blip r:embed="rId18"/>
                          <a:stretch>
                            <a:fillRect/>
                          </a:stretch>
                        </pic:blipFill>
                        <pic:spPr>
                          <a:xfrm>
                            <a:off x="0" y="0"/>
                            <a:ext cx="3085465" cy="2567940"/>
                          </a:xfrm>
                          <a:prstGeom prst="rect">
                            <a:avLst/>
                          </a:prstGeom>
                        </pic:spPr>
                      </pic:pic>
                    </a:graphicData>
                  </a:graphic>
                </wp:inline>
              </w:drawing>
            </w:r>
          </w:p>
          <w:p w14:paraId="348CA5B1">
            <w:pPr>
              <w:pStyle w:val="20"/>
              <w:widowControl w:val="0"/>
              <w:spacing w:before="207" w:line="234" w:lineRule="auto"/>
              <w:jc w:val="center"/>
              <w:rPr>
                <w:sz w:val="21"/>
                <w:szCs w:val="21"/>
                <w:lang w:eastAsia="zh-CN"/>
              </w:rPr>
            </w:pPr>
            <w:r>
              <w:rPr>
                <w:b/>
                <w:bCs/>
                <w:spacing w:val="-3"/>
                <w:sz w:val="21"/>
                <w:szCs w:val="21"/>
                <w:lang w:eastAsia="zh-CN"/>
              </w:rPr>
              <w:t>图</w:t>
            </w:r>
            <w:r>
              <w:rPr>
                <w:rFonts w:ascii="Times New Roman" w:hAnsi="Times New Roman" w:eastAsia="Times New Roman" w:cs="Times New Roman"/>
                <w:b/>
                <w:bCs/>
                <w:spacing w:val="-3"/>
                <w:sz w:val="21"/>
                <w:szCs w:val="21"/>
                <w:lang w:eastAsia="zh-CN"/>
              </w:rPr>
              <w:t>7</w:t>
            </w:r>
            <w:r>
              <w:rPr>
                <w:b/>
                <w:bCs/>
                <w:spacing w:val="-3"/>
                <w:sz w:val="21"/>
                <w:szCs w:val="21"/>
                <w:lang w:eastAsia="zh-CN"/>
              </w:rPr>
              <w:t>项目水平衡图（单位：</w:t>
            </w:r>
            <w:r>
              <w:rPr>
                <w:rFonts w:ascii="Times New Roman" w:hAnsi="Times New Roman" w:eastAsia="Times New Roman" w:cs="Times New Roman"/>
                <w:b/>
                <w:bCs/>
                <w:spacing w:val="-3"/>
                <w:sz w:val="21"/>
                <w:szCs w:val="21"/>
                <w:lang w:eastAsia="zh-CN"/>
              </w:rPr>
              <w:t>m</w:t>
            </w:r>
            <w:r>
              <w:rPr>
                <w:rFonts w:ascii="Times New Roman" w:hAnsi="Times New Roman" w:eastAsia="Times New Roman" w:cs="Times New Roman"/>
                <w:b/>
                <w:bCs/>
                <w:spacing w:val="-3"/>
                <w:position w:val="6"/>
                <w:sz w:val="13"/>
                <w:szCs w:val="13"/>
                <w:lang w:eastAsia="zh-CN"/>
              </w:rPr>
              <w:t>3</w:t>
            </w:r>
            <w:r>
              <w:rPr>
                <w:rFonts w:ascii="Times New Roman" w:hAnsi="Times New Roman" w:eastAsia="Times New Roman" w:cs="Times New Roman"/>
                <w:b/>
                <w:bCs/>
                <w:spacing w:val="-3"/>
                <w:sz w:val="21"/>
                <w:szCs w:val="21"/>
                <w:lang w:eastAsia="zh-CN"/>
              </w:rPr>
              <w:t>/a</w:t>
            </w:r>
            <w:r>
              <w:rPr>
                <w:b/>
                <w:bCs/>
                <w:spacing w:val="-3"/>
                <w:sz w:val="21"/>
                <w:szCs w:val="21"/>
                <w:lang w:eastAsia="zh-CN"/>
              </w:rPr>
              <w:t>）</w:t>
            </w:r>
          </w:p>
          <w:p w14:paraId="0ED2167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（3）</w:t>
            </w:r>
            <w:r>
              <w:rPr>
                <w:rFonts w:hint="eastAsia" w:ascii="Times New Roman" w:hAnsi="Times New Roman"/>
                <w:spacing w:val="-3"/>
                <w:lang w:val="en-US" w:eastAsia="zh-CN"/>
              </w:rPr>
              <w:t>供暖</w:t>
            </w:r>
          </w:p>
          <w:p w14:paraId="2583346A">
            <w:pPr>
              <w:pStyle w:val="20"/>
              <w:widowControl w:val="0"/>
              <w:spacing w:line="360" w:lineRule="auto"/>
              <w:ind w:firstLine="468" w:firstLineChars="200"/>
              <w:jc w:val="both"/>
              <w:rPr>
                <w:rFonts w:ascii="Times New Roman" w:hAnsi="Times New Roman"/>
                <w:spacing w:val="-3"/>
                <w:lang w:eastAsia="zh-CN"/>
              </w:rPr>
            </w:pPr>
            <w:r>
              <w:rPr>
                <w:rFonts w:hint="eastAsia" w:ascii="Times New Roman" w:hAnsi="Times New Roman"/>
                <w:spacing w:val="-3"/>
                <w:lang w:val="en-US" w:eastAsia="zh-CN"/>
              </w:rPr>
              <w:t>本</w:t>
            </w:r>
            <w:r>
              <w:rPr>
                <w:rFonts w:ascii="Times New Roman" w:hAnsi="Times New Roman"/>
                <w:spacing w:val="-3"/>
                <w:lang w:eastAsia="zh-CN"/>
              </w:rPr>
              <w:t>项目冬季不生产，不考虑供暖问题。</w:t>
            </w:r>
          </w:p>
          <w:p w14:paraId="0BF7B5B4">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5、平面布置</w:t>
            </w:r>
          </w:p>
          <w:p w14:paraId="6F7CFEC7">
            <w:pPr>
              <w:pStyle w:val="20"/>
              <w:widowControl w:val="0"/>
              <w:spacing w:line="360" w:lineRule="auto"/>
              <w:ind w:firstLine="468" w:firstLineChars="200"/>
              <w:jc w:val="both"/>
              <w:rPr>
                <w:spacing w:val="-3"/>
                <w:lang w:eastAsia="zh-CN"/>
              </w:rPr>
            </w:pPr>
            <w:r>
              <w:rPr>
                <w:rFonts w:ascii="Times New Roman" w:hAnsi="Times New Roman"/>
                <w:spacing w:val="-3"/>
                <w:lang w:eastAsia="zh-CN"/>
              </w:rPr>
              <w:t>本项目总占地面积为7200m</w:t>
            </w:r>
            <w:r>
              <w:rPr>
                <w:rFonts w:hint="eastAsia" w:ascii="Times New Roman" w:hAnsi="Times New Roman"/>
                <w:spacing w:val="-3"/>
                <w:vertAlign w:val="superscript"/>
                <w:lang w:eastAsia="zh-CN"/>
              </w:rPr>
              <w:t>2</w:t>
            </w:r>
            <w:r>
              <w:rPr>
                <w:rFonts w:ascii="Times New Roman" w:hAnsi="Times New Roman"/>
                <w:spacing w:val="-3"/>
                <w:lang w:eastAsia="zh-CN"/>
              </w:rPr>
              <w:t>（约10.8亩），项目用地</w:t>
            </w:r>
            <w:r>
              <w:rPr>
                <w:rFonts w:hint="eastAsia" w:ascii="Times New Roman" w:hAnsi="Times New Roman"/>
                <w:spacing w:val="-3"/>
                <w:lang w:val="en-US" w:eastAsia="zh-CN"/>
              </w:rPr>
              <w:t>性质</w:t>
            </w:r>
            <w:r>
              <w:rPr>
                <w:rFonts w:ascii="Times New Roman" w:hAnsi="Times New Roman"/>
                <w:spacing w:val="-3"/>
                <w:lang w:eastAsia="zh-CN"/>
              </w:rPr>
              <w:t>为</w:t>
            </w:r>
            <w:r>
              <w:rPr>
                <w:rFonts w:hint="eastAsia" w:ascii="Times New Roman" w:hAnsi="Times New Roman"/>
                <w:spacing w:val="-3"/>
                <w:lang w:val="en-US" w:eastAsia="zh-CN"/>
              </w:rPr>
              <w:t>规划建设</w:t>
            </w:r>
            <w:r>
              <w:rPr>
                <w:rFonts w:ascii="Times New Roman" w:hAnsi="Times New Roman"/>
                <w:spacing w:val="-3"/>
                <w:lang w:eastAsia="zh-CN"/>
              </w:rPr>
              <w:t>用地，本项目生产线包含原料堆场、生产场地、养护场地、成品堆场等，本项目产品的养护场地及成品堆场均布设在生产线附近。</w:t>
            </w:r>
            <w:r>
              <w:rPr>
                <w:rFonts w:ascii="Times New Roman" w:hAnsi="Times New Roman"/>
                <w:spacing w:val="-3"/>
              </w:rPr>
              <w:t>本项目具体布设情况见</w:t>
            </w:r>
            <w:r>
              <w:rPr>
                <w:rFonts w:hint="eastAsia" w:ascii="Times New Roman" w:hAnsi="Times New Roman"/>
                <w:spacing w:val="-3"/>
                <w:lang w:eastAsia="zh-CN"/>
              </w:rPr>
              <w:t>附图2</w:t>
            </w:r>
            <w:r>
              <w:rPr>
                <w:rFonts w:ascii="Times New Roman" w:hAnsi="Times New Roman"/>
                <w:spacing w:val="-3"/>
              </w:rPr>
              <w:t>。</w:t>
            </w:r>
          </w:p>
        </w:tc>
      </w:tr>
      <w:tr w14:paraId="726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tcPr>
          <w:p w14:paraId="31F08D6D">
            <w:pPr>
              <w:pStyle w:val="20"/>
              <w:widowControl w:val="0"/>
              <w:spacing w:before="78" w:line="230" w:lineRule="auto"/>
              <w:ind w:left="155"/>
              <w:jc w:val="both"/>
              <w:rPr>
                <w:spacing w:val="-4"/>
                <w:lang w:eastAsia="zh-CN"/>
              </w:rPr>
            </w:pPr>
            <w:r>
              <w:rPr>
                <w:spacing w:val="-4"/>
                <w:lang w:eastAsia="zh-CN"/>
              </w:rPr>
              <w:t>工艺</w:t>
            </w:r>
            <w:r>
              <w:rPr>
                <w:spacing w:val="-3"/>
                <w:lang w:eastAsia="zh-CN"/>
              </w:rPr>
              <w:t>流程和产排污环节</w:t>
            </w:r>
          </w:p>
        </w:tc>
        <w:tc>
          <w:tcPr>
            <w:tcW w:w="8434" w:type="dxa"/>
          </w:tcPr>
          <w:p w14:paraId="10EEDB12">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运营期工艺流程简述</w:t>
            </w:r>
          </w:p>
          <w:p w14:paraId="5EF1EEFC">
            <w:pPr>
              <w:pStyle w:val="20"/>
              <w:widowControl w:val="0"/>
              <w:spacing w:line="360" w:lineRule="auto"/>
              <w:ind w:firstLine="548" w:firstLineChars="200"/>
              <w:jc w:val="both"/>
              <w:rPr>
                <w:rFonts w:ascii="Times New Roman" w:hAnsi="Times New Roman"/>
                <w:spacing w:val="-3"/>
                <w:sz w:val="28"/>
                <w:szCs w:val="28"/>
                <w:lang w:eastAsia="zh-CN"/>
              </w:rPr>
            </w:pPr>
            <w:r>
              <w:rPr>
                <w:rFonts w:ascii="Times New Roman" w:hAnsi="Times New Roman"/>
                <w:spacing w:val="-3"/>
                <w:sz w:val="28"/>
                <w:szCs w:val="28"/>
                <w:lang w:eastAsia="zh-CN"/>
              </w:rPr>
              <w:t>工艺流程简述：</w:t>
            </w:r>
          </w:p>
          <w:p w14:paraId="650504E0">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卸料：项目水泥通过罐车空压机产生的气压将水泥通过送料管压入筒仓内，进料过程中采用</w:t>
            </w:r>
            <w:r>
              <w:rPr>
                <w:rFonts w:hint="eastAsia" w:ascii="Times New Roman" w:hAnsi="Times New Roman"/>
                <w:spacing w:val="-3"/>
                <w:lang w:eastAsia="zh-CN"/>
              </w:rPr>
              <w:t>气力输送</w:t>
            </w:r>
            <w:r>
              <w:rPr>
                <w:rFonts w:ascii="Times New Roman" w:hAnsi="Times New Roman"/>
                <w:spacing w:val="-3"/>
                <w:lang w:eastAsia="zh-CN"/>
              </w:rPr>
              <w:t>，其筒仓内压力大于大气压，为了保持压力平衡，在筒仓顶部设置排气孔。砂子、石子为散装，由运输车运输至堆场，堆场采用</w:t>
            </w:r>
            <w:r>
              <w:rPr>
                <w:rFonts w:hint="eastAsia" w:ascii="Times New Roman" w:hAnsi="Times New Roman"/>
                <w:spacing w:val="-3"/>
                <w:lang w:val="en-US" w:eastAsia="zh-CN"/>
              </w:rPr>
              <w:t>全</w:t>
            </w:r>
            <w:r>
              <w:rPr>
                <w:rFonts w:ascii="Times New Roman" w:hAnsi="Times New Roman"/>
                <w:spacing w:val="-3"/>
                <w:lang w:eastAsia="zh-CN"/>
              </w:rPr>
              <w:t>封闭措施，洒水喷淋。</w:t>
            </w:r>
          </w:p>
          <w:p w14:paraId="70925EF3">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该工序主要产生的污染物为粉尘。</w:t>
            </w:r>
          </w:p>
          <w:p w14:paraId="58B06A1B">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投料、搅拌：投料及搅拌工序需在封闭车间内完成。砂子、石子由铲车送入配料机内，通过提升机将配料机中的砂子、石子投入搅拌机内，水泥通过封闭管道输送进搅拌机，将几种物料进行搅拌，在此过程中加入一定量的水，对原材料进行溶解混合。该工序产生的污染物主要为粉尘和噪声。</w:t>
            </w:r>
          </w:p>
          <w:p w14:paraId="35581FF3">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挤压成型：混合物料经过压砖机压制成型，成型好的砖坯由叉车运输至晾晒场地。</w:t>
            </w:r>
          </w:p>
          <w:p w14:paraId="17ACD5A1">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自然养护：将成型后的砖放置在晾晒场地进行7</w:t>
            </w:r>
            <w:r>
              <w:rPr>
                <w:rFonts w:hint="eastAsia" w:ascii="Times New Roman" w:hAnsi="Times New Roman"/>
                <w:spacing w:val="-3"/>
                <w:lang w:eastAsia="zh-CN"/>
              </w:rPr>
              <w:t>～</w:t>
            </w:r>
            <w:r>
              <w:rPr>
                <w:rFonts w:ascii="Times New Roman" w:hAnsi="Times New Roman"/>
                <w:spacing w:val="-3"/>
                <w:lang w:eastAsia="zh-CN"/>
              </w:rPr>
              <w:t>15d的自然养护。</w:t>
            </w:r>
          </w:p>
          <w:p w14:paraId="686887F2">
            <w:pPr>
              <w:pStyle w:val="20"/>
              <w:widowControl w:val="0"/>
              <w:spacing w:line="360" w:lineRule="auto"/>
              <w:ind w:firstLine="468" w:firstLineChars="200"/>
              <w:jc w:val="both"/>
              <w:rPr>
                <w:rFonts w:ascii="Times New Roman" w:hAnsi="Times New Roman"/>
                <w:spacing w:val="-3"/>
                <w:lang w:eastAsia="zh-CN"/>
              </w:rPr>
            </w:pPr>
            <w:r>
              <w:rPr>
                <w:rFonts w:ascii="Times New Roman" w:hAnsi="Times New Roman"/>
                <w:spacing w:val="-3"/>
                <w:lang w:eastAsia="zh-CN"/>
              </w:rPr>
              <w:t>打磨：养护后的透水砖需经过</w:t>
            </w:r>
            <w:r>
              <w:rPr>
                <w:rFonts w:hint="eastAsia"/>
                <w:lang w:eastAsia="zh-CN"/>
              </w:rPr>
              <w:t>水磨拉丝机进行打磨，拉丝机钻头进行喷水</w:t>
            </w:r>
            <w:r>
              <w:rPr>
                <w:rFonts w:ascii="Times New Roman" w:hAnsi="Times New Roman"/>
                <w:spacing w:val="-3"/>
                <w:lang w:eastAsia="zh-CN"/>
              </w:rPr>
              <w:t>，此过程会产生</w:t>
            </w:r>
            <w:r>
              <w:rPr>
                <w:rFonts w:hint="eastAsia" w:ascii="Times New Roman" w:hAnsi="Times New Roman"/>
                <w:spacing w:val="-3"/>
                <w:lang w:eastAsia="zh-CN"/>
              </w:rPr>
              <w:t>废水</w:t>
            </w:r>
            <w:r>
              <w:rPr>
                <w:rFonts w:ascii="Times New Roman" w:hAnsi="Times New Roman"/>
                <w:spacing w:val="-3"/>
                <w:lang w:eastAsia="zh-CN"/>
              </w:rPr>
              <w:t>。</w:t>
            </w:r>
          </w:p>
          <w:p w14:paraId="67BF6894">
            <w:pPr>
              <w:pStyle w:val="20"/>
              <w:widowControl/>
              <w:spacing w:line="360" w:lineRule="auto"/>
              <w:ind w:firstLine="468" w:firstLineChars="200"/>
              <w:jc w:val="both"/>
              <w:rPr>
                <w:rFonts w:ascii="Times New Roman" w:hAnsi="Times New Roman" w:eastAsia="Times New Roman" w:cs="Times New Roman"/>
                <w:b/>
                <w:bCs/>
                <w:spacing w:val="-2"/>
                <w:lang w:eastAsia="zh-CN"/>
              </w:rPr>
            </w:pPr>
            <w:r>
              <w:rPr>
                <w:rFonts w:ascii="Times New Roman" w:hAnsi="Times New Roman"/>
                <w:spacing w:val="-3"/>
                <w:lang w:eastAsia="zh-CN"/>
              </w:rPr>
              <w:t>码垛：将自然养护（打磨）后的砖送至成品堆场，经检验不合格的产品集中处理，定期破碎后返回生产工序，合格品码放整齐待销。</w:t>
            </w:r>
          </w:p>
          <w:p w14:paraId="0D514ADB">
            <w:pPr>
              <w:widowControl/>
              <w:spacing w:line="360" w:lineRule="auto"/>
              <w:jc w:val="center"/>
              <w:rPr>
                <w:rFonts w:ascii="Times New Roman" w:hAnsi="Times New Roman" w:eastAsia="宋体"/>
                <w:sz w:val="24"/>
              </w:rPr>
            </w:pPr>
            <w:r>
              <w:rPr>
                <w:rFonts w:ascii="Times New Roman" w:hAnsi="Times New Roman" w:eastAsia="宋体"/>
                <w:position w:val="-65"/>
                <w:sz w:val="24"/>
              </w:rPr>
              <w:drawing>
                <wp:inline distT="0" distB="0" distL="0" distR="0">
                  <wp:extent cx="5115560" cy="2075180"/>
                  <wp:effectExtent l="0" t="0" r="5080" b="1270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19"/>
                          <a:stretch>
                            <a:fillRect/>
                          </a:stretch>
                        </pic:blipFill>
                        <pic:spPr>
                          <a:xfrm>
                            <a:off x="0" y="0"/>
                            <a:ext cx="5115560" cy="2075814"/>
                          </a:xfrm>
                          <a:prstGeom prst="rect">
                            <a:avLst/>
                          </a:prstGeom>
                        </pic:spPr>
                      </pic:pic>
                    </a:graphicData>
                  </a:graphic>
                </wp:inline>
              </w:drawing>
            </w:r>
          </w:p>
          <w:p w14:paraId="09F0B27E">
            <w:pPr>
              <w:pStyle w:val="20"/>
              <w:widowControl/>
              <w:spacing w:line="360" w:lineRule="auto"/>
              <w:ind w:firstLine="470" w:firstLineChars="200"/>
              <w:jc w:val="center"/>
              <w:rPr>
                <w:spacing w:val="-8"/>
                <w:lang w:eastAsia="zh-CN"/>
              </w:rPr>
            </w:pPr>
            <w:r>
              <w:rPr>
                <w:rFonts w:ascii="Times New Roman" w:hAnsi="Times New Roman"/>
                <w:b/>
                <w:spacing w:val="-3"/>
                <w:szCs w:val="21"/>
                <w:lang w:eastAsia="zh-CN"/>
              </w:rPr>
              <w:t>图</w:t>
            </w:r>
            <w:r>
              <w:rPr>
                <w:rFonts w:ascii="Times New Roman" w:hAnsi="Times New Roman" w:cs="Times New Roman"/>
                <w:b/>
                <w:spacing w:val="-3"/>
                <w:szCs w:val="21"/>
                <w:lang w:eastAsia="zh-CN"/>
              </w:rPr>
              <w:t>10</w:t>
            </w:r>
            <w:r>
              <w:rPr>
                <w:rFonts w:ascii="Times New Roman" w:hAnsi="Times New Roman"/>
                <w:b/>
                <w:spacing w:val="-3"/>
                <w:szCs w:val="21"/>
                <w:lang w:eastAsia="zh-CN"/>
              </w:rPr>
              <w:t>透水砖的生产工艺流程及产污节点图</w:t>
            </w:r>
          </w:p>
        </w:tc>
      </w:tr>
      <w:tr w14:paraId="4757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vAlign w:val="center"/>
          </w:tcPr>
          <w:p w14:paraId="2B9001FD">
            <w:pPr>
              <w:pStyle w:val="20"/>
              <w:widowControl/>
              <w:spacing w:line="220" w:lineRule="auto"/>
              <w:jc w:val="both"/>
              <w:rPr>
                <w:spacing w:val="-3"/>
                <w:lang w:eastAsia="zh-CN"/>
              </w:rPr>
            </w:pPr>
            <w:r>
              <w:rPr>
                <w:spacing w:val="-4"/>
                <w:sz w:val="22"/>
                <w:szCs w:val="22"/>
                <w:lang w:eastAsia="zh-CN"/>
              </w:rPr>
              <w:t>与项</w:t>
            </w:r>
            <w:r>
              <w:rPr>
                <w:spacing w:val="-14"/>
                <w:sz w:val="22"/>
                <w:szCs w:val="22"/>
                <w:lang w:eastAsia="zh-CN"/>
              </w:rPr>
              <w:t>目有</w:t>
            </w:r>
            <w:r>
              <w:rPr>
                <w:spacing w:val="-4"/>
                <w:sz w:val="22"/>
                <w:szCs w:val="22"/>
                <w:lang w:eastAsia="zh-CN"/>
              </w:rPr>
              <w:t>关的原有</w:t>
            </w:r>
            <w:r>
              <w:rPr>
                <w:spacing w:val="-3"/>
                <w:sz w:val="22"/>
                <w:szCs w:val="22"/>
                <w:lang w:eastAsia="zh-CN"/>
              </w:rPr>
              <w:t>环境污染</w:t>
            </w:r>
            <w:r>
              <w:rPr>
                <w:spacing w:val="-10"/>
                <w:sz w:val="22"/>
                <w:szCs w:val="22"/>
                <w:lang w:eastAsia="zh-CN"/>
              </w:rPr>
              <w:t>问题</w:t>
            </w:r>
          </w:p>
        </w:tc>
        <w:tc>
          <w:tcPr>
            <w:tcW w:w="8434" w:type="dxa"/>
            <w:vAlign w:val="center"/>
          </w:tcPr>
          <w:p w14:paraId="4914A481">
            <w:pPr>
              <w:pStyle w:val="20"/>
              <w:widowControl w:val="0"/>
              <w:spacing w:line="360" w:lineRule="auto"/>
              <w:ind w:firstLine="468" w:firstLineChars="200"/>
              <w:jc w:val="both"/>
              <w:rPr>
                <w:spacing w:val="-3"/>
                <w:lang w:eastAsia="zh-CN"/>
              </w:rPr>
            </w:pPr>
            <w:r>
              <w:rPr>
                <w:rFonts w:ascii="Times New Roman" w:hAnsi="Times New Roman"/>
                <w:spacing w:val="-3"/>
                <w:lang w:eastAsia="zh-CN"/>
              </w:rPr>
              <w:t>本项目为新建项目，区域环境质量总体较好，不存在与本项目有关的原有污染情况及主要环境问题。</w:t>
            </w:r>
          </w:p>
        </w:tc>
      </w:tr>
    </w:tbl>
    <w:p w14:paraId="587B9711">
      <w:pPr>
        <w:rPr>
          <w:rFonts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br w:type="page"/>
      </w:r>
    </w:p>
    <w:p w14:paraId="3C18145A">
      <w:pPr>
        <w:numPr>
          <w:ilvl w:val="0"/>
          <w:numId w:val="2"/>
        </w:numPr>
        <w:spacing w:before="98" w:line="214" w:lineRule="auto"/>
        <w:jc w:val="center"/>
        <w:rPr>
          <w:rFonts w:ascii="宋体" w:hAnsi="宋体" w:eastAsia="宋体" w:cs="宋体"/>
          <w:b/>
          <w:bCs/>
          <w:spacing w:val="-3"/>
          <w:sz w:val="30"/>
          <w:szCs w:val="30"/>
          <w:lang w:eastAsia="zh-CN"/>
        </w:rPr>
      </w:pPr>
      <w:r>
        <w:rPr>
          <w:rFonts w:ascii="宋体" w:hAnsi="宋体" w:eastAsia="宋体" w:cs="宋体"/>
          <w:b/>
          <w:bCs/>
          <w:spacing w:val="-3"/>
          <w:sz w:val="30"/>
          <w:szCs w:val="30"/>
          <w:lang w:eastAsia="zh-CN"/>
        </w:rPr>
        <w:t>区域环境质量现状、环境保护目标及评价标准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8470"/>
      </w:tblGrid>
      <w:tr w14:paraId="345B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89" w:type="dxa"/>
          </w:tcPr>
          <w:p w14:paraId="19268112">
            <w:pPr>
              <w:pStyle w:val="20"/>
              <w:widowControl w:val="0"/>
              <w:spacing w:before="167" w:line="349" w:lineRule="auto"/>
              <w:ind w:right="135"/>
              <w:jc w:val="both"/>
              <w:rPr>
                <w:b/>
                <w:bCs/>
                <w:spacing w:val="-3"/>
                <w:sz w:val="30"/>
                <w:szCs w:val="30"/>
              </w:rPr>
            </w:pPr>
            <w:r>
              <w:rPr>
                <w:spacing w:val="-3"/>
              </w:rPr>
              <w:t>区域环境质量现状</w:t>
            </w:r>
          </w:p>
        </w:tc>
        <w:tc>
          <w:tcPr>
            <w:tcW w:w="8470" w:type="dxa"/>
          </w:tcPr>
          <w:p w14:paraId="54CB6691">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1、环境空气质量现状调查及评价</w:t>
            </w:r>
          </w:p>
          <w:p w14:paraId="2603611E">
            <w:pPr>
              <w:widowControl w:val="0"/>
              <w:spacing w:line="360" w:lineRule="auto"/>
              <w:ind w:firstLine="480" w:firstLineChars="200"/>
              <w:jc w:val="both"/>
              <w:rPr>
                <w:rFonts w:ascii="Times New Roman" w:hAnsi="Times New Roman" w:eastAsia="宋体"/>
                <w:sz w:val="24"/>
              </w:rPr>
            </w:pPr>
            <w:r>
              <w:rPr>
                <w:rFonts w:ascii="Times New Roman" w:hAnsi="Times New Roman" w:eastAsia="宋体"/>
                <w:sz w:val="24"/>
              </w:rPr>
              <w:t>1.1数据来源</w:t>
            </w:r>
          </w:p>
          <w:p w14:paraId="3A980F1C">
            <w:pPr>
              <w:pStyle w:val="11"/>
              <w:widowControl w:val="0"/>
              <w:ind w:firstLine="480" w:firstLineChars="200"/>
              <w:jc w:val="both"/>
              <w:rPr>
                <w:rFonts w:ascii="Times New Roman" w:hAnsi="Times New Roman" w:eastAsia="宋体"/>
                <w:sz w:val="24"/>
              </w:rPr>
            </w:pPr>
            <w:r>
              <w:rPr>
                <w:rFonts w:ascii="Times New Roman" w:hAnsi="Times New Roman" w:eastAsia="宋体"/>
                <w:sz w:val="24"/>
              </w:rPr>
              <w:t>根据《环境影响评价技术导则－大气环境》（H.J2.2-2018）对环境质量现状数据的要求，基本污染物环境质量现状评价选用环境空气质量模型技术支持服务系统（http://data.lem.org.cn/eamds/apply/tostepone.html）发布的202</w:t>
            </w:r>
            <w:r>
              <w:rPr>
                <w:rFonts w:hint="eastAsia" w:ascii="Times New Roman" w:hAnsi="Times New Roman" w:eastAsia="宋体"/>
                <w:sz w:val="24"/>
                <w:lang w:eastAsia="zh-CN"/>
              </w:rPr>
              <w:t>4</w:t>
            </w:r>
            <w:r>
              <w:rPr>
                <w:rFonts w:ascii="Times New Roman" w:hAnsi="Times New Roman" w:eastAsia="宋体"/>
                <w:sz w:val="24"/>
              </w:rPr>
              <w:t>年</w:t>
            </w:r>
            <w:r>
              <w:rPr>
                <w:rFonts w:hint="eastAsia" w:ascii="Times New Roman" w:hAnsi="Times New Roman" w:eastAsia="宋体"/>
                <w:sz w:val="24"/>
                <w:lang w:eastAsia="zh-CN"/>
              </w:rPr>
              <w:t>昌州</w:t>
            </w:r>
            <w:r>
              <w:rPr>
                <w:rFonts w:ascii="Times New Roman" w:hAnsi="Times New Roman" w:eastAsia="宋体"/>
                <w:sz w:val="24"/>
              </w:rPr>
              <w:t>空气质量数据，其数据来源于生态环境部环境工程评估中心（国家环境保护环境影响评价数值模拟重点实验室）实时发布网站。</w:t>
            </w:r>
          </w:p>
          <w:p w14:paraId="035F11DC">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基本污染物：引用网站中SO</w:t>
            </w:r>
            <w:r>
              <w:rPr>
                <w:rFonts w:ascii="Times New Roman" w:hAnsi="Times New Roman" w:eastAsia="宋体"/>
                <w:sz w:val="24"/>
                <w:vertAlign w:val="subscript"/>
                <w:lang w:eastAsia="zh-CN"/>
              </w:rPr>
              <w:t>2</w:t>
            </w:r>
            <w:r>
              <w:rPr>
                <w:rFonts w:ascii="Times New Roman" w:hAnsi="Times New Roman" w:eastAsia="宋体"/>
                <w:sz w:val="24"/>
                <w:lang w:eastAsia="zh-CN"/>
              </w:rPr>
              <w:t>、NO</w:t>
            </w:r>
            <w:r>
              <w:rPr>
                <w:rFonts w:ascii="Times New Roman" w:hAnsi="Times New Roman" w:eastAsia="宋体"/>
                <w:sz w:val="24"/>
                <w:vertAlign w:val="subscript"/>
                <w:lang w:eastAsia="zh-CN"/>
              </w:rPr>
              <w:t>2</w:t>
            </w:r>
            <w:r>
              <w:rPr>
                <w:rFonts w:ascii="Times New Roman" w:hAnsi="Times New Roman" w:eastAsia="宋体"/>
                <w:sz w:val="24"/>
                <w:lang w:eastAsia="zh-CN"/>
              </w:rPr>
              <w:t>、PM</w:t>
            </w:r>
            <w:r>
              <w:rPr>
                <w:rFonts w:ascii="Times New Roman" w:hAnsi="Times New Roman" w:eastAsia="宋体"/>
                <w:sz w:val="24"/>
                <w:vertAlign w:val="subscript"/>
                <w:lang w:eastAsia="zh-CN"/>
              </w:rPr>
              <w:t>10</w:t>
            </w:r>
            <w:r>
              <w:rPr>
                <w:rFonts w:ascii="Times New Roman" w:hAnsi="Times New Roman" w:eastAsia="宋体"/>
                <w:sz w:val="24"/>
                <w:lang w:eastAsia="zh-CN"/>
              </w:rPr>
              <w:t>、PM</w:t>
            </w:r>
            <w:r>
              <w:rPr>
                <w:rFonts w:ascii="Times New Roman" w:hAnsi="Times New Roman" w:eastAsia="宋体"/>
                <w:sz w:val="24"/>
                <w:vertAlign w:val="subscript"/>
                <w:lang w:eastAsia="zh-CN"/>
              </w:rPr>
              <w:t>2.5</w:t>
            </w:r>
            <w:r>
              <w:rPr>
                <w:rFonts w:ascii="Times New Roman" w:hAnsi="Times New Roman" w:eastAsia="宋体"/>
                <w:sz w:val="24"/>
                <w:lang w:eastAsia="zh-CN"/>
              </w:rPr>
              <w:t>、CO和O</w:t>
            </w:r>
            <w:r>
              <w:rPr>
                <w:rFonts w:ascii="Times New Roman" w:hAnsi="Times New Roman" w:eastAsia="宋体"/>
                <w:sz w:val="24"/>
                <w:vertAlign w:val="subscript"/>
                <w:lang w:eastAsia="zh-CN"/>
              </w:rPr>
              <w:t>3</w:t>
            </w:r>
            <w:r>
              <w:rPr>
                <w:rFonts w:ascii="Times New Roman" w:hAnsi="Times New Roman" w:eastAsia="宋体"/>
                <w:sz w:val="24"/>
                <w:lang w:eastAsia="zh-CN"/>
              </w:rPr>
              <w:t>六项基本污染物202</w:t>
            </w:r>
            <w:r>
              <w:rPr>
                <w:rFonts w:hint="eastAsia" w:ascii="Times New Roman" w:hAnsi="Times New Roman" w:eastAsia="宋体"/>
                <w:sz w:val="24"/>
                <w:lang w:eastAsia="zh-CN"/>
              </w:rPr>
              <w:t>4</w:t>
            </w:r>
            <w:r>
              <w:rPr>
                <w:rFonts w:ascii="Times New Roman" w:hAnsi="Times New Roman" w:eastAsia="宋体"/>
                <w:sz w:val="24"/>
                <w:lang w:eastAsia="zh-CN"/>
              </w:rPr>
              <w:t>年的环境质量数据。</w:t>
            </w:r>
          </w:p>
          <w:p w14:paraId="52F83A12">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1.2评价标准</w:t>
            </w:r>
          </w:p>
          <w:p w14:paraId="454919CE">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基本污染物SO</w:t>
            </w:r>
            <w:r>
              <w:rPr>
                <w:rFonts w:ascii="Times New Roman" w:hAnsi="Times New Roman" w:eastAsia="宋体"/>
                <w:sz w:val="24"/>
                <w:vertAlign w:val="subscript"/>
                <w:lang w:eastAsia="zh-CN"/>
              </w:rPr>
              <w:t>2</w:t>
            </w:r>
            <w:r>
              <w:rPr>
                <w:rFonts w:ascii="Times New Roman" w:hAnsi="Times New Roman" w:eastAsia="宋体"/>
                <w:sz w:val="24"/>
                <w:lang w:eastAsia="zh-CN"/>
              </w:rPr>
              <w:t>、NO</w:t>
            </w:r>
            <w:r>
              <w:rPr>
                <w:rFonts w:ascii="Times New Roman" w:hAnsi="Times New Roman" w:eastAsia="宋体"/>
                <w:sz w:val="24"/>
                <w:vertAlign w:val="subscript"/>
                <w:lang w:eastAsia="zh-CN"/>
              </w:rPr>
              <w:t>2</w:t>
            </w:r>
            <w:r>
              <w:rPr>
                <w:rFonts w:ascii="Times New Roman" w:hAnsi="Times New Roman" w:eastAsia="宋体"/>
                <w:sz w:val="24"/>
                <w:lang w:eastAsia="zh-CN"/>
              </w:rPr>
              <w:t>、PM</w:t>
            </w:r>
            <w:r>
              <w:rPr>
                <w:rFonts w:ascii="Times New Roman" w:hAnsi="Times New Roman" w:eastAsia="宋体"/>
                <w:sz w:val="24"/>
                <w:vertAlign w:val="subscript"/>
                <w:lang w:eastAsia="zh-CN"/>
              </w:rPr>
              <w:t>10</w:t>
            </w:r>
            <w:r>
              <w:rPr>
                <w:rFonts w:ascii="Times New Roman" w:hAnsi="Times New Roman" w:eastAsia="宋体"/>
                <w:sz w:val="24"/>
                <w:lang w:eastAsia="zh-CN"/>
              </w:rPr>
              <w:t>、PM</w:t>
            </w:r>
            <w:r>
              <w:rPr>
                <w:rFonts w:ascii="Times New Roman" w:hAnsi="Times New Roman" w:eastAsia="宋体"/>
                <w:sz w:val="24"/>
                <w:vertAlign w:val="subscript"/>
                <w:lang w:eastAsia="zh-CN"/>
              </w:rPr>
              <w:t>2.5</w:t>
            </w:r>
            <w:r>
              <w:rPr>
                <w:rFonts w:ascii="Times New Roman" w:hAnsi="Times New Roman" w:eastAsia="宋体"/>
                <w:sz w:val="24"/>
                <w:lang w:eastAsia="zh-CN"/>
              </w:rPr>
              <w:t>、CO和O</w:t>
            </w:r>
            <w:r>
              <w:rPr>
                <w:rFonts w:ascii="Times New Roman" w:hAnsi="Times New Roman" w:eastAsia="宋体"/>
                <w:sz w:val="24"/>
                <w:vertAlign w:val="subscript"/>
                <w:lang w:eastAsia="zh-CN"/>
              </w:rPr>
              <w:t>3</w:t>
            </w:r>
            <w:r>
              <w:rPr>
                <w:rFonts w:ascii="Times New Roman" w:hAnsi="Times New Roman" w:eastAsia="宋体"/>
                <w:sz w:val="24"/>
                <w:lang w:eastAsia="zh-CN"/>
              </w:rPr>
              <w:t>执行《环境空气质量标准》（GB3095-2012）中的二级标准。</w:t>
            </w:r>
          </w:p>
          <w:p w14:paraId="2FE5A69D">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1.3评价方法</w:t>
            </w:r>
          </w:p>
          <w:p w14:paraId="25A30D5D">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评价方法：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14:paraId="05C5E3C3">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1.4</w:t>
            </w:r>
            <w:r>
              <w:rPr>
                <w:rFonts w:ascii="Times New Roman" w:hAnsi="Times New Roman" w:eastAsia="宋体"/>
                <w:sz w:val="24"/>
                <w:lang w:eastAsia="zh-CN" w:bidi="ar"/>
              </w:rPr>
              <w:t>空气质量达标区判定</w:t>
            </w:r>
          </w:p>
          <w:p w14:paraId="4F651836">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根据《环境影响评价技术导则大气环境》（HJ2.2-2018），本次区域环境质量现状达标判定结果见表3-1。</w:t>
            </w:r>
          </w:p>
          <w:p w14:paraId="5BF89B3B">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表3-1区域空气质量现状评价表（2024年）</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919"/>
              <w:gridCol w:w="2593"/>
              <w:gridCol w:w="1271"/>
              <w:gridCol w:w="1136"/>
              <w:gridCol w:w="1093"/>
              <w:gridCol w:w="1209"/>
            </w:tblGrid>
            <w:tr w14:paraId="3089F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DCCB61">
                  <w:pPr>
                    <w:pStyle w:val="20"/>
                    <w:jc w:val="center"/>
                    <w:rPr>
                      <w:rFonts w:ascii="Times New Roman" w:hAnsi="Times New Roman"/>
                      <w:spacing w:val="-2"/>
                      <w:sz w:val="21"/>
                      <w:szCs w:val="21"/>
                    </w:rPr>
                  </w:pPr>
                  <w:r>
                    <w:rPr>
                      <w:rFonts w:hint="eastAsia" w:ascii="Times New Roman" w:hAnsi="Times New Roman"/>
                      <w:spacing w:val="-2"/>
                      <w:sz w:val="21"/>
                      <w:szCs w:val="21"/>
                    </w:rPr>
                    <w:t>污染物</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FA768">
                  <w:pPr>
                    <w:pStyle w:val="20"/>
                    <w:jc w:val="center"/>
                    <w:rPr>
                      <w:rFonts w:ascii="Times New Roman" w:hAnsi="Times New Roman"/>
                      <w:spacing w:val="-2"/>
                      <w:sz w:val="21"/>
                      <w:szCs w:val="21"/>
                    </w:rPr>
                  </w:pPr>
                  <w:r>
                    <w:rPr>
                      <w:rFonts w:hint="eastAsia" w:ascii="Times New Roman" w:hAnsi="Times New Roman"/>
                      <w:spacing w:val="-2"/>
                      <w:sz w:val="21"/>
                      <w:szCs w:val="21"/>
                    </w:rPr>
                    <w:t>年评价指标</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14DB3C">
                  <w:pPr>
                    <w:jc w:val="center"/>
                    <w:textAlignment w:val="center"/>
                    <w:rPr>
                      <w:rFonts w:ascii="Times New Roman" w:hAnsi="Times New Roman" w:eastAsia="宋体"/>
                    </w:rPr>
                  </w:pPr>
                  <w:r>
                    <w:rPr>
                      <w:rFonts w:ascii="Times New Roman" w:hAnsi="Times New Roman" w:eastAsia="宋体"/>
                    </w:rPr>
                    <w:t>现状浓度</w:t>
                  </w:r>
                  <w:r>
                    <w:rPr>
                      <w:rStyle w:val="24"/>
                      <w:rFonts w:ascii="Times New Roman" w:hAnsi="Times New Roman" w:eastAsia="宋体" w:cs="Times New Roman"/>
                      <w:sz w:val="21"/>
                      <w:szCs w:val="21"/>
                    </w:rPr>
                    <w:t>/</w:t>
                  </w:r>
                  <w:r>
                    <w:rPr>
                      <w:rFonts w:ascii="Times New Roman" w:hAnsi="Times New Roman" w:eastAsia="宋体"/>
                    </w:rPr>
                    <w:t>（</w:t>
                  </w:r>
                  <w:r>
                    <w:rPr>
                      <w:rStyle w:val="24"/>
                      <w:rFonts w:ascii="Times New Roman" w:hAnsi="Times New Roman" w:eastAsia="宋体" w:cs="Times New Roman"/>
                      <w:sz w:val="21"/>
                      <w:szCs w:val="21"/>
                    </w:rPr>
                    <w:t>µg/m</w:t>
                  </w:r>
                  <w:r>
                    <w:rPr>
                      <w:rStyle w:val="22"/>
                      <w:rFonts w:ascii="Times New Roman" w:hAnsi="Times New Roman" w:cs="Times New Roman"/>
                      <w:sz w:val="21"/>
                      <w:szCs w:val="21"/>
                      <w:vertAlign w:val="superscript"/>
                    </w:rPr>
                    <w:t>3</w:t>
                  </w:r>
                  <w:r>
                    <w:rPr>
                      <w:rFonts w:ascii="Times New Roman" w:hAnsi="Times New Roman" w:eastAsia="宋体"/>
                    </w:rPr>
                    <w:t>）</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60BF86">
                  <w:pPr>
                    <w:jc w:val="center"/>
                    <w:textAlignment w:val="center"/>
                    <w:rPr>
                      <w:rFonts w:ascii="Times New Roman" w:hAnsi="Times New Roman" w:eastAsia="宋体"/>
                    </w:rPr>
                  </w:pPr>
                  <w:r>
                    <w:rPr>
                      <w:rFonts w:ascii="Times New Roman" w:hAnsi="Times New Roman" w:eastAsia="宋体"/>
                    </w:rPr>
                    <w:t>标准值</w:t>
                  </w:r>
                  <w:r>
                    <w:rPr>
                      <w:rStyle w:val="24"/>
                      <w:rFonts w:ascii="Times New Roman" w:hAnsi="Times New Roman" w:eastAsia="宋体" w:cs="Times New Roman"/>
                      <w:sz w:val="21"/>
                      <w:szCs w:val="21"/>
                    </w:rPr>
                    <w:t>/</w:t>
                  </w:r>
                  <w:r>
                    <w:rPr>
                      <w:rFonts w:ascii="Times New Roman" w:hAnsi="Times New Roman" w:eastAsia="宋体"/>
                    </w:rPr>
                    <w:t>（</w:t>
                  </w:r>
                  <w:r>
                    <w:rPr>
                      <w:rStyle w:val="24"/>
                      <w:rFonts w:ascii="Times New Roman" w:hAnsi="Times New Roman" w:eastAsia="宋体" w:cs="Times New Roman"/>
                      <w:sz w:val="21"/>
                      <w:szCs w:val="21"/>
                    </w:rPr>
                    <w:t>µg/m</w:t>
                  </w:r>
                  <w:r>
                    <w:rPr>
                      <w:rStyle w:val="22"/>
                      <w:rFonts w:ascii="Times New Roman" w:hAnsi="Times New Roman" w:cs="Times New Roman"/>
                      <w:sz w:val="21"/>
                      <w:szCs w:val="21"/>
                      <w:vertAlign w:val="superscript"/>
                    </w:rPr>
                    <w:t>3</w:t>
                  </w:r>
                  <w:r>
                    <w:rPr>
                      <w:rFonts w:ascii="Times New Roman" w:hAnsi="Times New Roman" w:eastAsia="宋体"/>
                    </w:rPr>
                    <w:t>）</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F5C3C3">
                  <w:pPr>
                    <w:jc w:val="center"/>
                    <w:textAlignment w:val="center"/>
                    <w:rPr>
                      <w:rFonts w:ascii="Times New Roman" w:hAnsi="Times New Roman" w:eastAsia="宋体"/>
                    </w:rPr>
                  </w:pPr>
                  <w:r>
                    <w:rPr>
                      <w:rFonts w:ascii="Times New Roman" w:hAnsi="Times New Roman" w:eastAsia="宋体"/>
                    </w:rPr>
                    <w:t>占标率</w:t>
                  </w:r>
                  <w:r>
                    <w:rPr>
                      <w:rStyle w:val="25"/>
                      <w:rFonts w:eastAsia="宋体"/>
                    </w:rPr>
                    <w:t>/%</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3E03BF">
                  <w:pPr>
                    <w:jc w:val="center"/>
                    <w:textAlignment w:val="center"/>
                    <w:rPr>
                      <w:rFonts w:ascii="Times New Roman" w:hAnsi="Times New Roman" w:eastAsia="宋体"/>
                    </w:rPr>
                  </w:pPr>
                  <w:r>
                    <w:rPr>
                      <w:rFonts w:ascii="Times New Roman" w:hAnsi="Times New Roman" w:eastAsia="宋体"/>
                    </w:rPr>
                    <w:t>达标情况</w:t>
                  </w:r>
                </w:p>
              </w:tc>
            </w:tr>
            <w:tr w14:paraId="01024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26EF5F">
                  <w:pPr>
                    <w:jc w:val="center"/>
                    <w:textAlignment w:val="center"/>
                    <w:rPr>
                      <w:rFonts w:ascii="Times New Roman" w:hAnsi="Times New Roman" w:eastAsia="宋体"/>
                    </w:rPr>
                  </w:pPr>
                  <w:r>
                    <w:rPr>
                      <w:rFonts w:ascii="Times New Roman" w:hAnsi="Times New Roman" w:eastAsia="宋体"/>
                    </w:rPr>
                    <w:t>SO</w:t>
                  </w:r>
                  <w:r>
                    <w:rPr>
                      <w:rFonts w:ascii="Times New Roman" w:hAnsi="Times New Roman" w:eastAsia="宋体"/>
                      <w:vertAlign w:val="subscript"/>
                    </w:rPr>
                    <w:t>2</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35E720">
                  <w:pPr>
                    <w:jc w:val="center"/>
                    <w:textAlignment w:val="center"/>
                    <w:rPr>
                      <w:rFonts w:ascii="Times New Roman" w:hAnsi="Times New Roman" w:eastAsia="宋体"/>
                    </w:rPr>
                  </w:pPr>
                  <w:r>
                    <w:rPr>
                      <w:rFonts w:ascii="Times New Roman" w:hAnsi="Times New Roman" w:eastAsia="宋体"/>
                    </w:rPr>
                    <w:t>年平均质量浓度</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49F4A1">
                  <w:pPr>
                    <w:jc w:val="center"/>
                    <w:textAlignment w:val="center"/>
                    <w:rPr>
                      <w:rFonts w:ascii="Times New Roman" w:hAnsi="Times New Roman" w:eastAsia="宋体"/>
                    </w:rPr>
                  </w:pPr>
                  <w:r>
                    <w:rPr>
                      <w:rFonts w:hint="eastAsia" w:ascii="Times New Roman" w:hAnsi="Times New Roman" w:eastAsia="宋体"/>
                    </w:rPr>
                    <w:t>7</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C613C3">
                  <w:pPr>
                    <w:jc w:val="center"/>
                    <w:textAlignment w:val="bottom"/>
                    <w:rPr>
                      <w:rFonts w:ascii="Times New Roman" w:hAnsi="Times New Roman" w:eastAsia="宋体"/>
                    </w:rPr>
                  </w:pPr>
                  <w:r>
                    <w:rPr>
                      <w:rFonts w:ascii="Times New Roman" w:hAnsi="Times New Roman" w:eastAsia="宋体"/>
                    </w:rPr>
                    <w:t>60</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14:paraId="5BE5FAE5">
                  <w:pPr>
                    <w:jc w:val="center"/>
                    <w:textAlignment w:val="center"/>
                    <w:rPr>
                      <w:rFonts w:ascii="Times New Roman" w:hAnsi="Times New Roman" w:eastAsia="宋体"/>
                      <w:lang w:eastAsia="zh-CN"/>
                    </w:rPr>
                  </w:pPr>
                  <w:r>
                    <w:rPr>
                      <w:rFonts w:ascii="Times New Roman" w:hAnsi="Times New Roman" w:eastAsia="宋体"/>
                    </w:rPr>
                    <w:t>11.67</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D3FC97">
                  <w:pPr>
                    <w:jc w:val="center"/>
                    <w:textAlignment w:val="center"/>
                    <w:rPr>
                      <w:rFonts w:ascii="Times New Roman" w:hAnsi="Times New Roman" w:eastAsia="宋体"/>
                    </w:rPr>
                  </w:pPr>
                  <w:r>
                    <w:rPr>
                      <w:rFonts w:ascii="Times New Roman" w:hAnsi="Times New Roman" w:eastAsia="宋体"/>
                    </w:rPr>
                    <w:t>达标</w:t>
                  </w:r>
                </w:p>
              </w:tc>
            </w:tr>
            <w:tr w14:paraId="620EC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00AF3E">
                  <w:pPr>
                    <w:jc w:val="center"/>
                    <w:textAlignment w:val="center"/>
                    <w:rPr>
                      <w:rFonts w:ascii="Times New Roman" w:hAnsi="Times New Roman" w:eastAsia="宋体"/>
                    </w:rPr>
                  </w:pPr>
                  <w:r>
                    <w:rPr>
                      <w:rFonts w:ascii="Times New Roman" w:hAnsi="Times New Roman" w:eastAsia="宋体"/>
                    </w:rPr>
                    <w:t>NO</w:t>
                  </w:r>
                  <w:r>
                    <w:rPr>
                      <w:rFonts w:ascii="Times New Roman" w:hAnsi="Times New Roman" w:eastAsia="宋体"/>
                      <w:vertAlign w:val="subscript"/>
                    </w:rPr>
                    <w:t>2</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D3475D">
                  <w:pPr>
                    <w:jc w:val="center"/>
                    <w:textAlignment w:val="center"/>
                    <w:rPr>
                      <w:rFonts w:ascii="Times New Roman" w:hAnsi="Times New Roman" w:eastAsia="宋体"/>
                    </w:rPr>
                  </w:pPr>
                  <w:r>
                    <w:rPr>
                      <w:rFonts w:ascii="Times New Roman" w:hAnsi="Times New Roman" w:eastAsia="宋体"/>
                    </w:rPr>
                    <w:t>年平均质量浓度</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5DBD5A">
                  <w:pPr>
                    <w:jc w:val="center"/>
                    <w:textAlignment w:val="center"/>
                    <w:rPr>
                      <w:rFonts w:ascii="Times New Roman" w:hAnsi="Times New Roman" w:eastAsia="宋体"/>
                      <w:lang w:eastAsia="zh-CN"/>
                    </w:rPr>
                  </w:pPr>
                  <w:r>
                    <w:rPr>
                      <w:rFonts w:hint="eastAsia" w:ascii="Times New Roman" w:hAnsi="Times New Roman" w:eastAsia="宋体"/>
                      <w:lang w:eastAsia="zh-CN"/>
                    </w:rPr>
                    <w:t>30</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F3BAC4">
                  <w:pPr>
                    <w:jc w:val="center"/>
                    <w:textAlignment w:val="center"/>
                    <w:rPr>
                      <w:rFonts w:ascii="Times New Roman" w:hAnsi="Times New Roman" w:eastAsia="宋体"/>
                    </w:rPr>
                  </w:pPr>
                  <w:r>
                    <w:rPr>
                      <w:rFonts w:ascii="Times New Roman" w:hAnsi="Times New Roman" w:eastAsia="宋体"/>
                    </w:rPr>
                    <w:t>40</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14:paraId="4F9D0A30">
                  <w:pPr>
                    <w:jc w:val="center"/>
                    <w:textAlignment w:val="center"/>
                    <w:rPr>
                      <w:rFonts w:ascii="Times New Roman" w:hAnsi="Times New Roman" w:eastAsia="宋体"/>
                      <w:lang w:eastAsia="zh-CN"/>
                    </w:rPr>
                  </w:pPr>
                  <w:r>
                    <w:rPr>
                      <w:rFonts w:ascii="Times New Roman" w:hAnsi="Times New Roman" w:eastAsia="宋体"/>
                    </w:rPr>
                    <w:t>7</w:t>
                  </w:r>
                  <w:r>
                    <w:rPr>
                      <w:rFonts w:hint="eastAsia" w:ascii="Times New Roman" w:hAnsi="Times New Roman" w:eastAsia="宋体"/>
                      <w:lang w:eastAsia="zh-CN"/>
                    </w:rPr>
                    <w:t>5.00</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C20C4C">
                  <w:pPr>
                    <w:jc w:val="center"/>
                    <w:textAlignment w:val="center"/>
                    <w:rPr>
                      <w:rFonts w:ascii="Times New Roman" w:hAnsi="Times New Roman" w:eastAsia="宋体"/>
                    </w:rPr>
                  </w:pPr>
                  <w:r>
                    <w:rPr>
                      <w:rFonts w:ascii="Times New Roman" w:hAnsi="Times New Roman" w:eastAsia="宋体"/>
                    </w:rPr>
                    <w:t>达标</w:t>
                  </w:r>
                </w:p>
              </w:tc>
            </w:tr>
            <w:tr w14:paraId="04AE2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21BD5E">
                  <w:pPr>
                    <w:jc w:val="center"/>
                    <w:textAlignment w:val="center"/>
                    <w:rPr>
                      <w:rFonts w:ascii="Times New Roman" w:hAnsi="Times New Roman" w:eastAsia="宋体"/>
                    </w:rPr>
                  </w:pPr>
                  <w:r>
                    <w:rPr>
                      <w:rFonts w:ascii="Times New Roman" w:hAnsi="Times New Roman" w:eastAsia="宋体"/>
                    </w:rPr>
                    <w:t>PM</w:t>
                  </w:r>
                  <w:r>
                    <w:rPr>
                      <w:rFonts w:ascii="Times New Roman" w:hAnsi="Times New Roman" w:eastAsia="宋体"/>
                      <w:vertAlign w:val="subscript"/>
                    </w:rPr>
                    <w:t>10</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C43EE3">
                  <w:pPr>
                    <w:jc w:val="center"/>
                    <w:textAlignment w:val="center"/>
                    <w:rPr>
                      <w:rFonts w:ascii="Times New Roman" w:hAnsi="Times New Roman" w:eastAsia="宋体"/>
                    </w:rPr>
                  </w:pPr>
                  <w:r>
                    <w:rPr>
                      <w:rFonts w:ascii="Times New Roman" w:hAnsi="Times New Roman" w:eastAsia="宋体"/>
                    </w:rPr>
                    <w:t>年平均质量浓度</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6B5555">
                  <w:pPr>
                    <w:jc w:val="center"/>
                    <w:textAlignment w:val="center"/>
                    <w:rPr>
                      <w:rFonts w:ascii="Times New Roman" w:hAnsi="Times New Roman" w:eastAsia="宋体"/>
                      <w:lang w:eastAsia="zh-CN"/>
                    </w:rPr>
                  </w:pPr>
                  <w:r>
                    <w:rPr>
                      <w:rFonts w:hint="eastAsia" w:ascii="Times New Roman" w:hAnsi="Times New Roman" w:eastAsia="宋体"/>
                      <w:lang w:eastAsia="zh-CN"/>
                    </w:rPr>
                    <w:t>70</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0EC06C">
                  <w:pPr>
                    <w:jc w:val="center"/>
                    <w:textAlignment w:val="center"/>
                    <w:rPr>
                      <w:rFonts w:ascii="Times New Roman" w:hAnsi="Times New Roman" w:eastAsia="宋体"/>
                    </w:rPr>
                  </w:pPr>
                  <w:r>
                    <w:rPr>
                      <w:rFonts w:ascii="Times New Roman" w:hAnsi="Times New Roman" w:eastAsia="宋体"/>
                    </w:rPr>
                    <w:t>70</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14:paraId="3C19FA7B">
                  <w:pPr>
                    <w:jc w:val="center"/>
                    <w:textAlignment w:val="center"/>
                    <w:rPr>
                      <w:rFonts w:ascii="Times New Roman" w:hAnsi="Times New Roman" w:eastAsia="宋体"/>
                      <w:lang w:eastAsia="zh-CN"/>
                    </w:rPr>
                  </w:pPr>
                  <w:r>
                    <w:rPr>
                      <w:rFonts w:ascii="Times New Roman" w:hAnsi="Times New Roman" w:eastAsia="宋体"/>
                    </w:rPr>
                    <w:t>10</w:t>
                  </w:r>
                  <w:r>
                    <w:rPr>
                      <w:rFonts w:hint="eastAsia" w:ascii="Times New Roman" w:hAnsi="Times New Roman" w:eastAsia="宋体"/>
                      <w:lang w:eastAsia="zh-CN"/>
                    </w:rPr>
                    <w:t>0.00</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922460">
                  <w:pPr>
                    <w:jc w:val="center"/>
                    <w:textAlignment w:val="center"/>
                    <w:rPr>
                      <w:rFonts w:ascii="Times New Roman" w:hAnsi="Times New Roman" w:eastAsia="宋体"/>
                    </w:rPr>
                  </w:pPr>
                  <w:r>
                    <w:rPr>
                      <w:rFonts w:ascii="Times New Roman" w:hAnsi="Times New Roman" w:eastAsia="宋体"/>
                    </w:rPr>
                    <w:t>达标</w:t>
                  </w:r>
                </w:p>
              </w:tc>
            </w:tr>
            <w:tr w14:paraId="0D5FB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1ED807">
                  <w:pPr>
                    <w:jc w:val="center"/>
                    <w:textAlignment w:val="center"/>
                    <w:rPr>
                      <w:rFonts w:ascii="Times New Roman" w:hAnsi="Times New Roman" w:eastAsia="宋体"/>
                    </w:rPr>
                  </w:pPr>
                  <w:r>
                    <w:rPr>
                      <w:rFonts w:ascii="Times New Roman" w:hAnsi="Times New Roman" w:eastAsia="宋体"/>
                    </w:rPr>
                    <w:t>PM</w:t>
                  </w:r>
                  <w:r>
                    <w:rPr>
                      <w:rFonts w:ascii="Times New Roman" w:hAnsi="Times New Roman" w:eastAsia="宋体"/>
                      <w:vertAlign w:val="subscript"/>
                    </w:rPr>
                    <w:t>2.5</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0403FF">
                  <w:pPr>
                    <w:jc w:val="center"/>
                    <w:textAlignment w:val="center"/>
                    <w:rPr>
                      <w:rFonts w:ascii="Times New Roman" w:hAnsi="Times New Roman" w:eastAsia="宋体"/>
                    </w:rPr>
                  </w:pPr>
                  <w:r>
                    <w:rPr>
                      <w:rFonts w:ascii="Times New Roman" w:hAnsi="Times New Roman" w:eastAsia="宋体"/>
                    </w:rPr>
                    <w:t>年平均质量浓度</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F49A46">
                  <w:pPr>
                    <w:jc w:val="center"/>
                    <w:textAlignment w:val="center"/>
                    <w:rPr>
                      <w:rFonts w:ascii="Times New Roman" w:hAnsi="Times New Roman" w:eastAsia="宋体"/>
                      <w:lang w:eastAsia="zh-CN"/>
                    </w:rPr>
                  </w:pPr>
                  <w:r>
                    <w:rPr>
                      <w:rFonts w:hint="eastAsia" w:ascii="Times New Roman" w:hAnsi="Times New Roman" w:eastAsia="宋体"/>
                      <w:lang w:eastAsia="zh-CN"/>
                    </w:rPr>
                    <w:t>40</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88F06E">
                  <w:pPr>
                    <w:jc w:val="center"/>
                    <w:textAlignment w:val="center"/>
                    <w:rPr>
                      <w:rFonts w:ascii="Times New Roman" w:hAnsi="Times New Roman" w:eastAsia="宋体"/>
                    </w:rPr>
                  </w:pPr>
                  <w:r>
                    <w:rPr>
                      <w:rFonts w:ascii="Times New Roman" w:hAnsi="Times New Roman" w:eastAsia="宋体"/>
                    </w:rPr>
                    <w:t>35</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14:paraId="12CA2621">
                  <w:pPr>
                    <w:jc w:val="center"/>
                    <w:textAlignment w:val="center"/>
                    <w:rPr>
                      <w:rFonts w:ascii="Times New Roman" w:hAnsi="Times New Roman" w:eastAsia="宋体"/>
                      <w:lang w:eastAsia="zh-CN"/>
                    </w:rPr>
                  </w:pPr>
                  <w:r>
                    <w:rPr>
                      <w:rFonts w:ascii="Times New Roman" w:hAnsi="Times New Roman" w:eastAsia="宋体"/>
                    </w:rPr>
                    <w:t>1</w:t>
                  </w:r>
                  <w:r>
                    <w:rPr>
                      <w:rFonts w:hint="eastAsia" w:ascii="Times New Roman" w:hAnsi="Times New Roman" w:eastAsia="宋体"/>
                      <w:lang w:eastAsia="zh-CN"/>
                    </w:rPr>
                    <w:t>14.29</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0CE6F7">
                  <w:pPr>
                    <w:jc w:val="center"/>
                    <w:textAlignment w:val="center"/>
                    <w:rPr>
                      <w:rFonts w:ascii="Times New Roman" w:hAnsi="Times New Roman" w:eastAsia="宋体"/>
                    </w:rPr>
                  </w:pPr>
                  <w:r>
                    <w:rPr>
                      <w:rFonts w:ascii="Times New Roman" w:hAnsi="Times New Roman" w:eastAsia="宋体"/>
                    </w:rPr>
                    <w:t>不达标</w:t>
                  </w:r>
                </w:p>
              </w:tc>
            </w:tr>
            <w:tr w14:paraId="11A11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6E2091">
                  <w:pPr>
                    <w:jc w:val="center"/>
                    <w:textAlignment w:val="center"/>
                    <w:rPr>
                      <w:rFonts w:ascii="Times New Roman" w:hAnsi="Times New Roman" w:eastAsia="宋体"/>
                    </w:rPr>
                  </w:pPr>
                  <w:r>
                    <w:rPr>
                      <w:rFonts w:ascii="Times New Roman" w:hAnsi="Times New Roman" w:eastAsia="宋体"/>
                    </w:rPr>
                    <w:t>CO</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0141E8">
                  <w:pPr>
                    <w:jc w:val="center"/>
                    <w:textAlignment w:val="center"/>
                    <w:rPr>
                      <w:rFonts w:ascii="Times New Roman" w:hAnsi="Times New Roman" w:eastAsia="宋体"/>
                    </w:rPr>
                  </w:pPr>
                  <w:r>
                    <w:rPr>
                      <w:rFonts w:ascii="Times New Roman" w:hAnsi="Times New Roman" w:eastAsia="宋体"/>
                    </w:rPr>
                    <w:t>24小时平均第95百分位数</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65484F">
                  <w:pPr>
                    <w:jc w:val="center"/>
                    <w:textAlignment w:val="center"/>
                    <w:rPr>
                      <w:rFonts w:ascii="Times New Roman" w:hAnsi="Times New Roman" w:eastAsia="宋体"/>
                    </w:rPr>
                  </w:pPr>
                  <w:r>
                    <w:rPr>
                      <w:rFonts w:ascii="Times New Roman" w:hAnsi="Times New Roman" w:eastAsia="宋体"/>
                    </w:rPr>
                    <w:t>1.8mg/m</w:t>
                  </w:r>
                  <w:r>
                    <w:rPr>
                      <w:rFonts w:ascii="Times New Roman" w:hAnsi="Times New Roman" w:eastAsia="宋体"/>
                      <w:vertAlign w:val="superscript"/>
                    </w:rPr>
                    <w:t>3</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EFEF05">
                  <w:pPr>
                    <w:jc w:val="center"/>
                    <w:textAlignment w:val="center"/>
                    <w:rPr>
                      <w:rFonts w:ascii="Times New Roman" w:hAnsi="Times New Roman" w:eastAsia="宋体"/>
                      <w:vertAlign w:val="superscript"/>
                    </w:rPr>
                  </w:pPr>
                  <w:r>
                    <w:rPr>
                      <w:rFonts w:ascii="Times New Roman" w:hAnsi="Times New Roman" w:eastAsia="宋体"/>
                    </w:rPr>
                    <w:t>4mg/m</w:t>
                  </w:r>
                  <w:r>
                    <w:rPr>
                      <w:rFonts w:ascii="Times New Roman" w:hAnsi="Times New Roman" w:eastAsia="宋体"/>
                      <w:vertAlign w:val="superscript"/>
                    </w:rPr>
                    <w:t>3</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96C6E0">
                  <w:pPr>
                    <w:jc w:val="center"/>
                    <w:textAlignment w:val="center"/>
                    <w:rPr>
                      <w:rFonts w:ascii="Times New Roman" w:hAnsi="Times New Roman" w:eastAsia="宋体"/>
                    </w:rPr>
                  </w:pPr>
                  <w:r>
                    <w:rPr>
                      <w:rFonts w:ascii="Times New Roman" w:hAnsi="Times New Roman" w:eastAsia="宋体"/>
                    </w:rPr>
                    <w:t>45.0</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83F702">
                  <w:pPr>
                    <w:jc w:val="center"/>
                    <w:textAlignment w:val="center"/>
                    <w:rPr>
                      <w:rFonts w:ascii="Times New Roman" w:hAnsi="Times New Roman" w:eastAsia="宋体"/>
                    </w:rPr>
                  </w:pPr>
                  <w:r>
                    <w:rPr>
                      <w:rFonts w:ascii="Times New Roman" w:hAnsi="Times New Roman" w:eastAsia="宋体"/>
                    </w:rPr>
                    <w:t>达标</w:t>
                  </w:r>
                </w:p>
              </w:tc>
            </w:tr>
            <w:tr w14:paraId="492B5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5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6CDB70">
                  <w:pPr>
                    <w:jc w:val="center"/>
                    <w:textAlignment w:val="center"/>
                    <w:rPr>
                      <w:rFonts w:ascii="Times New Roman" w:hAnsi="Times New Roman" w:eastAsia="宋体"/>
                    </w:rPr>
                  </w:pPr>
                  <w:r>
                    <w:rPr>
                      <w:rFonts w:ascii="Times New Roman" w:hAnsi="Times New Roman" w:eastAsia="宋体"/>
                    </w:rPr>
                    <w:t>O</w:t>
                  </w:r>
                  <w:r>
                    <w:rPr>
                      <w:rFonts w:ascii="Times New Roman" w:hAnsi="Times New Roman" w:eastAsia="宋体"/>
                      <w:vertAlign w:val="subscript"/>
                    </w:rPr>
                    <w:t>3</w:t>
                  </w:r>
                </w:p>
              </w:tc>
              <w:tc>
                <w:tcPr>
                  <w:tcW w:w="1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9B27F4">
                  <w:pPr>
                    <w:jc w:val="center"/>
                    <w:textAlignment w:val="center"/>
                    <w:rPr>
                      <w:rFonts w:ascii="Times New Roman" w:hAnsi="Times New Roman" w:eastAsia="宋体"/>
                      <w:lang w:eastAsia="zh-CN"/>
                    </w:rPr>
                  </w:pPr>
                  <w:r>
                    <w:rPr>
                      <w:rFonts w:ascii="Times New Roman" w:hAnsi="Times New Roman" w:eastAsia="宋体"/>
                      <w:lang w:eastAsia="zh-CN"/>
                    </w:rPr>
                    <w:t>日最大8小时滑动平均值的第90百分位数</w:t>
                  </w:r>
                </w:p>
              </w:tc>
              <w:tc>
                <w:tcPr>
                  <w:tcW w:w="77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FAA879">
                  <w:pPr>
                    <w:jc w:val="center"/>
                    <w:textAlignment w:val="center"/>
                    <w:rPr>
                      <w:rFonts w:ascii="Times New Roman" w:hAnsi="Times New Roman" w:eastAsia="宋体"/>
                      <w:lang w:eastAsia="zh-CN"/>
                    </w:rPr>
                  </w:pPr>
                  <w:r>
                    <w:rPr>
                      <w:rFonts w:hint="eastAsia" w:ascii="Times New Roman" w:hAnsi="Times New Roman" w:eastAsia="宋体"/>
                      <w:lang w:eastAsia="zh-CN"/>
                    </w:rPr>
                    <w:t>134</w:t>
                  </w:r>
                </w:p>
              </w:tc>
              <w:tc>
                <w:tcPr>
                  <w:tcW w:w="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2A4326">
                  <w:pPr>
                    <w:jc w:val="center"/>
                    <w:textAlignment w:val="center"/>
                    <w:rPr>
                      <w:rFonts w:ascii="Times New Roman" w:hAnsi="Times New Roman" w:eastAsia="宋体"/>
                      <w:lang w:eastAsia="zh-CN"/>
                    </w:rPr>
                  </w:pPr>
                  <w:r>
                    <w:rPr>
                      <w:rFonts w:ascii="Times New Roman" w:hAnsi="Times New Roman" w:eastAsia="宋体"/>
                      <w:lang w:eastAsia="zh-CN"/>
                    </w:rPr>
                    <w:t>160</w:t>
                  </w:r>
                </w:p>
              </w:tc>
              <w:tc>
                <w:tcPr>
                  <w:tcW w:w="6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2AC2FA">
                  <w:pPr>
                    <w:jc w:val="center"/>
                    <w:textAlignment w:val="center"/>
                    <w:rPr>
                      <w:rFonts w:ascii="Times New Roman" w:hAnsi="Times New Roman" w:eastAsia="宋体"/>
                      <w:lang w:eastAsia="zh-CN"/>
                    </w:rPr>
                  </w:pPr>
                  <w:r>
                    <w:rPr>
                      <w:rFonts w:hint="eastAsia" w:ascii="Times New Roman" w:hAnsi="Times New Roman" w:eastAsia="宋体"/>
                      <w:lang w:eastAsia="zh-CN"/>
                    </w:rPr>
                    <w:t>83.75</w:t>
                  </w:r>
                </w:p>
              </w:tc>
              <w:tc>
                <w:tcPr>
                  <w:tcW w:w="73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B76773">
                  <w:pPr>
                    <w:jc w:val="center"/>
                    <w:textAlignment w:val="center"/>
                    <w:rPr>
                      <w:rFonts w:ascii="Times New Roman" w:hAnsi="Times New Roman" w:eastAsia="宋体"/>
                      <w:lang w:eastAsia="zh-CN"/>
                    </w:rPr>
                  </w:pPr>
                  <w:r>
                    <w:rPr>
                      <w:rFonts w:ascii="Times New Roman" w:hAnsi="Times New Roman" w:eastAsia="宋体"/>
                      <w:lang w:eastAsia="zh-CN"/>
                    </w:rPr>
                    <w:t>达标</w:t>
                  </w:r>
                </w:p>
              </w:tc>
            </w:tr>
          </w:tbl>
          <w:p w14:paraId="2819BDE1">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按照《环境空气质量标准》（GB3095-2012）规定，</w:t>
            </w:r>
            <w:r>
              <w:rPr>
                <w:rFonts w:hint="eastAsia" w:ascii="Times New Roman" w:hAnsi="Times New Roman" w:eastAsia="宋体"/>
                <w:sz w:val="24"/>
                <w:lang w:eastAsia="zh-CN"/>
              </w:rPr>
              <w:t>昌吉</w:t>
            </w:r>
            <w:r>
              <w:rPr>
                <w:rFonts w:ascii="Times New Roman" w:hAnsi="Times New Roman" w:eastAsia="宋体"/>
                <w:sz w:val="24"/>
                <w:lang w:eastAsia="zh-CN"/>
              </w:rPr>
              <w:t>市202</w:t>
            </w:r>
            <w:r>
              <w:rPr>
                <w:rFonts w:hint="eastAsia" w:ascii="Times New Roman" w:hAnsi="Times New Roman" w:eastAsia="宋体"/>
                <w:sz w:val="24"/>
                <w:lang w:eastAsia="zh-CN"/>
              </w:rPr>
              <w:t>4</w:t>
            </w:r>
            <w:r>
              <w:rPr>
                <w:rFonts w:ascii="Times New Roman" w:hAnsi="Times New Roman" w:eastAsia="宋体"/>
                <w:sz w:val="24"/>
                <w:lang w:eastAsia="zh-CN"/>
              </w:rPr>
              <w:t>年平均质量浓度PM2.5超过二级标准限值，占标率分别为</w:t>
            </w:r>
            <w:r>
              <w:rPr>
                <w:rFonts w:hint="eastAsia" w:ascii="Times New Roman" w:hAnsi="Times New Roman" w:eastAsia="宋体"/>
                <w:sz w:val="24"/>
                <w:lang w:eastAsia="zh-CN"/>
              </w:rPr>
              <w:t>114.29</w:t>
            </w:r>
            <w:r>
              <w:rPr>
                <w:rFonts w:ascii="Times New Roman" w:hAnsi="Times New Roman" w:eastAsia="宋体"/>
                <w:sz w:val="24"/>
                <w:lang w:eastAsia="zh-CN"/>
              </w:rPr>
              <w:t>%，SO</w:t>
            </w:r>
            <w:r>
              <w:rPr>
                <w:rFonts w:ascii="Times New Roman" w:hAnsi="Times New Roman" w:eastAsia="宋体"/>
                <w:sz w:val="24"/>
                <w:vertAlign w:val="subscript"/>
                <w:lang w:eastAsia="zh-CN"/>
              </w:rPr>
              <w:t>2</w:t>
            </w:r>
            <w:r>
              <w:rPr>
                <w:rFonts w:ascii="Times New Roman" w:hAnsi="Times New Roman" w:eastAsia="宋体"/>
                <w:sz w:val="24"/>
                <w:lang w:eastAsia="zh-CN"/>
              </w:rPr>
              <w:t>、NO</w:t>
            </w:r>
            <w:r>
              <w:rPr>
                <w:rFonts w:ascii="Times New Roman" w:hAnsi="Times New Roman" w:eastAsia="宋体"/>
                <w:sz w:val="24"/>
                <w:vertAlign w:val="subscript"/>
                <w:lang w:eastAsia="zh-CN"/>
              </w:rPr>
              <w:t>2</w:t>
            </w:r>
            <w:r>
              <w:rPr>
                <w:rFonts w:ascii="Times New Roman" w:hAnsi="Times New Roman" w:eastAsia="宋体"/>
                <w:sz w:val="24"/>
                <w:lang w:eastAsia="zh-CN"/>
              </w:rPr>
              <w:t>、O</w:t>
            </w:r>
            <w:r>
              <w:rPr>
                <w:rFonts w:ascii="Times New Roman" w:hAnsi="Times New Roman" w:eastAsia="宋体"/>
                <w:sz w:val="24"/>
                <w:vertAlign w:val="subscript"/>
                <w:lang w:eastAsia="zh-CN"/>
              </w:rPr>
              <w:t>3</w:t>
            </w:r>
            <w:r>
              <w:rPr>
                <w:rFonts w:ascii="Times New Roman" w:hAnsi="Times New Roman" w:eastAsia="宋体"/>
                <w:sz w:val="24"/>
                <w:lang w:eastAsia="zh-CN"/>
              </w:rPr>
              <w:t>、CO均未超出二级标准限值。超标原因主要是因为工程区处于新疆</w:t>
            </w:r>
            <w:r>
              <w:rPr>
                <w:rFonts w:hint="eastAsia" w:ascii="Times New Roman" w:hAnsi="Times New Roman" w:eastAsia="宋体"/>
                <w:sz w:val="24"/>
                <w:lang w:eastAsia="zh-CN"/>
              </w:rPr>
              <w:t>北</w:t>
            </w:r>
            <w:r>
              <w:rPr>
                <w:rFonts w:ascii="Times New Roman" w:hAnsi="Times New Roman" w:eastAsia="宋体"/>
                <w:sz w:val="24"/>
                <w:lang w:eastAsia="zh-CN"/>
              </w:rPr>
              <w:t>疆地区，干旱少雨，</w:t>
            </w:r>
            <w:r>
              <w:rPr>
                <w:rFonts w:hint="eastAsia" w:ascii="Times New Roman" w:hAnsi="Times New Roman" w:eastAsia="宋体"/>
                <w:sz w:val="24"/>
                <w:lang w:eastAsia="zh-CN"/>
              </w:rPr>
              <w:t>春季</w:t>
            </w:r>
            <w:r>
              <w:rPr>
                <w:rFonts w:ascii="Times New Roman" w:hAnsi="Times New Roman" w:eastAsia="宋体"/>
                <w:sz w:val="24"/>
                <w:lang w:eastAsia="zh-CN"/>
              </w:rPr>
              <w:t>风沙较大。参照《环境影响评价技术导则</w:t>
            </w:r>
            <w:r>
              <w:rPr>
                <w:rFonts w:hint="eastAsia" w:ascii="Times New Roman" w:hAnsi="Times New Roman" w:eastAsia="宋体"/>
                <w:sz w:val="24"/>
                <w:lang w:eastAsia="zh-CN"/>
              </w:rPr>
              <w:t xml:space="preserve"> </w:t>
            </w:r>
            <w:r>
              <w:rPr>
                <w:rFonts w:ascii="Times New Roman" w:hAnsi="Times New Roman" w:eastAsia="宋体"/>
                <w:sz w:val="24"/>
                <w:lang w:eastAsia="zh-CN"/>
              </w:rPr>
              <w:t>大气环境》（HJ2.2-2018）中6.4.1项目所在区域达标判断规定：“城市环境空气质量达标情况评价指标为SO</w:t>
            </w:r>
            <w:r>
              <w:rPr>
                <w:rFonts w:ascii="Times New Roman" w:hAnsi="Times New Roman" w:eastAsia="宋体"/>
                <w:sz w:val="24"/>
                <w:vertAlign w:val="subscript"/>
                <w:lang w:eastAsia="zh-CN"/>
              </w:rPr>
              <w:t>2</w:t>
            </w:r>
            <w:r>
              <w:rPr>
                <w:rFonts w:ascii="Times New Roman" w:hAnsi="Times New Roman" w:eastAsia="宋体"/>
                <w:sz w:val="24"/>
                <w:lang w:eastAsia="zh-CN"/>
              </w:rPr>
              <w:t>、NO</w:t>
            </w:r>
            <w:r>
              <w:rPr>
                <w:rFonts w:ascii="Times New Roman" w:hAnsi="Times New Roman" w:eastAsia="宋体"/>
                <w:sz w:val="24"/>
                <w:vertAlign w:val="subscript"/>
                <w:lang w:eastAsia="zh-CN"/>
              </w:rPr>
              <w:t>2</w:t>
            </w:r>
            <w:r>
              <w:rPr>
                <w:rFonts w:ascii="Times New Roman" w:hAnsi="Times New Roman" w:eastAsia="宋体"/>
                <w:sz w:val="24"/>
                <w:lang w:eastAsia="zh-CN"/>
              </w:rPr>
              <w:t>、PM</w:t>
            </w:r>
            <w:r>
              <w:rPr>
                <w:rFonts w:ascii="Times New Roman" w:hAnsi="Times New Roman" w:eastAsia="宋体"/>
                <w:sz w:val="24"/>
                <w:vertAlign w:val="subscript"/>
                <w:lang w:eastAsia="zh-CN"/>
              </w:rPr>
              <w:t>10</w:t>
            </w:r>
            <w:r>
              <w:rPr>
                <w:rFonts w:ascii="Times New Roman" w:hAnsi="Times New Roman" w:eastAsia="宋体"/>
                <w:sz w:val="24"/>
                <w:lang w:eastAsia="zh-CN"/>
              </w:rPr>
              <w:t>、PM</w:t>
            </w:r>
            <w:r>
              <w:rPr>
                <w:rFonts w:ascii="Times New Roman" w:hAnsi="Times New Roman" w:eastAsia="宋体"/>
                <w:sz w:val="24"/>
                <w:vertAlign w:val="subscript"/>
                <w:lang w:eastAsia="zh-CN"/>
              </w:rPr>
              <w:t>2.5</w:t>
            </w:r>
            <w:r>
              <w:rPr>
                <w:rFonts w:ascii="Times New Roman" w:hAnsi="Times New Roman" w:eastAsia="宋体"/>
                <w:sz w:val="24"/>
                <w:lang w:eastAsia="zh-CN"/>
              </w:rPr>
              <w:t>、CO、O</w:t>
            </w:r>
            <w:r>
              <w:rPr>
                <w:rFonts w:ascii="Times New Roman" w:hAnsi="Times New Roman" w:eastAsia="宋体"/>
                <w:sz w:val="24"/>
                <w:vertAlign w:val="subscript"/>
                <w:lang w:eastAsia="zh-CN"/>
              </w:rPr>
              <w:t>3</w:t>
            </w:r>
            <w:r>
              <w:rPr>
                <w:rFonts w:ascii="Times New Roman" w:hAnsi="Times New Roman" w:eastAsia="宋体"/>
                <w:sz w:val="24"/>
                <w:lang w:eastAsia="zh-CN"/>
              </w:rPr>
              <w:t>，六项污染物全部达标即为城市环境空气质量达标”可知，本项目所在区域为不达标区。</w:t>
            </w:r>
          </w:p>
          <w:p w14:paraId="2FD4A710">
            <w:pPr>
              <w:widowControl w:val="0"/>
              <w:spacing w:line="360" w:lineRule="auto"/>
              <w:ind w:firstLine="480" w:firstLineChars="200"/>
              <w:jc w:val="both"/>
              <w:rPr>
                <w:rFonts w:ascii="Times New Roman" w:hAnsi="Times New Roman" w:eastAsia="宋体"/>
                <w:sz w:val="24"/>
                <w:lang w:eastAsia="zh-CN"/>
              </w:rPr>
            </w:pPr>
            <w:r>
              <w:rPr>
                <w:rFonts w:hint="eastAsia" w:ascii="Times New Roman" w:hAnsi="Times New Roman" w:eastAsia="宋体"/>
                <w:sz w:val="24"/>
                <w:lang w:eastAsia="zh-CN"/>
              </w:rPr>
              <w:t>1.5</w:t>
            </w:r>
            <w:r>
              <w:rPr>
                <w:rFonts w:ascii="Times New Roman" w:hAnsi="Times New Roman" w:eastAsia="宋体"/>
                <w:sz w:val="24"/>
                <w:lang w:eastAsia="zh-CN"/>
              </w:rPr>
              <w:t>其他污染物环境质量现状补充监测</w:t>
            </w:r>
          </w:p>
          <w:p w14:paraId="0BC023AA">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本次评价采用新疆环疆绿源环境科技有限公司于2023年1月7日</w:t>
            </w:r>
            <w:r>
              <w:rPr>
                <w:rFonts w:hint="eastAsia" w:ascii="Times New Roman" w:hAnsi="Times New Roman" w:eastAsia="宋体"/>
                <w:sz w:val="24"/>
                <w:lang w:eastAsia="zh-CN"/>
              </w:rPr>
              <w:t>—</w:t>
            </w:r>
            <w:r>
              <w:rPr>
                <w:rFonts w:ascii="Times New Roman" w:hAnsi="Times New Roman" w:eastAsia="宋体"/>
                <w:sz w:val="24"/>
                <w:lang w:eastAsia="zh-CN"/>
              </w:rPr>
              <w:t>1月10日对本项目评价区域进行了环境空气质量现状监测结果。</w:t>
            </w:r>
          </w:p>
          <w:p w14:paraId="1B25EB42">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（1）监测布点</w:t>
            </w:r>
          </w:p>
          <w:p w14:paraId="4CEB9FD8">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本次特征污染物环境质量现状监测点布置在本项目厂址内，地理坐标为：E</w:t>
            </w:r>
            <w:r>
              <w:rPr>
                <w:rFonts w:hint="eastAsia" w:ascii="Times New Roman" w:hAnsi="Times New Roman" w:eastAsia="宋体"/>
                <w:sz w:val="24"/>
                <w:lang w:eastAsia="zh-CN"/>
              </w:rPr>
              <w:t>：</w:t>
            </w:r>
            <w:r>
              <w:rPr>
                <w:rFonts w:ascii="Times New Roman" w:hAnsi="Times New Roman" w:eastAsia="宋体"/>
                <w:sz w:val="24"/>
                <w:lang w:eastAsia="zh-CN"/>
              </w:rPr>
              <w:t>88°59′50.49</w:t>
            </w:r>
            <w:r>
              <w:rPr>
                <w:rFonts w:hint="eastAsia" w:ascii="Times New Roman" w:hAnsi="Times New Roman" w:eastAsia="宋体"/>
                <w:sz w:val="24"/>
                <w:lang w:eastAsia="zh-CN"/>
              </w:rPr>
              <w:t>5</w:t>
            </w:r>
            <w:r>
              <w:rPr>
                <w:rFonts w:ascii="Times New Roman" w:hAnsi="Times New Roman" w:eastAsia="宋体"/>
                <w:sz w:val="24"/>
                <w:lang w:eastAsia="zh-CN"/>
              </w:rPr>
              <w:t>″、N：44°4′24.98</w:t>
            </w:r>
            <w:r>
              <w:rPr>
                <w:rFonts w:hint="eastAsia" w:ascii="Times New Roman" w:hAnsi="Times New Roman" w:eastAsia="宋体"/>
                <w:sz w:val="24"/>
                <w:lang w:eastAsia="zh-CN"/>
              </w:rPr>
              <w:t>5</w:t>
            </w:r>
            <w:r>
              <w:rPr>
                <w:rFonts w:ascii="Times New Roman" w:hAnsi="Times New Roman" w:eastAsia="宋体"/>
                <w:sz w:val="24"/>
                <w:lang w:eastAsia="zh-CN"/>
              </w:rPr>
              <w:t>″，能够代表</w:t>
            </w:r>
            <w:r>
              <w:rPr>
                <w:rFonts w:hint="eastAsia" w:ascii="Times New Roman" w:hAnsi="Times New Roman" w:eastAsia="宋体"/>
                <w:sz w:val="24"/>
                <w:lang w:eastAsia="zh-CN"/>
              </w:rPr>
              <w:t>项目</w:t>
            </w:r>
            <w:r>
              <w:rPr>
                <w:rFonts w:ascii="Times New Roman" w:hAnsi="Times New Roman" w:eastAsia="宋体"/>
                <w:sz w:val="24"/>
                <w:lang w:eastAsia="zh-CN"/>
              </w:rPr>
              <w:t>评价区域大气环境质量现状。</w:t>
            </w:r>
          </w:p>
          <w:p w14:paraId="4E8CB622">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（2）监测因子及评价标准</w:t>
            </w:r>
          </w:p>
          <w:p w14:paraId="7BBFCD6C">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监测因子：TSP。</w:t>
            </w:r>
          </w:p>
          <w:p w14:paraId="344DA513">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评价标准：TSP执行《环境空气质量标准》（GB3095-2012）中二级标准。</w:t>
            </w:r>
          </w:p>
          <w:p w14:paraId="31FA0466">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（3）监测时间及频次</w:t>
            </w:r>
          </w:p>
          <w:p w14:paraId="244464DD">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TSP：每天不少于24小时采样时间，连续监测3天。</w:t>
            </w:r>
          </w:p>
          <w:p w14:paraId="73E094C1">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（4）评价方法</w:t>
            </w:r>
          </w:p>
          <w:p w14:paraId="769E362D">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采用占标率法进行环境空气质量的现状评价，其评价公式为：</w:t>
            </w:r>
          </w:p>
          <w:p w14:paraId="70EB0AA0">
            <w:pPr>
              <w:widowControl w:val="0"/>
              <w:spacing w:line="360" w:lineRule="auto"/>
              <w:ind w:firstLine="480" w:firstLineChars="200"/>
              <w:jc w:val="center"/>
              <w:rPr>
                <w:rFonts w:ascii="Times New Roman" w:hAnsi="Times New Roman" w:eastAsia="宋体"/>
                <w:sz w:val="24"/>
              </w:rPr>
            </w:pPr>
            <w:r>
              <w:rPr>
                <w:rFonts w:ascii="Times New Roman" w:hAnsi="Times New Roman" w:eastAsia="宋体"/>
                <w:sz w:val="24"/>
              </w:rPr>
              <w:t>P</w:t>
            </w:r>
            <w:r>
              <w:rPr>
                <w:rFonts w:ascii="Times New Roman" w:hAnsi="Times New Roman" w:eastAsia="宋体"/>
                <w:sz w:val="24"/>
                <w:vertAlign w:val="subscript"/>
              </w:rPr>
              <w:t>i</w:t>
            </w:r>
            <w:r>
              <w:rPr>
                <w:rFonts w:ascii="Times New Roman" w:hAnsi="Times New Roman" w:eastAsia="宋体"/>
                <w:sz w:val="24"/>
              </w:rPr>
              <w:t>=</w:t>
            </w:r>
            <w:r>
              <w:rPr>
                <w:rFonts w:hint="eastAsia" w:ascii="Times New Roman" w:hAnsi="Times New Roman" w:eastAsia="宋体"/>
                <w:sz w:val="24"/>
                <w:lang w:eastAsia="zh-CN"/>
              </w:rPr>
              <w:t>(</w:t>
            </w:r>
            <w:r>
              <w:rPr>
                <w:rFonts w:ascii="Times New Roman" w:hAnsi="Times New Roman" w:eastAsia="宋体"/>
                <w:sz w:val="24"/>
              </w:rPr>
              <w:t>C</w:t>
            </w:r>
            <w:r>
              <w:rPr>
                <w:rFonts w:ascii="Times New Roman" w:hAnsi="Times New Roman" w:eastAsia="宋体"/>
                <w:sz w:val="24"/>
                <w:vertAlign w:val="subscript"/>
              </w:rPr>
              <w:t>i</w:t>
            </w:r>
            <w:r>
              <w:rPr>
                <w:rFonts w:ascii="Times New Roman" w:hAnsi="Times New Roman" w:eastAsia="宋体"/>
                <w:sz w:val="24"/>
              </w:rPr>
              <w:t>/C</w:t>
            </w:r>
            <w:r>
              <w:rPr>
                <w:rFonts w:ascii="Times New Roman" w:hAnsi="Times New Roman" w:eastAsia="宋体"/>
                <w:sz w:val="24"/>
                <w:vertAlign w:val="subscript"/>
              </w:rPr>
              <w:t>0i</w:t>
            </w:r>
            <w:r>
              <w:rPr>
                <w:rFonts w:hint="eastAsia" w:ascii="Times New Roman" w:hAnsi="Times New Roman" w:eastAsia="宋体"/>
                <w:sz w:val="24"/>
                <w:lang w:eastAsia="zh-CN"/>
              </w:rPr>
              <w:t>)</w:t>
            </w:r>
            <w:r>
              <w:rPr>
                <w:rFonts w:ascii="Times New Roman" w:hAnsi="Times New Roman" w:eastAsia="宋体"/>
                <w:sz w:val="24"/>
              </w:rPr>
              <w:t>×100%</w:t>
            </w:r>
          </w:p>
          <w:p w14:paraId="2FC4F82B">
            <w:pPr>
              <w:widowControl w:val="0"/>
              <w:spacing w:line="360" w:lineRule="auto"/>
              <w:ind w:firstLine="480" w:firstLineChars="200"/>
              <w:jc w:val="both"/>
              <w:rPr>
                <w:rFonts w:ascii="Times New Roman" w:hAnsi="Times New Roman" w:eastAsia="宋体"/>
                <w:sz w:val="24"/>
              </w:rPr>
            </w:pPr>
            <w:r>
              <w:rPr>
                <w:rFonts w:ascii="Times New Roman" w:hAnsi="Times New Roman" w:eastAsia="宋体"/>
                <w:sz w:val="24"/>
              </w:rPr>
              <w:t>式中：P</w:t>
            </w:r>
            <w:r>
              <w:rPr>
                <w:rFonts w:ascii="Times New Roman" w:hAnsi="Times New Roman" w:eastAsia="宋体"/>
                <w:sz w:val="24"/>
                <w:vertAlign w:val="subscript"/>
              </w:rPr>
              <w:t>i</w:t>
            </w:r>
            <w:r>
              <w:rPr>
                <w:rFonts w:ascii="Times New Roman" w:hAnsi="Times New Roman" w:eastAsia="宋体"/>
                <w:sz w:val="24"/>
              </w:rPr>
              <w:t>——i污染物的质量浓度占标率；</w:t>
            </w:r>
          </w:p>
          <w:p w14:paraId="09364F70">
            <w:pPr>
              <w:widowControl w:val="0"/>
              <w:spacing w:line="360" w:lineRule="auto"/>
              <w:ind w:firstLine="480" w:firstLineChars="200"/>
              <w:jc w:val="both"/>
              <w:rPr>
                <w:rFonts w:ascii="Times New Roman" w:hAnsi="Times New Roman" w:eastAsia="宋体"/>
                <w:sz w:val="24"/>
              </w:rPr>
            </w:pPr>
            <w:r>
              <w:rPr>
                <w:rFonts w:ascii="Times New Roman" w:hAnsi="Times New Roman" w:eastAsia="宋体"/>
                <w:sz w:val="24"/>
              </w:rPr>
              <w:t>C</w:t>
            </w:r>
            <w:r>
              <w:rPr>
                <w:rFonts w:ascii="Times New Roman" w:hAnsi="Times New Roman" w:eastAsia="宋体"/>
                <w:sz w:val="24"/>
                <w:vertAlign w:val="subscript"/>
              </w:rPr>
              <w:t>i</w:t>
            </w:r>
            <w:r>
              <w:rPr>
                <w:rFonts w:ascii="Times New Roman" w:hAnsi="Times New Roman" w:eastAsia="宋体"/>
                <w:sz w:val="24"/>
              </w:rPr>
              <w:t>——i污染物的监测浓度值，mg/m</w:t>
            </w:r>
            <w:r>
              <w:rPr>
                <w:rFonts w:ascii="Times New Roman" w:hAnsi="Times New Roman" w:eastAsia="宋体"/>
                <w:sz w:val="24"/>
                <w:vertAlign w:val="superscript"/>
              </w:rPr>
              <w:t>3</w:t>
            </w:r>
            <w:r>
              <w:rPr>
                <w:rFonts w:ascii="Times New Roman" w:hAnsi="Times New Roman" w:eastAsia="宋体"/>
                <w:sz w:val="24"/>
              </w:rPr>
              <w:t>或μg/m</w:t>
            </w:r>
            <w:r>
              <w:rPr>
                <w:rFonts w:ascii="Times New Roman" w:hAnsi="Times New Roman" w:eastAsia="宋体"/>
                <w:sz w:val="24"/>
                <w:vertAlign w:val="superscript"/>
              </w:rPr>
              <w:t>3</w:t>
            </w:r>
            <w:r>
              <w:rPr>
                <w:rFonts w:ascii="Times New Roman" w:hAnsi="Times New Roman" w:eastAsia="宋体"/>
                <w:sz w:val="24"/>
              </w:rPr>
              <w:t>；</w:t>
            </w:r>
          </w:p>
          <w:p w14:paraId="354A0CE9">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C</w:t>
            </w:r>
            <w:r>
              <w:rPr>
                <w:rFonts w:ascii="Times New Roman" w:hAnsi="Times New Roman" w:eastAsia="宋体"/>
                <w:sz w:val="24"/>
                <w:vertAlign w:val="subscript"/>
                <w:lang w:eastAsia="zh-CN"/>
              </w:rPr>
              <w:t>0i</w:t>
            </w:r>
            <w:r>
              <w:rPr>
                <w:rFonts w:ascii="Times New Roman" w:hAnsi="Times New Roman" w:eastAsia="宋体"/>
                <w:sz w:val="24"/>
                <w:lang w:eastAsia="zh-CN"/>
              </w:rPr>
              <w:t>——i污染物的评价标准，mg/m</w:t>
            </w:r>
            <w:r>
              <w:rPr>
                <w:rFonts w:ascii="Times New Roman" w:hAnsi="Times New Roman" w:eastAsia="宋体"/>
                <w:sz w:val="24"/>
                <w:vertAlign w:val="superscript"/>
                <w:lang w:eastAsia="zh-CN"/>
              </w:rPr>
              <w:t>3</w:t>
            </w:r>
            <w:r>
              <w:rPr>
                <w:rFonts w:ascii="Times New Roman" w:hAnsi="Times New Roman" w:eastAsia="宋体"/>
                <w:sz w:val="24"/>
                <w:lang w:eastAsia="zh-CN"/>
              </w:rPr>
              <w:t>或</w:t>
            </w:r>
            <w:r>
              <w:rPr>
                <w:rFonts w:ascii="Times New Roman" w:hAnsi="Times New Roman" w:eastAsia="宋体"/>
                <w:sz w:val="24"/>
              </w:rPr>
              <w:t>μ</w:t>
            </w:r>
            <w:r>
              <w:rPr>
                <w:rFonts w:ascii="Times New Roman" w:hAnsi="Times New Roman" w:eastAsia="宋体"/>
                <w:sz w:val="24"/>
                <w:lang w:eastAsia="zh-CN"/>
              </w:rPr>
              <w:t>g/m</w:t>
            </w:r>
            <w:r>
              <w:rPr>
                <w:rFonts w:ascii="Times New Roman" w:hAnsi="Times New Roman" w:eastAsia="宋体"/>
                <w:sz w:val="24"/>
                <w:vertAlign w:val="superscript"/>
                <w:lang w:eastAsia="zh-CN"/>
              </w:rPr>
              <w:t>3</w:t>
            </w:r>
            <w:r>
              <w:rPr>
                <w:rFonts w:ascii="Times New Roman" w:hAnsi="Times New Roman" w:eastAsia="宋体"/>
                <w:sz w:val="24"/>
                <w:lang w:eastAsia="zh-CN"/>
              </w:rPr>
              <w:t>。</w:t>
            </w:r>
          </w:p>
          <w:p w14:paraId="4FC11D38">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（5）现状数据统计与评价</w:t>
            </w:r>
          </w:p>
          <w:p w14:paraId="0F616D86">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监测点位环境空气质量现状监测数据见表</w:t>
            </w:r>
            <w:r>
              <w:rPr>
                <w:rFonts w:hint="eastAsia" w:ascii="Times New Roman" w:hAnsi="Times New Roman" w:eastAsia="宋体"/>
                <w:sz w:val="24"/>
                <w:lang w:eastAsia="zh-CN"/>
              </w:rPr>
              <w:t>3-2</w:t>
            </w:r>
            <w:r>
              <w:rPr>
                <w:rFonts w:ascii="Times New Roman" w:hAnsi="Times New Roman" w:eastAsia="宋体"/>
                <w:sz w:val="24"/>
                <w:lang w:eastAsia="zh-CN"/>
              </w:rPr>
              <w:t>。</w:t>
            </w:r>
          </w:p>
          <w:p w14:paraId="4FE3F732">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表3-2环境空气质量现状监测数据统计结果表单位：mg/Nm</w:t>
            </w:r>
            <w:r>
              <w:rPr>
                <w:rFonts w:hint="eastAsia" w:ascii="Times New Roman" w:hAnsi="Times New Roman" w:eastAsia="宋体" w:cs="宋体"/>
                <w:b/>
                <w:bCs/>
                <w:color w:val="auto"/>
                <w:vertAlign w:val="superscript"/>
                <w:lang w:eastAsia="zh-CN" w:bidi="ar"/>
              </w:rPr>
              <w:t>3</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83"/>
              <w:gridCol w:w="877"/>
              <w:gridCol w:w="871"/>
              <w:gridCol w:w="899"/>
              <w:gridCol w:w="1253"/>
              <w:gridCol w:w="877"/>
              <w:gridCol w:w="862"/>
              <w:gridCol w:w="862"/>
            </w:tblGrid>
            <w:tr w14:paraId="4E3C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7E64E600">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监测点位</w:t>
                  </w:r>
                </w:p>
              </w:tc>
              <w:tc>
                <w:tcPr>
                  <w:tcW w:w="917" w:type="dxa"/>
                  <w:vAlign w:val="center"/>
                </w:tcPr>
                <w:p w14:paraId="2C82BC0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监测时间</w:t>
                  </w:r>
                </w:p>
              </w:tc>
              <w:tc>
                <w:tcPr>
                  <w:tcW w:w="917" w:type="dxa"/>
                  <w:vAlign w:val="center"/>
                </w:tcPr>
                <w:p w14:paraId="7A9DAD3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污染物</w:t>
                  </w:r>
                </w:p>
              </w:tc>
              <w:tc>
                <w:tcPr>
                  <w:tcW w:w="917" w:type="dxa"/>
                  <w:vAlign w:val="center"/>
                </w:tcPr>
                <w:p w14:paraId="64F38613">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平均时间</w:t>
                  </w:r>
                </w:p>
              </w:tc>
              <w:tc>
                <w:tcPr>
                  <w:tcW w:w="917" w:type="dxa"/>
                  <w:vAlign w:val="center"/>
                </w:tcPr>
                <w:p w14:paraId="22F364E0">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评价标准mg/m</w:t>
                  </w:r>
                  <w:r>
                    <w:rPr>
                      <w:rFonts w:hint="eastAsia" w:ascii="Times New Roman" w:hAnsi="Times New Roman"/>
                      <w:spacing w:val="-2"/>
                      <w:sz w:val="21"/>
                      <w:szCs w:val="21"/>
                      <w:vertAlign w:val="superscript"/>
                      <w:lang w:eastAsia="zh-CN"/>
                    </w:rPr>
                    <w:t>3</w:t>
                  </w:r>
                </w:p>
              </w:tc>
              <w:tc>
                <w:tcPr>
                  <w:tcW w:w="917" w:type="dxa"/>
                  <w:vAlign w:val="center"/>
                </w:tcPr>
                <w:p w14:paraId="1389159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监测浓度范围mg/m</w:t>
                  </w:r>
                  <w:r>
                    <w:rPr>
                      <w:rFonts w:hint="eastAsia" w:ascii="Times New Roman" w:hAnsi="Times New Roman"/>
                      <w:spacing w:val="-2"/>
                      <w:sz w:val="21"/>
                      <w:szCs w:val="21"/>
                      <w:vertAlign w:val="superscript"/>
                      <w:lang w:eastAsia="zh-CN"/>
                    </w:rPr>
                    <w:t>3</w:t>
                  </w:r>
                </w:p>
              </w:tc>
              <w:tc>
                <w:tcPr>
                  <w:tcW w:w="917" w:type="dxa"/>
                  <w:vAlign w:val="center"/>
                </w:tcPr>
                <w:p w14:paraId="6AD3B4D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最大浓度占标率/%</w:t>
                  </w:r>
                </w:p>
              </w:tc>
              <w:tc>
                <w:tcPr>
                  <w:tcW w:w="917" w:type="dxa"/>
                  <w:vAlign w:val="center"/>
                </w:tcPr>
                <w:p w14:paraId="6B78F657">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超标率/%</w:t>
                  </w:r>
                </w:p>
              </w:tc>
              <w:tc>
                <w:tcPr>
                  <w:tcW w:w="918" w:type="dxa"/>
                  <w:vAlign w:val="center"/>
                </w:tcPr>
                <w:p w14:paraId="3B3F92B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p w14:paraId="207F50D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情况</w:t>
                  </w:r>
                </w:p>
              </w:tc>
            </w:tr>
            <w:tr w14:paraId="23E3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78C2FC29">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项目场址中心</w:t>
                  </w:r>
                </w:p>
              </w:tc>
              <w:tc>
                <w:tcPr>
                  <w:tcW w:w="917" w:type="dxa"/>
                  <w:vAlign w:val="center"/>
                </w:tcPr>
                <w:p w14:paraId="59324D0C">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2023年1月7日—1月10日</w:t>
                  </w:r>
                </w:p>
              </w:tc>
              <w:tc>
                <w:tcPr>
                  <w:tcW w:w="917" w:type="dxa"/>
                  <w:vAlign w:val="center"/>
                </w:tcPr>
                <w:p w14:paraId="4AD6D88F">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TSP</w:t>
                  </w:r>
                </w:p>
              </w:tc>
              <w:tc>
                <w:tcPr>
                  <w:tcW w:w="917" w:type="dxa"/>
                  <w:vAlign w:val="center"/>
                </w:tcPr>
                <w:p w14:paraId="06EECC9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24h平均</w:t>
                  </w:r>
                </w:p>
              </w:tc>
              <w:tc>
                <w:tcPr>
                  <w:tcW w:w="917" w:type="dxa"/>
                  <w:vAlign w:val="center"/>
                </w:tcPr>
                <w:p w14:paraId="3F9BA76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0.3</w:t>
                  </w:r>
                </w:p>
              </w:tc>
              <w:tc>
                <w:tcPr>
                  <w:tcW w:w="917" w:type="dxa"/>
                  <w:vAlign w:val="center"/>
                </w:tcPr>
                <w:p w14:paraId="4820CB8E">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0.206~0.295</w:t>
                  </w:r>
                </w:p>
              </w:tc>
              <w:tc>
                <w:tcPr>
                  <w:tcW w:w="917" w:type="dxa"/>
                  <w:vAlign w:val="center"/>
                </w:tcPr>
                <w:p w14:paraId="5BDE970A">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98.3</w:t>
                  </w:r>
                </w:p>
              </w:tc>
              <w:tc>
                <w:tcPr>
                  <w:tcW w:w="917" w:type="dxa"/>
                  <w:vAlign w:val="center"/>
                </w:tcPr>
                <w:p w14:paraId="1396EE25">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0</w:t>
                  </w:r>
                </w:p>
              </w:tc>
              <w:tc>
                <w:tcPr>
                  <w:tcW w:w="918" w:type="dxa"/>
                  <w:vAlign w:val="center"/>
                </w:tcPr>
                <w:p w14:paraId="13EB7A58">
                  <w:pPr>
                    <w:pStyle w:val="20"/>
                    <w:widowControl/>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tc>
            </w:tr>
          </w:tbl>
          <w:p w14:paraId="02E58F7D">
            <w:pPr>
              <w:widowControl w:val="0"/>
              <w:spacing w:line="360" w:lineRule="auto"/>
              <w:ind w:firstLine="480" w:firstLineChars="200"/>
              <w:jc w:val="both"/>
              <w:rPr>
                <w:lang w:eastAsia="zh-CN"/>
              </w:rPr>
            </w:pPr>
            <w:r>
              <w:rPr>
                <w:rFonts w:ascii="Times New Roman" w:hAnsi="Times New Roman" w:eastAsia="宋体"/>
                <w:sz w:val="24"/>
                <w:lang w:eastAsia="zh-CN"/>
              </w:rPr>
              <w:t>TSP24h平均浓度未超过《环境空气质量标准》（GB3095-2012）中二级标准。项目区环境空气质量较好。</w:t>
            </w:r>
          </w:p>
          <w:p w14:paraId="4DD5FFF2">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2、地表水环境质量现状</w:t>
            </w:r>
          </w:p>
          <w:p w14:paraId="26847C04">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根据《建设项目环境影响报告表编制技术指南（污染影响类）</w:t>
            </w:r>
            <w:r>
              <w:rPr>
                <w:rFonts w:hint="eastAsia" w:ascii="Times New Roman" w:hAnsi="Times New Roman" w:eastAsia="宋体"/>
                <w:sz w:val="24"/>
                <w:lang w:eastAsia="zh-CN"/>
              </w:rPr>
              <w:t>（试行）》</w:t>
            </w:r>
            <w:r>
              <w:rPr>
                <w:rFonts w:ascii="Times New Roman" w:hAnsi="Times New Roman" w:eastAsia="宋体"/>
                <w:sz w:val="24"/>
                <w:lang w:eastAsia="zh-CN"/>
              </w:rPr>
              <w:t>的要求，“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14:paraId="5FD329ED">
            <w:pPr>
              <w:widowControl w:val="0"/>
              <w:spacing w:line="360" w:lineRule="auto"/>
              <w:ind w:firstLine="480" w:firstLineChars="200"/>
              <w:jc w:val="both"/>
              <w:rPr>
                <w:rFonts w:ascii="Times New Roman" w:hAnsi="Times New Roman" w:eastAsia="宋体"/>
                <w:sz w:val="24"/>
              </w:rPr>
            </w:pPr>
            <w:r>
              <w:rPr>
                <w:rFonts w:ascii="Times New Roman" w:hAnsi="Times New Roman" w:eastAsia="宋体"/>
                <w:sz w:val="24"/>
              </w:rPr>
              <w:t>本次地表水现状评价引用昌吉回族自治州人民政府官网（</w:t>
            </w:r>
            <w:r>
              <w:fldChar w:fldCharType="begin"/>
            </w:r>
            <w:r>
              <w:instrText xml:space="preserve"> HYPERLINK "http://www.cj.gov.cn/gk/rdjy/904225.htm" </w:instrText>
            </w:r>
            <w:r>
              <w:fldChar w:fldCharType="separate"/>
            </w:r>
            <w:r>
              <w:rPr>
                <w:rFonts w:ascii="Times New Roman" w:hAnsi="Times New Roman" w:eastAsia="宋体"/>
                <w:sz w:val="24"/>
              </w:rPr>
              <w:t>http://www.cj.gov.cn/gk/rdjy/904225.htm</w:t>
            </w:r>
            <w:r>
              <w:rPr>
                <w:rFonts w:ascii="Times New Roman" w:hAnsi="Times New Roman" w:eastAsia="宋体"/>
                <w:sz w:val="24"/>
              </w:rPr>
              <w:fldChar w:fldCharType="end"/>
            </w:r>
            <w:r>
              <w:rPr>
                <w:rFonts w:ascii="Times New Roman" w:hAnsi="Times New Roman" w:eastAsia="宋体"/>
                <w:sz w:val="24"/>
              </w:rPr>
              <w:t>）发布的《</w:t>
            </w:r>
            <w:r>
              <w:rPr>
                <w:rFonts w:hint="eastAsia" w:ascii="Times New Roman" w:hAnsi="Times New Roman" w:eastAsia="宋体"/>
                <w:sz w:val="24"/>
              </w:rPr>
              <w:t>2024年1-6月水污染防治进展情况信息</w:t>
            </w:r>
            <w:r>
              <w:rPr>
                <w:rFonts w:ascii="Times New Roman" w:hAnsi="Times New Roman" w:eastAsia="宋体"/>
                <w:sz w:val="24"/>
              </w:rPr>
              <w:t>》：“</w:t>
            </w:r>
            <w:r>
              <w:rPr>
                <w:rFonts w:hint="eastAsia" w:ascii="Times New Roman" w:hAnsi="Times New Roman" w:eastAsia="宋体"/>
                <w:sz w:val="24"/>
              </w:rPr>
              <w:t>2024年1-6月，昌吉州7个县市共监测地表水9条河流17个断面，其中国控断面6个，区控断面11个，自西向东依次为玛纳斯河、塔西河、呼图壁河、三屯河、头屯河、三工河、开垦河、二宫河和木垒河，监测项目为水温、pH值等32项。</w:t>
            </w:r>
            <w:r>
              <w:rPr>
                <w:rFonts w:hint="eastAsia" w:ascii="Times New Roman" w:hAnsi="Times New Roman" w:eastAsia="宋体"/>
                <w:sz w:val="24"/>
                <w:lang w:eastAsia="zh-CN"/>
              </w:rPr>
              <w:t>八钢、三屯河首、瑶池商城、三工河闸口和水管所断面水质达到Ⅱ类，与去年同期相比水质有所下降（变差），其余断面水质均达到或优于Ⅱ类标准，与去年同期相比无明显变化。</w:t>
            </w:r>
            <w:r>
              <w:rPr>
                <w:rFonts w:ascii="Times New Roman" w:hAnsi="Times New Roman" w:eastAsia="宋体"/>
                <w:sz w:val="24"/>
              </w:rPr>
              <w:t>”</w:t>
            </w:r>
          </w:p>
          <w:p w14:paraId="0E4C0DA3">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本项目位于吉木萨尔县庆阳湖乡，吉木萨尔县庆阳湖乡</w:t>
            </w:r>
            <w:r>
              <w:rPr>
                <w:rFonts w:hint="eastAsia" w:ascii="Times New Roman" w:hAnsi="Times New Roman" w:eastAsia="宋体"/>
                <w:sz w:val="24"/>
                <w:lang w:eastAsia="zh-CN"/>
              </w:rPr>
              <w:t>二宫河</w:t>
            </w:r>
            <w:r>
              <w:rPr>
                <w:rFonts w:ascii="Times New Roman" w:hAnsi="Times New Roman" w:eastAsia="宋体"/>
                <w:sz w:val="24"/>
                <w:lang w:eastAsia="zh-CN"/>
              </w:rPr>
              <w:t>首断面水质</w:t>
            </w:r>
            <w:r>
              <w:rPr>
                <w:rFonts w:hint="eastAsia" w:ascii="Times New Roman" w:hAnsi="Times New Roman" w:eastAsia="宋体"/>
                <w:sz w:val="24"/>
                <w:lang w:eastAsia="zh-CN"/>
              </w:rPr>
              <w:t>为</w:t>
            </w:r>
            <w:r>
              <w:rPr>
                <w:rFonts w:ascii="Times New Roman" w:hAnsi="Times New Roman" w:eastAsia="宋体"/>
                <w:sz w:val="24"/>
                <w:lang w:eastAsia="zh-CN"/>
              </w:rPr>
              <w:t>Ⅱ类</w:t>
            </w:r>
            <w:r>
              <w:rPr>
                <w:rFonts w:hint="eastAsia" w:ascii="Times New Roman" w:hAnsi="Times New Roman" w:eastAsia="宋体"/>
                <w:sz w:val="24"/>
                <w:lang w:eastAsia="zh-CN"/>
              </w:rPr>
              <w:t>，</w:t>
            </w:r>
            <w:r>
              <w:rPr>
                <w:rFonts w:ascii="Times New Roman" w:hAnsi="Times New Roman" w:eastAsia="宋体"/>
                <w:sz w:val="24"/>
                <w:lang w:eastAsia="zh-CN"/>
              </w:rPr>
              <w:t>地表水环境质量达《地表水环境质量标准》（GB3838-2002）中Ⅲ类标准。</w:t>
            </w:r>
          </w:p>
          <w:p w14:paraId="5FE9A42F">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3、地下水环境质量现状</w:t>
            </w:r>
          </w:p>
          <w:p w14:paraId="6F832436">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根据《建设项目环境影响报告表编制技术指南（污染影响类）</w:t>
            </w:r>
            <w:r>
              <w:rPr>
                <w:rFonts w:hint="eastAsia" w:ascii="Times New Roman" w:hAnsi="Times New Roman" w:eastAsia="宋体"/>
                <w:sz w:val="24"/>
                <w:lang w:eastAsia="zh-CN"/>
              </w:rPr>
              <w:t>（试行）》</w:t>
            </w:r>
            <w:r>
              <w:rPr>
                <w:rFonts w:ascii="Times New Roman" w:hAnsi="Times New Roman" w:eastAsia="宋体"/>
                <w:sz w:val="24"/>
                <w:lang w:eastAsia="zh-CN"/>
              </w:rPr>
              <w:t>的要求，原则上不开展地下水环境质量现状调查。建设项目存在地下水环境污染途径的，应结合污染源、保护目标分布情况开展现状调查以留作背景值”。本项目不存在地下水环境污染途径，故本项目可不进行地下水环境现状调查。</w:t>
            </w:r>
          </w:p>
          <w:p w14:paraId="38A16A61">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4、声环境质量现状</w:t>
            </w:r>
          </w:p>
          <w:p w14:paraId="6DB2FF85">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根据《建设项目环境影响报告表编制技术指南（污染影响类）</w:t>
            </w:r>
            <w:r>
              <w:rPr>
                <w:rFonts w:hint="eastAsia" w:ascii="Times New Roman" w:hAnsi="Times New Roman" w:eastAsia="宋体"/>
                <w:sz w:val="24"/>
                <w:lang w:eastAsia="zh-CN"/>
              </w:rPr>
              <w:t>（试行）》</w:t>
            </w:r>
            <w:r>
              <w:rPr>
                <w:rFonts w:ascii="Times New Roman" w:hAnsi="Times New Roman" w:eastAsia="宋体"/>
                <w:sz w:val="24"/>
                <w:lang w:eastAsia="zh-CN"/>
              </w:rPr>
              <w:t>的要求，本次评价采用新疆环疆绿源环境科技有限公司于2023年1月7日对厂界外周边进行了现状监测，监测结果如下</w:t>
            </w:r>
            <w:r>
              <w:rPr>
                <w:rFonts w:hint="eastAsia" w:ascii="Times New Roman" w:hAnsi="Times New Roman" w:eastAsia="宋体"/>
                <w:sz w:val="24"/>
                <w:lang w:eastAsia="zh-CN"/>
              </w:rPr>
              <w:t>表</w:t>
            </w:r>
            <w:r>
              <w:rPr>
                <w:rFonts w:ascii="Times New Roman" w:hAnsi="Times New Roman" w:eastAsia="宋体"/>
                <w:sz w:val="24"/>
                <w:lang w:eastAsia="zh-CN"/>
              </w:rPr>
              <w:t>：</w:t>
            </w:r>
          </w:p>
          <w:p w14:paraId="4D434190">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表3-3厂界噪声监测结果</w:t>
            </w:r>
          </w:p>
          <w:p w14:paraId="4A94B4BE">
            <w:pPr>
              <w:widowControl w:val="0"/>
              <w:spacing w:line="109" w:lineRule="auto"/>
              <w:jc w:val="both"/>
              <w:rPr>
                <w:sz w:val="2"/>
                <w:lang w:eastAsia="zh-CN"/>
              </w:rPr>
            </w:pPr>
          </w:p>
          <w:tbl>
            <w:tblPr>
              <w:tblStyle w:val="19"/>
              <w:tblW w:w="49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73"/>
              <w:gridCol w:w="879"/>
              <w:gridCol w:w="1343"/>
              <w:gridCol w:w="925"/>
              <w:gridCol w:w="927"/>
              <w:gridCol w:w="1237"/>
            </w:tblGrid>
            <w:tr w14:paraId="7E98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2754" w:type="dxa"/>
                  <w:vMerge w:val="restart"/>
                  <w:tcBorders>
                    <w:bottom w:val="nil"/>
                  </w:tcBorders>
                  <w:vAlign w:val="center"/>
                </w:tcPr>
                <w:p w14:paraId="5B936CD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监测位置</w:t>
                  </w:r>
                </w:p>
              </w:tc>
              <w:tc>
                <w:tcPr>
                  <w:tcW w:w="2207" w:type="dxa"/>
                  <w:gridSpan w:val="2"/>
                  <w:vAlign w:val="center"/>
                </w:tcPr>
                <w:p w14:paraId="6ECA510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监测时段</w:t>
                  </w:r>
                </w:p>
              </w:tc>
              <w:tc>
                <w:tcPr>
                  <w:tcW w:w="1840" w:type="dxa"/>
                  <w:gridSpan w:val="2"/>
                  <w:vAlign w:val="center"/>
                </w:tcPr>
                <w:p w14:paraId="05F6E7E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评价标准</w:t>
                  </w:r>
                </w:p>
              </w:tc>
              <w:tc>
                <w:tcPr>
                  <w:tcW w:w="1228" w:type="dxa"/>
                  <w:vMerge w:val="restart"/>
                  <w:tcBorders>
                    <w:bottom w:val="nil"/>
                  </w:tcBorders>
                  <w:vAlign w:val="center"/>
                </w:tcPr>
                <w:p w14:paraId="63C25251">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是否达标</w:t>
                  </w:r>
                </w:p>
              </w:tc>
            </w:tr>
            <w:tr w14:paraId="0229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2754" w:type="dxa"/>
                  <w:vMerge w:val="continue"/>
                  <w:tcBorders>
                    <w:top w:val="nil"/>
                  </w:tcBorders>
                  <w:vAlign w:val="center"/>
                </w:tcPr>
                <w:p w14:paraId="210E543A">
                  <w:pPr>
                    <w:pStyle w:val="20"/>
                    <w:jc w:val="center"/>
                    <w:rPr>
                      <w:rFonts w:ascii="Times New Roman" w:hAnsi="Times New Roman"/>
                      <w:spacing w:val="-2"/>
                      <w:sz w:val="21"/>
                      <w:szCs w:val="21"/>
                      <w:lang w:eastAsia="zh-CN"/>
                    </w:rPr>
                  </w:pPr>
                </w:p>
              </w:tc>
              <w:tc>
                <w:tcPr>
                  <w:tcW w:w="873" w:type="dxa"/>
                  <w:vAlign w:val="center"/>
                </w:tcPr>
                <w:p w14:paraId="4C88B46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昼间</w:t>
                  </w:r>
                </w:p>
              </w:tc>
              <w:tc>
                <w:tcPr>
                  <w:tcW w:w="1334" w:type="dxa"/>
                  <w:vAlign w:val="center"/>
                </w:tcPr>
                <w:p w14:paraId="2A337BE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夜间</w:t>
                  </w:r>
                </w:p>
              </w:tc>
              <w:tc>
                <w:tcPr>
                  <w:tcW w:w="919" w:type="dxa"/>
                  <w:vAlign w:val="center"/>
                </w:tcPr>
                <w:p w14:paraId="49C73627">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昼间</w:t>
                  </w:r>
                </w:p>
              </w:tc>
              <w:tc>
                <w:tcPr>
                  <w:tcW w:w="921" w:type="dxa"/>
                  <w:vAlign w:val="center"/>
                </w:tcPr>
                <w:p w14:paraId="52AFBFCD">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夜间</w:t>
                  </w:r>
                </w:p>
              </w:tc>
              <w:tc>
                <w:tcPr>
                  <w:tcW w:w="1228" w:type="dxa"/>
                  <w:vMerge w:val="continue"/>
                  <w:tcBorders>
                    <w:top w:val="nil"/>
                  </w:tcBorders>
                  <w:vAlign w:val="center"/>
                </w:tcPr>
                <w:p w14:paraId="02F825C1">
                  <w:pPr>
                    <w:pStyle w:val="20"/>
                    <w:jc w:val="center"/>
                    <w:rPr>
                      <w:rFonts w:ascii="Times New Roman" w:hAnsi="Times New Roman"/>
                      <w:spacing w:val="-2"/>
                      <w:sz w:val="21"/>
                      <w:szCs w:val="21"/>
                      <w:lang w:eastAsia="zh-CN"/>
                    </w:rPr>
                  </w:pPr>
                </w:p>
              </w:tc>
            </w:tr>
            <w:tr w14:paraId="0561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754" w:type="dxa"/>
                  <w:vAlign w:val="center"/>
                </w:tcPr>
                <w:p w14:paraId="5D624C8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项目区东侧</w:t>
                  </w:r>
                </w:p>
              </w:tc>
              <w:tc>
                <w:tcPr>
                  <w:tcW w:w="873" w:type="dxa"/>
                  <w:vAlign w:val="center"/>
                </w:tcPr>
                <w:p w14:paraId="4DBF5EFB">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45</w:t>
                  </w:r>
                </w:p>
              </w:tc>
              <w:tc>
                <w:tcPr>
                  <w:tcW w:w="1334" w:type="dxa"/>
                  <w:vAlign w:val="center"/>
                </w:tcPr>
                <w:p w14:paraId="72A5BEBD">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42</w:t>
                  </w:r>
                </w:p>
              </w:tc>
              <w:tc>
                <w:tcPr>
                  <w:tcW w:w="919" w:type="dxa"/>
                  <w:vAlign w:val="center"/>
                </w:tcPr>
                <w:p w14:paraId="4C85F96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65</w:t>
                  </w:r>
                </w:p>
              </w:tc>
              <w:tc>
                <w:tcPr>
                  <w:tcW w:w="921" w:type="dxa"/>
                  <w:vAlign w:val="center"/>
                </w:tcPr>
                <w:p w14:paraId="6C9EA8E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55</w:t>
                  </w:r>
                </w:p>
              </w:tc>
              <w:tc>
                <w:tcPr>
                  <w:tcW w:w="1228" w:type="dxa"/>
                  <w:vAlign w:val="center"/>
                </w:tcPr>
                <w:p w14:paraId="71C63FE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tc>
            </w:tr>
            <w:tr w14:paraId="7C19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754" w:type="dxa"/>
                  <w:vAlign w:val="center"/>
                </w:tcPr>
                <w:p w14:paraId="0BDEC8AD">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项目区南侧</w:t>
                  </w:r>
                </w:p>
              </w:tc>
              <w:tc>
                <w:tcPr>
                  <w:tcW w:w="873" w:type="dxa"/>
                  <w:vAlign w:val="center"/>
                </w:tcPr>
                <w:p w14:paraId="408A1734">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45</w:t>
                  </w:r>
                </w:p>
              </w:tc>
              <w:tc>
                <w:tcPr>
                  <w:tcW w:w="1334" w:type="dxa"/>
                  <w:vAlign w:val="center"/>
                </w:tcPr>
                <w:p w14:paraId="4A9DE968">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41</w:t>
                  </w:r>
                </w:p>
              </w:tc>
              <w:tc>
                <w:tcPr>
                  <w:tcW w:w="919" w:type="dxa"/>
                  <w:vAlign w:val="center"/>
                </w:tcPr>
                <w:p w14:paraId="64A7433B">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65</w:t>
                  </w:r>
                </w:p>
              </w:tc>
              <w:tc>
                <w:tcPr>
                  <w:tcW w:w="921" w:type="dxa"/>
                  <w:vAlign w:val="center"/>
                </w:tcPr>
                <w:p w14:paraId="795D5D2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55</w:t>
                  </w:r>
                </w:p>
              </w:tc>
              <w:tc>
                <w:tcPr>
                  <w:tcW w:w="1228" w:type="dxa"/>
                  <w:vAlign w:val="center"/>
                </w:tcPr>
                <w:p w14:paraId="5E617DA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tc>
            </w:tr>
            <w:tr w14:paraId="4C47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2754" w:type="dxa"/>
                  <w:vAlign w:val="center"/>
                </w:tcPr>
                <w:p w14:paraId="6EAD8E48">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项目区西侧</w:t>
                  </w:r>
                </w:p>
              </w:tc>
              <w:tc>
                <w:tcPr>
                  <w:tcW w:w="873" w:type="dxa"/>
                  <w:vAlign w:val="center"/>
                </w:tcPr>
                <w:p w14:paraId="4A3955F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47</w:t>
                  </w:r>
                </w:p>
              </w:tc>
              <w:tc>
                <w:tcPr>
                  <w:tcW w:w="1334" w:type="dxa"/>
                  <w:vAlign w:val="center"/>
                </w:tcPr>
                <w:p w14:paraId="4D84FBAF">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43</w:t>
                  </w:r>
                </w:p>
              </w:tc>
              <w:tc>
                <w:tcPr>
                  <w:tcW w:w="919" w:type="dxa"/>
                  <w:vAlign w:val="center"/>
                </w:tcPr>
                <w:p w14:paraId="3ABF1A25">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65</w:t>
                  </w:r>
                </w:p>
              </w:tc>
              <w:tc>
                <w:tcPr>
                  <w:tcW w:w="921" w:type="dxa"/>
                  <w:vAlign w:val="center"/>
                </w:tcPr>
                <w:p w14:paraId="160B68D3">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55</w:t>
                  </w:r>
                </w:p>
              </w:tc>
              <w:tc>
                <w:tcPr>
                  <w:tcW w:w="1228" w:type="dxa"/>
                  <w:vAlign w:val="center"/>
                </w:tcPr>
                <w:p w14:paraId="43C4AC47">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tc>
            </w:tr>
            <w:tr w14:paraId="6A1F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2754" w:type="dxa"/>
                  <w:vAlign w:val="center"/>
                </w:tcPr>
                <w:p w14:paraId="433D6F7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项目区北侧</w:t>
                  </w:r>
                </w:p>
              </w:tc>
              <w:tc>
                <w:tcPr>
                  <w:tcW w:w="873" w:type="dxa"/>
                  <w:vAlign w:val="center"/>
                </w:tcPr>
                <w:p w14:paraId="0AE935A1">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48</w:t>
                  </w:r>
                </w:p>
              </w:tc>
              <w:tc>
                <w:tcPr>
                  <w:tcW w:w="1334" w:type="dxa"/>
                  <w:vAlign w:val="center"/>
                </w:tcPr>
                <w:p w14:paraId="4E9EA714">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44</w:t>
                  </w:r>
                </w:p>
              </w:tc>
              <w:tc>
                <w:tcPr>
                  <w:tcW w:w="919" w:type="dxa"/>
                  <w:vAlign w:val="center"/>
                </w:tcPr>
                <w:p w14:paraId="585B69B6">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65</w:t>
                  </w:r>
                </w:p>
              </w:tc>
              <w:tc>
                <w:tcPr>
                  <w:tcW w:w="921" w:type="dxa"/>
                  <w:vAlign w:val="center"/>
                </w:tcPr>
                <w:p w14:paraId="0D02B407">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55</w:t>
                  </w:r>
                </w:p>
              </w:tc>
              <w:tc>
                <w:tcPr>
                  <w:tcW w:w="1228" w:type="dxa"/>
                  <w:vAlign w:val="center"/>
                </w:tcPr>
                <w:p w14:paraId="13903652">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达标</w:t>
                  </w:r>
                </w:p>
              </w:tc>
            </w:tr>
          </w:tbl>
          <w:p w14:paraId="1A8A40C8">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5、土壤环境质量现状</w:t>
            </w:r>
          </w:p>
          <w:p w14:paraId="2CF36C5C">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根据《建设项目环境影响报告表编制技术指南（污染影响类）</w:t>
            </w:r>
            <w:r>
              <w:rPr>
                <w:rFonts w:hint="eastAsia" w:ascii="Times New Roman" w:hAnsi="Times New Roman" w:eastAsia="宋体"/>
                <w:sz w:val="24"/>
                <w:lang w:eastAsia="zh-CN"/>
              </w:rPr>
              <w:t>（试行）》</w:t>
            </w:r>
            <w:r>
              <w:rPr>
                <w:rFonts w:ascii="Times New Roman" w:hAnsi="Times New Roman" w:eastAsia="宋体"/>
                <w:sz w:val="24"/>
                <w:lang w:eastAsia="zh-CN"/>
              </w:rPr>
              <w:t>的要求，原则上不开展土壤环境质量现状调查。建设项目存在土壤环境污染途径的，应结合污染源、保护目标分布情况开展现状调查以留作背景值”。本项目不存在土壤环境污染途径，故本项目可不进行土壤环境现状调查。</w:t>
            </w:r>
          </w:p>
          <w:p w14:paraId="715558BE">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6、生态环境</w:t>
            </w:r>
          </w:p>
          <w:p w14:paraId="69FD1A1B">
            <w:pPr>
              <w:widowControl w:val="0"/>
              <w:spacing w:line="360" w:lineRule="auto"/>
              <w:ind w:firstLine="480" w:firstLineChars="200"/>
              <w:jc w:val="both"/>
              <w:rPr>
                <w:rFonts w:eastAsia="宋体"/>
                <w:spacing w:val="-2"/>
                <w:lang w:eastAsia="zh-CN"/>
              </w:rPr>
            </w:pPr>
            <w:r>
              <w:rPr>
                <w:rFonts w:ascii="Times New Roman" w:hAnsi="Times New Roman" w:eastAsia="宋体"/>
                <w:sz w:val="24"/>
                <w:lang w:eastAsia="zh-CN"/>
              </w:rPr>
              <w:t>根据《建设项目环境影响报告表编制技术指南（污染影响类）</w:t>
            </w:r>
            <w:r>
              <w:rPr>
                <w:rFonts w:hint="eastAsia" w:ascii="Times New Roman" w:hAnsi="Times New Roman" w:eastAsia="宋体"/>
                <w:sz w:val="24"/>
                <w:lang w:eastAsia="zh-CN"/>
              </w:rPr>
              <w:t>（试行）》</w:t>
            </w:r>
            <w:r>
              <w:rPr>
                <w:rFonts w:ascii="Times New Roman" w:hAnsi="Times New Roman" w:eastAsia="宋体"/>
                <w:sz w:val="24"/>
                <w:lang w:eastAsia="zh-CN"/>
              </w:rPr>
              <w:t>中规定，产业园区外建设项目新增用地范围内含有生态环境保护目标时，应进行生态现状调查，本项目区不存在生态环境保护目标，可不进行生态现状调查</w:t>
            </w:r>
            <w:r>
              <w:rPr>
                <w:rFonts w:hint="eastAsia" w:ascii="Times New Roman" w:hAnsi="Times New Roman" w:eastAsia="宋体"/>
                <w:sz w:val="24"/>
                <w:lang w:eastAsia="zh-CN"/>
              </w:rPr>
              <w:t>。</w:t>
            </w:r>
          </w:p>
        </w:tc>
      </w:tr>
      <w:tr w14:paraId="5655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589" w:type="dxa"/>
          </w:tcPr>
          <w:p w14:paraId="3C689E3E">
            <w:pPr>
              <w:widowControl w:val="0"/>
              <w:spacing w:before="98" w:line="213" w:lineRule="auto"/>
              <w:jc w:val="both"/>
            </w:pPr>
            <w:r>
              <w:rPr>
                <w:rFonts w:hint="eastAsia" w:ascii="宋体" w:hAnsi="宋体" w:eastAsia="宋体" w:cs="宋体"/>
                <w:sz w:val="24"/>
                <w:szCs w:val="24"/>
              </w:rPr>
              <w:t>环境保护</w:t>
            </w:r>
            <w:r>
              <w:rPr>
                <w:rFonts w:hint="eastAsia" w:ascii="宋体" w:hAnsi="宋体" w:eastAsia="宋体" w:cs="宋体"/>
                <w:position w:val="1"/>
                <w:sz w:val="24"/>
                <w:szCs w:val="24"/>
              </w:rPr>
              <w:t>目</w:t>
            </w:r>
            <w:r>
              <w:rPr>
                <w:rFonts w:hint="eastAsia" w:ascii="宋体" w:hAnsi="宋体" w:eastAsia="宋体" w:cs="宋体"/>
                <w:sz w:val="24"/>
                <w:szCs w:val="24"/>
              </w:rPr>
              <w:t>标</w:t>
            </w:r>
          </w:p>
        </w:tc>
        <w:tc>
          <w:tcPr>
            <w:tcW w:w="8470" w:type="dxa"/>
          </w:tcPr>
          <w:p w14:paraId="32C34FD3">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1、大气环境</w:t>
            </w:r>
          </w:p>
          <w:p w14:paraId="09F5BA45">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明确厂界外500米范围内的自然保护区、风景名胜区、居住区、文化区和农村地区中人群较集中的区域等保护目标的名称及与建设项目厂界位置关系。</w:t>
            </w:r>
          </w:p>
          <w:p w14:paraId="7D2438F2">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本项目厂界外500米范围内无自然保护区、风景名胜区、居住区、文化区和农村地区中人群较集中的区域。</w:t>
            </w:r>
          </w:p>
          <w:p w14:paraId="069BA263">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2、声环境</w:t>
            </w:r>
          </w:p>
          <w:p w14:paraId="3F4B130B">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明确厂界外50米范围内声环境保护目标。</w:t>
            </w:r>
          </w:p>
          <w:p w14:paraId="4F7FE477">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本项目厂界外50米范围内无声环境保护目标。</w:t>
            </w:r>
          </w:p>
          <w:p w14:paraId="5B472193">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3、地下水环境</w:t>
            </w:r>
          </w:p>
          <w:p w14:paraId="4978E3D3">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明确厂界外500米范围内的地下水集中式饮用水水源和热水、矿泉水、温泉等特殊地下水资源。</w:t>
            </w:r>
          </w:p>
          <w:p w14:paraId="75DC4676">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本项目厂界外500米范围内无地下水集中式饮用水水源和热水、矿泉水、温泉等特殊地下水资源。</w:t>
            </w:r>
          </w:p>
          <w:p w14:paraId="065115A3">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4、生态环境</w:t>
            </w:r>
          </w:p>
          <w:p w14:paraId="1B51A1AA">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产业园区外建设项目新增用地的，应明确新增用地范围内生态环境保护目标。本项目位于</w:t>
            </w:r>
            <w:r>
              <w:rPr>
                <w:rFonts w:hint="eastAsia" w:ascii="Times New Roman" w:hAnsi="Times New Roman" w:eastAsia="宋体"/>
                <w:sz w:val="24"/>
                <w:lang w:eastAsia="zh-CN"/>
              </w:rPr>
              <w:t>吉木萨尔县庆阳湖乡二工梁村</w:t>
            </w:r>
            <w:r>
              <w:rPr>
                <w:rFonts w:ascii="Times New Roman" w:hAnsi="Times New Roman" w:eastAsia="宋体"/>
                <w:sz w:val="24"/>
                <w:lang w:eastAsia="zh-CN"/>
              </w:rPr>
              <w:t>，无生态环境保护目标。</w:t>
            </w:r>
          </w:p>
          <w:p w14:paraId="76136E9F">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本项目主要环境保护目标见表</w:t>
            </w:r>
            <w:r>
              <w:rPr>
                <w:rFonts w:hint="eastAsia" w:ascii="Times New Roman" w:hAnsi="Times New Roman" w:eastAsia="宋体"/>
                <w:sz w:val="24"/>
                <w:lang w:eastAsia="zh-CN"/>
              </w:rPr>
              <w:t>3-4</w:t>
            </w:r>
            <w:r>
              <w:rPr>
                <w:rFonts w:ascii="Times New Roman" w:hAnsi="Times New Roman" w:eastAsia="宋体"/>
                <w:sz w:val="24"/>
                <w:lang w:eastAsia="zh-CN"/>
              </w:rPr>
              <w:t>。</w:t>
            </w:r>
          </w:p>
          <w:p w14:paraId="18B96245">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表3-4环境保护目标</w:t>
            </w:r>
          </w:p>
          <w:tbl>
            <w:tblPr>
              <w:tblStyle w:val="19"/>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9"/>
              <w:gridCol w:w="1940"/>
              <w:gridCol w:w="5030"/>
            </w:tblGrid>
            <w:tr w14:paraId="76715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090" w:type="dxa"/>
                </w:tcPr>
                <w:p w14:paraId="26F0FA4F">
                  <w:pPr>
                    <w:pStyle w:val="20"/>
                    <w:jc w:val="center"/>
                    <w:rPr>
                      <w:rFonts w:ascii="Times New Roman" w:hAnsi="Times New Roman"/>
                      <w:spacing w:val="-2"/>
                      <w:sz w:val="21"/>
                      <w:szCs w:val="21"/>
                    </w:rPr>
                  </w:pPr>
                  <w:r>
                    <w:rPr>
                      <w:rFonts w:hint="eastAsia" w:ascii="Times New Roman" w:hAnsi="Times New Roman"/>
                      <w:spacing w:val="-2"/>
                      <w:sz w:val="21"/>
                      <w:szCs w:val="21"/>
                    </w:rPr>
                    <w:t>环境要素</w:t>
                  </w:r>
                </w:p>
              </w:tc>
              <w:tc>
                <w:tcPr>
                  <w:tcW w:w="1906" w:type="dxa"/>
                </w:tcPr>
                <w:p w14:paraId="54DD2A0B">
                  <w:pPr>
                    <w:pStyle w:val="20"/>
                    <w:jc w:val="center"/>
                    <w:rPr>
                      <w:rFonts w:ascii="Times New Roman" w:hAnsi="Times New Roman"/>
                      <w:spacing w:val="-2"/>
                      <w:sz w:val="21"/>
                      <w:szCs w:val="21"/>
                    </w:rPr>
                  </w:pPr>
                  <w:r>
                    <w:rPr>
                      <w:rFonts w:hint="eastAsia" w:ascii="Times New Roman" w:hAnsi="Times New Roman"/>
                      <w:spacing w:val="-2"/>
                      <w:sz w:val="21"/>
                      <w:szCs w:val="21"/>
                    </w:rPr>
                    <w:t>方位</w:t>
                  </w:r>
                </w:p>
              </w:tc>
              <w:tc>
                <w:tcPr>
                  <w:tcW w:w="4942" w:type="dxa"/>
                </w:tcPr>
                <w:p w14:paraId="6804D17D">
                  <w:pPr>
                    <w:pStyle w:val="20"/>
                    <w:jc w:val="center"/>
                    <w:rPr>
                      <w:rFonts w:ascii="Times New Roman" w:hAnsi="Times New Roman"/>
                      <w:spacing w:val="-2"/>
                      <w:sz w:val="21"/>
                      <w:szCs w:val="21"/>
                    </w:rPr>
                  </w:pPr>
                  <w:r>
                    <w:rPr>
                      <w:rFonts w:hint="eastAsia" w:ascii="Times New Roman" w:hAnsi="Times New Roman"/>
                      <w:spacing w:val="-2"/>
                      <w:sz w:val="21"/>
                      <w:szCs w:val="21"/>
                    </w:rPr>
                    <w:t>环境功能及保护目标</w:t>
                  </w:r>
                </w:p>
              </w:tc>
            </w:tr>
            <w:tr w14:paraId="45EE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090" w:type="dxa"/>
                </w:tcPr>
                <w:p w14:paraId="302B6C90">
                  <w:pPr>
                    <w:pStyle w:val="20"/>
                    <w:jc w:val="center"/>
                    <w:rPr>
                      <w:rFonts w:ascii="Times New Roman" w:hAnsi="Times New Roman"/>
                      <w:spacing w:val="-2"/>
                      <w:sz w:val="21"/>
                      <w:szCs w:val="21"/>
                    </w:rPr>
                  </w:pPr>
                  <w:r>
                    <w:rPr>
                      <w:rFonts w:hint="eastAsia" w:ascii="Times New Roman" w:hAnsi="Times New Roman"/>
                      <w:spacing w:val="-2"/>
                      <w:sz w:val="21"/>
                      <w:szCs w:val="21"/>
                    </w:rPr>
                    <w:t>大气</w:t>
                  </w:r>
                </w:p>
              </w:tc>
              <w:tc>
                <w:tcPr>
                  <w:tcW w:w="1906" w:type="dxa"/>
                </w:tcPr>
                <w:p w14:paraId="707F0CAD">
                  <w:pPr>
                    <w:pStyle w:val="20"/>
                    <w:jc w:val="center"/>
                    <w:rPr>
                      <w:rFonts w:ascii="Times New Roman" w:hAnsi="Times New Roman"/>
                      <w:spacing w:val="-2"/>
                      <w:sz w:val="21"/>
                      <w:szCs w:val="21"/>
                    </w:rPr>
                  </w:pPr>
                  <w:r>
                    <w:rPr>
                      <w:rFonts w:hint="eastAsia" w:ascii="Times New Roman" w:hAnsi="Times New Roman"/>
                      <w:spacing w:val="-2"/>
                      <w:sz w:val="21"/>
                      <w:szCs w:val="21"/>
                    </w:rPr>
                    <w:t>项目区域</w:t>
                  </w:r>
                </w:p>
              </w:tc>
              <w:tc>
                <w:tcPr>
                  <w:tcW w:w="4942" w:type="dxa"/>
                </w:tcPr>
                <w:p w14:paraId="6264AA44">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《环境空气质量标准》（GB3095-2012）中二级标准</w:t>
                  </w:r>
                </w:p>
              </w:tc>
            </w:tr>
            <w:tr w14:paraId="70A3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090" w:type="dxa"/>
                </w:tcPr>
                <w:p w14:paraId="62610FBE">
                  <w:pPr>
                    <w:pStyle w:val="20"/>
                    <w:jc w:val="center"/>
                    <w:rPr>
                      <w:rFonts w:ascii="Times New Roman" w:hAnsi="Times New Roman"/>
                      <w:spacing w:val="-2"/>
                      <w:sz w:val="21"/>
                      <w:szCs w:val="21"/>
                    </w:rPr>
                  </w:pPr>
                  <w:r>
                    <w:rPr>
                      <w:rFonts w:hint="eastAsia" w:ascii="Times New Roman" w:hAnsi="Times New Roman"/>
                      <w:spacing w:val="-2"/>
                      <w:sz w:val="21"/>
                      <w:szCs w:val="21"/>
                    </w:rPr>
                    <w:t>地下水</w:t>
                  </w:r>
                </w:p>
              </w:tc>
              <w:tc>
                <w:tcPr>
                  <w:tcW w:w="1906" w:type="dxa"/>
                </w:tcPr>
                <w:p w14:paraId="59865C99">
                  <w:pPr>
                    <w:pStyle w:val="20"/>
                    <w:jc w:val="center"/>
                    <w:rPr>
                      <w:rFonts w:ascii="Times New Roman" w:hAnsi="Times New Roman"/>
                      <w:spacing w:val="-2"/>
                      <w:sz w:val="21"/>
                      <w:szCs w:val="21"/>
                    </w:rPr>
                  </w:pPr>
                  <w:r>
                    <w:rPr>
                      <w:rFonts w:hint="eastAsia" w:ascii="Times New Roman" w:hAnsi="Times New Roman"/>
                      <w:spacing w:val="-2"/>
                      <w:sz w:val="21"/>
                      <w:szCs w:val="21"/>
                    </w:rPr>
                    <w:t>项目区域</w:t>
                  </w:r>
                </w:p>
              </w:tc>
              <w:tc>
                <w:tcPr>
                  <w:tcW w:w="4942" w:type="dxa"/>
                </w:tcPr>
                <w:p w14:paraId="1F9183FD">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《地下水质量标准》（GB/T14848-93）中Ⅲ类标准</w:t>
                  </w:r>
                </w:p>
              </w:tc>
            </w:tr>
            <w:tr w14:paraId="2F35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090" w:type="dxa"/>
                </w:tcPr>
                <w:p w14:paraId="4D11D9C9">
                  <w:pPr>
                    <w:pStyle w:val="20"/>
                    <w:jc w:val="center"/>
                    <w:rPr>
                      <w:rFonts w:ascii="Times New Roman" w:hAnsi="Times New Roman"/>
                      <w:spacing w:val="-2"/>
                      <w:sz w:val="21"/>
                      <w:szCs w:val="21"/>
                    </w:rPr>
                  </w:pPr>
                  <w:r>
                    <w:rPr>
                      <w:rFonts w:hint="eastAsia" w:ascii="Times New Roman" w:hAnsi="Times New Roman"/>
                      <w:spacing w:val="-2"/>
                      <w:sz w:val="21"/>
                      <w:szCs w:val="21"/>
                    </w:rPr>
                    <w:t>声环境</w:t>
                  </w:r>
                </w:p>
              </w:tc>
              <w:tc>
                <w:tcPr>
                  <w:tcW w:w="1906" w:type="dxa"/>
                </w:tcPr>
                <w:p w14:paraId="765788BA">
                  <w:pPr>
                    <w:pStyle w:val="20"/>
                    <w:jc w:val="center"/>
                    <w:rPr>
                      <w:rFonts w:ascii="Times New Roman" w:hAnsi="Times New Roman"/>
                      <w:spacing w:val="-2"/>
                      <w:sz w:val="21"/>
                      <w:szCs w:val="21"/>
                    </w:rPr>
                  </w:pPr>
                  <w:r>
                    <w:rPr>
                      <w:rFonts w:hint="eastAsia" w:ascii="Times New Roman" w:hAnsi="Times New Roman"/>
                      <w:spacing w:val="-2"/>
                      <w:sz w:val="21"/>
                      <w:szCs w:val="21"/>
                    </w:rPr>
                    <w:t>厂界四周</w:t>
                  </w:r>
                </w:p>
              </w:tc>
              <w:tc>
                <w:tcPr>
                  <w:tcW w:w="4942" w:type="dxa"/>
                </w:tcPr>
                <w:p w14:paraId="7F3B157C">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《声环境质量标准》（GB3096-2008）中3类标准</w:t>
                  </w:r>
                </w:p>
              </w:tc>
            </w:tr>
            <w:tr w14:paraId="1C57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90" w:type="dxa"/>
                </w:tcPr>
                <w:p w14:paraId="198678F1">
                  <w:pPr>
                    <w:pStyle w:val="20"/>
                    <w:jc w:val="center"/>
                    <w:rPr>
                      <w:rFonts w:ascii="Times New Roman" w:hAnsi="Times New Roman"/>
                      <w:spacing w:val="-2"/>
                      <w:sz w:val="21"/>
                      <w:szCs w:val="21"/>
                    </w:rPr>
                  </w:pPr>
                  <w:r>
                    <w:rPr>
                      <w:rFonts w:hint="eastAsia" w:ascii="Times New Roman" w:hAnsi="Times New Roman"/>
                      <w:spacing w:val="-2"/>
                      <w:sz w:val="21"/>
                      <w:szCs w:val="21"/>
                    </w:rPr>
                    <w:t>生态环境</w:t>
                  </w:r>
                </w:p>
              </w:tc>
              <w:tc>
                <w:tcPr>
                  <w:tcW w:w="1906" w:type="dxa"/>
                </w:tcPr>
                <w:p w14:paraId="7539D1CC">
                  <w:pPr>
                    <w:pStyle w:val="20"/>
                    <w:jc w:val="center"/>
                    <w:rPr>
                      <w:rFonts w:ascii="Times New Roman" w:hAnsi="Times New Roman"/>
                      <w:spacing w:val="-2"/>
                      <w:sz w:val="21"/>
                      <w:szCs w:val="21"/>
                    </w:rPr>
                  </w:pPr>
                  <w:r>
                    <w:rPr>
                      <w:rFonts w:hint="eastAsia" w:ascii="Times New Roman" w:hAnsi="Times New Roman"/>
                      <w:spacing w:val="-2"/>
                      <w:sz w:val="21"/>
                      <w:szCs w:val="21"/>
                    </w:rPr>
                    <w:t>项目区地表植被</w:t>
                  </w:r>
                </w:p>
              </w:tc>
              <w:tc>
                <w:tcPr>
                  <w:tcW w:w="4942" w:type="dxa"/>
                </w:tcPr>
                <w:p w14:paraId="05C758AB">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保护项目不扰动地表和周边植被。</w:t>
                  </w:r>
                </w:p>
              </w:tc>
            </w:tr>
          </w:tbl>
          <w:p w14:paraId="55488205">
            <w:pPr>
              <w:widowControl w:val="0"/>
              <w:spacing w:before="98" w:line="213" w:lineRule="auto"/>
              <w:jc w:val="both"/>
              <w:rPr>
                <w:lang w:eastAsia="zh-CN"/>
              </w:rPr>
            </w:pPr>
          </w:p>
        </w:tc>
      </w:tr>
      <w:tr w14:paraId="7500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589" w:type="dxa"/>
          </w:tcPr>
          <w:p w14:paraId="5654C7F0">
            <w:pPr>
              <w:widowControl w:val="0"/>
              <w:spacing w:before="98" w:line="213" w:lineRule="auto"/>
              <w:jc w:val="both"/>
              <w:rPr>
                <w:rFonts w:eastAsia="宋体"/>
                <w:lang w:eastAsia="zh-CN"/>
              </w:rPr>
            </w:pPr>
            <w:r>
              <w:rPr>
                <w:rFonts w:hint="eastAsia" w:eastAsia="宋体"/>
                <w:sz w:val="24"/>
                <w:szCs w:val="24"/>
                <w:lang w:eastAsia="zh-CN"/>
              </w:rPr>
              <w:t>污染物排放控制表</w:t>
            </w:r>
          </w:p>
        </w:tc>
        <w:tc>
          <w:tcPr>
            <w:tcW w:w="8470" w:type="dxa"/>
          </w:tcPr>
          <w:p w14:paraId="2DCBE5BF">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1、废气</w:t>
            </w:r>
          </w:p>
          <w:p w14:paraId="799BFD84">
            <w:pPr>
              <w:widowControl w:val="0"/>
              <w:spacing w:line="360" w:lineRule="auto"/>
              <w:ind w:firstLine="480" w:firstLineChars="200"/>
              <w:jc w:val="both"/>
              <w:rPr>
                <w:rFonts w:hint="eastAsia" w:ascii="Times New Roman" w:hAnsi="Times New Roman" w:eastAsia="宋体"/>
                <w:sz w:val="24"/>
                <w:lang w:eastAsia="zh-CN"/>
              </w:rPr>
            </w:pPr>
            <w:r>
              <w:rPr>
                <w:rFonts w:hint="eastAsia" w:ascii="Times New Roman" w:hAnsi="Times New Roman" w:eastAsia="宋体"/>
                <w:sz w:val="24"/>
                <w:lang w:eastAsia="zh-CN"/>
              </w:rPr>
              <w:t>有组织粉尘执行《水泥工业大气污染物排放标准》（GB4915-2013）</w:t>
            </w:r>
            <w:r>
              <w:rPr>
                <w:rFonts w:hint="eastAsia" w:ascii="Times New Roman" w:hAnsi="Times New Roman" w:eastAsia="宋体"/>
                <w:sz w:val="24"/>
                <w:lang w:val="en-US" w:eastAsia="zh-CN"/>
              </w:rPr>
              <w:t>表1标准要求</w:t>
            </w:r>
            <w:r>
              <w:rPr>
                <w:rFonts w:hint="eastAsia" w:ascii="Times New Roman" w:hAnsi="Times New Roman" w:eastAsia="宋体"/>
                <w:sz w:val="24"/>
                <w:lang w:eastAsia="zh-CN"/>
              </w:rPr>
              <w:t>，无组织排放执行《水泥工业大气污染物排放标准》（GB4915-2013）表3标准要求。</w:t>
            </w:r>
          </w:p>
          <w:p w14:paraId="5CB5F6E6">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表3-5大气污染物有组织</w:t>
            </w:r>
            <w:r>
              <w:rPr>
                <w:rFonts w:hint="eastAsia" w:ascii="Times New Roman" w:hAnsi="Times New Roman" w:eastAsia="宋体" w:cs="宋体"/>
                <w:b/>
                <w:bCs/>
                <w:color w:val="auto"/>
                <w:lang w:val="en-US" w:eastAsia="zh-CN" w:bidi="ar"/>
              </w:rPr>
              <w:t>排放标准</w:t>
            </w:r>
            <w:r>
              <w:rPr>
                <w:rFonts w:hint="eastAsia" w:ascii="Times New Roman" w:hAnsi="Times New Roman" w:eastAsia="宋体" w:cs="宋体"/>
                <w:b/>
                <w:bCs/>
                <w:color w:val="auto"/>
                <w:lang w:eastAsia="zh-CN" w:bidi="ar"/>
              </w:rPr>
              <w:t xml:space="preserve"> 单位：mg/m</w:t>
            </w:r>
            <w:r>
              <w:rPr>
                <w:rFonts w:hint="eastAsia" w:ascii="Times New Roman" w:hAnsi="Times New Roman" w:eastAsia="宋体" w:cs="宋体"/>
                <w:b/>
                <w:bCs/>
                <w:color w:val="auto"/>
                <w:vertAlign w:val="superscript"/>
                <w:lang w:eastAsia="zh-CN" w:bidi="ar"/>
              </w:rPr>
              <w:t>3</w:t>
            </w:r>
          </w:p>
          <w:tbl>
            <w:tblPr>
              <w:tblStyle w:val="13"/>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572"/>
              <w:gridCol w:w="945"/>
              <w:gridCol w:w="1113"/>
              <w:gridCol w:w="2652"/>
            </w:tblGrid>
            <w:tr w14:paraId="7408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1" w:type="pct"/>
                  <w:tcBorders>
                    <w:tl2br w:val="nil"/>
                    <w:tr2bl w:val="nil"/>
                  </w:tcBorders>
                  <w:shd w:val="clear" w:color="auto" w:fill="auto"/>
                  <w:vAlign w:val="center"/>
                </w:tcPr>
                <w:p w14:paraId="4831527B">
                  <w:pPr>
                    <w:pStyle w:val="20"/>
                    <w:jc w:val="center"/>
                    <w:rPr>
                      <w:rFonts w:ascii="Times New Roman" w:hAnsi="Times New Roman"/>
                      <w:spacing w:val="-2"/>
                      <w:sz w:val="21"/>
                      <w:szCs w:val="21"/>
                    </w:rPr>
                  </w:pPr>
                  <w:r>
                    <w:rPr>
                      <w:rFonts w:hint="eastAsia" w:ascii="Times New Roman" w:hAnsi="Times New Roman"/>
                      <w:spacing w:val="-2"/>
                      <w:sz w:val="21"/>
                      <w:szCs w:val="21"/>
                    </w:rPr>
                    <w:t>生产过程</w:t>
                  </w:r>
                </w:p>
              </w:tc>
              <w:tc>
                <w:tcPr>
                  <w:tcW w:w="970" w:type="pct"/>
                  <w:tcBorders>
                    <w:tl2br w:val="nil"/>
                    <w:tr2bl w:val="nil"/>
                  </w:tcBorders>
                  <w:shd w:val="clear" w:color="auto" w:fill="auto"/>
                  <w:vAlign w:val="center"/>
                </w:tcPr>
                <w:p w14:paraId="1294CCE1">
                  <w:pPr>
                    <w:pStyle w:val="20"/>
                    <w:jc w:val="center"/>
                    <w:rPr>
                      <w:rFonts w:ascii="Times New Roman" w:hAnsi="Times New Roman"/>
                      <w:spacing w:val="-2"/>
                      <w:sz w:val="21"/>
                      <w:szCs w:val="21"/>
                    </w:rPr>
                  </w:pPr>
                  <w:r>
                    <w:rPr>
                      <w:rFonts w:hint="eastAsia" w:ascii="Times New Roman" w:hAnsi="Times New Roman"/>
                      <w:spacing w:val="-2"/>
                      <w:sz w:val="21"/>
                      <w:szCs w:val="21"/>
                    </w:rPr>
                    <w:t>生产设备</w:t>
                  </w:r>
                </w:p>
              </w:tc>
              <w:tc>
                <w:tcPr>
                  <w:tcW w:w="583" w:type="pct"/>
                  <w:tcBorders>
                    <w:tl2br w:val="nil"/>
                    <w:tr2bl w:val="nil"/>
                  </w:tcBorders>
                  <w:shd w:val="clear" w:color="auto" w:fill="auto"/>
                  <w:vAlign w:val="center"/>
                </w:tcPr>
                <w:p w14:paraId="462C725E">
                  <w:pPr>
                    <w:pStyle w:val="20"/>
                    <w:jc w:val="center"/>
                    <w:rPr>
                      <w:rFonts w:ascii="Times New Roman" w:hAnsi="Times New Roman"/>
                      <w:spacing w:val="-2"/>
                      <w:sz w:val="21"/>
                      <w:szCs w:val="21"/>
                    </w:rPr>
                  </w:pPr>
                  <w:r>
                    <w:rPr>
                      <w:rFonts w:hint="eastAsia" w:ascii="Times New Roman" w:hAnsi="Times New Roman"/>
                      <w:spacing w:val="-2"/>
                      <w:sz w:val="21"/>
                      <w:szCs w:val="21"/>
                    </w:rPr>
                    <w:t>污染物</w:t>
                  </w:r>
                </w:p>
              </w:tc>
              <w:tc>
                <w:tcPr>
                  <w:tcW w:w="687" w:type="pct"/>
                  <w:tcBorders>
                    <w:tl2br w:val="nil"/>
                    <w:tr2bl w:val="nil"/>
                  </w:tcBorders>
                  <w:shd w:val="clear" w:color="auto" w:fill="auto"/>
                  <w:vAlign w:val="center"/>
                </w:tcPr>
                <w:p w14:paraId="626CE732">
                  <w:pPr>
                    <w:pStyle w:val="20"/>
                    <w:jc w:val="center"/>
                    <w:rPr>
                      <w:rFonts w:ascii="Times New Roman" w:hAnsi="Times New Roman"/>
                      <w:spacing w:val="-2"/>
                      <w:sz w:val="21"/>
                      <w:szCs w:val="21"/>
                    </w:rPr>
                  </w:pPr>
                  <w:r>
                    <w:rPr>
                      <w:rFonts w:hint="eastAsia" w:ascii="Times New Roman" w:hAnsi="Times New Roman"/>
                      <w:spacing w:val="-2"/>
                      <w:sz w:val="21"/>
                      <w:szCs w:val="21"/>
                    </w:rPr>
                    <w:t>标准限值</w:t>
                  </w:r>
                </w:p>
              </w:tc>
              <w:tc>
                <w:tcPr>
                  <w:tcW w:w="1636" w:type="pct"/>
                  <w:tcBorders>
                    <w:tl2br w:val="nil"/>
                    <w:tr2bl w:val="nil"/>
                  </w:tcBorders>
                  <w:vAlign w:val="center"/>
                </w:tcPr>
                <w:p w14:paraId="0C4E4466">
                  <w:pPr>
                    <w:pStyle w:val="20"/>
                    <w:jc w:val="center"/>
                    <w:rPr>
                      <w:rFonts w:ascii="Times New Roman" w:hAnsi="Times New Roman"/>
                      <w:spacing w:val="-2"/>
                      <w:sz w:val="21"/>
                      <w:szCs w:val="21"/>
                    </w:rPr>
                  </w:pPr>
                  <w:r>
                    <w:rPr>
                      <w:rFonts w:hint="eastAsia" w:ascii="Times New Roman" w:hAnsi="Times New Roman"/>
                      <w:spacing w:val="-2"/>
                      <w:sz w:val="21"/>
                      <w:szCs w:val="21"/>
                    </w:rPr>
                    <w:t>标准来源</w:t>
                  </w:r>
                </w:p>
              </w:tc>
            </w:tr>
            <w:tr w14:paraId="204C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1" w:type="pct"/>
                  <w:tcBorders>
                    <w:tl2br w:val="nil"/>
                    <w:tr2bl w:val="nil"/>
                  </w:tcBorders>
                  <w:shd w:val="clear" w:color="auto" w:fill="auto"/>
                  <w:vAlign w:val="center"/>
                </w:tcPr>
                <w:p w14:paraId="72575DCA">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散装水泥中转站及水泥制品生产</w:t>
                  </w:r>
                </w:p>
              </w:tc>
              <w:tc>
                <w:tcPr>
                  <w:tcW w:w="970" w:type="pct"/>
                  <w:tcBorders>
                    <w:tl2br w:val="nil"/>
                    <w:tr2bl w:val="nil"/>
                  </w:tcBorders>
                  <w:shd w:val="clear" w:color="auto" w:fill="auto"/>
                  <w:vAlign w:val="center"/>
                </w:tcPr>
                <w:p w14:paraId="7C39B6A0">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水泥搅拌</w:t>
                  </w:r>
                </w:p>
              </w:tc>
              <w:tc>
                <w:tcPr>
                  <w:tcW w:w="583" w:type="pct"/>
                  <w:tcBorders>
                    <w:tl2br w:val="nil"/>
                    <w:tr2bl w:val="nil"/>
                  </w:tcBorders>
                  <w:shd w:val="clear" w:color="auto" w:fill="auto"/>
                  <w:vAlign w:val="center"/>
                </w:tcPr>
                <w:p w14:paraId="56C59D8E">
                  <w:pPr>
                    <w:pStyle w:val="20"/>
                    <w:jc w:val="center"/>
                    <w:rPr>
                      <w:rFonts w:ascii="Times New Roman" w:hAnsi="Times New Roman"/>
                      <w:spacing w:val="-2"/>
                      <w:sz w:val="21"/>
                      <w:szCs w:val="21"/>
                    </w:rPr>
                  </w:pPr>
                  <w:r>
                    <w:rPr>
                      <w:rFonts w:hint="eastAsia" w:ascii="Times New Roman" w:hAnsi="Times New Roman"/>
                      <w:spacing w:val="-2"/>
                      <w:sz w:val="21"/>
                      <w:szCs w:val="21"/>
                    </w:rPr>
                    <w:t>颗粒物</w:t>
                  </w:r>
                </w:p>
              </w:tc>
              <w:tc>
                <w:tcPr>
                  <w:tcW w:w="687" w:type="pct"/>
                  <w:tcBorders>
                    <w:tl2br w:val="nil"/>
                    <w:tr2bl w:val="nil"/>
                  </w:tcBorders>
                  <w:shd w:val="clear" w:color="auto" w:fill="auto"/>
                  <w:vAlign w:val="center"/>
                </w:tcPr>
                <w:p w14:paraId="5F8069EE">
                  <w:pPr>
                    <w:pStyle w:val="20"/>
                    <w:jc w:val="center"/>
                    <w:rPr>
                      <w:rFonts w:hint="default" w:ascii="Times New Roman" w:hAnsi="Times New Roman" w:eastAsia="宋体"/>
                      <w:spacing w:val="-2"/>
                      <w:sz w:val="21"/>
                      <w:szCs w:val="21"/>
                      <w:lang w:val="en-US" w:eastAsia="zh-CN"/>
                    </w:rPr>
                  </w:pPr>
                  <w:r>
                    <w:rPr>
                      <w:rFonts w:hint="eastAsia" w:ascii="Times New Roman" w:hAnsi="Times New Roman"/>
                      <w:color w:val="auto"/>
                      <w:spacing w:val="-2"/>
                      <w:sz w:val="21"/>
                      <w:szCs w:val="21"/>
                      <w:lang w:val="en-US" w:eastAsia="zh-CN"/>
                    </w:rPr>
                    <w:t>20</w:t>
                  </w:r>
                </w:p>
              </w:tc>
              <w:tc>
                <w:tcPr>
                  <w:tcW w:w="1636" w:type="pct"/>
                  <w:tcBorders>
                    <w:tl2br w:val="nil"/>
                    <w:tr2bl w:val="nil"/>
                  </w:tcBorders>
                  <w:vAlign w:val="center"/>
                </w:tcPr>
                <w:p w14:paraId="4DDFBF8F">
                  <w:pPr>
                    <w:pStyle w:val="20"/>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《水泥工业大气污染物排放标准》（</w:t>
                  </w:r>
                  <w:r>
                    <w:rPr>
                      <w:rFonts w:ascii="Times New Roman" w:hAnsi="Times New Roman"/>
                      <w:spacing w:val="-2"/>
                      <w:sz w:val="21"/>
                      <w:szCs w:val="21"/>
                      <w:lang w:eastAsia="zh-CN"/>
                    </w:rPr>
                    <w:t>GB</w:t>
                  </w:r>
                  <w:r>
                    <w:rPr>
                      <w:rFonts w:hint="eastAsia" w:ascii="Times New Roman" w:hAnsi="Times New Roman"/>
                      <w:spacing w:val="-2"/>
                      <w:sz w:val="21"/>
                      <w:szCs w:val="21"/>
                      <w:lang w:eastAsia="zh-CN"/>
                    </w:rPr>
                    <w:t>4915-2013）</w:t>
                  </w:r>
                </w:p>
              </w:tc>
            </w:tr>
          </w:tbl>
          <w:p w14:paraId="0F1AA621">
            <w:pPr>
              <w:widowControl/>
              <w:kinsoku/>
              <w:autoSpaceDE/>
              <w:autoSpaceDN/>
              <w:adjustRightInd/>
              <w:snapToGrid/>
              <w:jc w:val="center"/>
              <w:textAlignment w:val="auto"/>
              <w:rPr>
                <w:rFonts w:ascii="Times New Roman" w:hAnsi="Times New Roman" w:eastAsia="宋体" w:cs="宋体"/>
                <w:b/>
                <w:bCs/>
                <w:color w:val="auto"/>
                <w:lang w:eastAsia="zh-CN" w:bidi="ar"/>
              </w:rPr>
            </w:pPr>
            <w:r>
              <w:rPr>
                <w:rFonts w:hint="eastAsia" w:ascii="Times New Roman" w:hAnsi="Times New Roman" w:eastAsia="宋体" w:cs="宋体"/>
                <w:b/>
                <w:bCs/>
                <w:color w:val="auto"/>
                <w:lang w:eastAsia="zh-CN" w:bidi="ar"/>
              </w:rPr>
              <w:t>表3-6大气污染物无组织排放限值 单位：mg/m</w:t>
            </w:r>
            <w:r>
              <w:rPr>
                <w:rFonts w:hint="eastAsia" w:ascii="Times New Roman" w:hAnsi="Times New Roman" w:eastAsia="宋体" w:cs="宋体"/>
                <w:b/>
                <w:bCs/>
                <w:color w:val="auto"/>
                <w:vertAlign w:val="superscript"/>
                <w:lang w:eastAsia="zh-CN" w:bidi="ar"/>
              </w:rPr>
              <w:t>3</w:t>
            </w:r>
          </w:p>
          <w:tbl>
            <w:tblPr>
              <w:tblStyle w:val="19"/>
              <w:tblW w:w="4900" w:type="pct"/>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8"/>
              <w:gridCol w:w="1179"/>
              <w:gridCol w:w="3089"/>
              <w:gridCol w:w="2473"/>
            </w:tblGrid>
            <w:tr w14:paraId="57E2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71" w:type="dxa"/>
                </w:tcPr>
                <w:p w14:paraId="65290B31">
                  <w:pPr>
                    <w:pStyle w:val="20"/>
                    <w:jc w:val="center"/>
                    <w:rPr>
                      <w:rFonts w:ascii="Times New Roman" w:hAnsi="Times New Roman"/>
                      <w:spacing w:val="-2"/>
                      <w:sz w:val="21"/>
                      <w:szCs w:val="21"/>
                    </w:rPr>
                  </w:pPr>
                  <w:r>
                    <w:rPr>
                      <w:rFonts w:ascii="Times New Roman" w:hAnsi="Times New Roman"/>
                      <w:spacing w:val="-2"/>
                      <w:sz w:val="21"/>
                      <w:szCs w:val="21"/>
                    </w:rPr>
                    <w:t>污染物项目</w:t>
                  </w:r>
                </w:p>
              </w:tc>
              <w:tc>
                <w:tcPr>
                  <w:tcW w:w="1205" w:type="dxa"/>
                </w:tcPr>
                <w:p w14:paraId="112066FF">
                  <w:pPr>
                    <w:pStyle w:val="20"/>
                    <w:jc w:val="center"/>
                    <w:rPr>
                      <w:rFonts w:ascii="Times New Roman" w:hAnsi="Times New Roman"/>
                      <w:spacing w:val="-2"/>
                      <w:sz w:val="21"/>
                      <w:szCs w:val="21"/>
                    </w:rPr>
                  </w:pPr>
                  <w:r>
                    <w:rPr>
                      <w:rFonts w:ascii="Times New Roman" w:hAnsi="Times New Roman"/>
                      <w:spacing w:val="-2"/>
                      <w:sz w:val="21"/>
                      <w:szCs w:val="21"/>
                    </w:rPr>
                    <w:t>标准限值</w:t>
                  </w:r>
                </w:p>
              </w:tc>
              <w:tc>
                <w:tcPr>
                  <w:tcW w:w="3166" w:type="dxa"/>
                </w:tcPr>
                <w:p w14:paraId="28C53FDA">
                  <w:pPr>
                    <w:pStyle w:val="20"/>
                    <w:jc w:val="center"/>
                    <w:rPr>
                      <w:rFonts w:ascii="Times New Roman" w:hAnsi="Times New Roman"/>
                      <w:spacing w:val="-2"/>
                      <w:sz w:val="21"/>
                      <w:szCs w:val="21"/>
                    </w:rPr>
                  </w:pPr>
                  <w:r>
                    <w:rPr>
                      <w:rFonts w:ascii="Times New Roman" w:hAnsi="Times New Roman"/>
                      <w:spacing w:val="-2"/>
                      <w:sz w:val="21"/>
                      <w:szCs w:val="21"/>
                    </w:rPr>
                    <w:t>限制含义</w:t>
                  </w:r>
                </w:p>
              </w:tc>
              <w:tc>
                <w:tcPr>
                  <w:tcW w:w="2532" w:type="dxa"/>
                </w:tcPr>
                <w:p w14:paraId="64392ABA">
                  <w:pPr>
                    <w:pStyle w:val="20"/>
                    <w:jc w:val="center"/>
                    <w:rPr>
                      <w:rFonts w:ascii="Times New Roman" w:hAnsi="Times New Roman"/>
                      <w:spacing w:val="-2"/>
                      <w:sz w:val="21"/>
                      <w:szCs w:val="21"/>
                    </w:rPr>
                  </w:pPr>
                  <w:r>
                    <w:rPr>
                      <w:rFonts w:ascii="Times New Roman" w:hAnsi="Times New Roman"/>
                      <w:spacing w:val="-2"/>
                      <w:sz w:val="21"/>
                      <w:szCs w:val="21"/>
                    </w:rPr>
                    <w:t>无组织排放监控位置</w:t>
                  </w:r>
                </w:p>
              </w:tc>
            </w:tr>
            <w:tr w14:paraId="3E79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71" w:type="dxa"/>
                </w:tcPr>
                <w:p w14:paraId="33792688">
                  <w:pPr>
                    <w:pStyle w:val="20"/>
                    <w:jc w:val="center"/>
                    <w:rPr>
                      <w:rFonts w:ascii="Times New Roman" w:hAnsi="Times New Roman"/>
                      <w:spacing w:val="-2"/>
                      <w:sz w:val="21"/>
                      <w:szCs w:val="21"/>
                    </w:rPr>
                  </w:pPr>
                  <w:r>
                    <w:rPr>
                      <w:rFonts w:ascii="Times New Roman" w:hAnsi="Times New Roman"/>
                      <w:spacing w:val="-2"/>
                      <w:sz w:val="21"/>
                      <w:szCs w:val="21"/>
                    </w:rPr>
                    <w:t>颗粒物</w:t>
                  </w:r>
                </w:p>
              </w:tc>
              <w:tc>
                <w:tcPr>
                  <w:tcW w:w="1205" w:type="dxa"/>
                </w:tcPr>
                <w:p w14:paraId="6A25EB01">
                  <w:pPr>
                    <w:pStyle w:val="20"/>
                    <w:jc w:val="center"/>
                    <w:rPr>
                      <w:rFonts w:ascii="Times New Roman" w:hAnsi="Times New Roman"/>
                      <w:spacing w:val="-2"/>
                      <w:sz w:val="21"/>
                      <w:szCs w:val="21"/>
                    </w:rPr>
                  </w:pPr>
                  <w:r>
                    <w:rPr>
                      <w:rFonts w:ascii="Times New Roman" w:hAnsi="Times New Roman"/>
                      <w:spacing w:val="-2"/>
                      <w:sz w:val="21"/>
                      <w:szCs w:val="21"/>
                    </w:rPr>
                    <w:t>0.5</w:t>
                  </w:r>
                </w:p>
              </w:tc>
              <w:tc>
                <w:tcPr>
                  <w:tcW w:w="3166" w:type="dxa"/>
                </w:tcPr>
                <w:p w14:paraId="34740538">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监控点与参照点总悬浮颗粒物（颗粒物）1小时浓度值的差值</w:t>
                  </w:r>
                </w:p>
              </w:tc>
              <w:tc>
                <w:tcPr>
                  <w:tcW w:w="2532" w:type="dxa"/>
                </w:tcPr>
                <w:p w14:paraId="5811D765">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厂界外20m处上风向设参照点，下风向设监控点</w:t>
                  </w:r>
                </w:p>
              </w:tc>
            </w:tr>
          </w:tbl>
          <w:p w14:paraId="54669722">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2、废水</w:t>
            </w:r>
          </w:p>
          <w:p w14:paraId="465A12D7">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生活污水执行《污水综合排放标准》（GB8978-1996）中三级标准和《污水排入城镇下水道水质标准》（GB/T31962-2015）中NH</w:t>
            </w:r>
            <w:r>
              <w:rPr>
                <w:rFonts w:ascii="Times New Roman" w:hAnsi="Times New Roman" w:eastAsia="宋体"/>
                <w:sz w:val="24"/>
                <w:vertAlign w:val="subscript"/>
                <w:lang w:eastAsia="zh-CN"/>
              </w:rPr>
              <w:t>3</w:t>
            </w:r>
            <w:r>
              <w:rPr>
                <w:rFonts w:ascii="Times New Roman" w:hAnsi="Times New Roman" w:eastAsia="宋体"/>
                <w:sz w:val="24"/>
                <w:lang w:eastAsia="zh-CN"/>
              </w:rPr>
              <w:t>-N最高允许值中B级标准45mg/L的规定。</w:t>
            </w:r>
          </w:p>
          <w:p w14:paraId="23F15473">
            <w:pPr>
              <w:pStyle w:val="17"/>
            </w:pPr>
          </w:p>
          <w:p w14:paraId="3460A1B4">
            <w:pPr>
              <w:pStyle w:val="20"/>
              <w:widowControl w:val="0"/>
              <w:spacing w:before="22" w:line="212" w:lineRule="auto"/>
              <w:ind w:left="2915"/>
              <w:jc w:val="both"/>
              <w:rPr>
                <w:rFonts w:ascii="Times New Roman" w:hAnsi="Times New Roman"/>
                <w:b/>
                <w:bCs/>
                <w:color w:val="auto"/>
                <w:sz w:val="21"/>
                <w:szCs w:val="21"/>
                <w:lang w:eastAsia="zh-CN" w:bidi="ar"/>
              </w:rPr>
            </w:pPr>
            <w:r>
              <w:rPr>
                <w:rFonts w:hint="eastAsia" w:ascii="Times New Roman" w:hAnsi="Times New Roman"/>
                <w:b/>
                <w:bCs/>
                <w:color w:val="auto"/>
                <w:sz w:val="21"/>
                <w:szCs w:val="21"/>
                <w:lang w:eastAsia="zh-CN" w:bidi="ar"/>
              </w:rPr>
              <w:t>表3-7</w:t>
            </w:r>
            <w:r>
              <w:rPr>
                <w:rFonts w:ascii="Times New Roman" w:hAnsi="Times New Roman"/>
                <w:b/>
                <w:bCs/>
                <w:color w:val="auto"/>
                <w:sz w:val="21"/>
                <w:szCs w:val="21"/>
                <w:lang w:eastAsia="zh-CN" w:bidi="ar"/>
              </w:rPr>
              <w:t xml:space="preserve"> </w:t>
            </w:r>
            <w:r>
              <w:rPr>
                <w:rFonts w:hint="eastAsia" w:ascii="Times New Roman" w:hAnsi="Times New Roman"/>
                <w:b/>
                <w:bCs/>
                <w:color w:val="auto"/>
                <w:sz w:val="21"/>
                <w:szCs w:val="21"/>
                <w:lang w:eastAsia="zh-CN" w:bidi="ar"/>
              </w:rPr>
              <w:t>污水排放限值单位：mg/L</w:t>
            </w:r>
          </w:p>
          <w:tbl>
            <w:tblPr>
              <w:tblStyle w:val="19"/>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1726"/>
              <w:gridCol w:w="1207"/>
              <w:gridCol w:w="4439"/>
            </w:tblGrid>
            <w:tr w14:paraId="0D08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696" w:type="dxa"/>
                  <w:vAlign w:val="center"/>
                </w:tcPr>
                <w:p w14:paraId="1B123C5A">
                  <w:pPr>
                    <w:pStyle w:val="20"/>
                    <w:jc w:val="center"/>
                    <w:rPr>
                      <w:rFonts w:ascii="Times New Roman" w:hAnsi="Times New Roman"/>
                      <w:spacing w:val="-2"/>
                      <w:sz w:val="21"/>
                      <w:szCs w:val="21"/>
                    </w:rPr>
                  </w:pPr>
                  <w:r>
                    <w:rPr>
                      <w:rFonts w:ascii="Times New Roman" w:hAnsi="Times New Roman"/>
                      <w:spacing w:val="-2"/>
                      <w:sz w:val="21"/>
                      <w:szCs w:val="21"/>
                    </w:rPr>
                    <w:t>序号</w:t>
                  </w:r>
                </w:p>
              </w:tc>
              <w:tc>
                <w:tcPr>
                  <w:tcW w:w="1699" w:type="dxa"/>
                  <w:vAlign w:val="center"/>
                </w:tcPr>
                <w:p w14:paraId="2516B295">
                  <w:pPr>
                    <w:pStyle w:val="20"/>
                    <w:jc w:val="center"/>
                    <w:rPr>
                      <w:rFonts w:ascii="Times New Roman" w:hAnsi="Times New Roman"/>
                      <w:spacing w:val="-2"/>
                      <w:sz w:val="21"/>
                      <w:szCs w:val="21"/>
                    </w:rPr>
                  </w:pPr>
                  <w:r>
                    <w:rPr>
                      <w:rFonts w:ascii="Times New Roman" w:hAnsi="Times New Roman"/>
                      <w:spacing w:val="-2"/>
                      <w:sz w:val="21"/>
                      <w:szCs w:val="21"/>
                    </w:rPr>
                    <w:t>污染物</w:t>
                  </w:r>
                </w:p>
              </w:tc>
              <w:tc>
                <w:tcPr>
                  <w:tcW w:w="1188" w:type="dxa"/>
                  <w:vAlign w:val="center"/>
                </w:tcPr>
                <w:p w14:paraId="20D175FE">
                  <w:pPr>
                    <w:pStyle w:val="20"/>
                    <w:jc w:val="center"/>
                    <w:rPr>
                      <w:rFonts w:ascii="Times New Roman" w:hAnsi="Times New Roman"/>
                      <w:spacing w:val="-2"/>
                      <w:sz w:val="21"/>
                      <w:szCs w:val="21"/>
                    </w:rPr>
                  </w:pPr>
                  <w:r>
                    <w:rPr>
                      <w:rFonts w:ascii="Times New Roman" w:hAnsi="Times New Roman"/>
                      <w:spacing w:val="-2"/>
                      <w:sz w:val="21"/>
                      <w:szCs w:val="21"/>
                    </w:rPr>
                    <w:t>标准限值</w:t>
                  </w:r>
                </w:p>
              </w:tc>
              <w:tc>
                <w:tcPr>
                  <w:tcW w:w="4369" w:type="dxa"/>
                  <w:vAlign w:val="center"/>
                </w:tcPr>
                <w:p w14:paraId="049DFF65">
                  <w:pPr>
                    <w:pStyle w:val="20"/>
                    <w:jc w:val="center"/>
                    <w:rPr>
                      <w:rFonts w:ascii="Times New Roman" w:hAnsi="Times New Roman"/>
                      <w:spacing w:val="-2"/>
                      <w:sz w:val="21"/>
                      <w:szCs w:val="21"/>
                    </w:rPr>
                  </w:pPr>
                  <w:r>
                    <w:rPr>
                      <w:rFonts w:ascii="Times New Roman" w:hAnsi="Times New Roman"/>
                      <w:spacing w:val="-2"/>
                      <w:sz w:val="21"/>
                      <w:szCs w:val="21"/>
                    </w:rPr>
                    <w:t>标准来源</w:t>
                  </w:r>
                </w:p>
              </w:tc>
            </w:tr>
            <w:tr w14:paraId="7A9D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696" w:type="dxa"/>
                  <w:vAlign w:val="center"/>
                </w:tcPr>
                <w:p w14:paraId="47757E48">
                  <w:pPr>
                    <w:pStyle w:val="20"/>
                    <w:jc w:val="center"/>
                    <w:rPr>
                      <w:rFonts w:ascii="Times New Roman" w:hAnsi="Times New Roman"/>
                      <w:spacing w:val="-2"/>
                      <w:sz w:val="21"/>
                      <w:szCs w:val="21"/>
                    </w:rPr>
                  </w:pPr>
                  <w:r>
                    <w:rPr>
                      <w:rFonts w:ascii="Times New Roman" w:hAnsi="Times New Roman"/>
                      <w:spacing w:val="-2"/>
                      <w:sz w:val="21"/>
                      <w:szCs w:val="21"/>
                    </w:rPr>
                    <w:t>1</w:t>
                  </w:r>
                </w:p>
              </w:tc>
              <w:tc>
                <w:tcPr>
                  <w:tcW w:w="1699" w:type="dxa"/>
                  <w:vAlign w:val="center"/>
                </w:tcPr>
                <w:p w14:paraId="28A71D99">
                  <w:pPr>
                    <w:pStyle w:val="20"/>
                    <w:jc w:val="center"/>
                    <w:rPr>
                      <w:rFonts w:ascii="Times New Roman" w:hAnsi="Times New Roman"/>
                      <w:spacing w:val="-2"/>
                      <w:sz w:val="21"/>
                      <w:szCs w:val="21"/>
                    </w:rPr>
                  </w:pPr>
                  <w:r>
                    <w:rPr>
                      <w:rFonts w:ascii="Times New Roman" w:hAnsi="Times New Roman"/>
                      <w:spacing w:val="-2"/>
                      <w:sz w:val="21"/>
                      <w:szCs w:val="21"/>
                    </w:rPr>
                    <w:t>悬浮物</w:t>
                  </w:r>
                </w:p>
              </w:tc>
              <w:tc>
                <w:tcPr>
                  <w:tcW w:w="1188" w:type="dxa"/>
                  <w:vAlign w:val="center"/>
                </w:tcPr>
                <w:p w14:paraId="1D0FD8BC">
                  <w:pPr>
                    <w:pStyle w:val="20"/>
                    <w:jc w:val="center"/>
                    <w:rPr>
                      <w:rFonts w:ascii="Times New Roman" w:hAnsi="Times New Roman"/>
                      <w:spacing w:val="-2"/>
                      <w:sz w:val="21"/>
                      <w:szCs w:val="21"/>
                    </w:rPr>
                  </w:pPr>
                  <w:r>
                    <w:rPr>
                      <w:rFonts w:ascii="Times New Roman" w:hAnsi="Times New Roman"/>
                      <w:spacing w:val="-2"/>
                      <w:sz w:val="21"/>
                      <w:szCs w:val="21"/>
                    </w:rPr>
                    <w:t>400</w:t>
                  </w:r>
                </w:p>
              </w:tc>
              <w:tc>
                <w:tcPr>
                  <w:tcW w:w="4369" w:type="dxa"/>
                  <w:vMerge w:val="restart"/>
                  <w:vAlign w:val="center"/>
                </w:tcPr>
                <w:p w14:paraId="462E9A20">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《污水综合排放标准》（GB8978-1996）中三级标准</w:t>
                  </w:r>
                </w:p>
              </w:tc>
            </w:tr>
            <w:tr w14:paraId="50BA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696" w:type="dxa"/>
                  <w:vAlign w:val="center"/>
                </w:tcPr>
                <w:p w14:paraId="5BB844BB">
                  <w:pPr>
                    <w:pStyle w:val="20"/>
                    <w:jc w:val="center"/>
                    <w:rPr>
                      <w:rFonts w:ascii="Times New Roman" w:hAnsi="Times New Roman"/>
                      <w:spacing w:val="-2"/>
                      <w:sz w:val="21"/>
                      <w:szCs w:val="21"/>
                    </w:rPr>
                  </w:pPr>
                  <w:r>
                    <w:rPr>
                      <w:rFonts w:ascii="Times New Roman" w:hAnsi="Times New Roman"/>
                      <w:spacing w:val="-2"/>
                      <w:sz w:val="21"/>
                      <w:szCs w:val="21"/>
                    </w:rPr>
                    <w:t>2</w:t>
                  </w:r>
                </w:p>
              </w:tc>
              <w:tc>
                <w:tcPr>
                  <w:tcW w:w="1699" w:type="dxa"/>
                  <w:vAlign w:val="center"/>
                </w:tcPr>
                <w:p w14:paraId="3AD9B65A">
                  <w:pPr>
                    <w:pStyle w:val="20"/>
                    <w:jc w:val="center"/>
                    <w:rPr>
                      <w:rFonts w:ascii="Times New Roman" w:hAnsi="Times New Roman"/>
                      <w:spacing w:val="-2"/>
                      <w:sz w:val="21"/>
                      <w:szCs w:val="21"/>
                    </w:rPr>
                  </w:pPr>
                  <w:r>
                    <w:rPr>
                      <w:rFonts w:ascii="Times New Roman" w:hAnsi="Times New Roman"/>
                      <w:spacing w:val="-2"/>
                      <w:sz w:val="21"/>
                      <w:szCs w:val="21"/>
                    </w:rPr>
                    <w:t>五日生化需氧量</w:t>
                  </w:r>
                </w:p>
              </w:tc>
              <w:tc>
                <w:tcPr>
                  <w:tcW w:w="1188" w:type="dxa"/>
                  <w:vAlign w:val="center"/>
                </w:tcPr>
                <w:p w14:paraId="48EC54EE">
                  <w:pPr>
                    <w:pStyle w:val="20"/>
                    <w:jc w:val="center"/>
                    <w:rPr>
                      <w:rFonts w:ascii="Times New Roman" w:hAnsi="Times New Roman"/>
                      <w:spacing w:val="-2"/>
                      <w:sz w:val="21"/>
                      <w:szCs w:val="21"/>
                    </w:rPr>
                  </w:pPr>
                  <w:r>
                    <w:rPr>
                      <w:rFonts w:ascii="Times New Roman" w:hAnsi="Times New Roman"/>
                      <w:spacing w:val="-2"/>
                      <w:sz w:val="21"/>
                      <w:szCs w:val="21"/>
                    </w:rPr>
                    <w:t>300</w:t>
                  </w:r>
                </w:p>
              </w:tc>
              <w:tc>
                <w:tcPr>
                  <w:tcW w:w="4369" w:type="dxa"/>
                  <w:vMerge w:val="continue"/>
                  <w:vAlign w:val="center"/>
                </w:tcPr>
                <w:p w14:paraId="1D63D5A5">
                  <w:pPr>
                    <w:pStyle w:val="20"/>
                    <w:jc w:val="center"/>
                    <w:rPr>
                      <w:rFonts w:ascii="Times New Roman" w:hAnsi="Times New Roman"/>
                      <w:spacing w:val="-2"/>
                      <w:sz w:val="21"/>
                      <w:szCs w:val="21"/>
                    </w:rPr>
                  </w:pPr>
                </w:p>
              </w:tc>
            </w:tr>
            <w:tr w14:paraId="01E1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696" w:type="dxa"/>
                  <w:vAlign w:val="center"/>
                </w:tcPr>
                <w:p w14:paraId="1ADF4544">
                  <w:pPr>
                    <w:pStyle w:val="20"/>
                    <w:jc w:val="center"/>
                    <w:rPr>
                      <w:rFonts w:ascii="Times New Roman" w:hAnsi="Times New Roman"/>
                      <w:spacing w:val="-2"/>
                      <w:sz w:val="21"/>
                      <w:szCs w:val="21"/>
                    </w:rPr>
                  </w:pPr>
                  <w:r>
                    <w:rPr>
                      <w:rFonts w:ascii="Times New Roman" w:hAnsi="Times New Roman"/>
                      <w:spacing w:val="-2"/>
                      <w:sz w:val="21"/>
                      <w:szCs w:val="21"/>
                    </w:rPr>
                    <w:t>3</w:t>
                  </w:r>
                </w:p>
              </w:tc>
              <w:tc>
                <w:tcPr>
                  <w:tcW w:w="1699" w:type="dxa"/>
                  <w:vAlign w:val="center"/>
                </w:tcPr>
                <w:p w14:paraId="24A5A523">
                  <w:pPr>
                    <w:pStyle w:val="20"/>
                    <w:jc w:val="center"/>
                    <w:rPr>
                      <w:rFonts w:ascii="Times New Roman" w:hAnsi="Times New Roman"/>
                      <w:spacing w:val="-2"/>
                      <w:sz w:val="21"/>
                      <w:szCs w:val="21"/>
                    </w:rPr>
                  </w:pPr>
                  <w:r>
                    <w:rPr>
                      <w:rFonts w:ascii="Times New Roman" w:hAnsi="Times New Roman"/>
                      <w:spacing w:val="-2"/>
                      <w:sz w:val="21"/>
                      <w:szCs w:val="21"/>
                    </w:rPr>
                    <w:t>化学需氧量</w:t>
                  </w:r>
                </w:p>
              </w:tc>
              <w:tc>
                <w:tcPr>
                  <w:tcW w:w="1188" w:type="dxa"/>
                  <w:vAlign w:val="center"/>
                </w:tcPr>
                <w:p w14:paraId="585745C8">
                  <w:pPr>
                    <w:pStyle w:val="20"/>
                    <w:jc w:val="center"/>
                    <w:rPr>
                      <w:rFonts w:ascii="Times New Roman" w:hAnsi="Times New Roman"/>
                      <w:spacing w:val="-2"/>
                      <w:sz w:val="21"/>
                      <w:szCs w:val="21"/>
                    </w:rPr>
                  </w:pPr>
                  <w:r>
                    <w:rPr>
                      <w:rFonts w:ascii="Times New Roman" w:hAnsi="Times New Roman"/>
                      <w:spacing w:val="-2"/>
                      <w:sz w:val="21"/>
                      <w:szCs w:val="21"/>
                    </w:rPr>
                    <w:t>500</w:t>
                  </w:r>
                </w:p>
              </w:tc>
              <w:tc>
                <w:tcPr>
                  <w:tcW w:w="4369" w:type="dxa"/>
                  <w:vMerge w:val="continue"/>
                  <w:vAlign w:val="center"/>
                </w:tcPr>
                <w:p w14:paraId="555410DF">
                  <w:pPr>
                    <w:pStyle w:val="20"/>
                    <w:jc w:val="center"/>
                    <w:rPr>
                      <w:rFonts w:ascii="Times New Roman" w:hAnsi="Times New Roman"/>
                      <w:spacing w:val="-2"/>
                      <w:sz w:val="21"/>
                      <w:szCs w:val="21"/>
                    </w:rPr>
                  </w:pPr>
                </w:p>
              </w:tc>
            </w:tr>
            <w:tr w14:paraId="208DC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96" w:type="dxa"/>
                  <w:vAlign w:val="center"/>
                </w:tcPr>
                <w:p w14:paraId="6A427A50">
                  <w:pPr>
                    <w:pStyle w:val="20"/>
                    <w:jc w:val="center"/>
                    <w:rPr>
                      <w:rFonts w:ascii="Times New Roman" w:hAnsi="Times New Roman"/>
                      <w:spacing w:val="-2"/>
                      <w:sz w:val="21"/>
                      <w:szCs w:val="21"/>
                    </w:rPr>
                  </w:pPr>
                  <w:r>
                    <w:rPr>
                      <w:rFonts w:ascii="Times New Roman" w:hAnsi="Times New Roman"/>
                      <w:spacing w:val="-2"/>
                      <w:sz w:val="21"/>
                      <w:szCs w:val="21"/>
                    </w:rPr>
                    <w:t>4</w:t>
                  </w:r>
                </w:p>
              </w:tc>
              <w:tc>
                <w:tcPr>
                  <w:tcW w:w="1699" w:type="dxa"/>
                  <w:vAlign w:val="center"/>
                </w:tcPr>
                <w:p w14:paraId="5A77E989">
                  <w:pPr>
                    <w:pStyle w:val="20"/>
                    <w:jc w:val="center"/>
                    <w:rPr>
                      <w:rFonts w:ascii="Times New Roman" w:hAnsi="Times New Roman"/>
                      <w:spacing w:val="-2"/>
                      <w:sz w:val="21"/>
                      <w:szCs w:val="21"/>
                    </w:rPr>
                  </w:pPr>
                  <w:r>
                    <w:rPr>
                      <w:rFonts w:ascii="Times New Roman" w:hAnsi="Times New Roman"/>
                      <w:spacing w:val="-2"/>
                      <w:sz w:val="21"/>
                      <w:szCs w:val="21"/>
                    </w:rPr>
                    <w:t>氨氮</w:t>
                  </w:r>
                </w:p>
              </w:tc>
              <w:tc>
                <w:tcPr>
                  <w:tcW w:w="1188" w:type="dxa"/>
                  <w:vAlign w:val="center"/>
                </w:tcPr>
                <w:p w14:paraId="0B8F225D">
                  <w:pPr>
                    <w:pStyle w:val="20"/>
                    <w:jc w:val="center"/>
                    <w:rPr>
                      <w:rFonts w:ascii="Times New Roman" w:hAnsi="Times New Roman"/>
                      <w:spacing w:val="-2"/>
                      <w:sz w:val="21"/>
                      <w:szCs w:val="21"/>
                    </w:rPr>
                  </w:pPr>
                  <w:r>
                    <w:rPr>
                      <w:rFonts w:ascii="Times New Roman" w:hAnsi="Times New Roman"/>
                      <w:spacing w:val="-2"/>
                      <w:sz w:val="21"/>
                      <w:szCs w:val="21"/>
                    </w:rPr>
                    <w:t>45</w:t>
                  </w:r>
                </w:p>
              </w:tc>
              <w:tc>
                <w:tcPr>
                  <w:tcW w:w="4369" w:type="dxa"/>
                  <w:vAlign w:val="center"/>
                </w:tcPr>
                <w:p w14:paraId="426AC12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《污水排入城镇下水道水质标准》</w:t>
                  </w:r>
                </w:p>
                <w:p w14:paraId="7E81BA32">
                  <w:pPr>
                    <w:pStyle w:val="20"/>
                    <w:jc w:val="center"/>
                    <w:rPr>
                      <w:rFonts w:ascii="Times New Roman" w:hAnsi="Times New Roman"/>
                      <w:spacing w:val="-2"/>
                      <w:sz w:val="21"/>
                      <w:szCs w:val="21"/>
                      <w:lang w:eastAsia="zh-CN"/>
                    </w:rPr>
                  </w:pPr>
                  <w:r>
                    <w:rPr>
                      <w:rFonts w:ascii="Times New Roman" w:hAnsi="Times New Roman"/>
                      <w:spacing w:val="-2"/>
                      <w:sz w:val="21"/>
                      <w:szCs w:val="21"/>
                      <w:lang w:eastAsia="zh-CN"/>
                    </w:rPr>
                    <w:t>（GB/T31962-2015）中B级标准</w:t>
                  </w:r>
                </w:p>
              </w:tc>
            </w:tr>
          </w:tbl>
          <w:p w14:paraId="2415E3F4">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3、噪声</w:t>
            </w:r>
          </w:p>
          <w:p w14:paraId="08E4301D">
            <w:pPr>
              <w:widowControl w:val="0"/>
              <w:spacing w:line="360" w:lineRule="auto"/>
              <w:ind w:firstLine="480" w:firstLineChars="200"/>
              <w:jc w:val="both"/>
              <w:rPr>
                <w:rFonts w:ascii="Times New Roman" w:hAnsi="Times New Roman" w:eastAsia="宋体"/>
                <w:sz w:val="24"/>
                <w:lang w:eastAsia="zh-CN"/>
              </w:rPr>
            </w:pPr>
            <w:r>
              <w:rPr>
                <w:rFonts w:ascii="Times New Roman" w:hAnsi="Times New Roman" w:eastAsia="宋体"/>
                <w:sz w:val="24"/>
                <w:lang w:eastAsia="zh-CN"/>
              </w:rPr>
              <w:t>执行《工业企业厂界环境噪声排放标准》（GB12348-2008）中3类标准。</w:t>
            </w:r>
          </w:p>
          <w:p w14:paraId="78EB74D6">
            <w:pPr>
              <w:pStyle w:val="20"/>
              <w:widowControl w:val="0"/>
              <w:spacing w:before="22" w:line="212" w:lineRule="auto"/>
              <w:ind w:left="2915"/>
              <w:jc w:val="both"/>
              <w:rPr>
                <w:rFonts w:ascii="Times New Roman" w:hAnsi="Times New Roman"/>
                <w:b/>
                <w:bCs/>
                <w:color w:val="auto"/>
                <w:sz w:val="21"/>
                <w:szCs w:val="21"/>
                <w:lang w:eastAsia="zh-CN" w:bidi="ar"/>
              </w:rPr>
            </w:pPr>
            <w:r>
              <w:rPr>
                <w:rFonts w:hint="eastAsia" w:ascii="Times New Roman" w:hAnsi="Times New Roman"/>
                <w:b/>
                <w:bCs/>
                <w:color w:val="auto"/>
                <w:sz w:val="21"/>
                <w:szCs w:val="21"/>
                <w:lang w:eastAsia="zh-CN" w:bidi="ar"/>
              </w:rPr>
              <w:t>表3-8噪声排放限值单位：dB（A）</w:t>
            </w:r>
          </w:p>
          <w:tbl>
            <w:tblPr>
              <w:tblStyle w:val="19"/>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38"/>
              <w:gridCol w:w="2729"/>
              <w:gridCol w:w="2612"/>
            </w:tblGrid>
            <w:tr w14:paraId="3D5E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695" w:type="dxa"/>
                  <w:vAlign w:val="center"/>
                </w:tcPr>
                <w:p w14:paraId="6C122EA9">
                  <w:pPr>
                    <w:pStyle w:val="20"/>
                    <w:jc w:val="center"/>
                    <w:rPr>
                      <w:rFonts w:ascii="Times New Roman" w:hAnsi="Times New Roman"/>
                      <w:sz w:val="21"/>
                      <w:szCs w:val="21"/>
                      <w:lang w:eastAsia="zh-CN"/>
                    </w:rPr>
                  </w:pPr>
                  <w:r>
                    <w:rPr>
                      <w:rFonts w:ascii="Times New Roman" w:hAnsi="Times New Roman"/>
                      <w:spacing w:val="-2"/>
                      <w:sz w:val="21"/>
                      <w:szCs w:val="21"/>
                      <w:lang w:eastAsia="zh-CN"/>
                    </w:rPr>
                    <w:t>类别</w:t>
                  </w:r>
                </w:p>
              </w:tc>
              <w:tc>
                <w:tcPr>
                  <w:tcW w:w="2686" w:type="dxa"/>
                  <w:vAlign w:val="center"/>
                </w:tcPr>
                <w:p w14:paraId="624EDA7C">
                  <w:pPr>
                    <w:pStyle w:val="20"/>
                    <w:jc w:val="center"/>
                    <w:rPr>
                      <w:rFonts w:ascii="Times New Roman" w:hAnsi="Times New Roman"/>
                      <w:sz w:val="21"/>
                      <w:szCs w:val="21"/>
                      <w:lang w:eastAsia="zh-CN"/>
                    </w:rPr>
                  </w:pPr>
                  <w:r>
                    <w:rPr>
                      <w:rFonts w:ascii="Times New Roman" w:hAnsi="Times New Roman"/>
                      <w:spacing w:val="-2"/>
                      <w:sz w:val="21"/>
                      <w:szCs w:val="21"/>
                      <w:lang w:eastAsia="zh-CN"/>
                    </w:rPr>
                    <w:t>昼间</w:t>
                  </w:r>
                  <w:r>
                    <w:rPr>
                      <w:rFonts w:ascii="Times New Roman" w:hAnsi="Times New Roman" w:cs="Times New Roman"/>
                      <w:spacing w:val="-2"/>
                      <w:sz w:val="21"/>
                      <w:szCs w:val="21"/>
                      <w:lang w:eastAsia="zh-CN"/>
                    </w:rPr>
                    <w:t>dB</w:t>
                  </w:r>
                  <w:r>
                    <w:rPr>
                      <w:rFonts w:ascii="Times New Roman" w:hAnsi="Times New Roman"/>
                      <w:spacing w:val="-2"/>
                      <w:sz w:val="21"/>
                      <w:szCs w:val="21"/>
                      <w:lang w:eastAsia="zh-CN"/>
                    </w:rPr>
                    <w:t>（</w:t>
                  </w:r>
                  <w:r>
                    <w:rPr>
                      <w:rFonts w:ascii="Times New Roman" w:hAnsi="Times New Roman" w:cs="Times New Roman"/>
                      <w:spacing w:val="-2"/>
                      <w:sz w:val="21"/>
                      <w:szCs w:val="21"/>
                      <w:lang w:eastAsia="zh-CN"/>
                    </w:rPr>
                    <w:t>A</w:t>
                  </w:r>
                  <w:r>
                    <w:rPr>
                      <w:rFonts w:ascii="Times New Roman" w:hAnsi="Times New Roman"/>
                      <w:spacing w:val="-2"/>
                      <w:sz w:val="21"/>
                      <w:szCs w:val="21"/>
                      <w:lang w:eastAsia="zh-CN"/>
                    </w:rPr>
                    <w:t>）</w:t>
                  </w:r>
                </w:p>
              </w:tc>
              <w:tc>
                <w:tcPr>
                  <w:tcW w:w="2571" w:type="dxa"/>
                  <w:vAlign w:val="center"/>
                </w:tcPr>
                <w:p w14:paraId="1BAFEAFE">
                  <w:pPr>
                    <w:pStyle w:val="20"/>
                    <w:jc w:val="center"/>
                    <w:rPr>
                      <w:rFonts w:ascii="Times New Roman" w:hAnsi="Times New Roman"/>
                      <w:sz w:val="21"/>
                      <w:szCs w:val="21"/>
                      <w:lang w:eastAsia="zh-CN"/>
                    </w:rPr>
                  </w:pPr>
                  <w:r>
                    <w:rPr>
                      <w:rFonts w:ascii="Times New Roman" w:hAnsi="Times New Roman"/>
                      <w:spacing w:val="-3"/>
                      <w:sz w:val="21"/>
                      <w:szCs w:val="21"/>
                      <w:lang w:eastAsia="zh-CN"/>
                    </w:rPr>
                    <w:t>夜间</w:t>
                  </w:r>
                  <w:r>
                    <w:rPr>
                      <w:rFonts w:ascii="Times New Roman" w:hAnsi="Times New Roman" w:cs="Times New Roman"/>
                      <w:spacing w:val="-3"/>
                      <w:sz w:val="21"/>
                      <w:szCs w:val="21"/>
                      <w:lang w:eastAsia="zh-CN"/>
                    </w:rPr>
                    <w:t>dB</w:t>
                  </w:r>
                  <w:r>
                    <w:rPr>
                      <w:rFonts w:ascii="Times New Roman" w:hAnsi="Times New Roman"/>
                      <w:spacing w:val="-3"/>
                      <w:sz w:val="21"/>
                      <w:szCs w:val="21"/>
                      <w:lang w:eastAsia="zh-CN"/>
                    </w:rPr>
                    <w:t>（</w:t>
                  </w:r>
                  <w:r>
                    <w:rPr>
                      <w:rFonts w:ascii="Times New Roman" w:hAnsi="Times New Roman" w:cs="Times New Roman"/>
                      <w:spacing w:val="-3"/>
                      <w:sz w:val="21"/>
                      <w:szCs w:val="21"/>
                      <w:lang w:eastAsia="zh-CN"/>
                    </w:rPr>
                    <w:t>A</w:t>
                  </w:r>
                  <w:r>
                    <w:rPr>
                      <w:rFonts w:ascii="Times New Roman" w:hAnsi="Times New Roman"/>
                      <w:spacing w:val="-3"/>
                      <w:sz w:val="21"/>
                      <w:szCs w:val="21"/>
                      <w:lang w:eastAsia="zh-CN"/>
                    </w:rPr>
                    <w:t>）</w:t>
                  </w:r>
                </w:p>
              </w:tc>
            </w:tr>
            <w:tr w14:paraId="728D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695" w:type="dxa"/>
                  <w:vAlign w:val="center"/>
                </w:tcPr>
                <w:p w14:paraId="687E3C74">
                  <w:pPr>
                    <w:jc w:val="center"/>
                    <w:rPr>
                      <w:rFonts w:ascii="Times New Roman" w:hAnsi="Times New Roman" w:eastAsia="宋体" w:cs="Times New Roman"/>
                      <w:lang w:eastAsia="zh-CN"/>
                    </w:rPr>
                  </w:pPr>
                  <w:r>
                    <w:rPr>
                      <w:rFonts w:ascii="Times New Roman" w:hAnsi="Times New Roman" w:eastAsia="宋体" w:cs="Times New Roman"/>
                      <w:lang w:eastAsia="zh-CN"/>
                    </w:rPr>
                    <w:t>3</w:t>
                  </w:r>
                </w:p>
              </w:tc>
              <w:tc>
                <w:tcPr>
                  <w:tcW w:w="2686" w:type="dxa"/>
                  <w:vAlign w:val="center"/>
                </w:tcPr>
                <w:p w14:paraId="4DE19DA8">
                  <w:pPr>
                    <w:jc w:val="center"/>
                    <w:rPr>
                      <w:rFonts w:ascii="Times New Roman" w:hAnsi="Times New Roman" w:eastAsia="宋体" w:cs="Times New Roman"/>
                      <w:lang w:eastAsia="zh-CN"/>
                    </w:rPr>
                  </w:pPr>
                  <w:r>
                    <w:rPr>
                      <w:rFonts w:ascii="Times New Roman" w:hAnsi="Times New Roman" w:eastAsia="宋体" w:cs="Times New Roman"/>
                      <w:spacing w:val="-2"/>
                      <w:lang w:eastAsia="zh-CN"/>
                    </w:rPr>
                    <w:t>65</w:t>
                  </w:r>
                </w:p>
              </w:tc>
              <w:tc>
                <w:tcPr>
                  <w:tcW w:w="2571" w:type="dxa"/>
                  <w:vAlign w:val="center"/>
                </w:tcPr>
                <w:p w14:paraId="57EBADDA">
                  <w:pPr>
                    <w:jc w:val="center"/>
                    <w:rPr>
                      <w:rFonts w:ascii="Times New Roman" w:hAnsi="Times New Roman" w:eastAsia="宋体" w:cs="Times New Roman"/>
                      <w:lang w:eastAsia="zh-CN"/>
                    </w:rPr>
                  </w:pPr>
                  <w:r>
                    <w:rPr>
                      <w:rFonts w:ascii="Times New Roman" w:hAnsi="Times New Roman" w:eastAsia="宋体" w:cs="Times New Roman"/>
                      <w:spacing w:val="-3"/>
                      <w:lang w:eastAsia="zh-CN"/>
                    </w:rPr>
                    <w:t>55</w:t>
                  </w:r>
                </w:p>
              </w:tc>
            </w:tr>
          </w:tbl>
          <w:p w14:paraId="48FAAA00">
            <w:pPr>
              <w:pStyle w:val="20"/>
              <w:widowControl/>
              <w:spacing w:line="360" w:lineRule="auto"/>
              <w:ind w:firstLine="472" w:firstLineChars="200"/>
              <w:jc w:val="both"/>
              <w:rPr>
                <w:rFonts w:ascii="Times New Roman" w:hAnsi="Times New Roman" w:eastAsia="Times New Roman" w:cs="Times New Roman"/>
                <w:b/>
                <w:bCs/>
                <w:spacing w:val="-2"/>
                <w:lang w:eastAsia="zh-CN"/>
              </w:rPr>
            </w:pPr>
            <w:r>
              <w:rPr>
                <w:rFonts w:hint="eastAsia" w:ascii="Times New Roman" w:hAnsi="Times New Roman" w:eastAsia="Times New Roman" w:cs="Times New Roman"/>
                <w:b/>
                <w:bCs/>
                <w:spacing w:val="-2"/>
                <w:lang w:eastAsia="zh-CN"/>
              </w:rPr>
              <w:t>4、固体废物</w:t>
            </w:r>
          </w:p>
          <w:p w14:paraId="6C17FD39">
            <w:pPr>
              <w:widowControl w:val="0"/>
              <w:spacing w:line="360" w:lineRule="auto"/>
              <w:ind w:firstLine="480" w:firstLineChars="200"/>
              <w:jc w:val="both"/>
              <w:rPr>
                <w:rFonts w:eastAsia="宋体"/>
                <w:lang w:eastAsia="zh-CN"/>
              </w:rPr>
            </w:pPr>
            <w:r>
              <w:rPr>
                <w:rFonts w:hint="eastAsia" w:ascii="Times New Roman" w:hAnsi="Times New Roman" w:eastAsia="宋体"/>
                <w:sz w:val="24"/>
                <w:lang w:eastAsia="zh-CN"/>
              </w:rPr>
              <w:t>一般工业固废执行《一般工业固体废物贮存和填埋污染控制标准》（GB 18599-2020）中的相关规定。</w:t>
            </w:r>
            <w:r>
              <w:rPr>
                <w:rFonts w:ascii="Times New Roman" w:hAnsi="Times New Roman" w:eastAsia="宋体"/>
                <w:sz w:val="24"/>
                <w:lang w:eastAsia="zh-CN"/>
              </w:rPr>
              <w:t>废</w:t>
            </w:r>
            <w:r>
              <w:rPr>
                <w:rFonts w:hint="eastAsia" w:ascii="Times New Roman" w:hAnsi="Times New Roman" w:eastAsia="宋体"/>
                <w:sz w:val="24"/>
                <w:lang w:val="en-US" w:eastAsia="zh-CN"/>
              </w:rPr>
              <w:t>机油、废油桶</w:t>
            </w:r>
            <w:r>
              <w:rPr>
                <w:rFonts w:ascii="Times New Roman" w:hAnsi="Times New Roman" w:eastAsia="宋体"/>
                <w:sz w:val="24"/>
                <w:lang w:eastAsia="zh-CN"/>
              </w:rPr>
              <w:t>属于</w:t>
            </w:r>
            <w:r>
              <w:rPr>
                <w:rFonts w:hint="eastAsia" w:ascii="Times New Roman" w:hAnsi="Times New Roman" w:eastAsia="宋体"/>
                <w:sz w:val="24"/>
                <w:lang w:val="en-US" w:eastAsia="zh-CN"/>
              </w:rPr>
              <w:t>危险废物</w:t>
            </w:r>
            <w:r>
              <w:rPr>
                <w:rFonts w:ascii="Times New Roman" w:hAnsi="Times New Roman" w:eastAsia="宋体"/>
                <w:sz w:val="24"/>
                <w:lang w:eastAsia="zh-CN"/>
              </w:rPr>
              <w:t>，应执行《危险废物贮存污染控制标准》（GB18597-2023）。</w:t>
            </w:r>
          </w:p>
        </w:tc>
      </w:tr>
      <w:tr w14:paraId="2441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589" w:type="dxa"/>
            <w:vAlign w:val="center"/>
          </w:tcPr>
          <w:p w14:paraId="11972D11">
            <w:pPr>
              <w:widowControl w:val="0"/>
              <w:spacing w:before="98" w:line="213" w:lineRule="auto"/>
              <w:jc w:val="center"/>
            </w:pPr>
            <w:r>
              <w:rPr>
                <w:sz w:val="24"/>
                <w:szCs w:val="24"/>
              </w:rPr>
              <w:t>总量控制指标</w:t>
            </w:r>
          </w:p>
        </w:tc>
        <w:tc>
          <w:tcPr>
            <w:tcW w:w="8470" w:type="dxa"/>
            <w:vAlign w:val="center"/>
          </w:tcPr>
          <w:p w14:paraId="7141E8EB">
            <w:pPr>
              <w:widowControl w:val="0"/>
              <w:spacing w:before="98" w:line="213" w:lineRule="auto"/>
              <w:jc w:val="center"/>
              <w:rPr>
                <w:spacing w:val="-1"/>
                <w:lang w:eastAsia="zh-CN"/>
              </w:rPr>
            </w:pPr>
            <w:r>
              <w:rPr>
                <w:spacing w:val="-5"/>
                <w:sz w:val="24"/>
                <w:szCs w:val="24"/>
                <w:lang w:eastAsia="zh-CN"/>
              </w:rPr>
              <w:t>本项目无需申请总量。</w:t>
            </w:r>
          </w:p>
        </w:tc>
      </w:tr>
    </w:tbl>
    <w:p w14:paraId="08CCB798">
      <w:pPr>
        <w:spacing w:before="98" w:line="213" w:lineRule="auto"/>
        <w:jc w:val="both"/>
        <w:rPr>
          <w:rFonts w:ascii="宋体" w:hAnsi="宋体" w:eastAsia="宋体" w:cs="宋体"/>
          <w:b/>
          <w:bCs/>
          <w:spacing w:val="-3"/>
          <w:sz w:val="30"/>
          <w:szCs w:val="30"/>
          <w:lang w:eastAsia="zh-CN"/>
        </w:rPr>
      </w:pPr>
    </w:p>
    <w:p w14:paraId="27812973">
      <w:pPr>
        <w:rPr>
          <w:lang w:eastAsia="zh-CN"/>
        </w:rPr>
        <w:sectPr>
          <w:footerReference r:id="rId6" w:type="default"/>
          <w:pgSz w:w="11905" w:h="16838"/>
          <w:pgMar w:top="1701" w:right="1531" w:bottom="1701" w:left="1531" w:header="0" w:footer="913" w:gutter="0"/>
          <w:cols w:space="0" w:num="1"/>
        </w:sectPr>
      </w:pPr>
    </w:p>
    <w:p w14:paraId="7827AA45">
      <w:pPr>
        <w:spacing w:before="98" w:line="213" w:lineRule="auto"/>
        <w:jc w:val="center"/>
        <w:rPr>
          <w:rFonts w:ascii="宋体" w:hAnsi="宋体" w:eastAsia="宋体" w:cs="宋体"/>
          <w:sz w:val="30"/>
          <w:szCs w:val="30"/>
          <w:lang w:eastAsia="zh-CN"/>
        </w:rPr>
      </w:pPr>
      <w:r>
        <w:rPr>
          <w:rFonts w:ascii="宋体" w:hAnsi="宋体" w:eastAsia="宋体" w:cs="宋体"/>
          <w:b/>
          <w:bCs/>
          <w:spacing w:val="-6"/>
          <w:sz w:val="30"/>
          <w:szCs w:val="30"/>
          <w:lang w:eastAsia="zh-CN"/>
        </w:rPr>
        <w:t>四、主要环境影响和保护措施</w:t>
      </w:r>
    </w:p>
    <w:tbl>
      <w:tblPr>
        <w:tblStyle w:val="19"/>
        <w:tblW w:w="907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0"/>
        <w:gridCol w:w="8347"/>
      </w:tblGrid>
      <w:tr w14:paraId="3C8C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730" w:type="dxa"/>
            <w:tcBorders>
              <w:right w:val="single" w:color="000000" w:sz="2" w:space="0"/>
            </w:tcBorders>
            <w:vAlign w:val="center"/>
          </w:tcPr>
          <w:p w14:paraId="384C75F5">
            <w:pPr>
              <w:pStyle w:val="20"/>
              <w:spacing w:line="360" w:lineRule="auto"/>
              <w:rPr>
                <w:color w:val="auto"/>
              </w:rPr>
            </w:pPr>
            <w:r>
              <w:rPr>
                <w:color w:val="auto"/>
                <w:spacing w:val="-3"/>
              </w:rPr>
              <w:t>施工</w:t>
            </w:r>
            <w:r>
              <w:rPr>
                <w:color w:val="auto"/>
                <w:spacing w:val="-4"/>
              </w:rPr>
              <w:t>期环</w:t>
            </w:r>
            <w:r>
              <w:rPr>
                <w:color w:val="auto"/>
                <w:spacing w:val="-3"/>
              </w:rPr>
              <w:t>境</w:t>
            </w:r>
            <w:r>
              <w:rPr>
                <w:rFonts w:hint="eastAsia"/>
                <w:color w:val="auto"/>
                <w:spacing w:val="-3"/>
                <w:lang w:eastAsia="zh-CN"/>
              </w:rPr>
              <w:t>保护</w:t>
            </w:r>
            <w:r>
              <w:rPr>
                <w:color w:val="auto"/>
                <w:spacing w:val="-6"/>
              </w:rPr>
              <w:t>措</w:t>
            </w:r>
            <w:r>
              <w:rPr>
                <w:color w:val="auto"/>
              </w:rPr>
              <w:t>施</w:t>
            </w:r>
          </w:p>
        </w:tc>
        <w:tc>
          <w:tcPr>
            <w:tcW w:w="8347" w:type="dxa"/>
            <w:tcBorders>
              <w:left w:val="single" w:color="000000" w:sz="2" w:space="0"/>
            </w:tcBorders>
            <w:vAlign w:val="center"/>
          </w:tcPr>
          <w:p w14:paraId="4A460995">
            <w:pPr>
              <w:pStyle w:val="20"/>
              <w:kinsoku/>
              <w:overflowPunct w:val="0"/>
              <w:spacing w:line="360" w:lineRule="auto"/>
              <w:ind w:firstLine="476" w:firstLineChars="200"/>
              <w:jc w:val="both"/>
              <w:rPr>
                <w:color w:val="auto"/>
              </w:rPr>
            </w:pPr>
            <w:r>
              <w:rPr>
                <w:rFonts w:ascii="Times New Roman" w:hAnsi="Times New Roman"/>
                <w:color w:val="auto"/>
                <w:spacing w:val="-1"/>
                <w:lang w:eastAsia="zh-CN"/>
              </w:rPr>
              <w:t>本项目施工</w:t>
            </w:r>
            <w:r>
              <w:rPr>
                <w:rFonts w:hint="eastAsia" w:ascii="Times New Roman" w:hAnsi="Times New Roman"/>
                <w:color w:val="auto"/>
                <w:spacing w:val="-1"/>
                <w:lang w:val="en-US" w:eastAsia="zh-CN"/>
              </w:rPr>
              <w:t>期已结束，施工过程中未接到相关投诉，施工</w:t>
            </w:r>
            <w:r>
              <w:rPr>
                <w:rFonts w:ascii="Times New Roman" w:hAnsi="Times New Roman"/>
                <w:color w:val="auto"/>
                <w:spacing w:val="-1"/>
                <w:lang w:eastAsia="zh-CN"/>
              </w:rPr>
              <w:t>工程量小，周期短。</w:t>
            </w:r>
            <w:r>
              <w:rPr>
                <w:rFonts w:hint="eastAsia" w:ascii="Times New Roman" w:hAnsi="Times New Roman"/>
                <w:color w:val="auto"/>
                <w:spacing w:val="-1"/>
                <w:lang w:val="en-US" w:eastAsia="zh-CN"/>
              </w:rPr>
              <w:t>施工</w:t>
            </w:r>
            <w:r>
              <w:rPr>
                <w:rFonts w:ascii="Times New Roman" w:hAnsi="Times New Roman"/>
                <w:color w:val="auto"/>
                <w:spacing w:val="-1"/>
                <w:lang w:eastAsia="zh-CN"/>
              </w:rPr>
              <w:t>产生的环境影响随着施工期的结束</w:t>
            </w:r>
            <w:r>
              <w:rPr>
                <w:rFonts w:hint="eastAsia" w:ascii="Times New Roman" w:hAnsi="Times New Roman"/>
                <w:color w:val="auto"/>
                <w:spacing w:val="-4"/>
                <w:lang w:val="en-US" w:eastAsia="zh-CN"/>
              </w:rPr>
              <w:t>而</w:t>
            </w:r>
            <w:r>
              <w:rPr>
                <w:rFonts w:ascii="Times New Roman" w:hAnsi="Times New Roman"/>
                <w:color w:val="auto"/>
                <w:spacing w:val="-4"/>
                <w:lang w:eastAsia="zh-CN"/>
              </w:rPr>
              <w:t>消失。</w:t>
            </w:r>
          </w:p>
        </w:tc>
      </w:tr>
      <w:tr w14:paraId="55E4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5" w:hRule="atLeast"/>
        </w:trPr>
        <w:tc>
          <w:tcPr>
            <w:tcW w:w="730" w:type="dxa"/>
            <w:tcBorders>
              <w:right w:val="single" w:color="000000" w:sz="2" w:space="0"/>
            </w:tcBorders>
          </w:tcPr>
          <w:p w14:paraId="28357F9C">
            <w:pPr>
              <w:pStyle w:val="20"/>
              <w:spacing w:line="360" w:lineRule="auto"/>
              <w:rPr>
                <w:color w:val="auto"/>
                <w:spacing w:val="-3"/>
                <w:lang w:eastAsia="zh-CN"/>
              </w:rPr>
            </w:pPr>
            <w:r>
              <w:rPr>
                <w:color w:val="auto"/>
                <w:spacing w:val="-3"/>
                <w:lang w:eastAsia="zh-CN"/>
              </w:rPr>
              <w:t>运营</w:t>
            </w:r>
            <w:r>
              <w:rPr>
                <w:color w:val="auto"/>
                <w:spacing w:val="-4"/>
                <w:lang w:eastAsia="zh-CN"/>
              </w:rPr>
              <w:t>期环</w:t>
            </w:r>
            <w:r>
              <w:rPr>
                <w:color w:val="auto"/>
                <w:spacing w:val="-3"/>
                <w:lang w:eastAsia="zh-CN"/>
              </w:rPr>
              <w:t>境影</w:t>
            </w:r>
            <w:r>
              <w:rPr>
                <w:color w:val="auto"/>
                <w:spacing w:val="-6"/>
                <w:lang w:eastAsia="zh-CN"/>
              </w:rPr>
              <w:t>响和</w:t>
            </w:r>
            <w:r>
              <w:rPr>
                <w:color w:val="auto"/>
                <w:spacing w:val="-3"/>
                <w:lang w:eastAsia="zh-CN"/>
              </w:rPr>
              <w:t>保护措施</w:t>
            </w:r>
          </w:p>
        </w:tc>
        <w:tc>
          <w:tcPr>
            <w:tcW w:w="8347" w:type="dxa"/>
            <w:tcBorders>
              <w:left w:val="single" w:color="000000" w:sz="2" w:space="0"/>
            </w:tcBorders>
          </w:tcPr>
          <w:p w14:paraId="6B06E52C">
            <w:pPr>
              <w:pStyle w:val="20"/>
              <w:spacing w:line="360" w:lineRule="auto"/>
              <w:ind w:firstLine="472" w:firstLineChars="200"/>
              <w:rPr>
                <w:rFonts w:ascii="Times New Roman" w:hAnsi="Times New Roman" w:eastAsia="Times New Roman" w:cs="Times New Roman"/>
                <w:b/>
                <w:bCs/>
                <w:color w:val="auto"/>
                <w:spacing w:val="-2"/>
                <w:lang w:eastAsia="zh-CN"/>
              </w:rPr>
            </w:pPr>
            <w:r>
              <w:rPr>
                <w:rFonts w:hint="eastAsia" w:ascii="Times New Roman" w:hAnsi="Times New Roman" w:eastAsia="Times New Roman" w:cs="Times New Roman"/>
                <w:b/>
                <w:bCs/>
                <w:color w:val="auto"/>
                <w:spacing w:val="-2"/>
                <w:lang w:eastAsia="zh-CN"/>
              </w:rPr>
              <w:t>1、废气</w:t>
            </w:r>
          </w:p>
          <w:p w14:paraId="25B19F08">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本项目运营过程中废气主要为粉状原料储存、装卸、上料、搅拌过程中产生的粉尘。</w:t>
            </w:r>
          </w:p>
          <w:p w14:paraId="63FF5969">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（1）污染物源强</w:t>
            </w:r>
          </w:p>
          <w:p w14:paraId="00FCAFF0">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本项目生产线共计1条，1条生产线产生的污染主要为粉尘，产污环节基本一致，均为原料装卸及堆场粉尘、水泥筒仓呼吸粉尘、上料搅拌粉尘。均按以下公式或系数进行计算。</w:t>
            </w:r>
          </w:p>
          <w:p w14:paraId="3E1EBCC7">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原料装卸及堆场粉尘</w:t>
            </w:r>
          </w:p>
          <w:p w14:paraId="71C5D771">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本项目原料堆场会产生装卸扬尘和风蚀扬尘，粉尘产生量参照生态环境部发布的《关于发布排放源统计调查产排污核算方法和系数手册》（公告2021年第24号）进行计算，公式如下：</w:t>
            </w:r>
          </w:p>
          <w:p w14:paraId="3EF23266">
            <w:pPr>
              <w:pStyle w:val="20"/>
              <w:spacing w:line="360" w:lineRule="auto"/>
              <w:ind w:firstLine="476" w:firstLineChars="200"/>
              <w:jc w:val="center"/>
              <w:rPr>
                <w:rFonts w:ascii="Times New Roman" w:hAnsi="Times New Roman"/>
                <w:color w:val="auto"/>
                <w:spacing w:val="-1"/>
              </w:rPr>
            </w:pPr>
            <w:r>
              <w:rPr>
                <w:rFonts w:ascii="Times New Roman" w:hAnsi="Times New Roman"/>
                <w:color w:val="auto"/>
                <w:spacing w:val="-1"/>
              </w:rPr>
              <w:t>P=ZCy+FCy={Nc×D×(ab)+2×E</w:t>
            </w:r>
            <w:r>
              <w:rPr>
                <w:rFonts w:ascii="Times New Roman" w:hAnsi="Times New Roman"/>
                <w:color w:val="auto"/>
                <w:spacing w:val="-1"/>
                <w:vertAlign w:val="subscript"/>
              </w:rPr>
              <w:drawing>
                <wp:inline distT="0" distB="0" distL="0" distR="0">
                  <wp:extent cx="0" cy="155575"/>
                  <wp:effectExtent l="0" t="0" r="0" b="0"/>
                  <wp:docPr id="13" name="IM 16"/>
                  <wp:cNvGraphicFramePr/>
                  <a:graphic xmlns:a="http://schemas.openxmlformats.org/drawingml/2006/main">
                    <a:graphicData uri="http://schemas.openxmlformats.org/drawingml/2006/picture">
                      <pic:pic xmlns:pic="http://schemas.openxmlformats.org/drawingml/2006/picture">
                        <pic:nvPicPr>
                          <pic:cNvPr id="13" name="IM 16"/>
                          <pic:cNvPicPr/>
                        </pic:nvPicPr>
                        <pic:blipFill>
                          <a:blip r:embed="rId20"/>
                          <a:stretch>
                            <a:fillRect/>
                          </a:stretch>
                        </pic:blipFill>
                        <pic:spPr>
                          <a:xfrm>
                            <a:off x="0" y="0"/>
                            <a:ext cx="0" cy="155882"/>
                          </a:xfrm>
                          <a:prstGeom prst="rect">
                            <a:avLst/>
                          </a:prstGeom>
                        </pic:spPr>
                      </pic:pic>
                    </a:graphicData>
                  </a:graphic>
                </wp:inline>
              </w:drawing>
            </w:r>
            <w:r>
              <w:rPr>
                <w:rFonts w:ascii="Times New Roman" w:hAnsi="Times New Roman"/>
                <w:color w:val="auto"/>
                <w:spacing w:val="-1"/>
                <w:vertAlign w:val="subscript"/>
              </w:rPr>
              <w:t>f</w:t>
            </w:r>
            <w:r>
              <w:rPr>
                <w:rFonts w:ascii="Times New Roman" w:hAnsi="Times New Roman"/>
                <w:color w:val="auto"/>
                <w:spacing w:val="-1"/>
              </w:rPr>
              <w:t>×S}×10</w:t>
            </w:r>
            <w:r>
              <w:rPr>
                <w:rFonts w:ascii="Times New Roman" w:hAnsi="Times New Roman"/>
                <w:color w:val="auto"/>
                <w:spacing w:val="-1"/>
                <w:vertAlign w:val="superscript"/>
              </w:rPr>
              <w:t>-3</w:t>
            </w:r>
          </w:p>
          <w:p w14:paraId="56EC8F7C">
            <w:pPr>
              <w:pStyle w:val="20"/>
              <w:spacing w:line="360" w:lineRule="auto"/>
              <w:ind w:firstLine="480" w:firstLineChars="200"/>
              <w:rPr>
                <w:rFonts w:ascii="Times New Roman" w:hAnsi="Times New Roman"/>
                <w:color w:val="auto"/>
                <w:lang w:eastAsia="zh-CN"/>
              </w:rPr>
            </w:pPr>
            <w:r>
              <w:rPr>
                <w:rFonts w:ascii="Times New Roman" w:hAnsi="Times New Roman"/>
                <w:color w:val="auto"/>
                <w:lang w:eastAsia="zh-CN"/>
              </w:rPr>
              <w:t>式中：</w:t>
            </w:r>
            <w:r>
              <w:rPr>
                <w:rFonts w:ascii="Times New Roman" w:hAnsi="Times New Roman" w:cs="Times New Roman"/>
                <w:color w:val="auto"/>
                <w:szCs w:val="23"/>
                <w:lang w:eastAsia="zh-CN"/>
              </w:rPr>
              <w:t>P</w:t>
            </w:r>
            <w:r>
              <w:rPr>
                <w:rFonts w:ascii="Times New Roman" w:hAnsi="Times New Roman"/>
                <w:color w:val="auto"/>
                <w:lang w:eastAsia="zh-CN"/>
              </w:rPr>
              <w:t>指颗粒物产生量，单位：吨</w:t>
            </w:r>
          </w:p>
          <w:p w14:paraId="41A3DF8D">
            <w:pPr>
              <w:pStyle w:val="20"/>
              <w:spacing w:line="360" w:lineRule="auto"/>
              <w:ind w:firstLine="1180" w:firstLineChars="500"/>
              <w:rPr>
                <w:rFonts w:ascii="Times New Roman" w:hAnsi="Times New Roman"/>
                <w:color w:val="auto"/>
                <w:lang w:eastAsia="zh-CN"/>
              </w:rPr>
            </w:pPr>
            <w:r>
              <w:rPr>
                <w:rFonts w:ascii="Times New Roman" w:hAnsi="Times New Roman" w:cs="Times New Roman"/>
                <w:color w:val="auto"/>
                <w:spacing w:val="-2"/>
                <w:lang w:eastAsia="zh-CN"/>
              </w:rPr>
              <w:t>ZC</w:t>
            </w:r>
            <w:r>
              <w:rPr>
                <w:rFonts w:ascii="Times New Roman" w:hAnsi="Times New Roman" w:cs="Times New Roman"/>
                <w:color w:val="auto"/>
                <w:spacing w:val="-2"/>
                <w:position w:val="-5"/>
                <w:szCs w:val="14"/>
                <w:lang w:eastAsia="zh-CN"/>
              </w:rPr>
              <w:t>y</w:t>
            </w:r>
            <w:r>
              <w:rPr>
                <w:rFonts w:ascii="Times New Roman" w:hAnsi="Times New Roman"/>
                <w:color w:val="auto"/>
                <w:spacing w:val="-2"/>
                <w:lang w:eastAsia="zh-CN"/>
              </w:rPr>
              <w:t>指装卸扬尘产生量，单位：吨</w:t>
            </w:r>
          </w:p>
          <w:p w14:paraId="3A00671A">
            <w:pPr>
              <w:pStyle w:val="20"/>
              <w:spacing w:line="360" w:lineRule="auto"/>
              <w:ind w:firstLine="1180" w:firstLineChars="500"/>
              <w:rPr>
                <w:rFonts w:ascii="Times New Roman" w:hAnsi="Times New Roman"/>
                <w:color w:val="auto"/>
                <w:lang w:eastAsia="zh-CN"/>
              </w:rPr>
            </w:pPr>
            <w:r>
              <w:rPr>
                <w:rFonts w:ascii="Times New Roman" w:hAnsi="Times New Roman" w:cs="Times New Roman"/>
                <w:iCs/>
                <w:color w:val="auto"/>
                <w:spacing w:val="-2"/>
                <w:lang w:eastAsia="zh-CN"/>
              </w:rPr>
              <w:t>FC</w:t>
            </w:r>
            <w:r>
              <w:rPr>
                <w:rFonts w:ascii="Times New Roman" w:hAnsi="Times New Roman" w:cs="Times New Roman"/>
                <w:iCs/>
                <w:color w:val="auto"/>
                <w:spacing w:val="-2"/>
                <w:position w:val="-5"/>
                <w:szCs w:val="14"/>
                <w:lang w:eastAsia="zh-CN"/>
              </w:rPr>
              <w:t>y</w:t>
            </w:r>
            <w:r>
              <w:rPr>
                <w:rFonts w:ascii="Times New Roman" w:hAnsi="Times New Roman"/>
                <w:color w:val="auto"/>
                <w:lang w:eastAsia="zh-CN"/>
              </w:rPr>
              <w:t>指风蚀扬尘产生量，单位：吨</w:t>
            </w:r>
          </w:p>
          <w:p w14:paraId="5AAC14C0">
            <w:pPr>
              <w:spacing w:line="360" w:lineRule="auto"/>
              <w:ind w:firstLine="1096" w:firstLineChars="400"/>
              <w:jc w:val="both"/>
              <w:rPr>
                <w:rFonts w:ascii="Times New Roman" w:hAnsi="Times New Roman" w:eastAsia="宋体" w:cs="Times New Roman"/>
                <w:iCs/>
                <w:color w:val="auto"/>
                <w:spacing w:val="17"/>
                <w:position w:val="2"/>
                <w:sz w:val="24"/>
                <w:szCs w:val="24"/>
                <w:lang w:eastAsia="zh-CN"/>
              </w:rPr>
            </w:pPr>
            <w:r>
              <w:rPr>
                <w:rFonts w:ascii="Times New Roman" w:hAnsi="Times New Roman" w:eastAsia="宋体" w:cs="Times New Roman"/>
                <w:iCs/>
                <w:color w:val="auto"/>
                <w:spacing w:val="17"/>
                <w:position w:val="2"/>
                <w:sz w:val="24"/>
                <w:szCs w:val="24"/>
                <w:lang w:eastAsia="zh-CN"/>
              </w:rPr>
              <w:t>N</w:t>
            </w:r>
            <w:r>
              <w:rPr>
                <w:rFonts w:ascii="Times New Roman" w:hAnsi="Times New Roman" w:eastAsia="宋体" w:cs="Times New Roman"/>
                <w:iCs/>
                <w:color w:val="auto"/>
                <w:spacing w:val="17"/>
                <w:position w:val="-3"/>
                <w:sz w:val="24"/>
                <w:szCs w:val="14"/>
                <w:lang w:eastAsia="zh-CN"/>
              </w:rPr>
              <w:t>c</w:t>
            </w:r>
            <w:r>
              <w:rPr>
                <w:rFonts w:ascii="Times New Roman" w:hAnsi="Times New Roman" w:eastAsia="宋体"/>
                <w:color w:val="auto"/>
                <w:spacing w:val="-1"/>
                <w:sz w:val="24"/>
                <w:lang w:eastAsia="zh-CN"/>
              </w:rPr>
              <w:t>指年物料运载车次，单位：车；取值</w:t>
            </w:r>
            <w:r>
              <w:rPr>
                <w:rFonts w:hint="eastAsia" w:ascii="Times New Roman" w:hAnsi="Times New Roman" w:eastAsia="宋体"/>
                <w:color w:val="auto"/>
                <w:spacing w:val="-1"/>
                <w:sz w:val="24"/>
                <w:lang w:eastAsia="zh-CN"/>
              </w:rPr>
              <w:t>3221</w:t>
            </w:r>
          </w:p>
          <w:p w14:paraId="0F330CB4">
            <w:pPr>
              <w:pStyle w:val="20"/>
              <w:spacing w:line="360" w:lineRule="auto"/>
              <w:ind w:firstLine="1170" w:firstLineChars="500"/>
              <w:rPr>
                <w:rFonts w:ascii="Times New Roman" w:hAnsi="Times New Roman"/>
                <w:color w:val="auto"/>
                <w:lang w:eastAsia="zh-CN"/>
              </w:rPr>
            </w:pPr>
            <w:r>
              <w:rPr>
                <w:rFonts w:ascii="Times New Roman" w:hAnsi="Times New Roman" w:cs="Cambria"/>
                <w:color w:val="auto"/>
                <w:spacing w:val="-3"/>
                <w:szCs w:val="23"/>
                <w:lang w:eastAsia="zh-CN"/>
              </w:rPr>
              <w:t>D</w:t>
            </w:r>
            <w:r>
              <w:rPr>
                <w:rFonts w:ascii="Times New Roman" w:hAnsi="Times New Roman"/>
                <w:color w:val="auto"/>
                <w:spacing w:val="-3"/>
                <w:lang w:eastAsia="zh-CN"/>
              </w:rPr>
              <w:t>指单车平均运载量，单位：吨</w:t>
            </w:r>
            <w:r>
              <w:rPr>
                <w:rFonts w:ascii="Times New Roman" w:hAnsi="Times New Roman" w:cs="Cambria"/>
                <w:color w:val="auto"/>
                <w:spacing w:val="-3"/>
                <w:lang w:eastAsia="zh-CN"/>
              </w:rPr>
              <w:t>/</w:t>
            </w:r>
            <w:r>
              <w:rPr>
                <w:rFonts w:ascii="Times New Roman" w:hAnsi="Times New Roman"/>
                <w:color w:val="auto"/>
                <w:spacing w:val="-3"/>
                <w:lang w:eastAsia="zh-CN"/>
              </w:rPr>
              <w:t>车；取值</w:t>
            </w:r>
            <w:r>
              <w:rPr>
                <w:rFonts w:hint="eastAsia" w:ascii="Times New Roman" w:hAnsi="Times New Roman"/>
                <w:color w:val="auto"/>
                <w:spacing w:val="-3"/>
                <w:lang w:eastAsia="zh-CN"/>
              </w:rPr>
              <w:t>20</w:t>
            </w:r>
          </w:p>
          <w:p w14:paraId="2A9223E6">
            <w:pPr>
              <w:pStyle w:val="20"/>
              <w:spacing w:line="360" w:lineRule="auto"/>
              <w:ind w:firstLine="856" w:firstLineChars="400"/>
              <w:rPr>
                <w:rFonts w:ascii="Times New Roman" w:hAnsi="Times New Roman"/>
                <w:color w:val="auto"/>
                <w:spacing w:val="-13"/>
                <w:position w:val="-1"/>
                <w:lang w:eastAsia="zh-CN"/>
              </w:rPr>
            </w:pPr>
            <w:r>
              <w:rPr>
                <w:rFonts w:hint="eastAsia" w:ascii="Times New Roman" w:hAnsi="Times New Roman" w:cs="Arial"/>
                <w:color w:val="auto"/>
                <w:spacing w:val="-13"/>
                <w:szCs w:val="31"/>
                <w:lang w:eastAsia="zh-CN"/>
              </w:rPr>
              <w:t>（</w:t>
            </w:r>
            <w:r>
              <w:rPr>
                <w:rFonts w:ascii="Times New Roman" w:hAnsi="Times New Roman" w:cs="Cambria"/>
                <w:color w:val="auto"/>
                <w:spacing w:val="-13"/>
                <w:szCs w:val="23"/>
                <w:lang w:eastAsia="zh-CN"/>
              </w:rPr>
              <w:t>ab</w:t>
            </w:r>
            <w:r>
              <w:rPr>
                <w:rFonts w:hint="eastAsia" w:ascii="Times New Roman" w:hAnsi="Times New Roman" w:cs="Cambria"/>
                <w:color w:val="auto"/>
                <w:spacing w:val="-13"/>
                <w:szCs w:val="23"/>
                <w:lang w:eastAsia="zh-CN"/>
              </w:rPr>
              <w:t>）</w:t>
            </w:r>
            <w:r>
              <w:rPr>
                <w:rFonts w:ascii="Times New Roman" w:hAnsi="Times New Roman"/>
                <w:color w:val="auto"/>
                <w:spacing w:val="-13"/>
                <w:lang w:eastAsia="zh-CN"/>
              </w:rPr>
              <w:t>指装卸扬尘概化系数，单位：千克</w:t>
            </w:r>
            <w:r>
              <w:rPr>
                <w:rFonts w:ascii="Times New Roman" w:hAnsi="Times New Roman" w:cs="Cambria"/>
                <w:color w:val="auto"/>
                <w:spacing w:val="-13"/>
                <w:lang w:eastAsia="zh-CN"/>
              </w:rPr>
              <w:t>/</w:t>
            </w:r>
            <w:r>
              <w:rPr>
                <w:rFonts w:ascii="Times New Roman" w:hAnsi="Times New Roman"/>
                <w:color w:val="auto"/>
                <w:spacing w:val="-13"/>
                <w:lang w:eastAsia="zh-CN"/>
              </w:rPr>
              <w:t>吨</w:t>
            </w:r>
            <w:r>
              <w:rPr>
                <w:rFonts w:hint="eastAsia" w:ascii="Times New Roman" w:hAnsi="Times New Roman"/>
                <w:color w:val="auto"/>
                <w:spacing w:val="-13"/>
                <w:position w:val="-1"/>
                <w:lang w:eastAsia="zh-CN"/>
              </w:rPr>
              <w:t>；</w:t>
            </w:r>
          </w:p>
          <w:p w14:paraId="74880FA1">
            <w:pPr>
              <w:pStyle w:val="20"/>
              <w:spacing w:line="360" w:lineRule="auto"/>
              <w:ind w:firstLine="1130" w:firstLineChars="500"/>
              <w:rPr>
                <w:rFonts w:ascii="Times New Roman" w:hAnsi="Times New Roman" w:cs="Cambria"/>
                <w:color w:val="auto"/>
                <w:lang w:eastAsia="zh-CN"/>
              </w:rPr>
            </w:pPr>
            <w:r>
              <w:rPr>
                <w:rFonts w:ascii="Times New Roman" w:hAnsi="Times New Roman" w:cs="Cambria"/>
                <w:color w:val="auto"/>
                <w:spacing w:val="-7"/>
                <w:lang w:eastAsia="zh-CN"/>
              </w:rPr>
              <w:t>b</w:t>
            </w:r>
            <w:r>
              <w:rPr>
                <w:rFonts w:ascii="Times New Roman" w:hAnsi="Times New Roman"/>
                <w:color w:val="auto"/>
                <w:spacing w:val="-7"/>
                <w:lang w:eastAsia="zh-CN"/>
              </w:rPr>
              <w:t>指物料含水率概化系数</w:t>
            </w:r>
            <w:r>
              <w:rPr>
                <w:rFonts w:ascii="Times New Roman" w:hAnsi="Times New Roman"/>
                <w:color w:val="auto"/>
                <w:spacing w:val="-13"/>
                <w:lang w:eastAsia="zh-CN"/>
              </w:rPr>
              <w:t>单位：千克</w:t>
            </w:r>
            <w:r>
              <w:rPr>
                <w:rFonts w:ascii="Times New Roman" w:hAnsi="Times New Roman" w:cs="Cambria"/>
                <w:color w:val="auto"/>
                <w:spacing w:val="-13"/>
                <w:lang w:eastAsia="zh-CN"/>
              </w:rPr>
              <w:t>/</w:t>
            </w:r>
            <w:r>
              <w:rPr>
                <w:rFonts w:ascii="Times New Roman" w:hAnsi="Times New Roman"/>
                <w:color w:val="auto"/>
                <w:spacing w:val="-13"/>
                <w:lang w:eastAsia="zh-CN"/>
              </w:rPr>
              <w:t>吨</w:t>
            </w:r>
            <w:r>
              <w:rPr>
                <w:rFonts w:ascii="Times New Roman" w:hAnsi="Times New Roman"/>
                <w:color w:val="auto"/>
                <w:spacing w:val="-7"/>
                <w:lang w:eastAsia="zh-CN"/>
              </w:rPr>
              <w:t>；</w:t>
            </w:r>
            <w:r>
              <w:rPr>
                <w:rFonts w:ascii="Times New Roman" w:hAnsi="Times New Roman" w:cs="Cambria"/>
                <w:color w:val="auto"/>
                <w:spacing w:val="-7"/>
                <w:lang w:eastAsia="zh-CN"/>
              </w:rPr>
              <w:t>a</w:t>
            </w:r>
            <w:r>
              <w:rPr>
                <w:rFonts w:ascii="Times New Roman" w:hAnsi="Times New Roman"/>
                <w:color w:val="auto"/>
                <w:spacing w:val="-7"/>
                <w:lang w:eastAsia="zh-CN"/>
              </w:rPr>
              <w:t>取值</w:t>
            </w:r>
            <w:r>
              <w:rPr>
                <w:rFonts w:ascii="Times New Roman" w:hAnsi="Times New Roman" w:cs="Cambria"/>
                <w:color w:val="auto"/>
                <w:spacing w:val="-7"/>
                <w:lang w:eastAsia="zh-CN"/>
              </w:rPr>
              <w:t>0.0011</w:t>
            </w:r>
            <w:r>
              <w:rPr>
                <w:rFonts w:ascii="Times New Roman" w:hAnsi="Times New Roman"/>
                <w:color w:val="auto"/>
                <w:spacing w:val="-7"/>
                <w:lang w:eastAsia="zh-CN"/>
              </w:rPr>
              <w:t>，</w:t>
            </w:r>
            <w:r>
              <w:rPr>
                <w:rFonts w:ascii="Times New Roman" w:hAnsi="Times New Roman" w:cs="Cambria"/>
                <w:color w:val="auto"/>
                <w:spacing w:val="-7"/>
                <w:lang w:eastAsia="zh-CN"/>
              </w:rPr>
              <w:t>b</w:t>
            </w:r>
            <w:r>
              <w:rPr>
                <w:rFonts w:ascii="Times New Roman" w:hAnsi="Times New Roman"/>
                <w:color w:val="auto"/>
                <w:spacing w:val="-7"/>
                <w:lang w:eastAsia="zh-CN"/>
              </w:rPr>
              <w:t>取值</w:t>
            </w:r>
            <w:r>
              <w:rPr>
                <w:rFonts w:ascii="Times New Roman" w:hAnsi="Times New Roman" w:cs="Cambria"/>
                <w:color w:val="auto"/>
                <w:spacing w:val="-7"/>
                <w:lang w:eastAsia="zh-CN"/>
              </w:rPr>
              <w:t>0</w:t>
            </w:r>
            <w:r>
              <w:rPr>
                <w:rFonts w:ascii="Times New Roman" w:hAnsi="Times New Roman" w:cs="Cambria"/>
                <w:color w:val="auto"/>
                <w:spacing w:val="-8"/>
                <w:lang w:eastAsia="zh-CN"/>
              </w:rPr>
              <w:t>.0017</w:t>
            </w:r>
          </w:p>
          <w:p w14:paraId="61B8B88B">
            <w:pPr>
              <w:pStyle w:val="20"/>
              <w:spacing w:line="360" w:lineRule="auto"/>
              <w:ind w:firstLine="1130" w:firstLineChars="500"/>
              <w:rPr>
                <w:rFonts w:ascii="Times New Roman" w:hAnsi="Times New Roman" w:cs="Cambria"/>
                <w:color w:val="auto"/>
                <w:spacing w:val="-7"/>
                <w:lang w:eastAsia="zh-CN"/>
              </w:rPr>
            </w:pPr>
            <w:r>
              <w:rPr>
                <w:rFonts w:ascii="Times New Roman" w:hAnsi="Times New Roman" w:cs="Cambria"/>
                <w:iCs/>
                <w:color w:val="auto"/>
                <w:spacing w:val="-7"/>
                <w:lang w:eastAsia="zh-CN"/>
              </w:rPr>
              <w:t>E</w:t>
            </w:r>
            <w:r>
              <w:rPr>
                <w:rFonts w:ascii="Times New Roman" w:hAnsi="Times New Roman" w:cs="Cambria"/>
                <w:iCs/>
                <w:color w:val="auto"/>
                <w:spacing w:val="-7"/>
                <w:vertAlign w:val="subscript"/>
                <w:lang w:eastAsia="zh-CN"/>
              </w:rPr>
              <w:t>f</w:t>
            </w:r>
            <w:r>
              <w:rPr>
                <w:rFonts w:ascii="Times New Roman" w:hAnsi="Times New Roman" w:cs="Cambria"/>
                <w:color w:val="auto"/>
                <w:spacing w:val="-7"/>
                <w:lang w:eastAsia="zh-CN"/>
              </w:rPr>
              <w:t>指堆场风蚀扬尘概化系数，单位：千克/平方米；取值3.6062</w:t>
            </w:r>
          </w:p>
          <w:p w14:paraId="440CCED0">
            <w:pPr>
              <w:pStyle w:val="20"/>
              <w:spacing w:line="360" w:lineRule="auto"/>
              <w:ind w:firstLine="1200" w:firstLineChars="500"/>
              <w:rPr>
                <w:rFonts w:ascii="Times New Roman" w:hAnsi="Times New Roman"/>
                <w:color w:val="auto"/>
                <w:lang w:eastAsia="zh-CN"/>
              </w:rPr>
            </w:pPr>
            <w:r>
              <w:rPr>
                <w:rFonts w:ascii="Times New Roman" w:hAnsi="Times New Roman" w:cs="Times New Roman"/>
                <w:iCs/>
                <w:color w:val="auto"/>
                <w:szCs w:val="23"/>
                <w:lang w:eastAsia="zh-CN"/>
              </w:rPr>
              <w:t>S</w:t>
            </w:r>
            <w:r>
              <w:rPr>
                <w:rFonts w:ascii="Times New Roman" w:hAnsi="Times New Roman"/>
                <w:color w:val="auto"/>
                <w:lang w:eastAsia="zh-CN"/>
              </w:rPr>
              <w:t>指堆场占地面积，单位平方米；取值</w:t>
            </w:r>
            <w:r>
              <w:rPr>
                <w:rFonts w:hint="eastAsia" w:ascii="Times New Roman" w:hAnsi="Times New Roman"/>
                <w:color w:val="auto"/>
                <w:lang w:eastAsia="zh-CN"/>
              </w:rPr>
              <w:t>400</w:t>
            </w:r>
          </w:p>
          <w:p w14:paraId="054D398A">
            <w:pPr>
              <w:pStyle w:val="20"/>
              <w:spacing w:line="360" w:lineRule="auto"/>
              <w:ind w:firstLine="476" w:firstLineChars="200"/>
              <w:rPr>
                <w:color w:val="auto"/>
                <w:lang w:eastAsia="zh-CN"/>
              </w:rPr>
            </w:pPr>
            <w:r>
              <w:rPr>
                <w:color w:val="auto"/>
                <w:spacing w:val="-1"/>
                <w:lang w:eastAsia="zh-CN"/>
              </w:rPr>
              <w:t>本项目堆场地面硬化，四周采取围挡措施，并对物料进行苫盖及</w:t>
            </w:r>
            <w:r>
              <w:rPr>
                <w:color w:val="auto"/>
                <w:spacing w:val="-2"/>
                <w:lang w:eastAsia="zh-CN"/>
              </w:rPr>
              <w:t>洒水的措</w:t>
            </w:r>
            <w:r>
              <w:rPr>
                <w:color w:val="auto"/>
                <w:spacing w:val="-4"/>
                <w:lang w:eastAsia="zh-CN"/>
              </w:rPr>
              <w:t>施，根据以下公式计算粉尘排放量：</w:t>
            </w:r>
          </w:p>
          <w:p w14:paraId="1D1E9DBB">
            <w:pPr>
              <w:spacing w:line="360" w:lineRule="auto"/>
              <w:ind w:firstLine="480" w:firstLineChars="200"/>
              <w:jc w:val="center"/>
              <w:rPr>
                <w:color w:val="auto"/>
                <w:sz w:val="31"/>
                <w:szCs w:val="31"/>
                <w:lang w:eastAsia="zh-CN"/>
              </w:rPr>
            </w:pPr>
            <w:r>
              <w:rPr>
                <w:rFonts w:ascii="Cambria" w:hAnsi="Cambria" w:eastAsia="Cambria" w:cs="Cambria"/>
                <w:color w:val="auto"/>
                <w:sz w:val="24"/>
                <w:szCs w:val="24"/>
                <w:lang w:eastAsia="zh-CN"/>
              </w:rPr>
              <w:t>U</w:t>
            </w:r>
            <w:r>
              <w:rPr>
                <w:rFonts w:ascii="Cambria" w:hAnsi="Cambria" w:eastAsia="Cambria" w:cs="Cambria"/>
                <w:color w:val="auto"/>
                <w:position w:val="-5"/>
                <w:sz w:val="14"/>
                <w:szCs w:val="14"/>
                <w:lang w:eastAsia="zh-CN"/>
              </w:rPr>
              <w:t>c</w:t>
            </w:r>
            <w:r>
              <w:rPr>
                <w:color w:val="auto"/>
                <w:spacing w:val="11"/>
                <w:sz w:val="24"/>
                <w:szCs w:val="24"/>
                <w:lang w:eastAsia="zh-CN"/>
              </w:rPr>
              <w:t>=</w:t>
            </w:r>
            <w:r>
              <w:rPr>
                <w:rFonts w:ascii="Times New Roman" w:hAnsi="Times New Roman" w:eastAsia="Times New Roman" w:cs="Times New Roman"/>
                <w:i/>
                <w:iCs/>
                <w:color w:val="auto"/>
                <w:spacing w:val="11"/>
                <w:sz w:val="24"/>
                <w:szCs w:val="24"/>
                <w:lang w:eastAsia="zh-CN"/>
              </w:rPr>
              <w:t>P</w:t>
            </w:r>
            <w:r>
              <w:rPr>
                <w:color w:val="auto"/>
                <w:spacing w:val="11"/>
                <w:sz w:val="24"/>
                <w:szCs w:val="24"/>
                <w:lang w:eastAsia="zh-CN"/>
              </w:rPr>
              <w:t>×</w:t>
            </w:r>
            <w:r>
              <w:rPr>
                <w:color w:val="auto"/>
                <w:spacing w:val="11"/>
                <w:sz w:val="31"/>
                <w:szCs w:val="31"/>
                <w:lang w:eastAsia="zh-CN"/>
              </w:rPr>
              <w:t>(</w:t>
            </w:r>
            <w:r>
              <w:rPr>
                <w:rFonts w:ascii="Cambria" w:hAnsi="Cambria" w:eastAsia="Cambria" w:cs="Cambria"/>
                <w:color w:val="auto"/>
                <w:spacing w:val="11"/>
                <w:sz w:val="24"/>
                <w:szCs w:val="24"/>
                <w:lang w:eastAsia="zh-CN"/>
              </w:rPr>
              <w:t>1</w:t>
            </w:r>
            <w:r>
              <w:rPr>
                <w:color w:val="auto"/>
                <w:spacing w:val="11"/>
                <w:sz w:val="24"/>
                <w:szCs w:val="24"/>
                <w:lang w:eastAsia="zh-CN"/>
              </w:rPr>
              <w:t>-</w:t>
            </w:r>
            <w:r>
              <w:rPr>
                <w:rFonts w:ascii="Times New Roman" w:hAnsi="Times New Roman" w:eastAsia="Times New Roman" w:cs="Times New Roman"/>
                <w:i/>
                <w:iCs/>
                <w:color w:val="auto"/>
                <w:sz w:val="24"/>
                <w:szCs w:val="24"/>
                <w:lang w:eastAsia="zh-CN"/>
              </w:rPr>
              <w:t>C</w:t>
            </w:r>
            <w:r>
              <w:rPr>
                <w:rFonts w:ascii="Times New Roman" w:hAnsi="Times New Roman" w:eastAsia="Times New Roman" w:cs="Times New Roman"/>
                <w:i/>
                <w:iCs/>
                <w:color w:val="auto"/>
                <w:position w:val="-5"/>
                <w:sz w:val="14"/>
                <w:szCs w:val="14"/>
                <w:lang w:eastAsia="zh-CN"/>
              </w:rPr>
              <w:t>m</w:t>
            </w:r>
            <w:r>
              <w:rPr>
                <w:color w:val="auto"/>
                <w:spacing w:val="11"/>
                <w:sz w:val="31"/>
                <w:szCs w:val="31"/>
                <w:lang w:eastAsia="zh-CN"/>
              </w:rPr>
              <w:t>)</w:t>
            </w:r>
            <w:r>
              <w:rPr>
                <w:color w:val="auto"/>
                <w:spacing w:val="11"/>
                <w:sz w:val="24"/>
                <w:szCs w:val="24"/>
                <w:lang w:eastAsia="zh-CN"/>
              </w:rPr>
              <w:t>×</w:t>
            </w:r>
            <w:r>
              <w:rPr>
                <w:color w:val="auto"/>
                <w:spacing w:val="11"/>
                <w:sz w:val="31"/>
                <w:szCs w:val="31"/>
                <w:lang w:eastAsia="zh-CN"/>
              </w:rPr>
              <w:t>(</w:t>
            </w:r>
            <w:r>
              <w:rPr>
                <w:rFonts w:ascii="Cambria" w:hAnsi="Cambria" w:eastAsia="Cambria" w:cs="Cambria"/>
                <w:color w:val="auto"/>
                <w:spacing w:val="11"/>
                <w:sz w:val="24"/>
                <w:szCs w:val="24"/>
                <w:lang w:eastAsia="zh-CN"/>
              </w:rPr>
              <w:t>1</w:t>
            </w:r>
            <w:r>
              <w:rPr>
                <w:color w:val="auto"/>
                <w:spacing w:val="11"/>
                <w:sz w:val="24"/>
                <w:szCs w:val="24"/>
                <w:lang w:eastAsia="zh-CN"/>
              </w:rPr>
              <w:t>-</w:t>
            </w:r>
            <w:r>
              <w:rPr>
                <w:rFonts w:ascii="Times New Roman" w:hAnsi="Times New Roman" w:eastAsia="Times New Roman" w:cs="Times New Roman"/>
                <w:i/>
                <w:iCs/>
                <w:color w:val="auto"/>
                <w:sz w:val="24"/>
                <w:szCs w:val="24"/>
                <w:lang w:eastAsia="zh-CN"/>
              </w:rPr>
              <w:t>T</w:t>
            </w:r>
            <w:r>
              <w:rPr>
                <w:rFonts w:ascii="Times New Roman" w:hAnsi="Times New Roman" w:eastAsia="Times New Roman" w:cs="Times New Roman"/>
                <w:i/>
                <w:iCs/>
                <w:color w:val="auto"/>
                <w:position w:val="-5"/>
                <w:sz w:val="14"/>
                <w:szCs w:val="14"/>
                <w:lang w:eastAsia="zh-CN"/>
              </w:rPr>
              <w:t>m</w:t>
            </w:r>
            <w:r>
              <w:rPr>
                <w:color w:val="auto"/>
                <w:spacing w:val="11"/>
                <w:sz w:val="31"/>
                <w:szCs w:val="31"/>
                <w:lang w:eastAsia="zh-CN"/>
              </w:rPr>
              <w:t>)</w:t>
            </w:r>
          </w:p>
          <w:p w14:paraId="20166205">
            <w:pPr>
              <w:pStyle w:val="20"/>
              <w:spacing w:line="360" w:lineRule="auto"/>
              <w:ind w:firstLine="484" w:firstLineChars="200"/>
              <w:rPr>
                <w:color w:val="auto"/>
                <w:lang w:eastAsia="zh-CN"/>
              </w:rPr>
            </w:pPr>
            <w:r>
              <w:rPr>
                <w:color w:val="auto"/>
                <w:spacing w:val="1"/>
                <w:lang w:eastAsia="zh-CN"/>
              </w:rPr>
              <w:t>式中：</w:t>
            </w:r>
            <w:r>
              <w:rPr>
                <w:rFonts w:ascii="Cambria" w:hAnsi="Cambria" w:eastAsia="Cambria" w:cs="Cambria"/>
                <w:color w:val="auto"/>
                <w:position w:val="11"/>
                <w:lang w:eastAsia="zh-CN"/>
              </w:rPr>
              <w:t>U</w:t>
            </w:r>
            <w:r>
              <w:rPr>
                <w:rFonts w:ascii="Cambria" w:hAnsi="Cambria" w:eastAsia="Cambria" w:cs="Cambria"/>
                <w:color w:val="auto"/>
                <w:position w:val="5"/>
                <w:sz w:val="14"/>
                <w:szCs w:val="14"/>
                <w:lang w:eastAsia="zh-CN"/>
              </w:rPr>
              <w:t>c</w:t>
            </w:r>
            <w:r>
              <w:rPr>
                <w:color w:val="auto"/>
                <w:spacing w:val="1"/>
                <w:lang w:eastAsia="zh-CN"/>
              </w:rPr>
              <w:t>指颗粒物排放量，单位：吨</w:t>
            </w:r>
          </w:p>
          <w:p w14:paraId="46B87C14">
            <w:pPr>
              <w:pStyle w:val="20"/>
              <w:spacing w:line="360" w:lineRule="auto"/>
              <w:ind w:firstLine="1140" w:firstLineChars="500"/>
              <w:rPr>
                <w:color w:val="auto"/>
                <w:lang w:eastAsia="zh-CN"/>
              </w:rPr>
            </w:pPr>
            <w:r>
              <w:rPr>
                <w:rFonts w:ascii="Times New Roman" w:hAnsi="Times New Roman" w:eastAsia="Times New Roman" w:cs="Times New Roman"/>
                <w:i/>
                <w:iCs/>
                <w:color w:val="auto"/>
                <w:spacing w:val="-1"/>
                <w:sz w:val="23"/>
                <w:szCs w:val="23"/>
                <w:lang w:eastAsia="zh-CN"/>
              </w:rPr>
              <w:t>P</w:t>
            </w:r>
            <w:r>
              <w:rPr>
                <w:color w:val="auto"/>
                <w:spacing w:val="-1"/>
                <w:lang w:eastAsia="zh-CN"/>
              </w:rPr>
              <w:t>指颗粒物产生量，单位：吨；</w:t>
            </w:r>
          </w:p>
          <w:p w14:paraId="2C43CC62">
            <w:pPr>
              <w:pStyle w:val="20"/>
              <w:spacing w:line="360" w:lineRule="auto"/>
              <w:ind w:firstLine="1140" w:firstLineChars="500"/>
              <w:rPr>
                <w:rFonts w:ascii="Times New Roman" w:hAnsi="Times New Roman" w:eastAsia="Times New Roman" w:cs="Times New Roman"/>
                <w:color w:val="auto"/>
                <w:spacing w:val="-1"/>
                <w:sz w:val="23"/>
                <w:szCs w:val="23"/>
                <w:lang w:eastAsia="zh-CN"/>
              </w:rPr>
            </w:pPr>
            <w:r>
              <w:rPr>
                <w:rFonts w:ascii="Times New Roman" w:hAnsi="Times New Roman" w:eastAsia="Times New Roman" w:cs="Times New Roman"/>
                <w:color w:val="auto"/>
                <w:spacing w:val="-1"/>
                <w:sz w:val="23"/>
                <w:szCs w:val="23"/>
                <w:lang w:eastAsia="zh-CN"/>
              </w:rPr>
              <w:t>C</w:t>
            </w:r>
            <w:r>
              <w:rPr>
                <w:rFonts w:ascii="Times New Roman" w:hAnsi="Times New Roman" w:eastAsia="Times New Roman" w:cs="Times New Roman"/>
                <w:color w:val="auto"/>
                <w:spacing w:val="-1"/>
                <w:sz w:val="23"/>
                <w:szCs w:val="23"/>
                <w:vertAlign w:val="subscript"/>
                <w:lang w:eastAsia="zh-CN"/>
              </w:rPr>
              <w:t>m</w:t>
            </w:r>
            <w:r>
              <w:rPr>
                <w:rFonts w:ascii="Times New Roman" w:hAnsi="Times New Roman" w:eastAsia="Times New Roman" w:cs="Times New Roman"/>
                <w:color w:val="auto"/>
                <w:spacing w:val="-1"/>
                <w:sz w:val="23"/>
                <w:szCs w:val="23"/>
                <w:lang w:eastAsia="zh-CN"/>
              </w:rPr>
              <w:t>指颗粒物控制措施控制效率，单位：%；本项目采取了围挡、洒水、覆盖的措施，综合取值98.54。</w:t>
            </w:r>
          </w:p>
          <w:p w14:paraId="2F84D2D5">
            <w:pPr>
              <w:pStyle w:val="20"/>
              <w:spacing w:line="360" w:lineRule="auto"/>
              <w:ind w:firstLine="1024" w:firstLineChars="400"/>
              <w:rPr>
                <w:rFonts w:ascii="Cambria" w:hAnsi="Cambria" w:eastAsia="Cambria" w:cs="Cambria"/>
                <w:color w:val="auto"/>
                <w:spacing w:val="-2"/>
                <w:lang w:eastAsia="zh-CN"/>
              </w:rPr>
            </w:pPr>
            <w:r>
              <w:rPr>
                <w:rFonts w:ascii="Times New Roman" w:hAnsi="Times New Roman" w:eastAsia="Times New Roman" w:cs="Times New Roman"/>
                <w:i/>
                <w:iCs/>
                <w:color w:val="auto"/>
                <w:spacing w:val="8"/>
                <w:position w:val="2"/>
                <w:lang w:eastAsia="zh-CN"/>
              </w:rPr>
              <w:t>T</w:t>
            </w:r>
            <w:r>
              <w:rPr>
                <w:rFonts w:ascii="Times New Roman" w:hAnsi="Times New Roman" w:eastAsia="Times New Roman" w:cs="Times New Roman"/>
                <w:i/>
                <w:iCs/>
                <w:color w:val="auto"/>
                <w:spacing w:val="-5"/>
                <w:w w:val="65"/>
                <w:position w:val="-3"/>
                <w:sz w:val="14"/>
                <w:szCs w:val="14"/>
                <w:lang w:eastAsia="zh-CN"/>
              </w:rPr>
              <w:t>m</w:t>
            </w:r>
            <w:r>
              <w:rPr>
                <w:color w:val="auto"/>
                <w:spacing w:val="-2"/>
                <w:lang w:eastAsia="zh-CN"/>
              </w:rPr>
              <w:t>指堆场类型控制效率，单位：</w:t>
            </w:r>
            <w:r>
              <w:rPr>
                <w:rFonts w:ascii="Cambria" w:hAnsi="Cambria" w:eastAsia="Cambria" w:cs="Cambria"/>
                <w:color w:val="auto"/>
                <w:spacing w:val="-2"/>
                <w:lang w:eastAsia="zh-CN"/>
              </w:rPr>
              <w:t>%</w:t>
            </w:r>
            <w:r>
              <w:rPr>
                <w:color w:val="auto"/>
                <w:spacing w:val="-2"/>
                <w:lang w:eastAsia="zh-CN"/>
              </w:rPr>
              <w:t>；取值</w:t>
            </w:r>
            <w:r>
              <w:rPr>
                <w:rFonts w:ascii="Cambria" w:hAnsi="Cambria" w:eastAsia="Cambria" w:cs="Cambria"/>
                <w:color w:val="auto"/>
                <w:spacing w:val="-2"/>
                <w:lang w:eastAsia="zh-CN"/>
              </w:rPr>
              <w:t>0</w:t>
            </w:r>
          </w:p>
          <w:p w14:paraId="676E50BF">
            <w:pPr>
              <w:pStyle w:val="20"/>
              <w:spacing w:line="360" w:lineRule="auto"/>
              <w:ind w:firstLine="476" w:firstLineChars="200"/>
              <w:jc w:val="both"/>
              <w:rPr>
                <w:color w:val="auto"/>
                <w:spacing w:val="-1"/>
                <w:lang w:eastAsia="zh-CN"/>
              </w:rPr>
            </w:pPr>
            <w:r>
              <w:rPr>
                <w:color w:val="auto"/>
                <w:spacing w:val="-1"/>
                <w:lang w:eastAsia="zh-CN"/>
              </w:rPr>
              <w:t>筒仓粉尘</w:t>
            </w:r>
          </w:p>
          <w:p w14:paraId="6732EC82">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水泥筒仓，仓</w:t>
            </w:r>
            <w:r>
              <w:rPr>
                <w:rFonts w:hint="eastAsia" w:ascii="Times New Roman" w:hAnsi="Times New Roman"/>
                <w:color w:val="auto"/>
                <w:spacing w:val="-1"/>
                <w:lang w:eastAsia="zh-CN"/>
              </w:rPr>
              <w:t>顶部</w:t>
            </w:r>
            <w:r>
              <w:rPr>
                <w:rFonts w:ascii="Times New Roman" w:hAnsi="Times New Roman"/>
                <w:color w:val="auto"/>
                <w:spacing w:val="-1"/>
                <w:lang w:eastAsia="zh-CN"/>
              </w:rPr>
              <w:t>配置仓顶除尘器，水泥通过槽罐车运输进厂，由槽罐车自带的气泵打入筒仓内，产生的粉尘由仓顶布袋除尘器净化处理后外排。粉料筒仓进料时粉尘产生量根据《逸散性工业颗粒物控制技术》产排污系数，筒仓排气产生的颗粒物产生系数取0.12kg/t-原料，仓顶有自带脉冲式布袋除尘器，处理效率为99.7%，每个仓顶除尘器风量为3000m</w:t>
            </w:r>
            <w:r>
              <w:rPr>
                <w:rFonts w:hint="eastAsia" w:ascii="Times New Roman" w:hAnsi="Times New Roman"/>
                <w:color w:val="auto"/>
                <w:spacing w:val="-1"/>
                <w:vertAlign w:val="superscript"/>
                <w:lang w:eastAsia="zh-CN"/>
              </w:rPr>
              <w:t>3</w:t>
            </w:r>
            <w:r>
              <w:rPr>
                <w:rFonts w:ascii="Times New Roman" w:hAnsi="Times New Roman"/>
                <w:color w:val="auto"/>
                <w:spacing w:val="-1"/>
                <w:lang w:eastAsia="zh-CN"/>
              </w:rPr>
              <w:t>/h。</w:t>
            </w:r>
          </w:p>
          <w:p w14:paraId="331D909E">
            <w:pPr>
              <w:pStyle w:val="20"/>
              <w:spacing w:line="360" w:lineRule="auto"/>
              <w:ind w:firstLine="476" w:firstLineChars="200"/>
              <w:jc w:val="both"/>
              <w:rPr>
                <w:color w:val="auto"/>
                <w:spacing w:val="-1"/>
                <w:lang w:eastAsia="zh-CN"/>
              </w:rPr>
            </w:pPr>
            <w:r>
              <w:rPr>
                <w:color w:val="auto"/>
                <w:spacing w:val="-1"/>
                <w:lang w:eastAsia="zh-CN"/>
              </w:rPr>
              <w:t>搅拌粉尘</w:t>
            </w:r>
          </w:p>
          <w:p w14:paraId="1EFEE6CF">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本项目石子、砂子均为水洗砂石，通过装载机投入搅拌机料斗时，瞬间冲击过程中会产生扬尘，根据</w:t>
            </w:r>
            <w:r>
              <w:rPr>
                <w:rFonts w:hint="eastAsia" w:ascii="Times New Roman" w:hAnsi="Times New Roman"/>
                <w:color w:val="auto"/>
                <w:spacing w:val="-1"/>
                <w:lang w:eastAsia="zh-CN"/>
              </w:rPr>
              <w:t>《排放源统计调查产排污核算方法和系数手册》中水泥制品行业系数手册</w:t>
            </w:r>
            <w:r>
              <w:rPr>
                <w:rFonts w:ascii="Times New Roman" w:hAnsi="Times New Roman"/>
                <w:color w:val="auto"/>
                <w:spacing w:val="-1"/>
                <w:lang w:eastAsia="zh-CN"/>
              </w:rPr>
              <w:t>，</w:t>
            </w:r>
            <w:r>
              <w:rPr>
                <w:rFonts w:hint="eastAsia" w:ascii="Times New Roman" w:hAnsi="Times New Roman"/>
                <w:color w:val="auto"/>
                <w:spacing w:val="-1"/>
                <w:lang w:eastAsia="zh-CN"/>
              </w:rPr>
              <w:t>物料混合</w:t>
            </w:r>
            <w:r>
              <w:rPr>
                <w:rFonts w:ascii="Times New Roman" w:hAnsi="Times New Roman"/>
                <w:color w:val="auto"/>
                <w:spacing w:val="-1"/>
                <w:lang w:eastAsia="zh-CN"/>
              </w:rPr>
              <w:t>工序颗粒物产生系数取0.</w:t>
            </w:r>
            <w:r>
              <w:rPr>
                <w:rFonts w:hint="eastAsia" w:ascii="Times New Roman" w:hAnsi="Times New Roman"/>
                <w:color w:val="auto"/>
                <w:spacing w:val="-1"/>
                <w:lang w:eastAsia="zh-CN"/>
              </w:rPr>
              <w:t>13</w:t>
            </w:r>
            <w:r>
              <w:rPr>
                <w:rFonts w:ascii="Times New Roman" w:hAnsi="Times New Roman"/>
                <w:color w:val="auto"/>
                <w:spacing w:val="-1"/>
                <w:lang w:eastAsia="zh-CN"/>
              </w:rPr>
              <w:t>kg/t-原料，本项目要求</w:t>
            </w:r>
            <w:r>
              <w:rPr>
                <w:rFonts w:hint="eastAsia" w:ascii="Times New Roman" w:hAnsi="Times New Roman"/>
                <w:color w:val="auto"/>
                <w:spacing w:val="-1"/>
                <w:lang w:eastAsia="zh-CN"/>
              </w:rPr>
              <w:t>在上料及搅拌设置集气罩，收集后引至布袋除尘器处理后通过15m高排气筒（DA001）排放。集气罩收集效率为85%，布袋除尘器除尘效率99.7%</w:t>
            </w:r>
            <w:r>
              <w:rPr>
                <w:rFonts w:ascii="Times New Roman" w:hAnsi="Times New Roman"/>
                <w:color w:val="auto"/>
                <w:spacing w:val="-1"/>
                <w:lang w:eastAsia="zh-CN"/>
              </w:rPr>
              <w:t>。</w:t>
            </w:r>
          </w:p>
          <w:p w14:paraId="42357643">
            <w:pPr>
              <w:pStyle w:val="20"/>
              <w:spacing w:line="360" w:lineRule="auto"/>
              <w:ind w:firstLine="476" w:firstLineChars="200"/>
              <w:jc w:val="both"/>
              <w:rPr>
                <w:rFonts w:hint="eastAsia" w:ascii="Times New Roman" w:hAnsi="Times New Roman"/>
                <w:color w:val="auto"/>
                <w:spacing w:val="-1"/>
                <w:lang w:val="en-US" w:eastAsia="zh-CN"/>
              </w:rPr>
            </w:pPr>
            <w:r>
              <w:rPr>
                <w:rFonts w:hint="eastAsia" w:ascii="Times New Roman" w:hAnsi="Times New Roman"/>
                <w:color w:val="auto"/>
                <w:spacing w:val="-1"/>
                <w:lang w:val="en-US" w:eastAsia="zh-CN"/>
              </w:rPr>
              <w:t>破碎粉尘</w:t>
            </w:r>
          </w:p>
          <w:p w14:paraId="5830302F">
            <w:pPr>
              <w:pStyle w:val="20"/>
              <w:keepNext w:val="0"/>
              <w:keepLines w:val="0"/>
              <w:pageBreakBefore w:val="0"/>
              <w:widowControl/>
              <w:kinsoku/>
              <w:wordWrap/>
              <w:overflowPunct/>
              <w:topLinePunct w:val="0"/>
              <w:autoSpaceDE w:val="0"/>
              <w:autoSpaceDN w:val="0"/>
              <w:bidi w:val="0"/>
              <w:adjustRightInd w:val="0"/>
              <w:snapToGrid w:val="0"/>
              <w:spacing w:line="360" w:lineRule="auto"/>
              <w:ind w:firstLine="476" w:firstLineChars="200"/>
              <w:jc w:val="both"/>
              <w:textAlignment w:val="baseline"/>
              <w:rPr>
                <w:rFonts w:hint="default" w:ascii="Times New Roman" w:hAnsi="Times New Roman"/>
                <w:color w:val="auto"/>
                <w:spacing w:val="-1"/>
                <w:highlight w:val="none"/>
                <w:lang w:val="en-US" w:eastAsia="zh-CN"/>
              </w:rPr>
            </w:pPr>
            <w:r>
              <w:rPr>
                <w:rFonts w:hint="eastAsia" w:ascii="Times New Roman" w:hAnsi="Times New Roman"/>
                <w:color w:val="auto"/>
                <w:spacing w:val="-1"/>
                <w:highlight w:val="none"/>
                <w:lang w:val="en-US" w:eastAsia="zh-CN"/>
              </w:rPr>
              <w:t>本项目</w:t>
            </w:r>
            <w:r>
              <w:rPr>
                <w:rFonts w:hint="eastAsia" w:ascii="Times New Roman" w:hAnsi="Times New Roman" w:eastAsia="宋体" w:cs="宋体"/>
                <w:color w:val="auto"/>
                <w:spacing w:val="-6"/>
                <w:sz w:val="24"/>
                <w:szCs w:val="24"/>
                <w:highlight w:val="none"/>
                <w:lang w:eastAsia="zh-CN"/>
              </w:rPr>
              <w:t>搅拌料废渣、边角料及不合格产品全部收集经破碎后，作为骨料返回配料工序</w:t>
            </w:r>
            <w:r>
              <w:rPr>
                <w:rFonts w:hint="eastAsia" w:ascii="Times New Roman" w:hAnsi="Times New Roman" w:cs="宋体"/>
                <w:color w:val="auto"/>
                <w:spacing w:val="-6"/>
                <w:sz w:val="24"/>
                <w:szCs w:val="24"/>
                <w:highlight w:val="none"/>
                <w:lang w:eastAsia="zh-CN"/>
              </w:rPr>
              <w:t>，</w:t>
            </w:r>
            <w:r>
              <w:rPr>
                <w:rFonts w:hint="eastAsia" w:ascii="Times New Roman" w:hAnsi="Times New Roman" w:cs="宋体"/>
                <w:color w:val="auto"/>
                <w:spacing w:val="-6"/>
                <w:sz w:val="24"/>
                <w:szCs w:val="24"/>
                <w:highlight w:val="none"/>
                <w:lang w:val="en-US" w:eastAsia="zh-CN"/>
              </w:rPr>
              <w:t>破碎过程产生一定量的粉尘，通过在密闭空间、洒水降尘后以无组织形式排放。粉尘的产生系数按1.232kg/万块标砖计算，不合格产品按产品规模的5%计算，则本项目破碎工艺粉尘产生量为12.32kg/a，洒水降尘的除尘效率按80%，则本项目破碎工艺粉尘产生量为2.464kg/a。</w:t>
            </w:r>
          </w:p>
          <w:p w14:paraId="30AC38A4">
            <w:pPr>
              <w:pStyle w:val="20"/>
              <w:spacing w:line="360" w:lineRule="auto"/>
              <w:ind w:firstLine="476" w:firstLineChars="200"/>
              <w:jc w:val="both"/>
              <w:rPr>
                <w:rFonts w:ascii="Times New Roman" w:hAnsi="Times New Roman"/>
                <w:color w:val="auto"/>
                <w:spacing w:val="-1"/>
                <w:lang w:eastAsia="zh-CN"/>
              </w:rPr>
            </w:pPr>
            <w:r>
              <w:rPr>
                <w:rFonts w:ascii="Times New Roman" w:hAnsi="Times New Roman"/>
                <w:color w:val="auto"/>
                <w:spacing w:val="-1"/>
                <w:lang w:eastAsia="zh-CN"/>
              </w:rPr>
              <w:t>本项目生产线堆场大小、原辅料用量以及上料量统计见表</w:t>
            </w:r>
            <w:r>
              <w:rPr>
                <w:rFonts w:hint="eastAsia" w:ascii="Times New Roman" w:hAnsi="Times New Roman"/>
                <w:color w:val="auto"/>
                <w:spacing w:val="-1"/>
                <w:lang w:eastAsia="zh-CN"/>
              </w:rPr>
              <w:t>4-1</w:t>
            </w:r>
            <w:r>
              <w:rPr>
                <w:rFonts w:ascii="Times New Roman" w:hAnsi="Times New Roman"/>
                <w:color w:val="auto"/>
                <w:spacing w:val="-1"/>
                <w:lang w:eastAsia="zh-CN"/>
              </w:rPr>
              <w:t>，粉尘排放情况见表</w:t>
            </w:r>
            <w:r>
              <w:rPr>
                <w:rFonts w:hint="eastAsia" w:ascii="Times New Roman" w:hAnsi="Times New Roman"/>
                <w:color w:val="auto"/>
                <w:spacing w:val="-1"/>
                <w:lang w:eastAsia="zh-CN"/>
              </w:rPr>
              <w:t>4-2、4-3</w:t>
            </w:r>
            <w:r>
              <w:rPr>
                <w:rFonts w:ascii="Times New Roman" w:hAnsi="Times New Roman"/>
                <w:color w:val="auto"/>
                <w:spacing w:val="-1"/>
                <w:lang w:eastAsia="zh-CN"/>
              </w:rPr>
              <w:t>。</w:t>
            </w:r>
          </w:p>
          <w:p w14:paraId="1CF6F603">
            <w:pPr>
              <w:pStyle w:val="20"/>
              <w:spacing w:line="360" w:lineRule="auto"/>
              <w:ind w:firstLine="418" w:firstLineChars="200"/>
              <w:jc w:val="center"/>
              <w:rPr>
                <w:b/>
                <w:bCs/>
                <w:color w:val="auto"/>
                <w:spacing w:val="-1"/>
                <w:sz w:val="21"/>
                <w:szCs w:val="21"/>
                <w:lang w:eastAsia="zh-CN"/>
              </w:rPr>
            </w:pPr>
            <w:r>
              <w:rPr>
                <w:b/>
                <w:bCs/>
                <w:color w:val="auto"/>
                <w:spacing w:val="-1"/>
                <w:sz w:val="21"/>
                <w:szCs w:val="21"/>
                <w:lang w:eastAsia="zh-CN"/>
              </w:rPr>
              <w:t>表</w:t>
            </w:r>
            <w:r>
              <w:rPr>
                <w:rFonts w:hint="eastAsia" w:ascii="Times New Roman" w:hAnsi="Times New Roman" w:cs="Times New Roman"/>
                <w:b/>
                <w:bCs/>
                <w:color w:val="auto"/>
                <w:spacing w:val="-1"/>
                <w:sz w:val="21"/>
                <w:szCs w:val="21"/>
                <w:lang w:eastAsia="zh-CN"/>
              </w:rPr>
              <w:t>4-1</w:t>
            </w:r>
            <w:r>
              <w:rPr>
                <w:b/>
                <w:bCs/>
                <w:color w:val="auto"/>
                <w:spacing w:val="-1"/>
                <w:sz w:val="21"/>
                <w:szCs w:val="21"/>
                <w:lang w:eastAsia="zh-CN"/>
              </w:rPr>
              <w:t>生产线上料情况</w:t>
            </w:r>
          </w:p>
          <w:tbl>
            <w:tblPr>
              <w:tblStyle w:val="14"/>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30"/>
              <w:gridCol w:w="786"/>
              <w:gridCol w:w="816"/>
              <w:gridCol w:w="816"/>
              <w:gridCol w:w="816"/>
              <w:gridCol w:w="816"/>
              <w:gridCol w:w="816"/>
              <w:gridCol w:w="810"/>
              <w:gridCol w:w="6"/>
              <w:gridCol w:w="816"/>
            </w:tblGrid>
            <w:tr w14:paraId="2FC6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Merge w:val="restart"/>
                  <w:vAlign w:val="center"/>
                </w:tcPr>
                <w:p w14:paraId="2D8F703B">
                  <w:pPr>
                    <w:pStyle w:val="20"/>
                    <w:widowControl/>
                    <w:jc w:val="center"/>
                    <w:rPr>
                      <w:b/>
                      <w:bCs/>
                      <w:color w:val="auto"/>
                      <w:spacing w:val="-1"/>
                      <w:sz w:val="21"/>
                      <w:szCs w:val="21"/>
                      <w:lang w:eastAsia="zh-CN"/>
                    </w:rPr>
                  </w:pPr>
                  <w:r>
                    <w:rPr>
                      <w:color w:val="auto"/>
                      <w:spacing w:val="-3"/>
                      <w:sz w:val="21"/>
                      <w:szCs w:val="21"/>
                      <w:lang w:eastAsia="zh-CN"/>
                    </w:rPr>
                    <w:t>生产线名称</w:t>
                  </w:r>
                </w:p>
              </w:tc>
              <w:tc>
                <w:tcPr>
                  <w:tcW w:w="1667" w:type="dxa"/>
                  <w:gridSpan w:val="3"/>
                  <w:vAlign w:val="center"/>
                </w:tcPr>
                <w:p w14:paraId="1C2E3943">
                  <w:pPr>
                    <w:pStyle w:val="20"/>
                    <w:widowControl/>
                    <w:jc w:val="center"/>
                    <w:rPr>
                      <w:b/>
                      <w:bCs/>
                      <w:color w:val="auto"/>
                      <w:spacing w:val="-1"/>
                      <w:sz w:val="21"/>
                      <w:szCs w:val="21"/>
                      <w:lang w:eastAsia="zh-CN"/>
                    </w:rPr>
                  </w:pPr>
                  <w:r>
                    <w:rPr>
                      <w:color w:val="auto"/>
                      <w:spacing w:val="-2"/>
                      <w:sz w:val="21"/>
                      <w:szCs w:val="21"/>
                      <w:lang w:eastAsia="zh-CN"/>
                    </w:rPr>
                    <w:t>堆场</w:t>
                  </w:r>
                </w:p>
              </w:tc>
              <w:tc>
                <w:tcPr>
                  <w:tcW w:w="834" w:type="dxa"/>
                  <w:vMerge w:val="restart"/>
                  <w:vAlign w:val="center"/>
                </w:tcPr>
                <w:p w14:paraId="2ED903B6">
                  <w:pPr>
                    <w:pStyle w:val="20"/>
                    <w:widowControl/>
                    <w:jc w:val="center"/>
                    <w:rPr>
                      <w:b/>
                      <w:bCs/>
                      <w:color w:val="auto"/>
                      <w:spacing w:val="-1"/>
                      <w:sz w:val="21"/>
                      <w:szCs w:val="21"/>
                      <w:lang w:eastAsia="zh-CN"/>
                    </w:rPr>
                  </w:pPr>
                  <w:r>
                    <w:rPr>
                      <w:color w:val="auto"/>
                      <w:spacing w:val="-2"/>
                      <w:sz w:val="21"/>
                      <w:szCs w:val="21"/>
                      <w:lang w:eastAsia="zh-CN"/>
                    </w:rPr>
                    <w:t>堆场总</w:t>
                  </w:r>
                  <w:r>
                    <w:rPr>
                      <w:color w:val="auto"/>
                      <w:spacing w:val="-3"/>
                      <w:sz w:val="21"/>
                      <w:szCs w:val="21"/>
                      <w:lang w:eastAsia="zh-CN"/>
                    </w:rPr>
                    <w:t>量</w:t>
                  </w:r>
                  <w:r>
                    <w:rPr>
                      <w:rFonts w:ascii="Times New Roman" w:hAnsi="Times New Roman" w:eastAsia="Times New Roman" w:cs="Times New Roman"/>
                      <w:color w:val="auto"/>
                      <w:spacing w:val="-3"/>
                      <w:sz w:val="21"/>
                      <w:szCs w:val="21"/>
                      <w:lang w:eastAsia="zh-CN"/>
                    </w:rPr>
                    <w:t>/t</w:t>
                  </w:r>
                </w:p>
              </w:tc>
              <w:tc>
                <w:tcPr>
                  <w:tcW w:w="834" w:type="dxa"/>
                  <w:vMerge w:val="restart"/>
                  <w:vAlign w:val="center"/>
                </w:tcPr>
                <w:p w14:paraId="63D4ABA5">
                  <w:pPr>
                    <w:pStyle w:val="20"/>
                    <w:widowControl/>
                    <w:jc w:val="center"/>
                    <w:rPr>
                      <w:b/>
                      <w:bCs/>
                      <w:color w:val="auto"/>
                      <w:spacing w:val="-1"/>
                      <w:sz w:val="21"/>
                      <w:szCs w:val="21"/>
                      <w:lang w:eastAsia="zh-CN"/>
                    </w:rPr>
                  </w:pPr>
                  <w:r>
                    <w:rPr>
                      <w:color w:val="auto"/>
                      <w:spacing w:val="-2"/>
                      <w:sz w:val="21"/>
                      <w:szCs w:val="21"/>
                      <w:lang w:eastAsia="zh-CN"/>
                    </w:rPr>
                    <w:t>砂石料用量</w:t>
                  </w:r>
                  <w:r>
                    <w:rPr>
                      <w:rFonts w:ascii="Times New Roman" w:hAnsi="Times New Roman" w:eastAsia="Times New Roman" w:cs="Times New Roman"/>
                      <w:color w:val="auto"/>
                      <w:spacing w:val="-2"/>
                      <w:sz w:val="21"/>
                      <w:szCs w:val="21"/>
                      <w:lang w:eastAsia="zh-CN"/>
                    </w:rPr>
                    <w:t>/t</w:t>
                  </w:r>
                </w:p>
              </w:tc>
              <w:tc>
                <w:tcPr>
                  <w:tcW w:w="834" w:type="dxa"/>
                  <w:vMerge w:val="restart"/>
                  <w:vAlign w:val="center"/>
                </w:tcPr>
                <w:p w14:paraId="418038C3">
                  <w:pPr>
                    <w:pStyle w:val="20"/>
                    <w:widowControl/>
                    <w:jc w:val="center"/>
                    <w:rPr>
                      <w:b/>
                      <w:bCs/>
                      <w:color w:val="auto"/>
                      <w:spacing w:val="-1"/>
                      <w:sz w:val="21"/>
                      <w:szCs w:val="21"/>
                      <w:lang w:eastAsia="zh-CN"/>
                    </w:rPr>
                  </w:pPr>
                  <w:r>
                    <w:rPr>
                      <w:color w:val="auto"/>
                      <w:spacing w:val="-2"/>
                      <w:sz w:val="21"/>
                      <w:szCs w:val="21"/>
                      <w:lang w:eastAsia="zh-CN"/>
                    </w:rPr>
                    <w:t>颜料用量</w:t>
                  </w:r>
                  <w:r>
                    <w:rPr>
                      <w:rFonts w:ascii="Times New Roman" w:hAnsi="Times New Roman" w:eastAsia="Times New Roman" w:cs="Times New Roman"/>
                      <w:color w:val="auto"/>
                      <w:spacing w:val="-1"/>
                      <w:sz w:val="21"/>
                      <w:szCs w:val="21"/>
                      <w:lang w:eastAsia="zh-CN"/>
                    </w:rPr>
                    <w:t>/t</w:t>
                  </w:r>
                </w:p>
              </w:tc>
              <w:tc>
                <w:tcPr>
                  <w:tcW w:w="834" w:type="dxa"/>
                  <w:vMerge w:val="restart"/>
                  <w:vAlign w:val="center"/>
                </w:tcPr>
                <w:p w14:paraId="7D47FDC7">
                  <w:pPr>
                    <w:pStyle w:val="20"/>
                    <w:widowControl/>
                    <w:jc w:val="center"/>
                    <w:rPr>
                      <w:b/>
                      <w:bCs/>
                      <w:color w:val="auto"/>
                      <w:spacing w:val="-1"/>
                      <w:sz w:val="21"/>
                      <w:szCs w:val="21"/>
                      <w:lang w:eastAsia="zh-CN"/>
                    </w:rPr>
                  </w:pPr>
                  <w:r>
                    <w:rPr>
                      <w:color w:val="auto"/>
                      <w:spacing w:val="-2"/>
                      <w:sz w:val="21"/>
                      <w:szCs w:val="21"/>
                      <w:lang w:eastAsia="zh-CN"/>
                    </w:rPr>
                    <w:t>上料总</w:t>
                  </w:r>
                  <w:r>
                    <w:rPr>
                      <w:color w:val="auto"/>
                      <w:spacing w:val="-3"/>
                      <w:sz w:val="21"/>
                      <w:szCs w:val="21"/>
                      <w:lang w:eastAsia="zh-CN"/>
                    </w:rPr>
                    <w:t>量</w:t>
                  </w:r>
                  <w:r>
                    <w:rPr>
                      <w:rFonts w:ascii="Times New Roman" w:hAnsi="Times New Roman" w:eastAsia="Times New Roman" w:cs="Times New Roman"/>
                      <w:color w:val="auto"/>
                      <w:spacing w:val="-3"/>
                      <w:sz w:val="21"/>
                      <w:szCs w:val="21"/>
                      <w:lang w:eastAsia="zh-CN"/>
                    </w:rPr>
                    <w:t>/t</w:t>
                  </w:r>
                </w:p>
              </w:tc>
              <w:tc>
                <w:tcPr>
                  <w:tcW w:w="834" w:type="dxa"/>
                  <w:vMerge w:val="restart"/>
                  <w:vAlign w:val="center"/>
                </w:tcPr>
                <w:p w14:paraId="6AACBDEF">
                  <w:pPr>
                    <w:pStyle w:val="20"/>
                    <w:widowControl/>
                    <w:jc w:val="center"/>
                    <w:rPr>
                      <w:b/>
                      <w:bCs/>
                      <w:color w:val="auto"/>
                      <w:spacing w:val="-1"/>
                      <w:sz w:val="21"/>
                      <w:szCs w:val="21"/>
                      <w:lang w:eastAsia="zh-CN"/>
                    </w:rPr>
                  </w:pPr>
                  <w:r>
                    <w:rPr>
                      <w:color w:val="auto"/>
                      <w:spacing w:val="-5"/>
                      <w:sz w:val="21"/>
                      <w:szCs w:val="21"/>
                      <w:lang w:eastAsia="zh-CN"/>
                    </w:rPr>
                    <w:t>水泥</w:t>
                  </w:r>
                  <w:r>
                    <w:rPr>
                      <w:color w:val="auto"/>
                      <w:spacing w:val="-2"/>
                      <w:sz w:val="21"/>
                      <w:szCs w:val="21"/>
                      <w:lang w:eastAsia="zh-CN"/>
                    </w:rPr>
                    <w:t>用量</w:t>
                  </w:r>
                  <w:r>
                    <w:rPr>
                      <w:rFonts w:ascii="Times New Roman" w:hAnsi="Times New Roman" w:eastAsia="Times New Roman" w:cs="Times New Roman"/>
                      <w:color w:val="auto"/>
                      <w:spacing w:val="-2"/>
                      <w:sz w:val="21"/>
                      <w:szCs w:val="21"/>
                      <w:lang w:eastAsia="zh-CN"/>
                    </w:rPr>
                    <w:t>/t</w:t>
                  </w:r>
                </w:p>
              </w:tc>
              <w:tc>
                <w:tcPr>
                  <w:tcW w:w="1668" w:type="dxa"/>
                  <w:gridSpan w:val="3"/>
                  <w:vAlign w:val="center"/>
                </w:tcPr>
                <w:p w14:paraId="622CFEAB">
                  <w:pPr>
                    <w:pStyle w:val="20"/>
                    <w:widowControl/>
                    <w:jc w:val="center"/>
                    <w:rPr>
                      <w:b/>
                      <w:bCs/>
                      <w:color w:val="auto"/>
                      <w:spacing w:val="-1"/>
                      <w:sz w:val="21"/>
                      <w:szCs w:val="21"/>
                      <w:lang w:eastAsia="zh-CN"/>
                    </w:rPr>
                  </w:pPr>
                  <w:r>
                    <w:rPr>
                      <w:color w:val="auto"/>
                      <w:spacing w:val="-3"/>
                      <w:sz w:val="21"/>
                      <w:szCs w:val="21"/>
                      <w:lang w:eastAsia="zh-CN"/>
                    </w:rPr>
                    <w:t>筒仓</w:t>
                  </w:r>
                </w:p>
              </w:tc>
            </w:tr>
            <w:tr w14:paraId="5B34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Merge w:val="continue"/>
                  <w:vAlign w:val="center"/>
                </w:tcPr>
                <w:p w14:paraId="1008B2F1">
                  <w:pPr>
                    <w:widowControl/>
                    <w:jc w:val="center"/>
                    <w:rPr>
                      <w:b/>
                      <w:bCs/>
                      <w:color w:val="auto"/>
                      <w:spacing w:val="-1"/>
                      <w:lang w:eastAsia="zh-CN"/>
                    </w:rPr>
                  </w:pPr>
                </w:p>
              </w:tc>
              <w:tc>
                <w:tcPr>
                  <w:tcW w:w="864" w:type="dxa"/>
                  <w:gridSpan w:val="2"/>
                  <w:vAlign w:val="center"/>
                </w:tcPr>
                <w:p w14:paraId="3647DC25">
                  <w:pPr>
                    <w:pStyle w:val="20"/>
                    <w:widowControl/>
                    <w:jc w:val="center"/>
                    <w:rPr>
                      <w:b/>
                      <w:bCs/>
                      <w:color w:val="auto"/>
                      <w:spacing w:val="-1"/>
                      <w:sz w:val="21"/>
                      <w:szCs w:val="21"/>
                      <w:lang w:eastAsia="zh-CN"/>
                    </w:rPr>
                  </w:pPr>
                  <w:r>
                    <w:rPr>
                      <w:color w:val="auto"/>
                      <w:spacing w:val="-5"/>
                      <w:sz w:val="21"/>
                      <w:szCs w:val="21"/>
                      <w:lang w:eastAsia="zh-CN"/>
                    </w:rPr>
                    <w:t>大小</w:t>
                  </w:r>
                  <w:r>
                    <w:rPr>
                      <w:rFonts w:ascii="Times New Roman" w:hAnsi="Times New Roman" w:eastAsia="Times New Roman" w:cs="Times New Roman"/>
                      <w:color w:val="auto"/>
                      <w:spacing w:val="1"/>
                      <w:position w:val="-1"/>
                      <w:sz w:val="21"/>
                      <w:szCs w:val="21"/>
                      <w:lang w:eastAsia="zh-CN"/>
                    </w:rPr>
                    <w:t>/m</w:t>
                  </w:r>
                  <w:r>
                    <w:rPr>
                      <w:rFonts w:ascii="Times New Roman" w:hAnsi="Times New Roman" w:eastAsia="Times New Roman" w:cs="Times New Roman"/>
                      <w:color w:val="auto"/>
                      <w:spacing w:val="1"/>
                      <w:position w:val="5"/>
                      <w:sz w:val="13"/>
                      <w:szCs w:val="13"/>
                      <w:lang w:eastAsia="zh-CN"/>
                    </w:rPr>
                    <w:t>2</w:t>
                  </w:r>
                </w:p>
              </w:tc>
              <w:tc>
                <w:tcPr>
                  <w:tcW w:w="803" w:type="dxa"/>
                  <w:vAlign w:val="center"/>
                </w:tcPr>
                <w:p w14:paraId="6959E519">
                  <w:pPr>
                    <w:pStyle w:val="20"/>
                    <w:widowControl/>
                    <w:jc w:val="center"/>
                    <w:rPr>
                      <w:color w:val="auto"/>
                      <w:sz w:val="21"/>
                      <w:szCs w:val="21"/>
                      <w:lang w:eastAsia="zh-CN"/>
                    </w:rPr>
                  </w:pPr>
                  <w:r>
                    <w:rPr>
                      <w:color w:val="auto"/>
                      <w:spacing w:val="-2"/>
                      <w:sz w:val="21"/>
                      <w:szCs w:val="21"/>
                      <w:lang w:eastAsia="zh-CN"/>
                    </w:rPr>
                    <w:t>数量</w:t>
                  </w:r>
                </w:p>
                <w:p w14:paraId="5DF491F0">
                  <w:pPr>
                    <w:pStyle w:val="20"/>
                    <w:widowControl/>
                    <w:jc w:val="center"/>
                    <w:rPr>
                      <w:b/>
                      <w:bCs/>
                      <w:color w:val="auto"/>
                      <w:spacing w:val="-1"/>
                      <w:sz w:val="21"/>
                      <w:szCs w:val="21"/>
                      <w:lang w:eastAsia="zh-CN"/>
                    </w:rPr>
                  </w:pPr>
                  <w:r>
                    <w:rPr>
                      <w:rFonts w:ascii="Times New Roman" w:hAnsi="Times New Roman" w:eastAsia="Times New Roman" w:cs="Times New Roman"/>
                      <w:color w:val="auto"/>
                      <w:sz w:val="21"/>
                      <w:szCs w:val="21"/>
                      <w:lang w:eastAsia="zh-CN"/>
                    </w:rPr>
                    <w:t>/</w:t>
                  </w:r>
                  <w:r>
                    <w:rPr>
                      <w:color w:val="auto"/>
                      <w:sz w:val="21"/>
                      <w:szCs w:val="21"/>
                      <w:lang w:eastAsia="zh-CN"/>
                    </w:rPr>
                    <w:t>个</w:t>
                  </w:r>
                </w:p>
              </w:tc>
              <w:tc>
                <w:tcPr>
                  <w:tcW w:w="834" w:type="dxa"/>
                  <w:vMerge w:val="continue"/>
                  <w:vAlign w:val="center"/>
                </w:tcPr>
                <w:p w14:paraId="17521F53">
                  <w:pPr>
                    <w:widowControl/>
                    <w:jc w:val="center"/>
                    <w:rPr>
                      <w:b/>
                      <w:bCs/>
                      <w:color w:val="auto"/>
                      <w:spacing w:val="-1"/>
                      <w:lang w:eastAsia="zh-CN"/>
                    </w:rPr>
                  </w:pPr>
                </w:p>
              </w:tc>
              <w:tc>
                <w:tcPr>
                  <w:tcW w:w="834" w:type="dxa"/>
                  <w:vMerge w:val="continue"/>
                  <w:vAlign w:val="center"/>
                </w:tcPr>
                <w:p w14:paraId="2263EC27">
                  <w:pPr>
                    <w:widowControl/>
                    <w:jc w:val="center"/>
                    <w:rPr>
                      <w:b/>
                      <w:bCs/>
                      <w:color w:val="auto"/>
                      <w:spacing w:val="-1"/>
                      <w:lang w:eastAsia="zh-CN"/>
                    </w:rPr>
                  </w:pPr>
                </w:p>
              </w:tc>
              <w:tc>
                <w:tcPr>
                  <w:tcW w:w="834" w:type="dxa"/>
                  <w:vMerge w:val="continue"/>
                  <w:vAlign w:val="center"/>
                </w:tcPr>
                <w:p w14:paraId="6C7920CD">
                  <w:pPr>
                    <w:widowControl/>
                    <w:jc w:val="center"/>
                    <w:rPr>
                      <w:b/>
                      <w:bCs/>
                      <w:color w:val="auto"/>
                      <w:spacing w:val="-1"/>
                      <w:lang w:eastAsia="zh-CN"/>
                    </w:rPr>
                  </w:pPr>
                </w:p>
              </w:tc>
              <w:tc>
                <w:tcPr>
                  <w:tcW w:w="834" w:type="dxa"/>
                  <w:vMerge w:val="continue"/>
                  <w:vAlign w:val="center"/>
                </w:tcPr>
                <w:p w14:paraId="0F00B93D">
                  <w:pPr>
                    <w:widowControl/>
                    <w:jc w:val="center"/>
                    <w:rPr>
                      <w:b/>
                      <w:bCs/>
                      <w:color w:val="auto"/>
                      <w:spacing w:val="-1"/>
                      <w:lang w:eastAsia="zh-CN"/>
                    </w:rPr>
                  </w:pPr>
                </w:p>
              </w:tc>
              <w:tc>
                <w:tcPr>
                  <w:tcW w:w="834" w:type="dxa"/>
                  <w:vMerge w:val="continue"/>
                  <w:vAlign w:val="center"/>
                </w:tcPr>
                <w:p w14:paraId="374F3A1A">
                  <w:pPr>
                    <w:widowControl/>
                    <w:jc w:val="center"/>
                    <w:rPr>
                      <w:b/>
                      <w:bCs/>
                      <w:color w:val="auto"/>
                      <w:spacing w:val="-1"/>
                      <w:lang w:eastAsia="zh-CN"/>
                    </w:rPr>
                  </w:pPr>
                </w:p>
              </w:tc>
              <w:tc>
                <w:tcPr>
                  <w:tcW w:w="828" w:type="dxa"/>
                  <w:vAlign w:val="center"/>
                </w:tcPr>
                <w:p w14:paraId="42C46AAE">
                  <w:pPr>
                    <w:pStyle w:val="20"/>
                    <w:widowControl/>
                    <w:jc w:val="center"/>
                    <w:rPr>
                      <w:b/>
                      <w:bCs/>
                      <w:color w:val="auto"/>
                      <w:spacing w:val="-1"/>
                      <w:sz w:val="21"/>
                      <w:szCs w:val="21"/>
                      <w:lang w:eastAsia="zh-CN"/>
                    </w:rPr>
                  </w:pPr>
                  <w:r>
                    <w:rPr>
                      <w:color w:val="auto"/>
                      <w:spacing w:val="-10"/>
                      <w:sz w:val="21"/>
                      <w:szCs w:val="21"/>
                      <w:lang w:eastAsia="zh-CN"/>
                    </w:rPr>
                    <w:t>大</w:t>
                  </w:r>
                  <w:r>
                    <w:rPr>
                      <w:color w:val="auto"/>
                      <w:spacing w:val="-5"/>
                      <w:sz w:val="21"/>
                      <w:szCs w:val="21"/>
                      <w:lang w:eastAsia="zh-CN"/>
                    </w:rPr>
                    <w:t>小</w:t>
                  </w:r>
                  <w:r>
                    <w:rPr>
                      <w:rFonts w:ascii="Times New Roman" w:hAnsi="Times New Roman" w:eastAsia="Times New Roman" w:cs="Times New Roman"/>
                      <w:color w:val="auto"/>
                      <w:spacing w:val="-5"/>
                      <w:sz w:val="21"/>
                      <w:szCs w:val="21"/>
                      <w:lang w:eastAsia="zh-CN"/>
                    </w:rPr>
                    <w:t>/t</w:t>
                  </w:r>
                </w:p>
              </w:tc>
              <w:tc>
                <w:tcPr>
                  <w:tcW w:w="840" w:type="dxa"/>
                  <w:gridSpan w:val="2"/>
                  <w:vAlign w:val="center"/>
                </w:tcPr>
                <w:p w14:paraId="1632490B">
                  <w:pPr>
                    <w:pStyle w:val="20"/>
                    <w:widowControl/>
                    <w:jc w:val="center"/>
                    <w:rPr>
                      <w:b/>
                      <w:bCs/>
                      <w:color w:val="auto"/>
                      <w:spacing w:val="-1"/>
                      <w:sz w:val="21"/>
                      <w:szCs w:val="21"/>
                      <w:lang w:eastAsia="zh-CN"/>
                    </w:rPr>
                  </w:pPr>
                  <w:r>
                    <w:rPr>
                      <w:color w:val="auto"/>
                      <w:spacing w:val="-2"/>
                      <w:sz w:val="21"/>
                      <w:szCs w:val="21"/>
                      <w:lang w:eastAsia="zh-CN"/>
                    </w:rPr>
                    <w:t>数量</w:t>
                  </w:r>
                  <w:r>
                    <w:rPr>
                      <w:rFonts w:ascii="Times New Roman" w:hAnsi="Times New Roman" w:eastAsia="Times New Roman" w:cs="Times New Roman"/>
                      <w:color w:val="auto"/>
                      <w:sz w:val="21"/>
                      <w:szCs w:val="21"/>
                      <w:lang w:eastAsia="zh-CN"/>
                    </w:rPr>
                    <w:t>/</w:t>
                  </w:r>
                  <w:r>
                    <w:rPr>
                      <w:color w:val="auto"/>
                      <w:sz w:val="21"/>
                      <w:szCs w:val="21"/>
                      <w:lang w:eastAsia="zh-CN"/>
                    </w:rPr>
                    <w:t>个</w:t>
                  </w:r>
                </w:p>
              </w:tc>
            </w:tr>
            <w:tr w14:paraId="4A11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14:paraId="696B972B">
                  <w:pPr>
                    <w:pStyle w:val="20"/>
                    <w:widowControl/>
                    <w:jc w:val="center"/>
                    <w:rPr>
                      <w:b/>
                      <w:bCs/>
                      <w:color w:val="auto"/>
                      <w:spacing w:val="-1"/>
                      <w:sz w:val="21"/>
                      <w:szCs w:val="21"/>
                      <w:lang w:eastAsia="zh-CN"/>
                    </w:rPr>
                  </w:pPr>
                  <w:r>
                    <w:rPr>
                      <w:color w:val="auto"/>
                      <w:spacing w:val="-1"/>
                      <w:sz w:val="21"/>
                      <w:szCs w:val="21"/>
                      <w:lang w:eastAsia="zh-CN"/>
                    </w:rPr>
                    <w:t>透水砖</w:t>
                  </w:r>
                </w:p>
              </w:tc>
              <w:tc>
                <w:tcPr>
                  <w:tcW w:w="833" w:type="dxa"/>
                  <w:vAlign w:val="center"/>
                </w:tcPr>
                <w:p w14:paraId="6B2DB944">
                  <w:pPr>
                    <w:widowControl/>
                    <w:jc w:val="center"/>
                    <w:rPr>
                      <w:b/>
                      <w:bCs/>
                      <w:color w:val="auto"/>
                      <w:spacing w:val="-1"/>
                      <w:lang w:eastAsia="zh-CN"/>
                    </w:rPr>
                  </w:pPr>
                  <w:r>
                    <w:rPr>
                      <w:rFonts w:ascii="Times New Roman" w:hAnsi="Times New Roman" w:eastAsia="Times New Roman" w:cs="Times New Roman"/>
                      <w:color w:val="auto"/>
                      <w:spacing w:val="-1"/>
                      <w:lang w:eastAsia="zh-CN"/>
                    </w:rPr>
                    <w:t>400</w:t>
                  </w:r>
                </w:p>
              </w:tc>
              <w:tc>
                <w:tcPr>
                  <w:tcW w:w="834" w:type="dxa"/>
                  <w:gridSpan w:val="2"/>
                  <w:vAlign w:val="center"/>
                </w:tcPr>
                <w:p w14:paraId="453ED3E1">
                  <w:pPr>
                    <w:widowControl/>
                    <w:jc w:val="center"/>
                    <w:rPr>
                      <w:b/>
                      <w:bCs/>
                      <w:color w:val="auto"/>
                      <w:spacing w:val="-1"/>
                      <w:lang w:eastAsia="zh-CN"/>
                    </w:rPr>
                  </w:pPr>
                  <w:r>
                    <w:rPr>
                      <w:rFonts w:ascii="Times New Roman" w:hAnsi="Times New Roman" w:eastAsia="Times New Roman" w:cs="Times New Roman"/>
                      <w:color w:val="auto"/>
                      <w:lang w:eastAsia="zh-CN"/>
                    </w:rPr>
                    <w:t>1</w:t>
                  </w:r>
                </w:p>
              </w:tc>
              <w:tc>
                <w:tcPr>
                  <w:tcW w:w="834" w:type="dxa"/>
                  <w:vAlign w:val="center"/>
                </w:tcPr>
                <w:p w14:paraId="24620E22">
                  <w:pPr>
                    <w:widowControl/>
                    <w:jc w:val="center"/>
                    <w:rPr>
                      <w:b/>
                      <w:bCs/>
                      <w:color w:val="auto"/>
                      <w:spacing w:val="-1"/>
                      <w:lang w:eastAsia="zh-CN"/>
                    </w:rPr>
                  </w:pPr>
                  <w:r>
                    <w:rPr>
                      <w:rFonts w:ascii="Times New Roman" w:hAnsi="Times New Roman" w:eastAsia="Times New Roman" w:cs="Times New Roman"/>
                      <w:color w:val="auto"/>
                      <w:spacing w:val="-1"/>
                      <w:lang w:eastAsia="zh-CN"/>
                    </w:rPr>
                    <w:t>64296</w:t>
                  </w:r>
                </w:p>
              </w:tc>
              <w:tc>
                <w:tcPr>
                  <w:tcW w:w="834" w:type="dxa"/>
                  <w:vAlign w:val="center"/>
                </w:tcPr>
                <w:p w14:paraId="27F7DC02">
                  <w:pPr>
                    <w:widowControl/>
                    <w:jc w:val="center"/>
                    <w:rPr>
                      <w:b/>
                      <w:bCs/>
                      <w:color w:val="auto"/>
                      <w:spacing w:val="-1"/>
                      <w:lang w:eastAsia="zh-CN"/>
                    </w:rPr>
                  </w:pPr>
                  <w:r>
                    <w:rPr>
                      <w:rFonts w:ascii="Times New Roman" w:hAnsi="Times New Roman" w:eastAsia="Times New Roman" w:cs="Times New Roman"/>
                      <w:color w:val="auto"/>
                      <w:spacing w:val="-1"/>
                      <w:lang w:eastAsia="zh-CN"/>
                    </w:rPr>
                    <w:t>64296</w:t>
                  </w:r>
                </w:p>
              </w:tc>
              <w:tc>
                <w:tcPr>
                  <w:tcW w:w="834" w:type="dxa"/>
                  <w:vAlign w:val="center"/>
                </w:tcPr>
                <w:p w14:paraId="2245CA02">
                  <w:pPr>
                    <w:widowControl/>
                    <w:jc w:val="center"/>
                    <w:rPr>
                      <w:b/>
                      <w:bCs/>
                      <w:color w:val="auto"/>
                      <w:spacing w:val="-1"/>
                      <w:lang w:eastAsia="zh-CN"/>
                    </w:rPr>
                  </w:pPr>
                  <w:r>
                    <w:rPr>
                      <w:rFonts w:ascii="Times New Roman" w:hAnsi="Times New Roman" w:eastAsia="Times New Roman" w:cs="Times New Roman"/>
                      <w:color w:val="auto"/>
                      <w:spacing w:val="-6"/>
                      <w:lang w:eastAsia="zh-CN"/>
                    </w:rPr>
                    <w:t>134</w:t>
                  </w:r>
                </w:p>
              </w:tc>
              <w:tc>
                <w:tcPr>
                  <w:tcW w:w="834" w:type="dxa"/>
                  <w:vAlign w:val="center"/>
                </w:tcPr>
                <w:p w14:paraId="22895E70">
                  <w:pPr>
                    <w:widowControl/>
                    <w:jc w:val="center"/>
                    <w:rPr>
                      <w:b/>
                      <w:bCs/>
                      <w:color w:val="auto"/>
                      <w:spacing w:val="-1"/>
                      <w:lang w:eastAsia="zh-CN"/>
                    </w:rPr>
                  </w:pPr>
                  <w:r>
                    <w:rPr>
                      <w:rFonts w:ascii="Times New Roman" w:hAnsi="Times New Roman" w:eastAsia="Times New Roman" w:cs="Times New Roman"/>
                      <w:color w:val="auto"/>
                      <w:spacing w:val="-1"/>
                      <w:lang w:eastAsia="zh-CN"/>
                    </w:rPr>
                    <w:t>64430</w:t>
                  </w:r>
                </w:p>
              </w:tc>
              <w:tc>
                <w:tcPr>
                  <w:tcW w:w="834" w:type="dxa"/>
                  <w:vAlign w:val="center"/>
                </w:tcPr>
                <w:p w14:paraId="6A927A0A">
                  <w:pPr>
                    <w:widowControl/>
                    <w:jc w:val="center"/>
                    <w:rPr>
                      <w:b/>
                      <w:bCs/>
                      <w:color w:val="auto"/>
                      <w:spacing w:val="-1"/>
                      <w:lang w:eastAsia="zh-CN"/>
                    </w:rPr>
                  </w:pPr>
                  <w:r>
                    <w:rPr>
                      <w:rFonts w:ascii="Times New Roman" w:hAnsi="Times New Roman" w:eastAsia="Times New Roman" w:cs="Times New Roman"/>
                      <w:color w:val="auto"/>
                      <w:spacing w:val="-2"/>
                      <w:lang w:eastAsia="zh-CN"/>
                    </w:rPr>
                    <w:t>7985</w:t>
                  </w:r>
                </w:p>
              </w:tc>
              <w:tc>
                <w:tcPr>
                  <w:tcW w:w="834" w:type="dxa"/>
                  <w:gridSpan w:val="2"/>
                  <w:vAlign w:val="center"/>
                </w:tcPr>
                <w:p w14:paraId="7B5C6BAA">
                  <w:pPr>
                    <w:widowControl/>
                    <w:jc w:val="center"/>
                    <w:rPr>
                      <w:b/>
                      <w:bCs/>
                      <w:color w:val="auto"/>
                      <w:spacing w:val="-1"/>
                      <w:lang w:eastAsia="zh-CN"/>
                    </w:rPr>
                  </w:pPr>
                  <w:r>
                    <w:rPr>
                      <w:rFonts w:ascii="Times New Roman" w:hAnsi="Times New Roman" w:eastAsia="Times New Roman" w:cs="Times New Roman"/>
                      <w:color w:val="auto"/>
                      <w:spacing w:val="-6"/>
                      <w:lang w:eastAsia="zh-CN"/>
                    </w:rPr>
                    <w:t>100</w:t>
                  </w:r>
                </w:p>
              </w:tc>
              <w:tc>
                <w:tcPr>
                  <w:tcW w:w="834" w:type="dxa"/>
                  <w:vAlign w:val="center"/>
                </w:tcPr>
                <w:p w14:paraId="20D5814C">
                  <w:pPr>
                    <w:widowControl/>
                    <w:jc w:val="center"/>
                    <w:rPr>
                      <w:b/>
                      <w:bCs/>
                      <w:color w:val="auto"/>
                      <w:spacing w:val="-1"/>
                      <w:lang w:eastAsia="zh-CN"/>
                    </w:rPr>
                  </w:pPr>
                  <w:r>
                    <w:rPr>
                      <w:rFonts w:ascii="Times New Roman" w:hAnsi="Times New Roman" w:eastAsia="Times New Roman" w:cs="Times New Roman"/>
                      <w:color w:val="auto"/>
                      <w:lang w:eastAsia="zh-CN"/>
                    </w:rPr>
                    <w:t>1</w:t>
                  </w:r>
                </w:p>
              </w:tc>
            </w:tr>
          </w:tbl>
          <w:p w14:paraId="1C049F9B">
            <w:pPr>
              <w:pStyle w:val="20"/>
              <w:spacing w:line="360" w:lineRule="auto"/>
              <w:ind w:firstLine="418" w:firstLineChars="200"/>
              <w:jc w:val="center"/>
              <w:rPr>
                <w:color w:val="auto"/>
                <w:sz w:val="21"/>
                <w:szCs w:val="21"/>
                <w:lang w:eastAsia="zh-CN"/>
              </w:rPr>
            </w:pPr>
            <w:r>
              <w:rPr>
                <w:b/>
                <w:bCs/>
                <w:color w:val="auto"/>
                <w:spacing w:val="-1"/>
                <w:sz w:val="21"/>
                <w:szCs w:val="21"/>
                <w:lang w:eastAsia="zh-CN"/>
              </w:rPr>
              <w:t>表</w:t>
            </w:r>
            <w:r>
              <w:rPr>
                <w:rFonts w:hint="eastAsia" w:ascii="Times New Roman" w:hAnsi="Times New Roman" w:cs="Times New Roman"/>
                <w:b/>
                <w:bCs/>
                <w:color w:val="auto"/>
                <w:spacing w:val="-1"/>
                <w:sz w:val="21"/>
                <w:szCs w:val="21"/>
                <w:lang w:eastAsia="zh-CN"/>
              </w:rPr>
              <w:t>4-2</w:t>
            </w:r>
            <w:r>
              <w:rPr>
                <w:b/>
                <w:bCs/>
                <w:color w:val="auto"/>
                <w:spacing w:val="-1"/>
                <w:sz w:val="21"/>
                <w:szCs w:val="21"/>
                <w:lang w:eastAsia="zh-CN"/>
              </w:rPr>
              <w:t>粉尘</w:t>
            </w:r>
            <w:r>
              <w:rPr>
                <w:rFonts w:hint="eastAsia"/>
                <w:b/>
                <w:bCs/>
                <w:color w:val="auto"/>
                <w:spacing w:val="-1"/>
                <w:sz w:val="21"/>
                <w:szCs w:val="21"/>
                <w:lang w:eastAsia="zh-CN"/>
              </w:rPr>
              <w:t>无组织</w:t>
            </w:r>
            <w:r>
              <w:rPr>
                <w:b/>
                <w:bCs/>
                <w:color w:val="auto"/>
                <w:spacing w:val="-1"/>
                <w:sz w:val="21"/>
                <w:szCs w:val="21"/>
                <w:lang w:eastAsia="zh-CN"/>
              </w:rPr>
              <w:t>排放情况统计表</w:t>
            </w:r>
          </w:p>
          <w:tbl>
            <w:tblPr>
              <w:tblStyle w:val="19"/>
              <w:tblW w:w="4902" w:type="pct"/>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064"/>
              <w:gridCol w:w="997"/>
              <w:gridCol w:w="923"/>
              <w:gridCol w:w="1228"/>
              <w:gridCol w:w="1061"/>
              <w:gridCol w:w="1182"/>
            </w:tblGrid>
            <w:tr w14:paraId="64AD9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708" w:type="dxa"/>
                  <w:vMerge w:val="restart"/>
                  <w:tcBorders>
                    <w:tl2br w:val="single" w:color="000000" w:sz="2" w:space="0"/>
                  </w:tcBorders>
                  <w:vAlign w:val="center"/>
                </w:tcPr>
                <w:p w14:paraId="34BE310E">
                  <w:pPr>
                    <w:pStyle w:val="20"/>
                    <w:spacing w:line="360" w:lineRule="auto"/>
                    <w:ind w:firstLine="412" w:firstLineChars="200"/>
                    <w:rPr>
                      <w:color w:val="auto"/>
                      <w:sz w:val="21"/>
                      <w:szCs w:val="21"/>
                      <w:lang w:eastAsia="zh-CN"/>
                    </w:rPr>
                  </w:pPr>
                  <w:r>
                    <w:rPr>
                      <w:color w:val="auto"/>
                      <w:spacing w:val="-2"/>
                      <w:sz w:val="21"/>
                      <w:szCs w:val="21"/>
                      <w:lang w:eastAsia="zh-CN"/>
                    </w:rPr>
                    <w:t>产污环节生产线</w:t>
                  </w:r>
                </w:p>
              </w:tc>
              <w:tc>
                <w:tcPr>
                  <w:tcW w:w="2061" w:type="dxa"/>
                  <w:gridSpan w:val="2"/>
                  <w:vAlign w:val="center"/>
                </w:tcPr>
                <w:p w14:paraId="4909C52A">
                  <w:pPr>
                    <w:pStyle w:val="20"/>
                    <w:spacing w:line="360" w:lineRule="auto"/>
                    <w:jc w:val="center"/>
                    <w:rPr>
                      <w:color w:val="auto"/>
                      <w:sz w:val="21"/>
                      <w:szCs w:val="21"/>
                      <w:lang w:eastAsia="zh-CN"/>
                    </w:rPr>
                  </w:pPr>
                  <w:r>
                    <w:rPr>
                      <w:color w:val="auto"/>
                      <w:spacing w:val="-2"/>
                      <w:sz w:val="21"/>
                      <w:szCs w:val="21"/>
                      <w:lang w:eastAsia="zh-CN"/>
                    </w:rPr>
                    <w:t>堆场</w:t>
                  </w:r>
                </w:p>
              </w:tc>
              <w:tc>
                <w:tcPr>
                  <w:tcW w:w="2151" w:type="dxa"/>
                  <w:gridSpan w:val="2"/>
                  <w:vAlign w:val="center"/>
                </w:tcPr>
                <w:p w14:paraId="220FC3A1">
                  <w:pPr>
                    <w:pStyle w:val="20"/>
                    <w:spacing w:line="360" w:lineRule="auto"/>
                    <w:jc w:val="center"/>
                    <w:rPr>
                      <w:color w:val="auto"/>
                      <w:sz w:val="21"/>
                      <w:szCs w:val="21"/>
                      <w:lang w:eastAsia="zh-CN"/>
                    </w:rPr>
                  </w:pPr>
                  <w:r>
                    <w:rPr>
                      <w:color w:val="auto"/>
                      <w:spacing w:val="-1"/>
                      <w:sz w:val="21"/>
                      <w:szCs w:val="21"/>
                      <w:lang w:eastAsia="zh-CN"/>
                    </w:rPr>
                    <w:t>上料及搅拌粉尘</w:t>
                  </w:r>
                </w:p>
              </w:tc>
              <w:tc>
                <w:tcPr>
                  <w:tcW w:w="2243" w:type="dxa"/>
                  <w:gridSpan w:val="2"/>
                  <w:vAlign w:val="center"/>
                </w:tcPr>
                <w:p w14:paraId="5E41059F">
                  <w:pPr>
                    <w:pStyle w:val="20"/>
                    <w:spacing w:line="360" w:lineRule="auto"/>
                    <w:jc w:val="center"/>
                    <w:rPr>
                      <w:rFonts w:hint="eastAsia"/>
                      <w:color w:val="auto"/>
                      <w:spacing w:val="-1"/>
                      <w:sz w:val="21"/>
                      <w:szCs w:val="21"/>
                      <w:lang w:val="en-US" w:eastAsia="zh-CN"/>
                    </w:rPr>
                  </w:pPr>
                  <w:r>
                    <w:rPr>
                      <w:rFonts w:hint="eastAsia"/>
                      <w:color w:val="auto"/>
                      <w:spacing w:val="-1"/>
                      <w:sz w:val="21"/>
                      <w:szCs w:val="21"/>
                      <w:lang w:val="en-US" w:eastAsia="zh-CN"/>
                    </w:rPr>
                    <w:t>破碎粉尘</w:t>
                  </w:r>
                </w:p>
              </w:tc>
            </w:tr>
            <w:tr w14:paraId="0CF6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08" w:type="dxa"/>
                  <w:vMerge w:val="continue"/>
                  <w:tcBorders>
                    <w:tl2br w:val="single" w:color="000000" w:sz="2" w:space="0"/>
                  </w:tcBorders>
                  <w:vAlign w:val="center"/>
                </w:tcPr>
                <w:p w14:paraId="7FABC96D">
                  <w:pPr>
                    <w:spacing w:line="360" w:lineRule="auto"/>
                    <w:ind w:firstLine="420" w:firstLineChars="200"/>
                    <w:rPr>
                      <w:color w:val="auto"/>
                      <w:lang w:eastAsia="zh-CN"/>
                    </w:rPr>
                  </w:pPr>
                </w:p>
              </w:tc>
              <w:tc>
                <w:tcPr>
                  <w:tcW w:w="1064" w:type="dxa"/>
                  <w:vAlign w:val="center"/>
                </w:tcPr>
                <w:p w14:paraId="26FCB058">
                  <w:pPr>
                    <w:pStyle w:val="20"/>
                    <w:spacing w:line="360" w:lineRule="auto"/>
                    <w:jc w:val="center"/>
                    <w:rPr>
                      <w:rFonts w:ascii="Times New Roman" w:hAnsi="Times New Roman" w:eastAsia="Times New Roman" w:cs="Times New Roman"/>
                      <w:color w:val="auto"/>
                      <w:sz w:val="21"/>
                      <w:szCs w:val="21"/>
                      <w:lang w:eastAsia="zh-CN"/>
                    </w:rPr>
                  </w:pPr>
                  <w:r>
                    <w:rPr>
                      <w:color w:val="auto"/>
                      <w:spacing w:val="-1"/>
                      <w:sz w:val="21"/>
                      <w:szCs w:val="21"/>
                      <w:lang w:eastAsia="zh-CN"/>
                    </w:rPr>
                    <w:t>产生量</w:t>
                  </w:r>
                  <w:r>
                    <w:rPr>
                      <w:rFonts w:ascii="Times New Roman" w:hAnsi="Times New Roman" w:eastAsia="Times New Roman" w:cs="Times New Roman"/>
                      <w:color w:val="auto"/>
                      <w:spacing w:val="-1"/>
                      <w:sz w:val="21"/>
                      <w:szCs w:val="21"/>
                      <w:lang w:eastAsia="zh-CN"/>
                    </w:rPr>
                    <w:t>/t</w:t>
                  </w:r>
                </w:p>
              </w:tc>
              <w:tc>
                <w:tcPr>
                  <w:tcW w:w="997" w:type="dxa"/>
                  <w:vAlign w:val="center"/>
                </w:tcPr>
                <w:p w14:paraId="69B78CF1">
                  <w:pPr>
                    <w:pStyle w:val="20"/>
                    <w:spacing w:line="360" w:lineRule="auto"/>
                    <w:jc w:val="center"/>
                    <w:rPr>
                      <w:rFonts w:ascii="Times New Roman" w:hAnsi="Times New Roman" w:eastAsia="Times New Roman" w:cs="Times New Roman"/>
                      <w:color w:val="auto"/>
                      <w:sz w:val="21"/>
                      <w:szCs w:val="21"/>
                      <w:lang w:eastAsia="zh-CN"/>
                    </w:rPr>
                  </w:pPr>
                  <w:r>
                    <w:rPr>
                      <w:color w:val="auto"/>
                      <w:spacing w:val="-1"/>
                      <w:sz w:val="21"/>
                      <w:szCs w:val="21"/>
                      <w:lang w:eastAsia="zh-CN"/>
                    </w:rPr>
                    <w:t>排放量</w:t>
                  </w:r>
                  <w:r>
                    <w:rPr>
                      <w:rFonts w:ascii="Times New Roman" w:hAnsi="Times New Roman" w:eastAsia="Times New Roman" w:cs="Times New Roman"/>
                      <w:color w:val="auto"/>
                      <w:spacing w:val="-1"/>
                      <w:sz w:val="21"/>
                      <w:szCs w:val="21"/>
                      <w:lang w:eastAsia="zh-CN"/>
                    </w:rPr>
                    <w:t>/t</w:t>
                  </w:r>
                </w:p>
              </w:tc>
              <w:tc>
                <w:tcPr>
                  <w:tcW w:w="923" w:type="dxa"/>
                  <w:vAlign w:val="center"/>
                </w:tcPr>
                <w:p w14:paraId="5D4B7BD5">
                  <w:pPr>
                    <w:pStyle w:val="20"/>
                    <w:spacing w:line="360" w:lineRule="auto"/>
                    <w:jc w:val="center"/>
                    <w:rPr>
                      <w:rFonts w:ascii="Times New Roman" w:hAnsi="Times New Roman" w:eastAsia="Times New Roman" w:cs="Times New Roman"/>
                      <w:color w:val="auto"/>
                      <w:sz w:val="21"/>
                      <w:szCs w:val="21"/>
                      <w:lang w:eastAsia="zh-CN"/>
                    </w:rPr>
                  </w:pPr>
                  <w:r>
                    <w:rPr>
                      <w:color w:val="auto"/>
                      <w:spacing w:val="-1"/>
                      <w:sz w:val="21"/>
                      <w:szCs w:val="21"/>
                      <w:lang w:eastAsia="zh-CN"/>
                    </w:rPr>
                    <w:t>产生量</w:t>
                  </w:r>
                  <w:r>
                    <w:rPr>
                      <w:rFonts w:ascii="Times New Roman" w:hAnsi="Times New Roman" w:eastAsia="Times New Roman" w:cs="Times New Roman"/>
                      <w:color w:val="auto"/>
                      <w:spacing w:val="-1"/>
                      <w:sz w:val="21"/>
                      <w:szCs w:val="21"/>
                      <w:lang w:eastAsia="zh-CN"/>
                    </w:rPr>
                    <w:t>/t</w:t>
                  </w:r>
                </w:p>
              </w:tc>
              <w:tc>
                <w:tcPr>
                  <w:tcW w:w="1228" w:type="dxa"/>
                  <w:vAlign w:val="center"/>
                </w:tcPr>
                <w:p w14:paraId="2C83988D">
                  <w:pPr>
                    <w:pStyle w:val="20"/>
                    <w:spacing w:line="360" w:lineRule="auto"/>
                    <w:jc w:val="center"/>
                    <w:rPr>
                      <w:rFonts w:ascii="Times New Roman" w:hAnsi="Times New Roman" w:eastAsia="Times New Roman" w:cs="Times New Roman"/>
                      <w:color w:val="auto"/>
                      <w:sz w:val="21"/>
                      <w:szCs w:val="21"/>
                      <w:lang w:eastAsia="zh-CN"/>
                    </w:rPr>
                  </w:pPr>
                  <w:r>
                    <w:rPr>
                      <w:color w:val="auto"/>
                      <w:spacing w:val="-1"/>
                      <w:sz w:val="21"/>
                      <w:szCs w:val="21"/>
                      <w:lang w:eastAsia="zh-CN"/>
                    </w:rPr>
                    <w:t>排放量</w:t>
                  </w:r>
                  <w:r>
                    <w:rPr>
                      <w:rFonts w:ascii="Times New Roman" w:hAnsi="Times New Roman" w:eastAsia="Times New Roman" w:cs="Times New Roman"/>
                      <w:color w:val="auto"/>
                      <w:spacing w:val="-1"/>
                      <w:sz w:val="21"/>
                      <w:szCs w:val="21"/>
                      <w:lang w:eastAsia="zh-CN"/>
                    </w:rPr>
                    <w:t>/t</w:t>
                  </w:r>
                </w:p>
              </w:tc>
              <w:tc>
                <w:tcPr>
                  <w:tcW w:w="1061" w:type="dxa"/>
                  <w:vAlign w:val="center"/>
                </w:tcPr>
                <w:p w14:paraId="1138C3F8">
                  <w:pPr>
                    <w:pStyle w:val="20"/>
                    <w:spacing w:line="360" w:lineRule="auto"/>
                    <w:jc w:val="center"/>
                    <w:rPr>
                      <w:color w:val="auto"/>
                      <w:spacing w:val="-1"/>
                      <w:sz w:val="21"/>
                      <w:szCs w:val="21"/>
                      <w:lang w:eastAsia="zh-CN"/>
                    </w:rPr>
                  </w:pPr>
                  <w:r>
                    <w:rPr>
                      <w:color w:val="auto"/>
                      <w:spacing w:val="-1"/>
                      <w:sz w:val="21"/>
                      <w:szCs w:val="21"/>
                      <w:lang w:eastAsia="zh-CN"/>
                    </w:rPr>
                    <w:t>产生量</w:t>
                  </w:r>
                  <w:r>
                    <w:rPr>
                      <w:rFonts w:ascii="Times New Roman" w:hAnsi="Times New Roman" w:eastAsia="Times New Roman" w:cs="Times New Roman"/>
                      <w:color w:val="auto"/>
                      <w:spacing w:val="-1"/>
                      <w:sz w:val="21"/>
                      <w:szCs w:val="21"/>
                      <w:lang w:eastAsia="zh-CN"/>
                    </w:rPr>
                    <w:t>/t</w:t>
                  </w:r>
                </w:p>
              </w:tc>
              <w:tc>
                <w:tcPr>
                  <w:tcW w:w="1182" w:type="dxa"/>
                  <w:vAlign w:val="center"/>
                </w:tcPr>
                <w:p w14:paraId="2B454DFD">
                  <w:pPr>
                    <w:pStyle w:val="20"/>
                    <w:spacing w:line="360" w:lineRule="auto"/>
                    <w:jc w:val="center"/>
                    <w:rPr>
                      <w:color w:val="auto"/>
                      <w:spacing w:val="-1"/>
                      <w:sz w:val="21"/>
                      <w:szCs w:val="21"/>
                      <w:lang w:eastAsia="zh-CN"/>
                    </w:rPr>
                  </w:pPr>
                  <w:r>
                    <w:rPr>
                      <w:color w:val="auto"/>
                      <w:spacing w:val="-1"/>
                      <w:sz w:val="21"/>
                      <w:szCs w:val="21"/>
                      <w:lang w:eastAsia="zh-CN"/>
                    </w:rPr>
                    <w:t>排放量</w:t>
                  </w:r>
                  <w:r>
                    <w:rPr>
                      <w:rFonts w:ascii="Times New Roman" w:hAnsi="Times New Roman" w:eastAsia="Times New Roman" w:cs="Times New Roman"/>
                      <w:color w:val="auto"/>
                      <w:spacing w:val="-1"/>
                      <w:sz w:val="21"/>
                      <w:szCs w:val="21"/>
                      <w:lang w:eastAsia="zh-CN"/>
                    </w:rPr>
                    <w:t>/t</w:t>
                  </w:r>
                </w:p>
              </w:tc>
            </w:tr>
            <w:tr w14:paraId="5BBE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708" w:type="dxa"/>
                  <w:vAlign w:val="center"/>
                </w:tcPr>
                <w:p w14:paraId="1B9F03BB">
                  <w:pPr>
                    <w:pStyle w:val="20"/>
                    <w:spacing w:line="360" w:lineRule="auto"/>
                    <w:ind w:firstLine="416" w:firstLineChars="200"/>
                    <w:rPr>
                      <w:color w:val="auto"/>
                      <w:sz w:val="21"/>
                      <w:szCs w:val="21"/>
                      <w:lang w:eastAsia="zh-CN"/>
                    </w:rPr>
                  </w:pPr>
                  <w:r>
                    <w:rPr>
                      <w:color w:val="auto"/>
                      <w:spacing w:val="-1"/>
                      <w:sz w:val="21"/>
                      <w:szCs w:val="21"/>
                      <w:lang w:eastAsia="zh-CN"/>
                    </w:rPr>
                    <w:t>透水砖</w:t>
                  </w:r>
                </w:p>
              </w:tc>
              <w:tc>
                <w:tcPr>
                  <w:tcW w:w="1064" w:type="dxa"/>
                  <w:vAlign w:val="center"/>
                </w:tcPr>
                <w:p w14:paraId="66600902">
                  <w:pPr>
                    <w:spacing w:line="360" w:lineRule="auto"/>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1"/>
                      <w:lang w:eastAsia="zh-CN"/>
                    </w:rPr>
                    <w:t>2.885</w:t>
                  </w:r>
                </w:p>
              </w:tc>
              <w:tc>
                <w:tcPr>
                  <w:tcW w:w="997" w:type="dxa"/>
                  <w:vAlign w:val="center"/>
                </w:tcPr>
                <w:p w14:paraId="2B3D96DE">
                  <w:pPr>
                    <w:spacing w:line="360" w:lineRule="auto"/>
                    <w:jc w:val="center"/>
                    <w:rPr>
                      <w:rFonts w:ascii="Times New Roman" w:hAnsi="Times New Roman" w:eastAsia="宋体" w:cs="Times New Roman"/>
                      <w:color w:val="auto"/>
                      <w:lang w:eastAsia="zh-CN"/>
                    </w:rPr>
                  </w:pPr>
                  <w:r>
                    <w:rPr>
                      <w:rFonts w:ascii="Times New Roman" w:hAnsi="Times New Roman" w:eastAsia="Times New Roman" w:cs="Times New Roman"/>
                      <w:color w:val="auto"/>
                      <w:spacing w:val="-1"/>
                      <w:lang w:eastAsia="zh-CN"/>
                    </w:rPr>
                    <w:t>0.</w:t>
                  </w:r>
                  <w:r>
                    <w:rPr>
                      <w:rFonts w:hint="eastAsia" w:ascii="Times New Roman" w:hAnsi="Times New Roman" w:eastAsia="宋体" w:cs="Times New Roman"/>
                      <w:color w:val="auto"/>
                      <w:spacing w:val="-1"/>
                      <w:lang w:eastAsia="zh-CN"/>
                    </w:rPr>
                    <w:t>0421</w:t>
                  </w:r>
                </w:p>
              </w:tc>
              <w:tc>
                <w:tcPr>
                  <w:tcW w:w="923" w:type="dxa"/>
                  <w:vAlign w:val="center"/>
                </w:tcPr>
                <w:p w14:paraId="7A0D5D45">
                  <w:pPr>
                    <w:spacing w:line="360" w:lineRule="auto"/>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3"/>
                      <w:lang w:eastAsia="zh-CN"/>
                    </w:rPr>
                    <w:t>8.3759</w:t>
                  </w:r>
                </w:p>
              </w:tc>
              <w:tc>
                <w:tcPr>
                  <w:tcW w:w="1228" w:type="dxa"/>
                  <w:vAlign w:val="center"/>
                </w:tcPr>
                <w:p w14:paraId="360B28CF">
                  <w:pPr>
                    <w:spacing w:line="360" w:lineRule="auto"/>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1"/>
                      <w:lang w:eastAsia="zh-CN"/>
                    </w:rPr>
                    <w:t>0.01868</w:t>
                  </w:r>
                </w:p>
              </w:tc>
              <w:tc>
                <w:tcPr>
                  <w:tcW w:w="1061" w:type="dxa"/>
                  <w:vAlign w:val="center"/>
                </w:tcPr>
                <w:p w14:paraId="2E84C265">
                  <w:pPr>
                    <w:spacing w:line="360" w:lineRule="auto"/>
                    <w:jc w:val="center"/>
                    <w:rPr>
                      <w:rFonts w:hint="default" w:ascii="Times New Roman" w:hAnsi="Times New Roman" w:eastAsia="宋体" w:cs="Times New Roman"/>
                      <w:color w:val="auto"/>
                      <w:spacing w:val="-1"/>
                      <w:lang w:val="en-US" w:eastAsia="zh-CN"/>
                    </w:rPr>
                  </w:pPr>
                  <w:r>
                    <w:rPr>
                      <w:rFonts w:hint="eastAsia" w:ascii="Times New Roman" w:hAnsi="Times New Roman" w:eastAsia="宋体" w:cs="Times New Roman"/>
                      <w:color w:val="auto"/>
                      <w:spacing w:val="-1"/>
                      <w:lang w:val="en-US" w:eastAsia="zh-CN"/>
                    </w:rPr>
                    <w:t>0.01232</w:t>
                  </w:r>
                </w:p>
              </w:tc>
              <w:tc>
                <w:tcPr>
                  <w:tcW w:w="1182" w:type="dxa"/>
                  <w:vAlign w:val="center"/>
                </w:tcPr>
                <w:p w14:paraId="01D3FB98">
                  <w:pPr>
                    <w:spacing w:line="360" w:lineRule="auto"/>
                    <w:jc w:val="center"/>
                    <w:rPr>
                      <w:rFonts w:hint="default" w:ascii="Times New Roman" w:hAnsi="Times New Roman" w:eastAsia="宋体" w:cs="Times New Roman"/>
                      <w:color w:val="auto"/>
                      <w:spacing w:val="-1"/>
                      <w:lang w:val="en-US" w:eastAsia="zh-CN"/>
                    </w:rPr>
                  </w:pPr>
                  <w:r>
                    <w:rPr>
                      <w:rFonts w:hint="eastAsia" w:ascii="Times New Roman" w:hAnsi="Times New Roman" w:eastAsia="宋体" w:cs="Times New Roman"/>
                      <w:color w:val="auto"/>
                      <w:spacing w:val="-1"/>
                      <w:lang w:val="en-US" w:eastAsia="zh-CN"/>
                    </w:rPr>
                    <w:t>0.002464</w:t>
                  </w:r>
                </w:p>
              </w:tc>
            </w:tr>
            <w:tr w14:paraId="20E9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708" w:type="dxa"/>
                  <w:vAlign w:val="center"/>
                </w:tcPr>
                <w:p w14:paraId="7D856DE3">
                  <w:pPr>
                    <w:pStyle w:val="20"/>
                    <w:spacing w:line="360" w:lineRule="auto"/>
                    <w:ind w:firstLine="412" w:firstLineChars="200"/>
                    <w:rPr>
                      <w:color w:val="auto"/>
                      <w:sz w:val="21"/>
                      <w:szCs w:val="21"/>
                      <w:lang w:eastAsia="zh-CN"/>
                    </w:rPr>
                  </w:pPr>
                  <w:r>
                    <w:rPr>
                      <w:color w:val="auto"/>
                      <w:spacing w:val="-2"/>
                      <w:sz w:val="21"/>
                      <w:szCs w:val="21"/>
                      <w:lang w:eastAsia="zh-CN"/>
                    </w:rPr>
                    <w:t>合计</w:t>
                  </w:r>
                </w:p>
              </w:tc>
              <w:tc>
                <w:tcPr>
                  <w:tcW w:w="1064" w:type="dxa"/>
                  <w:vAlign w:val="center"/>
                </w:tcPr>
                <w:p w14:paraId="28A57B3D">
                  <w:pPr>
                    <w:spacing w:line="360" w:lineRule="auto"/>
                    <w:jc w:val="center"/>
                    <w:rPr>
                      <w:rFonts w:ascii="Times New Roman" w:hAnsi="Times New Roman" w:eastAsia="Times New Roman" w:cs="Times New Roman"/>
                      <w:color w:val="auto"/>
                      <w:lang w:eastAsia="zh-CN"/>
                    </w:rPr>
                  </w:pPr>
                  <w:r>
                    <w:rPr>
                      <w:rFonts w:hint="eastAsia" w:ascii="Times New Roman" w:hAnsi="Times New Roman" w:eastAsia="宋体" w:cs="Times New Roman"/>
                      <w:color w:val="auto"/>
                      <w:spacing w:val="-1"/>
                      <w:lang w:eastAsia="zh-CN"/>
                    </w:rPr>
                    <w:t>2.885</w:t>
                  </w:r>
                </w:p>
              </w:tc>
              <w:tc>
                <w:tcPr>
                  <w:tcW w:w="997" w:type="dxa"/>
                  <w:vAlign w:val="center"/>
                </w:tcPr>
                <w:p w14:paraId="50B98FE5">
                  <w:pPr>
                    <w:spacing w:line="360" w:lineRule="auto"/>
                    <w:jc w:val="center"/>
                    <w:rPr>
                      <w:rFonts w:ascii="Times New Roman" w:hAnsi="Times New Roman" w:eastAsia="Times New Roman" w:cs="Times New Roman"/>
                      <w:color w:val="auto"/>
                      <w:lang w:eastAsia="zh-CN"/>
                    </w:rPr>
                  </w:pPr>
                  <w:r>
                    <w:rPr>
                      <w:rFonts w:ascii="Times New Roman" w:hAnsi="Times New Roman" w:eastAsia="Times New Roman" w:cs="Times New Roman"/>
                      <w:color w:val="auto"/>
                      <w:spacing w:val="-1"/>
                      <w:lang w:eastAsia="zh-CN"/>
                    </w:rPr>
                    <w:t>0.</w:t>
                  </w:r>
                  <w:r>
                    <w:rPr>
                      <w:rFonts w:hint="eastAsia" w:ascii="Times New Roman" w:hAnsi="Times New Roman" w:eastAsia="宋体" w:cs="Times New Roman"/>
                      <w:color w:val="auto"/>
                      <w:spacing w:val="-1"/>
                      <w:lang w:eastAsia="zh-CN"/>
                    </w:rPr>
                    <w:t>0421</w:t>
                  </w:r>
                </w:p>
              </w:tc>
              <w:tc>
                <w:tcPr>
                  <w:tcW w:w="923" w:type="dxa"/>
                  <w:vAlign w:val="center"/>
                </w:tcPr>
                <w:p w14:paraId="1DFCE0D5">
                  <w:pPr>
                    <w:spacing w:line="360" w:lineRule="auto"/>
                    <w:jc w:val="center"/>
                    <w:rPr>
                      <w:rFonts w:ascii="Times New Roman" w:hAnsi="Times New Roman" w:eastAsia="Times New Roman" w:cs="Times New Roman"/>
                      <w:color w:val="auto"/>
                      <w:lang w:eastAsia="zh-CN"/>
                    </w:rPr>
                  </w:pPr>
                  <w:r>
                    <w:rPr>
                      <w:rFonts w:hint="eastAsia" w:ascii="Times New Roman" w:hAnsi="Times New Roman" w:eastAsia="宋体" w:cs="Times New Roman"/>
                      <w:color w:val="auto"/>
                      <w:spacing w:val="-3"/>
                      <w:lang w:eastAsia="zh-CN"/>
                    </w:rPr>
                    <w:t>8.3759</w:t>
                  </w:r>
                </w:p>
              </w:tc>
              <w:tc>
                <w:tcPr>
                  <w:tcW w:w="1228" w:type="dxa"/>
                  <w:vAlign w:val="center"/>
                </w:tcPr>
                <w:p w14:paraId="363CC6E5">
                  <w:pPr>
                    <w:spacing w:line="360" w:lineRule="auto"/>
                    <w:jc w:val="center"/>
                    <w:rPr>
                      <w:rFonts w:ascii="Times New Roman" w:hAnsi="Times New Roman" w:eastAsia="Times New Roman" w:cs="Times New Roman"/>
                      <w:color w:val="auto"/>
                      <w:lang w:eastAsia="zh-CN"/>
                    </w:rPr>
                  </w:pPr>
                  <w:r>
                    <w:rPr>
                      <w:rFonts w:hint="eastAsia" w:ascii="Times New Roman" w:hAnsi="Times New Roman" w:eastAsia="宋体" w:cs="Times New Roman"/>
                      <w:color w:val="auto"/>
                      <w:spacing w:val="-1"/>
                      <w:lang w:eastAsia="zh-CN"/>
                    </w:rPr>
                    <w:t>0.01868</w:t>
                  </w:r>
                </w:p>
              </w:tc>
              <w:tc>
                <w:tcPr>
                  <w:tcW w:w="1061" w:type="dxa"/>
                  <w:vAlign w:val="center"/>
                </w:tcPr>
                <w:p w14:paraId="6FD1273B">
                  <w:pPr>
                    <w:spacing w:line="360" w:lineRule="auto"/>
                    <w:jc w:val="center"/>
                    <w:rPr>
                      <w:rFonts w:hint="eastAsia" w:ascii="Times New Roman" w:hAnsi="Times New Roman" w:eastAsia="宋体" w:cs="Times New Roman"/>
                      <w:color w:val="auto"/>
                      <w:spacing w:val="-1"/>
                      <w:lang w:eastAsia="zh-CN"/>
                    </w:rPr>
                  </w:pPr>
                  <w:r>
                    <w:rPr>
                      <w:rFonts w:hint="eastAsia" w:ascii="Times New Roman" w:hAnsi="Times New Roman" w:eastAsia="宋体" w:cs="Times New Roman"/>
                      <w:color w:val="auto"/>
                      <w:spacing w:val="-1"/>
                      <w:lang w:val="en-US" w:eastAsia="zh-CN"/>
                    </w:rPr>
                    <w:t>0.01232</w:t>
                  </w:r>
                </w:p>
              </w:tc>
              <w:tc>
                <w:tcPr>
                  <w:tcW w:w="1182" w:type="dxa"/>
                  <w:vAlign w:val="center"/>
                </w:tcPr>
                <w:p w14:paraId="473C2D8D">
                  <w:pPr>
                    <w:spacing w:line="360" w:lineRule="auto"/>
                    <w:jc w:val="center"/>
                    <w:rPr>
                      <w:rFonts w:hint="eastAsia" w:ascii="Times New Roman" w:hAnsi="Times New Roman" w:eastAsia="宋体" w:cs="Times New Roman"/>
                      <w:color w:val="auto"/>
                      <w:spacing w:val="-1"/>
                      <w:lang w:eastAsia="zh-CN"/>
                    </w:rPr>
                  </w:pPr>
                  <w:r>
                    <w:rPr>
                      <w:rFonts w:hint="eastAsia" w:ascii="Times New Roman" w:hAnsi="Times New Roman" w:eastAsia="宋体" w:cs="Times New Roman"/>
                      <w:color w:val="auto"/>
                      <w:spacing w:val="-1"/>
                      <w:lang w:val="en-US" w:eastAsia="zh-CN"/>
                    </w:rPr>
                    <w:t>0.002464</w:t>
                  </w:r>
                </w:p>
              </w:tc>
            </w:tr>
          </w:tbl>
          <w:p w14:paraId="09FD51CB">
            <w:pPr>
              <w:spacing w:before="120" w:beforeLines="50"/>
              <w:jc w:val="center"/>
              <w:rPr>
                <w:rFonts w:ascii="Times New Roman" w:hAnsi="Times New Roman" w:eastAsia="宋体"/>
                <w:b/>
                <w:bCs/>
                <w:color w:val="auto"/>
                <w:lang w:eastAsia="zh-CN"/>
              </w:rPr>
            </w:pPr>
            <w:r>
              <w:rPr>
                <w:rFonts w:hint="eastAsia" w:ascii="Times New Roman" w:hAnsi="Times New Roman" w:eastAsia="宋体"/>
                <w:b/>
                <w:bCs/>
                <w:color w:val="auto"/>
                <w:lang w:eastAsia="zh-CN"/>
              </w:rPr>
              <w:t>表4-3生产线有组织粉尘排放情况统计表</w:t>
            </w:r>
          </w:p>
          <w:tbl>
            <w:tblPr>
              <w:tblStyle w:val="13"/>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675"/>
              <w:gridCol w:w="340"/>
              <w:gridCol w:w="652"/>
              <w:gridCol w:w="580"/>
              <w:gridCol w:w="652"/>
              <w:gridCol w:w="340"/>
              <w:gridCol w:w="526"/>
              <w:gridCol w:w="646"/>
              <w:gridCol w:w="652"/>
              <w:gridCol w:w="579"/>
              <w:gridCol w:w="584"/>
              <w:gridCol w:w="401"/>
              <w:gridCol w:w="401"/>
              <w:gridCol w:w="434"/>
              <w:gridCol w:w="357"/>
            </w:tblGrid>
            <w:tr w14:paraId="583D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8" w:type="pct"/>
                  <w:vMerge w:val="restart"/>
                  <w:tcBorders>
                    <w:tl2br w:val="nil"/>
                  </w:tcBorders>
                  <w:shd w:val="clear" w:color="auto" w:fill="FFFFFF"/>
                  <w:vAlign w:val="center"/>
                </w:tcPr>
                <w:p w14:paraId="50130E64">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污染源</w:t>
                  </w:r>
                </w:p>
              </w:tc>
              <w:tc>
                <w:tcPr>
                  <w:tcW w:w="413" w:type="pct"/>
                  <w:vMerge w:val="restart"/>
                  <w:shd w:val="clear" w:color="auto" w:fill="FFFFFF"/>
                  <w:vAlign w:val="center"/>
                </w:tcPr>
                <w:p w14:paraId="3DA0853A">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废气排放量</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Nm</w:t>
                  </w:r>
                  <w:r>
                    <w:rPr>
                      <w:rFonts w:ascii="Times New Roman" w:hAnsi="Times New Roman" w:eastAsia="宋体" w:cs="宋体"/>
                      <w:color w:val="auto"/>
                      <w:szCs w:val="24"/>
                      <w:vertAlign w:val="superscript"/>
                      <w:lang w:eastAsia="zh-CN" w:bidi="ar"/>
                    </w:rPr>
                    <w:t>3</w:t>
                  </w:r>
                  <w:r>
                    <w:rPr>
                      <w:rFonts w:ascii="Times New Roman" w:hAnsi="Times New Roman" w:eastAsia="宋体" w:cs="宋体"/>
                      <w:color w:val="auto"/>
                      <w:szCs w:val="24"/>
                      <w:lang w:eastAsia="zh-CN" w:bidi="ar"/>
                    </w:rPr>
                    <w:t>/h</w:t>
                  </w:r>
                  <w:r>
                    <w:rPr>
                      <w:rFonts w:hint="eastAsia" w:ascii="Times New Roman" w:hAnsi="Times New Roman" w:eastAsia="宋体" w:cs="宋体"/>
                      <w:color w:val="auto"/>
                      <w:szCs w:val="24"/>
                      <w:lang w:eastAsia="zh-CN" w:bidi="ar"/>
                    </w:rPr>
                    <w:t>）</w:t>
                  </w:r>
                </w:p>
              </w:tc>
              <w:tc>
                <w:tcPr>
                  <w:tcW w:w="208" w:type="pct"/>
                  <w:vMerge w:val="restart"/>
                  <w:shd w:val="clear" w:color="auto" w:fill="FFFFFF"/>
                  <w:vAlign w:val="center"/>
                </w:tcPr>
                <w:p w14:paraId="3F30BB5A">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污染物</w:t>
                  </w:r>
                </w:p>
              </w:tc>
              <w:tc>
                <w:tcPr>
                  <w:tcW w:w="1153" w:type="pct"/>
                  <w:gridSpan w:val="3"/>
                  <w:shd w:val="clear" w:color="auto" w:fill="FFFFFF"/>
                  <w:vAlign w:val="center"/>
                </w:tcPr>
                <w:p w14:paraId="13D9CFA5">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污染物产生</w:t>
                  </w:r>
                </w:p>
              </w:tc>
              <w:tc>
                <w:tcPr>
                  <w:tcW w:w="530" w:type="pct"/>
                  <w:gridSpan w:val="2"/>
                  <w:shd w:val="clear" w:color="auto" w:fill="FFFFFF"/>
                  <w:vAlign w:val="center"/>
                </w:tcPr>
                <w:p w14:paraId="0911152A">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废气收集</w:t>
                  </w:r>
                </w:p>
              </w:tc>
              <w:tc>
                <w:tcPr>
                  <w:tcW w:w="395" w:type="pct"/>
                  <w:vMerge w:val="restart"/>
                  <w:shd w:val="clear" w:color="auto" w:fill="FFFFFF"/>
                  <w:vAlign w:val="center"/>
                </w:tcPr>
                <w:p w14:paraId="4CECC926">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污染物治理措施</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效率</w:t>
                  </w:r>
                  <w:r>
                    <w:rPr>
                      <w:rFonts w:hint="eastAsia" w:ascii="Times New Roman" w:hAnsi="Times New Roman" w:eastAsia="宋体" w:cs="宋体"/>
                      <w:color w:val="auto"/>
                      <w:szCs w:val="24"/>
                      <w:lang w:eastAsia="zh-CN" w:bidi="ar"/>
                    </w:rPr>
                    <w:t>）</w:t>
                  </w:r>
                </w:p>
              </w:tc>
              <w:tc>
                <w:tcPr>
                  <w:tcW w:w="1112" w:type="pct"/>
                  <w:gridSpan w:val="3"/>
                  <w:shd w:val="clear" w:color="auto" w:fill="FFFFFF"/>
                  <w:vAlign w:val="center"/>
                </w:tcPr>
                <w:p w14:paraId="250AA5A1">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污染物排放</w:t>
                  </w:r>
                </w:p>
              </w:tc>
              <w:tc>
                <w:tcPr>
                  <w:tcW w:w="977" w:type="pct"/>
                  <w:gridSpan w:val="4"/>
                  <w:shd w:val="clear" w:color="auto" w:fill="FFFFFF"/>
                  <w:vAlign w:val="center"/>
                </w:tcPr>
                <w:p w14:paraId="0DB907BA">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排气筒参数</w:t>
                  </w:r>
                </w:p>
              </w:tc>
            </w:tr>
            <w:tr w14:paraId="55D3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8" w:type="pct"/>
                  <w:vMerge w:val="continue"/>
                  <w:shd w:val="clear" w:color="auto" w:fill="FFFFFF"/>
                  <w:vAlign w:val="center"/>
                </w:tcPr>
                <w:p w14:paraId="0D9E1380">
                  <w:pPr>
                    <w:kinsoku/>
                    <w:autoSpaceDE/>
                    <w:autoSpaceDN/>
                    <w:adjustRightInd/>
                    <w:snapToGrid/>
                    <w:jc w:val="center"/>
                    <w:rPr>
                      <w:rFonts w:ascii="Times New Roman" w:hAnsi="Times New Roman" w:eastAsia="宋体" w:cs="宋体"/>
                      <w:color w:val="auto"/>
                      <w:szCs w:val="24"/>
                      <w:lang w:eastAsia="zh-CN"/>
                    </w:rPr>
                  </w:pPr>
                </w:p>
              </w:tc>
              <w:tc>
                <w:tcPr>
                  <w:tcW w:w="413" w:type="pct"/>
                  <w:vMerge w:val="continue"/>
                  <w:shd w:val="clear" w:color="auto" w:fill="FFFFFF"/>
                  <w:vAlign w:val="center"/>
                </w:tcPr>
                <w:p w14:paraId="061E9D68">
                  <w:pPr>
                    <w:kinsoku/>
                    <w:autoSpaceDE/>
                    <w:autoSpaceDN/>
                    <w:adjustRightInd/>
                    <w:snapToGrid/>
                    <w:jc w:val="center"/>
                    <w:rPr>
                      <w:rFonts w:ascii="Times New Roman" w:hAnsi="Times New Roman" w:eastAsia="宋体" w:cs="宋体"/>
                      <w:color w:val="auto"/>
                      <w:szCs w:val="24"/>
                      <w:lang w:eastAsia="zh-CN"/>
                    </w:rPr>
                  </w:pPr>
                </w:p>
              </w:tc>
              <w:tc>
                <w:tcPr>
                  <w:tcW w:w="208" w:type="pct"/>
                  <w:vMerge w:val="continue"/>
                  <w:shd w:val="clear" w:color="auto" w:fill="FFFFFF"/>
                  <w:vAlign w:val="center"/>
                </w:tcPr>
                <w:p w14:paraId="50EC2263">
                  <w:pPr>
                    <w:kinsoku/>
                    <w:autoSpaceDE/>
                    <w:autoSpaceDN/>
                    <w:adjustRightInd/>
                    <w:snapToGrid/>
                    <w:jc w:val="center"/>
                    <w:rPr>
                      <w:rFonts w:ascii="Times New Roman" w:hAnsi="Times New Roman" w:eastAsia="宋体" w:cs="宋体"/>
                      <w:color w:val="auto"/>
                      <w:szCs w:val="24"/>
                      <w:lang w:eastAsia="zh-CN"/>
                    </w:rPr>
                  </w:pPr>
                </w:p>
              </w:tc>
              <w:tc>
                <w:tcPr>
                  <w:tcW w:w="399" w:type="pct"/>
                  <w:shd w:val="clear" w:color="auto" w:fill="FFFFFF"/>
                  <w:vAlign w:val="center"/>
                </w:tcPr>
                <w:p w14:paraId="3C12438D">
                  <w:pPr>
                    <w:kinsoku/>
                    <w:autoSpaceDE/>
                    <w:autoSpaceDN/>
                    <w:adjustRightInd/>
                    <w:snapToGrid/>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浓度</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mg/m³</w:t>
                  </w:r>
                  <w:r>
                    <w:rPr>
                      <w:rFonts w:hint="eastAsia" w:ascii="Times New Roman" w:hAnsi="Times New Roman" w:eastAsia="宋体" w:cs="宋体"/>
                      <w:color w:val="auto"/>
                      <w:szCs w:val="24"/>
                      <w:lang w:eastAsia="zh-CN" w:bidi="ar"/>
                    </w:rPr>
                    <w:t>）</w:t>
                  </w:r>
                </w:p>
              </w:tc>
              <w:tc>
                <w:tcPr>
                  <w:tcW w:w="355" w:type="pct"/>
                  <w:shd w:val="clear" w:color="auto" w:fill="FFFFFF"/>
                  <w:vAlign w:val="center"/>
                </w:tcPr>
                <w:p w14:paraId="3560D334">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速率</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kg/h</w:t>
                  </w:r>
                  <w:r>
                    <w:rPr>
                      <w:rFonts w:hint="eastAsia" w:ascii="Times New Roman" w:hAnsi="Times New Roman" w:eastAsia="宋体" w:cs="宋体"/>
                      <w:color w:val="auto"/>
                      <w:szCs w:val="24"/>
                      <w:lang w:eastAsia="zh-CN" w:bidi="ar"/>
                    </w:rPr>
                    <w:t>）</w:t>
                  </w:r>
                </w:p>
              </w:tc>
              <w:tc>
                <w:tcPr>
                  <w:tcW w:w="398" w:type="pct"/>
                  <w:shd w:val="clear" w:color="auto" w:fill="FFFFFF"/>
                  <w:vAlign w:val="center"/>
                </w:tcPr>
                <w:p w14:paraId="72EAF3C3">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产生量</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t/a</w:t>
                  </w:r>
                  <w:r>
                    <w:rPr>
                      <w:rFonts w:hint="eastAsia" w:ascii="Times New Roman" w:hAnsi="Times New Roman" w:eastAsia="宋体" w:cs="宋体"/>
                      <w:color w:val="auto"/>
                      <w:szCs w:val="24"/>
                      <w:lang w:eastAsia="zh-CN" w:bidi="ar"/>
                    </w:rPr>
                    <w:t>）</w:t>
                  </w:r>
                </w:p>
              </w:tc>
              <w:tc>
                <w:tcPr>
                  <w:tcW w:w="208" w:type="pct"/>
                  <w:shd w:val="clear" w:color="auto" w:fill="FFFFFF"/>
                  <w:vAlign w:val="center"/>
                </w:tcPr>
                <w:p w14:paraId="3EE97E1F">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收集方式</w:t>
                  </w:r>
                </w:p>
              </w:tc>
              <w:tc>
                <w:tcPr>
                  <w:tcW w:w="321" w:type="pct"/>
                  <w:shd w:val="clear" w:color="auto" w:fill="FFFFFF"/>
                  <w:vAlign w:val="center"/>
                </w:tcPr>
                <w:p w14:paraId="67A307CD">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收集率</w:t>
                  </w:r>
                </w:p>
              </w:tc>
              <w:tc>
                <w:tcPr>
                  <w:tcW w:w="395" w:type="pct"/>
                  <w:vMerge w:val="continue"/>
                  <w:shd w:val="clear" w:color="auto" w:fill="FFFFFF"/>
                  <w:vAlign w:val="center"/>
                </w:tcPr>
                <w:p w14:paraId="1F9C0449">
                  <w:pPr>
                    <w:kinsoku/>
                    <w:autoSpaceDE/>
                    <w:autoSpaceDN/>
                    <w:adjustRightInd/>
                    <w:snapToGrid/>
                    <w:jc w:val="center"/>
                    <w:rPr>
                      <w:rFonts w:ascii="Times New Roman" w:hAnsi="Times New Roman" w:eastAsia="宋体" w:cs="宋体"/>
                      <w:color w:val="auto"/>
                      <w:szCs w:val="24"/>
                      <w:lang w:eastAsia="zh-CN"/>
                    </w:rPr>
                  </w:pPr>
                </w:p>
              </w:tc>
              <w:tc>
                <w:tcPr>
                  <w:tcW w:w="399" w:type="pct"/>
                  <w:shd w:val="clear" w:color="auto" w:fill="FFFFFF"/>
                  <w:vAlign w:val="center"/>
                </w:tcPr>
                <w:p w14:paraId="41B7CE1A">
                  <w:pPr>
                    <w:kinsoku/>
                    <w:autoSpaceDE/>
                    <w:autoSpaceDN/>
                    <w:adjustRightInd/>
                    <w:snapToGrid/>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浓度</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mg/m³</w:t>
                  </w:r>
                  <w:r>
                    <w:rPr>
                      <w:rFonts w:hint="eastAsia" w:ascii="Times New Roman" w:hAnsi="Times New Roman" w:eastAsia="宋体" w:cs="宋体"/>
                      <w:color w:val="auto"/>
                      <w:szCs w:val="24"/>
                      <w:lang w:eastAsia="zh-CN" w:bidi="ar"/>
                    </w:rPr>
                    <w:t>）</w:t>
                  </w:r>
                </w:p>
              </w:tc>
              <w:tc>
                <w:tcPr>
                  <w:tcW w:w="355" w:type="pct"/>
                  <w:shd w:val="clear" w:color="auto" w:fill="FFFFFF"/>
                  <w:vAlign w:val="center"/>
                </w:tcPr>
                <w:p w14:paraId="57CC149D">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速率</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kg/h</w:t>
                  </w:r>
                  <w:r>
                    <w:rPr>
                      <w:rFonts w:hint="eastAsia" w:ascii="Times New Roman" w:hAnsi="Times New Roman" w:eastAsia="宋体" w:cs="宋体"/>
                      <w:color w:val="auto"/>
                      <w:szCs w:val="24"/>
                      <w:lang w:eastAsia="zh-CN" w:bidi="ar"/>
                    </w:rPr>
                    <w:t>）</w:t>
                  </w:r>
                </w:p>
              </w:tc>
              <w:tc>
                <w:tcPr>
                  <w:tcW w:w="357" w:type="pct"/>
                  <w:shd w:val="clear" w:color="auto" w:fill="FFFFFF"/>
                  <w:vAlign w:val="center"/>
                </w:tcPr>
                <w:p w14:paraId="15AB640F">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排放量</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t/a</w:t>
                  </w:r>
                  <w:r>
                    <w:rPr>
                      <w:rFonts w:hint="eastAsia" w:ascii="Times New Roman" w:hAnsi="Times New Roman" w:eastAsia="宋体" w:cs="宋体"/>
                      <w:color w:val="auto"/>
                      <w:szCs w:val="24"/>
                      <w:lang w:eastAsia="zh-CN" w:bidi="ar"/>
                    </w:rPr>
                    <w:t>）</w:t>
                  </w:r>
                </w:p>
              </w:tc>
              <w:tc>
                <w:tcPr>
                  <w:tcW w:w="246" w:type="pct"/>
                  <w:shd w:val="clear" w:color="auto" w:fill="FFFFFF"/>
                  <w:vAlign w:val="center"/>
                </w:tcPr>
                <w:p w14:paraId="31CC546D">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高度</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m</w:t>
                  </w:r>
                  <w:r>
                    <w:rPr>
                      <w:rFonts w:hint="eastAsia" w:ascii="Times New Roman" w:hAnsi="Times New Roman" w:eastAsia="宋体" w:cs="宋体"/>
                      <w:color w:val="auto"/>
                      <w:szCs w:val="24"/>
                      <w:lang w:eastAsia="zh-CN" w:bidi="ar"/>
                    </w:rPr>
                    <w:t>）</w:t>
                  </w:r>
                </w:p>
              </w:tc>
              <w:tc>
                <w:tcPr>
                  <w:tcW w:w="246" w:type="pct"/>
                  <w:shd w:val="clear" w:color="auto" w:fill="FFFFFF"/>
                  <w:vAlign w:val="center"/>
                </w:tcPr>
                <w:p w14:paraId="367D2450">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直径</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m</w:t>
                  </w:r>
                  <w:r>
                    <w:rPr>
                      <w:rFonts w:hint="eastAsia" w:ascii="Times New Roman" w:hAnsi="Times New Roman" w:eastAsia="宋体" w:cs="宋体"/>
                      <w:color w:val="auto"/>
                      <w:szCs w:val="24"/>
                      <w:lang w:eastAsia="zh-CN" w:bidi="ar"/>
                    </w:rPr>
                    <w:t>）</w:t>
                  </w:r>
                </w:p>
              </w:tc>
              <w:tc>
                <w:tcPr>
                  <w:tcW w:w="266" w:type="pct"/>
                  <w:shd w:val="clear" w:color="auto" w:fill="FFFFFF"/>
                  <w:vAlign w:val="center"/>
                </w:tcPr>
                <w:p w14:paraId="72C790EA">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温度</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w:t>
                  </w:r>
                  <w:r>
                    <w:rPr>
                      <w:rFonts w:hint="eastAsia" w:ascii="Times New Roman" w:hAnsi="Times New Roman" w:eastAsia="宋体" w:cs="宋体"/>
                      <w:color w:val="auto"/>
                      <w:szCs w:val="24"/>
                      <w:lang w:eastAsia="zh-CN" w:bidi="ar"/>
                    </w:rPr>
                    <w:t>）</w:t>
                  </w:r>
                </w:p>
              </w:tc>
              <w:tc>
                <w:tcPr>
                  <w:tcW w:w="216" w:type="pct"/>
                  <w:shd w:val="clear" w:color="auto" w:fill="FFFFFF"/>
                  <w:vAlign w:val="center"/>
                </w:tcPr>
                <w:p w14:paraId="0A795461">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编号</w:t>
                  </w:r>
                </w:p>
              </w:tc>
            </w:tr>
            <w:tr w14:paraId="2958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8" w:type="pct"/>
                  <w:shd w:val="clear" w:color="auto" w:fill="FFFFFF"/>
                  <w:vAlign w:val="center"/>
                </w:tcPr>
                <w:p w14:paraId="0FA48F0C">
                  <w:pPr>
                    <w:kinsoku/>
                    <w:autoSpaceDE/>
                    <w:autoSpaceDN/>
                    <w:adjustRightInd/>
                    <w:snapToGrid/>
                    <w:jc w:val="center"/>
                    <w:textAlignment w:val="center"/>
                    <w:rPr>
                      <w:rFonts w:ascii="Times New Roman" w:hAnsi="Times New Roman" w:eastAsia="宋体" w:cs="宋体"/>
                      <w:color w:val="auto"/>
                      <w:szCs w:val="24"/>
                      <w:lang w:eastAsia="zh-CN"/>
                    </w:rPr>
                  </w:pPr>
                  <w:r>
                    <w:rPr>
                      <w:rFonts w:hint="eastAsia" w:ascii="Times New Roman" w:hAnsi="Times New Roman" w:eastAsia="宋体" w:cs="宋体"/>
                      <w:color w:val="auto"/>
                      <w:szCs w:val="24"/>
                      <w:lang w:eastAsia="zh-CN"/>
                    </w:rPr>
                    <w:t>搅拌粉尘</w:t>
                  </w:r>
                </w:p>
              </w:tc>
              <w:tc>
                <w:tcPr>
                  <w:tcW w:w="413" w:type="pct"/>
                  <w:shd w:val="clear" w:color="auto" w:fill="FFFFFF"/>
                  <w:vAlign w:val="center"/>
                </w:tcPr>
                <w:p w14:paraId="1774C410">
                  <w:pPr>
                    <w:kinsoku/>
                    <w:autoSpaceDE/>
                    <w:autoSpaceDN/>
                    <w:adjustRightInd/>
                    <w:snapToGrid/>
                    <w:jc w:val="center"/>
                    <w:textAlignment w:val="center"/>
                    <w:rPr>
                      <w:rFonts w:ascii="Times New Roman" w:hAnsi="Times New Roman" w:eastAsia="宋体" w:cs="宋体"/>
                      <w:color w:val="auto"/>
                      <w:szCs w:val="24"/>
                      <w:lang w:eastAsia="zh-CN"/>
                    </w:rPr>
                  </w:pPr>
                  <w:r>
                    <w:rPr>
                      <w:rFonts w:hint="eastAsia" w:ascii="Times New Roman" w:hAnsi="Times New Roman" w:eastAsia="宋体" w:cs="宋体"/>
                      <w:color w:val="auto"/>
                      <w:szCs w:val="24"/>
                      <w:lang w:eastAsia="zh-CN" w:bidi="ar"/>
                    </w:rPr>
                    <w:t>5000</w:t>
                  </w:r>
                </w:p>
              </w:tc>
              <w:tc>
                <w:tcPr>
                  <w:tcW w:w="208" w:type="pct"/>
                  <w:shd w:val="clear" w:color="auto" w:fill="FFFFFF"/>
                  <w:vAlign w:val="center"/>
                </w:tcPr>
                <w:p w14:paraId="61A9E91C">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颗粒物</w:t>
                  </w:r>
                </w:p>
              </w:tc>
              <w:tc>
                <w:tcPr>
                  <w:tcW w:w="652" w:type="dxa"/>
                  <w:shd w:val="clear" w:color="auto" w:fill="FFFFFF"/>
                  <w:vAlign w:val="center"/>
                </w:tcPr>
                <w:p w14:paraId="284C6B0E">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498.6800 </w:t>
                  </w:r>
                </w:p>
              </w:tc>
              <w:tc>
                <w:tcPr>
                  <w:tcW w:w="580" w:type="dxa"/>
                  <w:shd w:val="clear" w:color="auto" w:fill="FFFFFF"/>
                  <w:vAlign w:val="center"/>
                </w:tcPr>
                <w:p w14:paraId="1CDDEFF1">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2.4934 </w:t>
                  </w:r>
                </w:p>
              </w:tc>
              <w:tc>
                <w:tcPr>
                  <w:tcW w:w="650" w:type="dxa"/>
                  <w:shd w:val="clear" w:color="auto" w:fill="FFFFFF"/>
                  <w:vAlign w:val="center"/>
                </w:tcPr>
                <w:p w14:paraId="76E67BA7">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8.3778 </w:t>
                  </w:r>
                </w:p>
              </w:tc>
              <w:tc>
                <w:tcPr>
                  <w:tcW w:w="208" w:type="pct"/>
                  <w:shd w:val="clear" w:color="auto" w:fill="FFFFFF"/>
                  <w:vAlign w:val="center"/>
                </w:tcPr>
                <w:p w14:paraId="5CC57395">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集尘罩</w:t>
                  </w:r>
                </w:p>
              </w:tc>
              <w:tc>
                <w:tcPr>
                  <w:tcW w:w="321" w:type="pct"/>
                  <w:shd w:val="clear" w:color="auto" w:fill="FFFFFF"/>
                  <w:vAlign w:val="center"/>
                </w:tcPr>
                <w:p w14:paraId="1E2FAA70">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8</w:t>
                  </w:r>
                  <w:r>
                    <w:rPr>
                      <w:rFonts w:hint="eastAsia" w:ascii="Times New Roman" w:hAnsi="Times New Roman" w:eastAsia="宋体" w:cs="宋体"/>
                      <w:color w:val="auto"/>
                      <w:szCs w:val="24"/>
                      <w:lang w:eastAsia="zh-CN" w:bidi="ar"/>
                    </w:rPr>
                    <w:t>5</w:t>
                  </w:r>
                  <w:r>
                    <w:rPr>
                      <w:rFonts w:ascii="Times New Roman" w:hAnsi="Times New Roman" w:eastAsia="宋体" w:cs="宋体"/>
                      <w:color w:val="auto"/>
                      <w:szCs w:val="24"/>
                      <w:lang w:eastAsia="zh-CN" w:bidi="ar"/>
                    </w:rPr>
                    <w:t>%</w:t>
                  </w:r>
                </w:p>
              </w:tc>
              <w:tc>
                <w:tcPr>
                  <w:tcW w:w="395" w:type="pct"/>
                  <w:shd w:val="clear" w:color="auto" w:fill="FFFFFF"/>
                </w:tcPr>
                <w:p w14:paraId="0BAD1134">
                  <w:pPr>
                    <w:kinsoku/>
                    <w:autoSpaceDE/>
                    <w:autoSpaceDN/>
                    <w:adjustRightInd/>
                    <w:snapToGrid/>
                    <w:jc w:val="center"/>
                    <w:textAlignment w:val="top"/>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布袋除尘器</w:t>
                  </w:r>
                  <w:r>
                    <w:rPr>
                      <w:rFonts w:hint="eastAsia" w:ascii="Times New Roman" w:hAnsi="Times New Roman" w:eastAsia="宋体" w:cs="宋体"/>
                      <w:color w:val="auto"/>
                      <w:szCs w:val="24"/>
                      <w:lang w:eastAsia="zh-CN" w:bidi="ar"/>
                    </w:rPr>
                    <w:t>（</w:t>
                  </w:r>
                  <w:r>
                    <w:rPr>
                      <w:rFonts w:ascii="Times New Roman" w:hAnsi="Times New Roman" w:eastAsia="宋体" w:cs="宋体"/>
                      <w:color w:val="auto"/>
                      <w:szCs w:val="24"/>
                      <w:lang w:eastAsia="zh-CN" w:bidi="ar"/>
                    </w:rPr>
                    <w:t>99.</w:t>
                  </w:r>
                  <w:r>
                    <w:rPr>
                      <w:rFonts w:hint="eastAsia" w:ascii="Times New Roman" w:hAnsi="Times New Roman" w:eastAsia="宋体" w:cs="宋体"/>
                      <w:color w:val="auto"/>
                      <w:szCs w:val="24"/>
                      <w:lang w:eastAsia="zh-CN" w:bidi="ar"/>
                    </w:rPr>
                    <w:t>7</w:t>
                  </w:r>
                  <w:r>
                    <w:rPr>
                      <w:rFonts w:ascii="Times New Roman" w:hAnsi="Times New Roman" w:eastAsia="宋体" w:cs="宋体"/>
                      <w:color w:val="auto"/>
                      <w:szCs w:val="24"/>
                      <w:lang w:eastAsia="zh-CN" w:bidi="ar"/>
                    </w:rPr>
                    <w:t>%</w:t>
                  </w:r>
                  <w:r>
                    <w:rPr>
                      <w:rFonts w:hint="eastAsia" w:ascii="Times New Roman" w:hAnsi="Times New Roman" w:eastAsia="宋体" w:cs="宋体"/>
                      <w:color w:val="auto"/>
                      <w:szCs w:val="24"/>
                      <w:lang w:eastAsia="zh-CN" w:bidi="ar"/>
                    </w:rPr>
                    <w:t>）</w:t>
                  </w:r>
                </w:p>
              </w:tc>
              <w:tc>
                <w:tcPr>
                  <w:tcW w:w="652" w:type="dxa"/>
                  <w:shd w:val="clear" w:color="auto" w:fill="FFFFFF"/>
                  <w:vAlign w:val="center"/>
                </w:tcPr>
                <w:p w14:paraId="61FCCBD1">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1.2716 </w:t>
                  </w:r>
                </w:p>
              </w:tc>
              <w:tc>
                <w:tcPr>
                  <w:tcW w:w="580" w:type="dxa"/>
                  <w:shd w:val="clear" w:color="auto" w:fill="FFFFFF"/>
                  <w:vAlign w:val="center"/>
                </w:tcPr>
                <w:p w14:paraId="53C8907C">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0.0064 </w:t>
                  </w:r>
                </w:p>
              </w:tc>
              <w:tc>
                <w:tcPr>
                  <w:tcW w:w="583" w:type="dxa"/>
                  <w:shd w:val="clear" w:color="auto" w:fill="FFFFFF"/>
                  <w:vAlign w:val="center"/>
                </w:tcPr>
                <w:p w14:paraId="43B8AA38">
                  <w:pPr>
                    <w:jc w:val="center"/>
                    <w:textAlignment w:val="center"/>
                    <w:rPr>
                      <w:rFonts w:ascii="Times New Roman" w:hAnsi="Times New Roman" w:eastAsia="宋体" w:cs="宋体"/>
                      <w:color w:val="auto"/>
                      <w:szCs w:val="24"/>
                      <w:lang w:eastAsia="zh-CN"/>
                    </w:rPr>
                  </w:pPr>
                  <w:r>
                    <w:rPr>
                      <w:rFonts w:ascii="Times New Roman" w:hAnsi="Times New Roman" w:eastAsia="宋体" w:cs="Times New Roman"/>
                      <w:color w:val="auto"/>
                      <w:lang w:eastAsia="zh-CN" w:bidi="ar"/>
                    </w:rPr>
                    <w:t xml:space="preserve">0.0214 </w:t>
                  </w:r>
                </w:p>
              </w:tc>
              <w:tc>
                <w:tcPr>
                  <w:tcW w:w="246" w:type="pct"/>
                  <w:shd w:val="clear" w:color="auto" w:fill="FFFFFF"/>
                  <w:vAlign w:val="center"/>
                </w:tcPr>
                <w:p w14:paraId="1570A1E7">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15</w:t>
                  </w:r>
                </w:p>
              </w:tc>
              <w:tc>
                <w:tcPr>
                  <w:tcW w:w="246" w:type="pct"/>
                  <w:shd w:val="clear" w:color="auto" w:fill="FFFFFF"/>
                  <w:vAlign w:val="center"/>
                </w:tcPr>
                <w:p w14:paraId="3143F340">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0.</w:t>
                  </w:r>
                  <w:r>
                    <w:rPr>
                      <w:rFonts w:hint="eastAsia" w:ascii="Times New Roman" w:hAnsi="Times New Roman" w:eastAsia="宋体" w:cs="宋体"/>
                      <w:color w:val="auto"/>
                      <w:szCs w:val="24"/>
                      <w:lang w:eastAsia="zh-CN" w:bidi="ar"/>
                    </w:rPr>
                    <w:t>5</w:t>
                  </w:r>
                </w:p>
              </w:tc>
              <w:tc>
                <w:tcPr>
                  <w:tcW w:w="266" w:type="pct"/>
                  <w:shd w:val="clear" w:color="auto" w:fill="FFFFFF"/>
                  <w:vAlign w:val="center"/>
                </w:tcPr>
                <w:p w14:paraId="02012369">
                  <w:pPr>
                    <w:kinsoku/>
                    <w:autoSpaceDE/>
                    <w:autoSpaceDN/>
                    <w:adjustRightInd/>
                    <w:snapToGrid/>
                    <w:jc w:val="center"/>
                    <w:textAlignment w:val="center"/>
                    <w:rPr>
                      <w:rFonts w:ascii="Times New Roman" w:hAnsi="Times New Roman" w:eastAsia="宋体" w:cs="宋体"/>
                      <w:color w:val="auto"/>
                      <w:szCs w:val="24"/>
                      <w:lang w:eastAsia="zh-CN"/>
                    </w:rPr>
                  </w:pPr>
                  <w:r>
                    <w:rPr>
                      <w:rFonts w:ascii="Times New Roman" w:hAnsi="Times New Roman" w:eastAsia="宋体" w:cs="宋体"/>
                      <w:color w:val="auto"/>
                      <w:szCs w:val="24"/>
                      <w:lang w:eastAsia="zh-CN" w:bidi="ar"/>
                    </w:rPr>
                    <w:t>20</w:t>
                  </w:r>
                </w:p>
              </w:tc>
              <w:tc>
                <w:tcPr>
                  <w:tcW w:w="216" w:type="pct"/>
                  <w:shd w:val="clear" w:color="auto" w:fill="FFFFFF"/>
                  <w:vAlign w:val="center"/>
                </w:tcPr>
                <w:p w14:paraId="1C3CFB3F">
                  <w:pPr>
                    <w:kinsoku/>
                    <w:autoSpaceDE/>
                    <w:autoSpaceDN/>
                    <w:adjustRightInd/>
                    <w:snapToGrid/>
                    <w:jc w:val="center"/>
                    <w:textAlignment w:val="center"/>
                    <w:rPr>
                      <w:rFonts w:ascii="Times New Roman" w:hAnsi="Times New Roman" w:eastAsia="宋体" w:cs="宋体"/>
                      <w:color w:val="auto"/>
                      <w:szCs w:val="24"/>
                      <w:lang w:eastAsia="zh-CN"/>
                    </w:rPr>
                  </w:pPr>
                  <w:r>
                    <w:rPr>
                      <w:rFonts w:hint="eastAsia" w:ascii="Times New Roman" w:hAnsi="Times New Roman" w:eastAsia="宋体" w:cs="宋体"/>
                      <w:color w:val="auto"/>
                      <w:szCs w:val="24"/>
                      <w:lang w:eastAsia="zh-CN" w:bidi="ar"/>
                    </w:rPr>
                    <w:t>DA001</w:t>
                  </w:r>
                </w:p>
              </w:tc>
            </w:tr>
          </w:tbl>
          <w:p w14:paraId="363E0644">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（2）非正常工况</w:t>
            </w:r>
          </w:p>
          <w:p w14:paraId="5C0E7A14">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建设项目非正常工况是指生产运行阶段的开、停车、检修、操作不正常或设备故障等，不包括事故排放。非正常工况下排污具有持续时间短，污染负荷高，污染物排放量变化幅度大等特点。本项目非正常工况仅考虑水泥上料工序中所有的粉尘治理措施的布袋除尘器全部发生破袋故障，除尘效率降低至50%时的粉尘排放情况。出现此事故后，建设单位一般能在1h内进行有效处置，因此按1h进行事故排放源强计算。本项目非正常工况粉尘排放情况见表</w:t>
            </w:r>
            <w:r>
              <w:rPr>
                <w:rFonts w:hint="eastAsia" w:ascii="Times New Roman" w:hAnsi="Times New Roman"/>
                <w:color w:val="auto"/>
                <w:spacing w:val="-2"/>
                <w:lang w:eastAsia="zh-CN"/>
              </w:rPr>
              <w:t>4-4</w:t>
            </w:r>
            <w:r>
              <w:rPr>
                <w:rFonts w:ascii="Times New Roman" w:hAnsi="Times New Roman"/>
                <w:color w:val="auto"/>
                <w:spacing w:val="-2"/>
                <w:lang w:eastAsia="zh-CN"/>
              </w:rPr>
              <w:t>。</w:t>
            </w:r>
          </w:p>
          <w:p w14:paraId="1E01F5A0">
            <w:pPr>
              <w:pStyle w:val="20"/>
              <w:spacing w:line="360" w:lineRule="auto"/>
              <w:ind w:firstLine="418" w:firstLineChars="200"/>
              <w:jc w:val="center"/>
              <w:rPr>
                <w:color w:val="auto"/>
                <w:sz w:val="21"/>
                <w:szCs w:val="21"/>
                <w:lang w:eastAsia="zh-CN"/>
              </w:rPr>
            </w:pPr>
            <w:r>
              <w:rPr>
                <w:b/>
                <w:bCs/>
                <w:color w:val="auto"/>
                <w:spacing w:val="-1"/>
                <w:sz w:val="21"/>
                <w:szCs w:val="21"/>
                <w:lang w:eastAsia="zh-CN"/>
              </w:rPr>
              <w:t>表</w:t>
            </w:r>
            <w:r>
              <w:rPr>
                <w:rFonts w:hint="eastAsia" w:ascii="Times New Roman" w:hAnsi="Times New Roman" w:cs="Times New Roman"/>
                <w:b/>
                <w:bCs/>
                <w:color w:val="auto"/>
                <w:spacing w:val="-1"/>
                <w:sz w:val="21"/>
                <w:szCs w:val="21"/>
                <w:lang w:eastAsia="zh-CN"/>
              </w:rPr>
              <w:t>4-4</w:t>
            </w:r>
            <w:r>
              <w:rPr>
                <w:b/>
                <w:bCs/>
                <w:color w:val="auto"/>
                <w:spacing w:val="-1"/>
                <w:sz w:val="21"/>
                <w:szCs w:val="21"/>
                <w:lang w:eastAsia="zh-CN"/>
              </w:rPr>
              <w:t>非正常工况下</w:t>
            </w:r>
            <w:r>
              <w:rPr>
                <w:rFonts w:hint="eastAsia"/>
                <w:b/>
                <w:bCs/>
                <w:color w:val="auto"/>
                <w:spacing w:val="-1"/>
                <w:sz w:val="21"/>
                <w:szCs w:val="21"/>
                <w:lang w:eastAsia="zh-CN"/>
              </w:rPr>
              <w:t>污染物</w:t>
            </w:r>
            <w:r>
              <w:rPr>
                <w:b/>
                <w:bCs/>
                <w:color w:val="auto"/>
                <w:spacing w:val="-2"/>
                <w:sz w:val="21"/>
                <w:szCs w:val="21"/>
                <w:lang w:eastAsia="zh-CN"/>
              </w:rPr>
              <w:t>排放情况表</w:t>
            </w:r>
          </w:p>
          <w:tbl>
            <w:tblPr>
              <w:tblStyle w:val="19"/>
              <w:tblW w:w="7938" w:type="dxa"/>
              <w:tblInd w:w="1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1116"/>
              <w:gridCol w:w="785"/>
              <w:gridCol w:w="1567"/>
              <w:gridCol w:w="1318"/>
              <w:gridCol w:w="1201"/>
              <w:gridCol w:w="1034"/>
            </w:tblGrid>
            <w:tr w14:paraId="10D6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17" w:type="dxa"/>
                  <w:vAlign w:val="center"/>
                </w:tcPr>
                <w:p w14:paraId="4FBABB4F">
                  <w:pPr>
                    <w:pStyle w:val="20"/>
                    <w:jc w:val="center"/>
                    <w:rPr>
                      <w:color w:val="auto"/>
                      <w:sz w:val="21"/>
                      <w:szCs w:val="21"/>
                    </w:rPr>
                  </w:pPr>
                  <w:r>
                    <w:rPr>
                      <w:color w:val="auto"/>
                      <w:spacing w:val="-2"/>
                      <w:sz w:val="21"/>
                      <w:szCs w:val="21"/>
                    </w:rPr>
                    <w:t>非正常</w:t>
                  </w:r>
                </w:p>
                <w:p w14:paraId="4597AE21">
                  <w:pPr>
                    <w:pStyle w:val="20"/>
                    <w:jc w:val="center"/>
                    <w:rPr>
                      <w:color w:val="auto"/>
                      <w:sz w:val="21"/>
                      <w:szCs w:val="21"/>
                    </w:rPr>
                  </w:pPr>
                  <w:r>
                    <w:rPr>
                      <w:color w:val="auto"/>
                      <w:spacing w:val="-2"/>
                      <w:sz w:val="21"/>
                      <w:szCs w:val="21"/>
                    </w:rPr>
                    <w:t>污染源</w:t>
                  </w:r>
                </w:p>
              </w:tc>
              <w:tc>
                <w:tcPr>
                  <w:tcW w:w="1116" w:type="dxa"/>
                  <w:vAlign w:val="center"/>
                </w:tcPr>
                <w:p w14:paraId="023A42BC">
                  <w:pPr>
                    <w:pStyle w:val="20"/>
                    <w:jc w:val="center"/>
                    <w:rPr>
                      <w:color w:val="auto"/>
                      <w:sz w:val="21"/>
                      <w:szCs w:val="21"/>
                    </w:rPr>
                  </w:pPr>
                  <w:r>
                    <w:rPr>
                      <w:color w:val="auto"/>
                      <w:spacing w:val="-3"/>
                      <w:sz w:val="21"/>
                      <w:szCs w:val="21"/>
                    </w:rPr>
                    <w:t>非正常排</w:t>
                  </w:r>
                  <w:r>
                    <w:rPr>
                      <w:color w:val="auto"/>
                      <w:spacing w:val="-2"/>
                      <w:sz w:val="21"/>
                      <w:szCs w:val="21"/>
                    </w:rPr>
                    <w:t>放原因</w:t>
                  </w:r>
                </w:p>
              </w:tc>
              <w:tc>
                <w:tcPr>
                  <w:tcW w:w="785" w:type="dxa"/>
                  <w:vAlign w:val="center"/>
                </w:tcPr>
                <w:p w14:paraId="11D2EFAE">
                  <w:pPr>
                    <w:pStyle w:val="20"/>
                    <w:jc w:val="center"/>
                    <w:rPr>
                      <w:color w:val="auto"/>
                      <w:sz w:val="21"/>
                      <w:szCs w:val="21"/>
                    </w:rPr>
                  </w:pPr>
                  <w:r>
                    <w:rPr>
                      <w:color w:val="auto"/>
                      <w:spacing w:val="-4"/>
                      <w:sz w:val="21"/>
                      <w:szCs w:val="21"/>
                    </w:rPr>
                    <w:t>污染</w:t>
                  </w:r>
                  <w:r>
                    <w:rPr>
                      <w:color w:val="auto"/>
                      <w:sz w:val="21"/>
                      <w:szCs w:val="21"/>
                    </w:rPr>
                    <w:t>物</w:t>
                  </w:r>
                </w:p>
              </w:tc>
              <w:tc>
                <w:tcPr>
                  <w:tcW w:w="1567" w:type="dxa"/>
                  <w:vAlign w:val="center"/>
                </w:tcPr>
                <w:p w14:paraId="31322266">
                  <w:pPr>
                    <w:pStyle w:val="20"/>
                    <w:jc w:val="center"/>
                    <w:rPr>
                      <w:color w:val="auto"/>
                      <w:sz w:val="21"/>
                      <w:szCs w:val="21"/>
                      <w:lang w:eastAsia="zh-CN"/>
                    </w:rPr>
                  </w:pPr>
                  <w:r>
                    <w:rPr>
                      <w:color w:val="auto"/>
                      <w:spacing w:val="-2"/>
                      <w:sz w:val="21"/>
                      <w:szCs w:val="21"/>
                      <w:lang w:eastAsia="zh-CN"/>
                    </w:rPr>
                    <w:t>非正常排放浓</w:t>
                  </w:r>
                  <w:r>
                    <w:rPr>
                      <w:color w:val="auto"/>
                      <w:spacing w:val="-1"/>
                      <w:sz w:val="21"/>
                      <w:szCs w:val="21"/>
                      <w:lang w:eastAsia="zh-CN"/>
                    </w:rPr>
                    <w:t>度（</w:t>
                  </w:r>
                  <w:r>
                    <w:rPr>
                      <w:rFonts w:ascii="Times New Roman" w:hAnsi="Times New Roman" w:eastAsia="Times New Roman" w:cs="Times New Roman"/>
                      <w:color w:val="auto"/>
                      <w:spacing w:val="-1"/>
                      <w:sz w:val="21"/>
                      <w:szCs w:val="21"/>
                      <w:lang w:eastAsia="zh-CN"/>
                    </w:rPr>
                    <w:t>mg/m</w:t>
                  </w:r>
                  <w:r>
                    <w:rPr>
                      <w:rFonts w:ascii="Times New Roman" w:hAnsi="Times New Roman" w:eastAsia="Times New Roman" w:cs="Times New Roman"/>
                      <w:color w:val="auto"/>
                      <w:spacing w:val="-1"/>
                      <w:position w:val="6"/>
                      <w:sz w:val="13"/>
                      <w:szCs w:val="13"/>
                      <w:lang w:eastAsia="zh-CN"/>
                    </w:rPr>
                    <w:t>3</w:t>
                  </w:r>
                  <w:r>
                    <w:rPr>
                      <w:color w:val="auto"/>
                      <w:spacing w:val="-1"/>
                      <w:sz w:val="21"/>
                      <w:szCs w:val="21"/>
                      <w:lang w:eastAsia="zh-CN"/>
                    </w:rPr>
                    <w:t>）</w:t>
                  </w:r>
                </w:p>
              </w:tc>
              <w:tc>
                <w:tcPr>
                  <w:tcW w:w="1318" w:type="dxa"/>
                  <w:vAlign w:val="center"/>
                </w:tcPr>
                <w:p w14:paraId="07B8A7F6">
                  <w:pPr>
                    <w:pStyle w:val="20"/>
                    <w:jc w:val="center"/>
                    <w:rPr>
                      <w:color w:val="auto"/>
                      <w:sz w:val="21"/>
                      <w:szCs w:val="21"/>
                    </w:rPr>
                  </w:pPr>
                  <w:r>
                    <w:rPr>
                      <w:color w:val="auto"/>
                      <w:spacing w:val="-2"/>
                      <w:sz w:val="21"/>
                      <w:szCs w:val="21"/>
                    </w:rPr>
                    <w:t>非正常排放</w:t>
                  </w:r>
                  <w:r>
                    <w:rPr>
                      <w:color w:val="auto"/>
                      <w:spacing w:val="-4"/>
                      <w:sz w:val="21"/>
                      <w:szCs w:val="21"/>
                    </w:rPr>
                    <w:t>速率（</w:t>
                  </w:r>
                  <w:r>
                    <w:rPr>
                      <w:rFonts w:ascii="Times New Roman" w:hAnsi="Times New Roman" w:eastAsia="Times New Roman" w:cs="Times New Roman"/>
                      <w:color w:val="auto"/>
                      <w:spacing w:val="-4"/>
                      <w:sz w:val="21"/>
                      <w:szCs w:val="21"/>
                    </w:rPr>
                    <w:t>kg/h</w:t>
                  </w:r>
                  <w:r>
                    <w:rPr>
                      <w:color w:val="auto"/>
                      <w:spacing w:val="-4"/>
                      <w:sz w:val="21"/>
                      <w:szCs w:val="21"/>
                    </w:rPr>
                    <w:t>）</w:t>
                  </w:r>
                </w:p>
              </w:tc>
              <w:tc>
                <w:tcPr>
                  <w:tcW w:w="1201" w:type="dxa"/>
                  <w:vAlign w:val="center"/>
                </w:tcPr>
                <w:p w14:paraId="4B62A8D1">
                  <w:pPr>
                    <w:pStyle w:val="20"/>
                    <w:jc w:val="center"/>
                    <w:rPr>
                      <w:color w:val="auto"/>
                      <w:sz w:val="21"/>
                      <w:szCs w:val="21"/>
                      <w:lang w:eastAsia="zh-CN"/>
                    </w:rPr>
                  </w:pPr>
                  <w:r>
                    <w:rPr>
                      <w:color w:val="auto"/>
                      <w:spacing w:val="-2"/>
                      <w:sz w:val="21"/>
                      <w:szCs w:val="21"/>
                      <w:lang w:eastAsia="zh-CN"/>
                    </w:rPr>
                    <w:t>单次持续</w:t>
                  </w:r>
                </w:p>
                <w:p w14:paraId="03E7BF65">
                  <w:pPr>
                    <w:pStyle w:val="20"/>
                    <w:jc w:val="center"/>
                    <w:rPr>
                      <w:rFonts w:ascii="Times New Roman" w:hAnsi="Times New Roman" w:eastAsia="Times New Roman" w:cs="Times New Roman"/>
                      <w:color w:val="auto"/>
                      <w:sz w:val="21"/>
                      <w:szCs w:val="21"/>
                      <w:lang w:eastAsia="zh-CN"/>
                    </w:rPr>
                  </w:pPr>
                  <w:r>
                    <w:rPr>
                      <w:color w:val="auto"/>
                      <w:spacing w:val="-4"/>
                      <w:sz w:val="21"/>
                      <w:szCs w:val="21"/>
                      <w:lang w:eastAsia="zh-CN"/>
                    </w:rPr>
                    <w:t>时间</w:t>
                  </w:r>
                  <w:r>
                    <w:rPr>
                      <w:rFonts w:ascii="Times New Roman" w:hAnsi="Times New Roman" w:eastAsia="Times New Roman" w:cs="Times New Roman"/>
                      <w:color w:val="auto"/>
                      <w:spacing w:val="-4"/>
                      <w:sz w:val="21"/>
                      <w:szCs w:val="21"/>
                      <w:lang w:eastAsia="zh-CN"/>
                    </w:rPr>
                    <w:t>/h</w:t>
                  </w:r>
                </w:p>
              </w:tc>
              <w:tc>
                <w:tcPr>
                  <w:tcW w:w="1034" w:type="dxa"/>
                  <w:vAlign w:val="center"/>
                </w:tcPr>
                <w:p w14:paraId="29EAADC3">
                  <w:pPr>
                    <w:pStyle w:val="20"/>
                    <w:jc w:val="center"/>
                    <w:rPr>
                      <w:color w:val="auto"/>
                      <w:sz w:val="21"/>
                      <w:szCs w:val="21"/>
                      <w:lang w:eastAsia="zh-CN"/>
                    </w:rPr>
                  </w:pPr>
                  <w:r>
                    <w:rPr>
                      <w:color w:val="auto"/>
                      <w:spacing w:val="-2"/>
                      <w:sz w:val="21"/>
                      <w:szCs w:val="21"/>
                      <w:lang w:eastAsia="zh-CN"/>
                    </w:rPr>
                    <w:t>年发生频次</w:t>
                  </w:r>
                  <w:r>
                    <w:rPr>
                      <w:rFonts w:ascii="Times New Roman" w:hAnsi="Times New Roman" w:eastAsia="Times New Roman" w:cs="Times New Roman"/>
                      <w:color w:val="auto"/>
                      <w:spacing w:val="-2"/>
                      <w:sz w:val="21"/>
                      <w:szCs w:val="21"/>
                      <w:lang w:eastAsia="zh-CN"/>
                    </w:rPr>
                    <w:t>/</w:t>
                  </w:r>
                  <w:r>
                    <w:rPr>
                      <w:color w:val="auto"/>
                      <w:spacing w:val="-2"/>
                      <w:sz w:val="21"/>
                      <w:szCs w:val="21"/>
                      <w:lang w:eastAsia="zh-CN"/>
                    </w:rPr>
                    <w:t>次</w:t>
                  </w:r>
                </w:p>
              </w:tc>
            </w:tr>
            <w:tr w14:paraId="4BC7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17" w:type="dxa"/>
                  <w:vAlign w:val="center"/>
                </w:tcPr>
                <w:p w14:paraId="76294886">
                  <w:pPr>
                    <w:pStyle w:val="20"/>
                    <w:jc w:val="center"/>
                    <w:rPr>
                      <w:color w:val="auto"/>
                      <w:sz w:val="21"/>
                      <w:szCs w:val="21"/>
                      <w:lang w:eastAsia="zh-CN"/>
                    </w:rPr>
                  </w:pPr>
                  <w:r>
                    <w:rPr>
                      <w:color w:val="auto"/>
                      <w:spacing w:val="-2"/>
                      <w:sz w:val="21"/>
                      <w:szCs w:val="21"/>
                      <w:lang w:eastAsia="zh-CN"/>
                    </w:rPr>
                    <w:t>粉尘</w:t>
                  </w:r>
                </w:p>
              </w:tc>
              <w:tc>
                <w:tcPr>
                  <w:tcW w:w="1116" w:type="dxa"/>
                  <w:vAlign w:val="center"/>
                </w:tcPr>
                <w:p w14:paraId="4E219789">
                  <w:pPr>
                    <w:pStyle w:val="20"/>
                    <w:jc w:val="center"/>
                    <w:rPr>
                      <w:color w:val="auto"/>
                      <w:sz w:val="21"/>
                      <w:szCs w:val="21"/>
                      <w:lang w:eastAsia="zh-CN"/>
                    </w:rPr>
                  </w:pPr>
                  <w:r>
                    <w:rPr>
                      <w:color w:val="auto"/>
                      <w:spacing w:val="-2"/>
                      <w:sz w:val="21"/>
                      <w:szCs w:val="21"/>
                      <w:lang w:eastAsia="zh-CN"/>
                    </w:rPr>
                    <w:t>布袋除尘器故障</w:t>
                  </w:r>
                </w:p>
              </w:tc>
              <w:tc>
                <w:tcPr>
                  <w:tcW w:w="785" w:type="dxa"/>
                  <w:vAlign w:val="center"/>
                </w:tcPr>
                <w:p w14:paraId="4712D341">
                  <w:pPr>
                    <w:pStyle w:val="20"/>
                    <w:jc w:val="center"/>
                    <w:rPr>
                      <w:color w:val="auto"/>
                      <w:sz w:val="21"/>
                      <w:szCs w:val="21"/>
                      <w:lang w:eastAsia="zh-CN"/>
                    </w:rPr>
                  </w:pPr>
                  <w:r>
                    <w:rPr>
                      <w:color w:val="auto"/>
                      <w:spacing w:val="-2"/>
                      <w:sz w:val="21"/>
                      <w:szCs w:val="21"/>
                      <w:lang w:eastAsia="zh-CN"/>
                    </w:rPr>
                    <w:t>粉尘</w:t>
                  </w:r>
                </w:p>
              </w:tc>
              <w:tc>
                <w:tcPr>
                  <w:tcW w:w="1567" w:type="dxa"/>
                  <w:vAlign w:val="center"/>
                </w:tcPr>
                <w:p w14:paraId="3024FD7E">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2"/>
                      <w:lang w:eastAsia="zh-CN"/>
                    </w:rPr>
                    <w:t>211.9390</w:t>
                  </w:r>
                </w:p>
              </w:tc>
              <w:tc>
                <w:tcPr>
                  <w:tcW w:w="1318" w:type="dxa"/>
                  <w:vAlign w:val="center"/>
                </w:tcPr>
                <w:p w14:paraId="06F6D1C9">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1"/>
                      <w:lang w:eastAsia="zh-CN"/>
                    </w:rPr>
                    <w:t>1.0597</w:t>
                  </w:r>
                </w:p>
              </w:tc>
              <w:tc>
                <w:tcPr>
                  <w:tcW w:w="1201" w:type="dxa"/>
                  <w:vAlign w:val="center"/>
                </w:tcPr>
                <w:p w14:paraId="54E9CC2A">
                  <w:pPr>
                    <w:jc w:val="center"/>
                    <w:rPr>
                      <w:rFonts w:ascii="Times New Roman" w:hAnsi="Times New Roman" w:eastAsia="Times New Roman" w:cs="Times New Roman"/>
                      <w:color w:val="auto"/>
                      <w:lang w:eastAsia="zh-CN"/>
                    </w:rPr>
                  </w:pPr>
                  <w:r>
                    <w:rPr>
                      <w:rFonts w:ascii="Times New Roman" w:hAnsi="Times New Roman" w:eastAsia="Times New Roman" w:cs="Times New Roman"/>
                      <w:color w:val="auto"/>
                      <w:lang w:eastAsia="zh-CN"/>
                    </w:rPr>
                    <w:t>1</w:t>
                  </w:r>
                </w:p>
              </w:tc>
              <w:tc>
                <w:tcPr>
                  <w:tcW w:w="1034" w:type="dxa"/>
                  <w:vAlign w:val="center"/>
                </w:tcPr>
                <w:p w14:paraId="21D81FDE">
                  <w:pPr>
                    <w:jc w:val="center"/>
                    <w:rPr>
                      <w:rFonts w:ascii="Times New Roman" w:hAnsi="Times New Roman" w:eastAsia="Times New Roman" w:cs="Times New Roman"/>
                      <w:color w:val="auto"/>
                      <w:lang w:eastAsia="zh-CN"/>
                    </w:rPr>
                  </w:pPr>
                  <w:r>
                    <w:rPr>
                      <w:rFonts w:ascii="Times New Roman" w:hAnsi="Times New Roman" w:eastAsia="Times New Roman" w:cs="Times New Roman"/>
                      <w:color w:val="auto"/>
                      <w:lang w:eastAsia="zh-CN"/>
                    </w:rPr>
                    <w:t>1</w:t>
                  </w:r>
                </w:p>
              </w:tc>
            </w:tr>
          </w:tbl>
          <w:p w14:paraId="7DB2330D">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由上表可知，假定布袋除尘器故障，粉尘排放浓度超标。说明非正常工况下的排污会对大气环境产生影响，建设单位应采取措施避免非正常工况及事故排污的发生。</w:t>
            </w:r>
          </w:p>
          <w:p w14:paraId="7300269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此类状况的发生无明显的规律性，其发生的频率主要与装备水平、操作技能以及管理水平等有关。建设单位应当对处理设施不定时</w:t>
            </w:r>
            <w:r>
              <w:rPr>
                <w:rFonts w:hint="eastAsia" w:ascii="Times New Roman" w:hAnsi="Times New Roman"/>
                <w:color w:val="auto"/>
                <w:spacing w:val="-2"/>
                <w:lang w:eastAsia="zh-CN"/>
              </w:rPr>
              <w:t>地</w:t>
            </w:r>
            <w:r>
              <w:rPr>
                <w:rFonts w:ascii="Times New Roman" w:hAnsi="Times New Roman"/>
                <w:color w:val="auto"/>
                <w:spacing w:val="-2"/>
                <w:lang w:eastAsia="zh-CN"/>
              </w:rPr>
              <w:t>巡检，及时发现废气处理设备的隐患，确保废气处理系统正常运行。一旦发生设施故障情况，应立即停产，对布袋除尘器进行检修及设施的更换，杜绝废气非正常排放。</w:t>
            </w:r>
          </w:p>
          <w:p w14:paraId="23C1F31A">
            <w:pPr>
              <w:pStyle w:val="20"/>
              <w:spacing w:line="360" w:lineRule="auto"/>
              <w:ind w:firstLine="472" w:firstLineChars="200"/>
              <w:rPr>
                <w:rFonts w:ascii="Times New Roman" w:hAnsi="Times New Roman"/>
                <w:color w:val="auto"/>
                <w:spacing w:val="-2"/>
              </w:rPr>
            </w:pPr>
            <w:r>
              <w:rPr>
                <w:rFonts w:ascii="Times New Roman" w:hAnsi="Times New Roman"/>
                <w:color w:val="auto"/>
                <w:spacing w:val="-2"/>
              </w:rPr>
              <w:t>（</w:t>
            </w:r>
            <w:r>
              <w:rPr>
                <w:rFonts w:hint="eastAsia" w:ascii="Times New Roman" w:hAnsi="Times New Roman"/>
                <w:color w:val="auto"/>
                <w:spacing w:val="-2"/>
                <w:lang w:eastAsia="zh-CN"/>
              </w:rPr>
              <w:t>3</w:t>
            </w:r>
            <w:r>
              <w:rPr>
                <w:rFonts w:ascii="Times New Roman" w:hAnsi="Times New Roman"/>
                <w:color w:val="auto"/>
                <w:spacing w:val="-2"/>
              </w:rPr>
              <w:t>）污染防治措施及可行性分析</w:t>
            </w:r>
          </w:p>
          <w:p w14:paraId="0D194CF8">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①在上料及搅拌设置集气罩，收集后引至布袋除尘器（1个）处理后通过15m高排气筒排放。集气罩收集效率为85%，布袋除尘器除尘效率99.7%，布袋除尘器工作原理见下图。</w:t>
            </w:r>
          </w:p>
          <w:p w14:paraId="59A5AD0E">
            <w:pPr>
              <w:pStyle w:val="20"/>
              <w:spacing w:line="360" w:lineRule="auto"/>
              <w:jc w:val="center"/>
              <w:rPr>
                <w:rFonts w:ascii="Times New Roman" w:hAnsi="Times New Roman"/>
                <w:color w:val="auto"/>
                <w:spacing w:val="-2"/>
              </w:rPr>
            </w:pPr>
            <w:r>
              <w:rPr>
                <w:rFonts w:ascii="Times New Roman" w:hAnsi="Times New Roman"/>
                <w:color w:val="auto"/>
                <w:spacing w:val="-2"/>
              </w:rPr>
              <w:drawing>
                <wp:inline distT="0" distB="0" distL="114300" distR="114300">
                  <wp:extent cx="4322445" cy="2879725"/>
                  <wp:effectExtent l="0" t="0" r="5715" b="63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1"/>
                          <a:stretch>
                            <a:fillRect/>
                          </a:stretch>
                        </pic:blipFill>
                        <pic:spPr>
                          <a:xfrm>
                            <a:off x="0" y="0"/>
                            <a:ext cx="4322445" cy="2879725"/>
                          </a:xfrm>
                          <a:prstGeom prst="rect">
                            <a:avLst/>
                          </a:prstGeom>
                          <a:noFill/>
                          <a:ln>
                            <a:noFill/>
                          </a:ln>
                        </pic:spPr>
                      </pic:pic>
                    </a:graphicData>
                  </a:graphic>
                </wp:inline>
              </w:drawing>
            </w:r>
          </w:p>
          <w:p w14:paraId="29444F62">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布袋除尘器的具体工作原理，主要是利用了滤料，对于含有灰尘的气体进行过滤达到除尘的目的。机器在过滤的过程当中主要</w:t>
            </w:r>
            <w:r>
              <w:rPr>
                <w:rFonts w:hint="eastAsia" w:ascii="Times New Roman" w:hAnsi="Times New Roman"/>
                <w:color w:val="auto"/>
                <w:spacing w:val="-2"/>
                <w:lang w:eastAsia="zh-CN"/>
              </w:rPr>
              <w:t>分为</w:t>
            </w:r>
            <w:r>
              <w:rPr>
                <w:rFonts w:ascii="Times New Roman" w:hAnsi="Times New Roman"/>
                <w:color w:val="auto"/>
                <w:spacing w:val="-2"/>
                <w:lang w:eastAsia="zh-CN"/>
              </w:rPr>
              <w:t>两个阶段，第1个阶段是含有灰尘的气体通过清洁的滤料，在这一个阶段，主要起到过滤作用的是滤料纤维的阻留。第2个阶段为当灰尘不断</w:t>
            </w:r>
            <w:r>
              <w:rPr>
                <w:rFonts w:hint="eastAsia" w:ascii="Times New Roman" w:hAnsi="Times New Roman"/>
                <w:color w:val="auto"/>
                <w:spacing w:val="-2"/>
                <w:lang w:eastAsia="zh-CN"/>
              </w:rPr>
              <w:t>地</w:t>
            </w:r>
            <w:r>
              <w:rPr>
                <w:rFonts w:ascii="Times New Roman" w:hAnsi="Times New Roman"/>
                <w:color w:val="auto"/>
                <w:spacing w:val="-2"/>
                <w:lang w:eastAsia="zh-CN"/>
              </w:rPr>
              <w:t>增加，一部分的灰尘进入到滤料内部，另外一部分覆盖在表面形成粉尘层，在这个时候主要是通过粉尘成过滤层过滤含有灰尘的气体。含有灰尘的气体在进入除尘器之后，空气的流通速度会逐渐</w:t>
            </w:r>
            <w:r>
              <w:rPr>
                <w:rFonts w:hint="eastAsia" w:ascii="Times New Roman" w:hAnsi="Times New Roman"/>
                <w:color w:val="auto"/>
                <w:spacing w:val="-2"/>
                <w:lang w:eastAsia="zh-CN"/>
              </w:rPr>
              <w:t>地</w:t>
            </w:r>
            <w:r>
              <w:rPr>
                <w:rFonts w:ascii="Times New Roman" w:hAnsi="Times New Roman"/>
                <w:color w:val="auto"/>
                <w:spacing w:val="-2"/>
                <w:lang w:eastAsia="zh-CN"/>
              </w:rPr>
              <w:t>下降，烟尘当中比较大的颗粒会直接沉淀到灰斗里。其余的灰尘会从</w:t>
            </w:r>
            <w:r>
              <w:rPr>
                <w:rFonts w:hint="eastAsia" w:ascii="Times New Roman" w:hAnsi="Times New Roman"/>
                <w:color w:val="auto"/>
                <w:spacing w:val="-2"/>
                <w:lang w:eastAsia="zh-CN"/>
              </w:rPr>
              <w:t>外袋内侧</w:t>
            </w:r>
            <w:r>
              <w:rPr>
                <w:rFonts w:ascii="Times New Roman" w:hAnsi="Times New Roman"/>
                <w:color w:val="auto"/>
                <w:spacing w:val="-2"/>
                <w:lang w:eastAsia="zh-CN"/>
              </w:rPr>
              <w:t>穿过过滤袋进行过滤，清洁的空气会从滤袋的内侧排放出去，灰尘被</w:t>
            </w:r>
            <w:r>
              <w:rPr>
                <w:rFonts w:hint="eastAsia" w:ascii="Times New Roman" w:hAnsi="Times New Roman"/>
                <w:color w:val="auto"/>
                <w:spacing w:val="-2"/>
                <w:lang w:eastAsia="zh-CN"/>
              </w:rPr>
              <w:t>阻</w:t>
            </w:r>
            <w:r>
              <w:rPr>
                <w:rFonts w:ascii="Times New Roman" w:hAnsi="Times New Roman"/>
                <w:color w:val="auto"/>
                <w:spacing w:val="-2"/>
                <w:lang w:eastAsia="zh-CN"/>
              </w:rPr>
              <w:t>流在了滤袋外侧，随着灰尘的不断累积，除尘滤袋内侧和外侧的压差会</w:t>
            </w:r>
            <w:r>
              <w:rPr>
                <w:rFonts w:hint="eastAsia" w:ascii="Times New Roman" w:hAnsi="Times New Roman"/>
                <w:color w:val="auto"/>
                <w:spacing w:val="-2"/>
                <w:lang w:eastAsia="zh-CN"/>
              </w:rPr>
              <w:t>逐渐地</w:t>
            </w:r>
            <w:r>
              <w:rPr>
                <w:rFonts w:ascii="Times New Roman" w:hAnsi="Times New Roman"/>
                <w:color w:val="auto"/>
                <w:spacing w:val="-2"/>
                <w:lang w:eastAsia="zh-CN"/>
              </w:rPr>
              <w:t>增加。当压差达到设定值的时候，脉冲阀膜片会自动的打开脉冲空气，通过喷嘴喷进滤袋，滤袋膨胀，从而</w:t>
            </w:r>
            <w:r>
              <w:rPr>
                <w:rFonts w:hint="eastAsia" w:ascii="Times New Roman" w:hAnsi="Times New Roman"/>
                <w:color w:val="auto"/>
                <w:spacing w:val="-2"/>
                <w:lang w:eastAsia="zh-CN"/>
              </w:rPr>
              <w:t>使得</w:t>
            </w:r>
            <w:r>
              <w:rPr>
                <w:rFonts w:ascii="Times New Roman" w:hAnsi="Times New Roman"/>
                <w:color w:val="auto"/>
                <w:spacing w:val="-2"/>
                <w:lang w:eastAsia="zh-CN"/>
              </w:rPr>
              <w:t>附着在滤袋上的粉尘脱落达到除尘的效果。</w:t>
            </w:r>
          </w:p>
          <w:p w14:paraId="0663B56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布袋除尘器列入《排污许可证申请与核发技术规范</w:t>
            </w:r>
            <w:r>
              <w:rPr>
                <w:rFonts w:hint="eastAsia" w:ascii="Times New Roman" w:hAnsi="Times New Roman"/>
                <w:color w:val="auto"/>
                <w:spacing w:val="-2"/>
                <w:lang w:val="en-US" w:eastAsia="zh-CN"/>
              </w:rPr>
              <w:t xml:space="preserve"> 水泥工业</w:t>
            </w:r>
            <w:r>
              <w:rPr>
                <w:rFonts w:ascii="Times New Roman" w:hAnsi="Times New Roman"/>
                <w:color w:val="auto"/>
                <w:spacing w:val="-2"/>
                <w:lang w:eastAsia="zh-CN"/>
              </w:rPr>
              <w:t>》</w:t>
            </w:r>
            <w:r>
              <w:rPr>
                <w:rFonts w:hint="eastAsia" w:ascii="Times New Roman" w:hAnsi="Times New Roman"/>
                <w:color w:val="auto"/>
                <w:spacing w:val="-2"/>
                <w:lang w:eastAsia="zh-CN"/>
              </w:rPr>
              <w:t>（</w:t>
            </w:r>
            <w:r>
              <w:rPr>
                <w:rFonts w:ascii="Times New Roman" w:hAnsi="Times New Roman"/>
                <w:color w:val="auto"/>
                <w:spacing w:val="-2"/>
                <w:lang w:eastAsia="zh-CN"/>
              </w:rPr>
              <w:t>HJ</w:t>
            </w:r>
            <w:r>
              <w:rPr>
                <w:rFonts w:hint="eastAsia" w:ascii="Times New Roman" w:hAnsi="Times New Roman"/>
                <w:color w:val="auto"/>
                <w:spacing w:val="-2"/>
                <w:lang w:val="en-US" w:eastAsia="zh-CN"/>
              </w:rPr>
              <w:t>847</w:t>
            </w:r>
            <w:r>
              <w:rPr>
                <w:rFonts w:ascii="Times New Roman" w:hAnsi="Times New Roman"/>
                <w:color w:val="auto"/>
                <w:spacing w:val="-2"/>
                <w:lang w:eastAsia="zh-CN"/>
              </w:rPr>
              <w:t>-20</w:t>
            </w:r>
            <w:r>
              <w:rPr>
                <w:rFonts w:hint="eastAsia" w:ascii="Times New Roman" w:hAnsi="Times New Roman"/>
                <w:color w:val="auto"/>
                <w:spacing w:val="-2"/>
                <w:lang w:val="en-US" w:eastAsia="zh-CN"/>
              </w:rPr>
              <w:t>17）</w:t>
            </w:r>
            <w:r>
              <w:rPr>
                <w:rFonts w:ascii="Times New Roman" w:hAnsi="Times New Roman"/>
                <w:color w:val="auto"/>
                <w:spacing w:val="-2"/>
                <w:lang w:eastAsia="zh-CN"/>
              </w:rPr>
              <w:t>附录</w:t>
            </w:r>
            <w:r>
              <w:rPr>
                <w:rFonts w:hint="eastAsia" w:ascii="Times New Roman" w:hAnsi="Times New Roman"/>
                <w:color w:val="auto"/>
                <w:spacing w:val="-2"/>
                <w:lang w:val="en-US" w:eastAsia="zh-CN"/>
              </w:rPr>
              <w:t>B</w:t>
            </w:r>
            <w:r>
              <w:rPr>
                <w:rFonts w:ascii="Times New Roman" w:hAnsi="Times New Roman"/>
                <w:color w:val="auto"/>
                <w:spacing w:val="-2"/>
                <w:lang w:eastAsia="zh-CN"/>
              </w:rPr>
              <w:t>中污</w:t>
            </w:r>
            <w:r>
              <w:rPr>
                <w:rFonts w:ascii="Times New Roman" w:hAnsi="Times New Roman"/>
                <w:color w:val="auto"/>
                <w:spacing w:val="-2"/>
                <w:sz w:val="24"/>
                <w:lang w:eastAsia="zh-CN"/>
              </w:rPr>
              <w:t>染防治可行技术，经上述措施处理后，颗粒物排放可符合</w:t>
            </w:r>
            <w:r>
              <w:rPr>
                <w:rFonts w:hint="eastAsia" w:ascii="Times New Roman" w:hAnsi="Times New Roman"/>
                <w:color w:val="auto"/>
                <w:sz w:val="24"/>
              </w:rPr>
              <w:t>《水泥工业大气污染物排放标准》（GB4915-2013）表1中水泥制品制造排放标准限值（20mg/m</w:t>
            </w:r>
            <w:r>
              <w:rPr>
                <w:rFonts w:hint="eastAsia" w:ascii="Times New Roman" w:hAnsi="Times New Roman"/>
                <w:color w:val="auto"/>
                <w:sz w:val="24"/>
                <w:vertAlign w:val="superscript"/>
              </w:rPr>
              <w:t>3</w:t>
            </w:r>
            <w:r>
              <w:rPr>
                <w:rFonts w:hint="eastAsia" w:ascii="Times New Roman" w:hAnsi="Times New Roman"/>
                <w:color w:val="auto"/>
                <w:sz w:val="24"/>
              </w:rPr>
              <w:t>）</w:t>
            </w:r>
            <w:r>
              <w:rPr>
                <w:rFonts w:ascii="Times New Roman" w:hAnsi="Times New Roman"/>
                <w:color w:val="auto"/>
                <w:spacing w:val="-2"/>
                <w:sz w:val="24"/>
                <w:lang w:eastAsia="zh-CN"/>
              </w:rPr>
              <w:t>，</w:t>
            </w:r>
            <w:r>
              <w:rPr>
                <w:rFonts w:ascii="Times New Roman" w:hAnsi="Times New Roman"/>
                <w:color w:val="auto"/>
                <w:spacing w:val="-2"/>
                <w:lang w:eastAsia="zh-CN"/>
              </w:rPr>
              <w:t>治理措施可行</w:t>
            </w:r>
            <w:r>
              <w:rPr>
                <w:rFonts w:hint="eastAsia" w:ascii="Times New Roman" w:hAnsi="Times New Roman"/>
                <w:color w:val="auto"/>
                <w:spacing w:val="-2"/>
                <w:lang w:eastAsia="zh-CN"/>
              </w:rPr>
              <w:t>。</w:t>
            </w:r>
          </w:p>
          <w:p w14:paraId="1B94253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②无组织废气治理措施可行性分析</w:t>
            </w:r>
          </w:p>
          <w:p w14:paraId="3109601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1）运输扬尘</w:t>
            </w:r>
          </w:p>
          <w:p w14:paraId="6400F3AB">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项目原料和产品均通过汽车运输，运输过程中会产生道路扬尘；道路扬尘产生量与车型、车速、车流量、风速、道路表面积尘、尘土湿度等有关，产生的扬尘颗粒较大，易形成降尘，只影响近距离范围。</w:t>
            </w:r>
          </w:p>
          <w:p w14:paraId="2ECED6C8">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为了最大限度减少运输扬尘对外环境带来的不利影响，本次环评要求建设单位采取以下措施降低运输扬尘对周边环境的影响。</w:t>
            </w:r>
          </w:p>
          <w:p w14:paraId="708D2AF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①车辆在行驶时必须覆盖好车厢，避免运输过程中产生扬尘。</w:t>
            </w:r>
          </w:p>
          <w:p w14:paraId="477E3B5B">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②运输车辆行驶时减速慢行，减少扬尘的产生。</w:t>
            </w:r>
          </w:p>
          <w:p w14:paraId="7430034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③加强运输路线管理，避免在住宅区、学校、医院等敏感区域行驶，尽量选择不影响周边居民生活和健康的路线。</w:t>
            </w:r>
          </w:p>
          <w:p w14:paraId="7AA48C26">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④在运输车辆经过的道路、路面等区域加强清洁，及时清理积尘，减少扬尘。</w:t>
            </w:r>
          </w:p>
          <w:p w14:paraId="77F4A12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⑤晴天对厂区运输道路进行洒水降尘，洒水频次就天气情况而定，大风天气适当增加，原则上每天洒水不得低于2次。</w:t>
            </w:r>
          </w:p>
          <w:p w14:paraId="7E1F957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通过采取以上措施后，可使得道路扬尘影响降至最低，对运输扬尘不再进行量化。</w:t>
            </w:r>
          </w:p>
          <w:p w14:paraId="39BC658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2）堆料扬尘防治措施</w:t>
            </w:r>
          </w:p>
          <w:p w14:paraId="73B84B2F">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为减少原辅材料装卸、堆存过程中扬尘大气环境污染，环评要求以下防治措施：</w:t>
            </w:r>
          </w:p>
          <w:p w14:paraId="58710277">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①堆料场需进行围挡，留有一面开口方便开展生产作业；</w:t>
            </w:r>
          </w:p>
          <w:p w14:paraId="0B5AC301">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②堆料场场地应平整坚实地面硬化处理，并设置排水坡度，同时堆场必须进行100%抑尘网覆盖；</w:t>
            </w:r>
          </w:p>
          <w:p w14:paraId="133D29C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③堆料场内配置雾化喷头，每天定时对料堆进行洒水降尘处理，减少扬尘逸散；</w:t>
            </w:r>
          </w:p>
          <w:p w14:paraId="7D80BFF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④堆料场开口应配置一台雾炮机，对开口逸散扬尘进行雾化降尘处置。</w:t>
            </w:r>
          </w:p>
          <w:p w14:paraId="6502260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⑤遇有五级以上风的天气不安排砂石料装卸作业及其它可能产生扬尘污染的施工作业。</w:t>
            </w:r>
          </w:p>
          <w:p w14:paraId="0574463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⑥砂石料按规范进行堆放，控制堆存数量，不大量囤积。堆放时做到堆积方正、地脚干净整齐，并将周边及上方拍平压实，然后用密目网进行覆盖。砂石料如过于干燥，应及时洒水覆盖。</w:t>
            </w:r>
          </w:p>
          <w:p w14:paraId="62A36885">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本项目产生的废气污染物主要为颗粒物，</w:t>
            </w:r>
            <w:r>
              <w:rPr>
                <w:rFonts w:ascii="Times New Roman" w:hAnsi="Times New Roman"/>
                <w:color w:val="auto"/>
                <w:spacing w:val="-2"/>
                <w:lang w:eastAsia="zh-CN"/>
              </w:rPr>
              <w:t>在生产车间内设置喷雾设施，原料堆场设置不低于堆放物高度的严密围挡、抑尘网覆盖，洒水降尘。对厂区内车辆进行限速减速行驶，对车辆及道路进行洒水降尘等措施，降低无组织颗粒物排放量</w:t>
            </w:r>
            <w:r>
              <w:rPr>
                <w:rFonts w:hint="eastAsia" w:ascii="Times New Roman" w:hAnsi="Times New Roman"/>
                <w:color w:val="auto"/>
                <w:spacing w:val="-2"/>
                <w:lang w:eastAsia="zh-CN"/>
              </w:rPr>
              <w:t>。</w:t>
            </w:r>
          </w:p>
          <w:p w14:paraId="3EB90C8B">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综上所述，本项目产生的废气为颗粒物，且通过采取上述措施后能有效地控制废气的排放，项目废气治理措施可行。</w:t>
            </w:r>
          </w:p>
          <w:p w14:paraId="6E04F3F2">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w:t>
            </w:r>
            <w:r>
              <w:rPr>
                <w:rFonts w:hint="eastAsia" w:ascii="Times New Roman" w:hAnsi="Times New Roman"/>
                <w:color w:val="auto"/>
                <w:spacing w:val="-2"/>
                <w:lang w:eastAsia="zh-CN"/>
              </w:rPr>
              <w:t>4</w:t>
            </w:r>
            <w:r>
              <w:rPr>
                <w:rFonts w:ascii="Times New Roman" w:hAnsi="Times New Roman"/>
                <w:color w:val="auto"/>
                <w:spacing w:val="-2"/>
                <w:lang w:eastAsia="zh-CN"/>
              </w:rPr>
              <w:t>）大气环境影响分析</w:t>
            </w:r>
          </w:p>
          <w:p w14:paraId="1841CC36">
            <w:pPr>
              <w:pStyle w:val="20"/>
              <w:kinsoku/>
              <w:spacing w:line="360" w:lineRule="auto"/>
              <w:ind w:firstLine="448" w:firstLineChars="200"/>
              <w:rPr>
                <w:rFonts w:ascii="Times New Roman" w:hAnsi="Times New Roman"/>
                <w:color w:val="auto"/>
                <w:lang w:eastAsia="zh-CN"/>
              </w:rPr>
            </w:pPr>
            <w:r>
              <w:rPr>
                <w:rFonts w:ascii="Times New Roman" w:hAnsi="Times New Roman"/>
                <w:color w:val="auto"/>
                <w:spacing w:val="-8"/>
                <w:lang w:eastAsia="zh-CN"/>
              </w:rPr>
              <w:t>本项目所在区域</w:t>
            </w:r>
            <w:r>
              <w:rPr>
                <w:rFonts w:ascii="Times New Roman" w:hAnsi="Times New Roman" w:cs="Times New Roman"/>
                <w:color w:val="auto"/>
                <w:spacing w:val="-8"/>
                <w:lang w:eastAsia="zh-CN"/>
              </w:rPr>
              <w:t>SO</w:t>
            </w:r>
            <w:r>
              <w:rPr>
                <w:rFonts w:ascii="Times New Roman" w:hAnsi="Times New Roman" w:cs="Times New Roman"/>
                <w:color w:val="auto"/>
                <w:spacing w:val="-8"/>
                <w:position w:val="-1"/>
                <w:sz w:val="16"/>
                <w:szCs w:val="16"/>
                <w:lang w:eastAsia="zh-CN"/>
              </w:rPr>
              <w:t>2</w:t>
            </w:r>
            <w:r>
              <w:rPr>
                <w:rFonts w:ascii="Times New Roman" w:hAnsi="Times New Roman"/>
                <w:color w:val="auto"/>
                <w:spacing w:val="-8"/>
                <w:lang w:eastAsia="zh-CN"/>
              </w:rPr>
              <w:t>、</w:t>
            </w:r>
            <w:r>
              <w:rPr>
                <w:rFonts w:ascii="Times New Roman" w:hAnsi="Times New Roman" w:cs="Times New Roman"/>
                <w:color w:val="auto"/>
                <w:spacing w:val="-8"/>
                <w:lang w:eastAsia="zh-CN"/>
              </w:rPr>
              <w:t>NO</w:t>
            </w:r>
            <w:r>
              <w:rPr>
                <w:rFonts w:ascii="Times New Roman" w:hAnsi="Times New Roman" w:cs="Times New Roman"/>
                <w:color w:val="auto"/>
                <w:spacing w:val="-8"/>
                <w:position w:val="-1"/>
                <w:sz w:val="16"/>
                <w:szCs w:val="16"/>
                <w:lang w:eastAsia="zh-CN"/>
              </w:rPr>
              <w:t>2</w:t>
            </w:r>
            <w:r>
              <w:rPr>
                <w:rFonts w:ascii="Times New Roman" w:hAnsi="Times New Roman"/>
                <w:color w:val="auto"/>
                <w:spacing w:val="-8"/>
                <w:lang w:eastAsia="zh-CN"/>
              </w:rPr>
              <w:t>、</w:t>
            </w:r>
            <w:r>
              <w:rPr>
                <w:rFonts w:ascii="Times New Roman" w:hAnsi="Times New Roman" w:cs="Times New Roman"/>
                <w:color w:val="auto"/>
                <w:spacing w:val="-8"/>
                <w:lang w:eastAsia="zh-CN"/>
              </w:rPr>
              <w:t>CO</w:t>
            </w:r>
            <w:r>
              <w:rPr>
                <w:rFonts w:ascii="Times New Roman" w:hAnsi="Times New Roman"/>
                <w:color w:val="auto"/>
                <w:spacing w:val="-8"/>
                <w:lang w:eastAsia="zh-CN"/>
              </w:rPr>
              <w:t>、</w:t>
            </w:r>
            <w:r>
              <w:rPr>
                <w:rFonts w:ascii="Times New Roman" w:hAnsi="Times New Roman" w:cs="Times New Roman"/>
                <w:color w:val="auto"/>
                <w:spacing w:val="-8"/>
                <w:lang w:eastAsia="zh-CN"/>
              </w:rPr>
              <w:t>O</w:t>
            </w:r>
            <w:r>
              <w:rPr>
                <w:rFonts w:ascii="Times New Roman" w:hAnsi="Times New Roman" w:cs="Times New Roman"/>
                <w:color w:val="auto"/>
                <w:spacing w:val="-8"/>
                <w:position w:val="-1"/>
                <w:sz w:val="16"/>
                <w:szCs w:val="16"/>
                <w:lang w:eastAsia="zh-CN"/>
              </w:rPr>
              <w:t>3</w:t>
            </w:r>
            <w:r>
              <w:rPr>
                <w:rFonts w:ascii="Times New Roman" w:hAnsi="Times New Roman"/>
                <w:color w:val="auto"/>
                <w:spacing w:val="-8"/>
                <w:lang w:eastAsia="zh-CN"/>
              </w:rPr>
              <w:t>的浓度均可满足《环境空气质量标准》</w:t>
            </w:r>
            <w:r>
              <w:rPr>
                <w:rFonts w:ascii="Times New Roman" w:hAnsi="Times New Roman"/>
                <w:color w:val="auto"/>
                <w:spacing w:val="-2"/>
                <w:lang w:eastAsia="zh-CN"/>
              </w:rPr>
              <w:t>（</w:t>
            </w:r>
            <w:r>
              <w:rPr>
                <w:rFonts w:ascii="Times New Roman" w:hAnsi="Times New Roman" w:cs="Times New Roman"/>
                <w:color w:val="auto"/>
                <w:spacing w:val="-2"/>
                <w:lang w:eastAsia="zh-CN"/>
              </w:rPr>
              <w:t>GB3095-2012</w:t>
            </w:r>
            <w:r>
              <w:rPr>
                <w:rFonts w:ascii="Times New Roman" w:hAnsi="Times New Roman"/>
                <w:color w:val="auto"/>
                <w:spacing w:val="-2"/>
                <w:lang w:eastAsia="zh-CN"/>
              </w:rPr>
              <w:t>）二级浓度限值，</w:t>
            </w:r>
            <w:r>
              <w:rPr>
                <w:rFonts w:ascii="Times New Roman" w:hAnsi="Times New Roman" w:cs="Times New Roman"/>
                <w:color w:val="auto"/>
                <w:spacing w:val="-2"/>
                <w:lang w:eastAsia="zh-CN"/>
              </w:rPr>
              <w:t>PM</w:t>
            </w:r>
            <w:r>
              <w:rPr>
                <w:rFonts w:ascii="Times New Roman" w:hAnsi="Times New Roman" w:cs="Times New Roman"/>
                <w:color w:val="auto"/>
                <w:spacing w:val="-2"/>
                <w:position w:val="-1"/>
                <w:sz w:val="16"/>
                <w:szCs w:val="16"/>
                <w:lang w:eastAsia="zh-CN"/>
              </w:rPr>
              <w:t>10</w:t>
            </w:r>
            <w:r>
              <w:rPr>
                <w:rFonts w:ascii="Times New Roman" w:hAnsi="Times New Roman"/>
                <w:color w:val="auto"/>
                <w:spacing w:val="-2"/>
                <w:lang w:eastAsia="zh-CN"/>
              </w:rPr>
              <w:t>、</w:t>
            </w:r>
            <w:r>
              <w:rPr>
                <w:rFonts w:ascii="Times New Roman" w:hAnsi="Times New Roman" w:cs="Times New Roman"/>
                <w:color w:val="auto"/>
                <w:spacing w:val="-2"/>
                <w:lang w:eastAsia="zh-CN"/>
              </w:rPr>
              <w:t>PM</w:t>
            </w:r>
            <w:r>
              <w:rPr>
                <w:rFonts w:ascii="Times New Roman" w:hAnsi="Times New Roman" w:cs="Times New Roman"/>
                <w:color w:val="auto"/>
                <w:spacing w:val="-2"/>
                <w:position w:val="-1"/>
                <w:sz w:val="16"/>
                <w:szCs w:val="16"/>
                <w:lang w:eastAsia="zh-CN"/>
              </w:rPr>
              <w:t>2.5</w:t>
            </w:r>
            <w:r>
              <w:rPr>
                <w:rFonts w:ascii="Times New Roman" w:hAnsi="Times New Roman"/>
                <w:color w:val="auto"/>
                <w:spacing w:val="-2"/>
                <w:lang w:eastAsia="zh-CN"/>
              </w:rPr>
              <w:t>浓度超过《环境空气质量标准》</w:t>
            </w:r>
            <w:r>
              <w:rPr>
                <w:rFonts w:ascii="Times New Roman" w:hAnsi="Times New Roman"/>
                <w:color w:val="auto"/>
                <w:lang w:eastAsia="zh-CN"/>
              </w:rPr>
              <w:t>（</w:t>
            </w:r>
            <w:r>
              <w:rPr>
                <w:rFonts w:ascii="Times New Roman" w:hAnsi="Times New Roman" w:cs="Times New Roman"/>
                <w:color w:val="auto"/>
                <w:lang w:eastAsia="zh-CN"/>
              </w:rPr>
              <w:t>GB3095-2012</w:t>
            </w:r>
            <w:r>
              <w:rPr>
                <w:rFonts w:ascii="Times New Roman" w:hAnsi="Times New Roman"/>
                <w:color w:val="auto"/>
                <w:lang w:eastAsia="zh-CN"/>
              </w:rPr>
              <w:t>）二级浓度限值，区域环境空气质量良好，具有一定的环境容</w:t>
            </w:r>
            <w:r>
              <w:rPr>
                <w:rFonts w:ascii="Times New Roman" w:hAnsi="Times New Roman"/>
                <w:color w:val="auto"/>
                <w:spacing w:val="-11"/>
                <w:lang w:eastAsia="zh-CN"/>
              </w:rPr>
              <w:t>纳量。</w:t>
            </w:r>
          </w:p>
          <w:p w14:paraId="304DBAA3">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本项目厂界500米范围内无自然保护区、风景名胜区、居住区、文化区和农村地区中人群集中的区域。</w:t>
            </w:r>
          </w:p>
          <w:p w14:paraId="398B15CD">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本项目生产过程中产生的粉尘量不大，且本项目厂区</w:t>
            </w:r>
            <w:r>
              <w:rPr>
                <w:rFonts w:hint="eastAsia" w:ascii="Times New Roman" w:hAnsi="Times New Roman"/>
                <w:color w:val="auto"/>
                <w:spacing w:val="-2"/>
                <w:lang w:eastAsia="zh-CN"/>
              </w:rPr>
              <w:t>较大</w:t>
            </w:r>
            <w:r>
              <w:rPr>
                <w:rFonts w:ascii="Times New Roman" w:hAnsi="Times New Roman"/>
                <w:color w:val="auto"/>
                <w:spacing w:val="-2"/>
                <w:lang w:eastAsia="zh-CN"/>
              </w:rPr>
              <w:t>，较空旷，对周围</w:t>
            </w:r>
            <w:r>
              <w:rPr>
                <w:rFonts w:hint="eastAsia" w:ascii="Times New Roman" w:hAnsi="Times New Roman"/>
                <w:color w:val="auto"/>
                <w:spacing w:val="-2"/>
                <w:lang w:eastAsia="zh-CN"/>
              </w:rPr>
              <w:t>环境</w:t>
            </w:r>
            <w:r>
              <w:rPr>
                <w:rFonts w:ascii="Times New Roman" w:hAnsi="Times New Roman"/>
                <w:color w:val="auto"/>
                <w:spacing w:val="-2"/>
                <w:lang w:eastAsia="zh-CN"/>
              </w:rPr>
              <w:t>影响小。</w:t>
            </w:r>
          </w:p>
          <w:p w14:paraId="0A3E717B">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w:t>
            </w:r>
            <w:r>
              <w:rPr>
                <w:rFonts w:hint="eastAsia" w:ascii="Times New Roman" w:hAnsi="Times New Roman"/>
                <w:color w:val="auto"/>
                <w:spacing w:val="-2"/>
                <w:lang w:eastAsia="zh-CN"/>
              </w:rPr>
              <w:t>5</w:t>
            </w:r>
            <w:r>
              <w:rPr>
                <w:rFonts w:ascii="Times New Roman" w:hAnsi="Times New Roman"/>
                <w:color w:val="auto"/>
                <w:spacing w:val="-2"/>
                <w:lang w:eastAsia="zh-CN"/>
              </w:rPr>
              <w:t>）监测要求</w:t>
            </w:r>
          </w:p>
          <w:p w14:paraId="4ACC2A6F">
            <w:pPr>
              <w:pStyle w:val="20"/>
              <w:spacing w:line="360" w:lineRule="auto"/>
              <w:ind w:firstLine="472" w:firstLineChars="200"/>
              <w:rPr>
                <w:rFonts w:ascii="Times New Roman" w:hAnsi="Times New Roman"/>
                <w:color w:val="auto"/>
                <w:lang w:eastAsia="zh-CN"/>
              </w:rPr>
            </w:pPr>
            <w:r>
              <w:rPr>
                <w:rFonts w:ascii="Times New Roman" w:hAnsi="Times New Roman"/>
                <w:color w:val="auto"/>
                <w:spacing w:val="-2"/>
                <w:lang w:eastAsia="zh-CN"/>
              </w:rPr>
              <w:t>根据《排污单位自行监测技术指南总则》（HJ819-2017），另考虑到污染物排放较为稳定，确定本项目的废气日常监测要求见表</w:t>
            </w:r>
            <w:r>
              <w:rPr>
                <w:rFonts w:hint="eastAsia" w:ascii="Times New Roman" w:hAnsi="Times New Roman"/>
                <w:color w:val="auto"/>
                <w:spacing w:val="-2"/>
                <w:lang w:eastAsia="zh-CN"/>
              </w:rPr>
              <w:t>4-5</w:t>
            </w:r>
            <w:r>
              <w:rPr>
                <w:rFonts w:ascii="Times New Roman" w:hAnsi="Times New Roman"/>
                <w:color w:val="auto"/>
                <w:spacing w:val="-2"/>
                <w:lang w:eastAsia="zh-CN"/>
              </w:rPr>
              <w:t>。</w:t>
            </w:r>
          </w:p>
          <w:p w14:paraId="7F738DA1">
            <w:pPr>
              <w:pStyle w:val="20"/>
              <w:spacing w:line="360" w:lineRule="auto"/>
              <w:ind w:firstLine="418" w:firstLineChars="200"/>
              <w:jc w:val="center"/>
              <w:rPr>
                <w:rFonts w:ascii="Times New Roman" w:hAnsi="Times New Roman"/>
                <w:color w:val="auto"/>
                <w:sz w:val="21"/>
                <w:szCs w:val="21"/>
              </w:rPr>
            </w:pPr>
            <w:r>
              <w:rPr>
                <w:rFonts w:ascii="Times New Roman" w:hAnsi="Times New Roman"/>
                <w:b/>
                <w:bCs/>
                <w:color w:val="auto"/>
                <w:spacing w:val="-1"/>
                <w:sz w:val="21"/>
                <w:szCs w:val="21"/>
              </w:rPr>
              <w:t>表</w:t>
            </w:r>
            <w:r>
              <w:rPr>
                <w:rFonts w:hint="eastAsia" w:ascii="Times New Roman" w:hAnsi="Times New Roman" w:cs="Times New Roman"/>
                <w:b/>
                <w:bCs/>
                <w:color w:val="auto"/>
                <w:spacing w:val="-1"/>
                <w:sz w:val="21"/>
                <w:szCs w:val="21"/>
                <w:lang w:eastAsia="zh-CN"/>
              </w:rPr>
              <w:t>4-5</w:t>
            </w:r>
            <w:r>
              <w:rPr>
                <w:rFonts w:ascii="Times New Roman" w:hAnsi="Times New Roman"/>
                <w:b/>
                <w:bCs/>
                <w:color w:val="auto"/>
                <w:spacing w:val="-1"/>
                <w:sz w:val="21"/>
                <w:szCs w:val="21"/>
              </w:rPr>
              <w:t>废气监测方案</w:t>
            </w:r>
          </w:p>
          <w:tbl>
            <w:tblPr>
              <w:tblStyle w:val="19"/>
              <w:tblW w:w="80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1560"/>
              <w:gridCol w:w="1133"/>
              <w:gridCol w:w="1133"/>
              <w:gridCol w:w="2718"/>
            </w:tblGrid>
            <w:tr w14:paraId="47A0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46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FB3945">
                  <w:pPr>
                    <w:pStyle w:val="20"/>
                    <w:jc w:val="center"/>
                    <w:rPr>
                      <w:rFonts w:ascii="Times New Roman" w:hAnsi="Times New Roman"/>
                      <w:color w:val="auto"/>
                      <w:sz w:val="21"/>
                      <w:szCs w:val="21"/>
                      <w:lang w:eastAsia="zh-CN"/>
                    </w:rPr>
                  </w:pPr>
                  <w:r>
                    <w:rPr>
                      <w:rFonts w:ascii="Times New Roman" w:hAnsi="Times New Roman"/>
                      <w:color w:val="auto"/>
                      <w:spacing w:val="-7"/>
                      <w:sz w:val="21"/>
                      <w:szCs w:val="21"/>
                      <w:lang w:eastAsia="zh-CN"/>
                    </w:rPr>
                    <w:t>排放口编号</w:t>
                  </w:r>
                  <w:r>
                    <w:rPr>
                      <w:rFonts w:ascii="Times New Roman" w:hAnsi="Times New Roman" w:cs="Cambria"/>
                      <w:color w:val="auto"/>
                      <w:spacing w:val="-7"/>
                      <w:sz w:val="21"/>
                      <w:szCs w:val="21"/>
                      <w:lang w:eastAsia="zh-CN"/>
                    </w:rPr>
                    <w:t>/</w:t>
                  </w:r>
                  <w:r>
                    <w:rPr>
                      <w:rFonts w:hint="eastAsia" w:ascii="Times New Roman" w:hAnsi="Times New Roman" w:cs="Cambria"/>
                      <w:color w:val="auto"/>
                      <w:spacing w:val="-7"/>
                      <w:sz w:val="21"/>
                      <w:szCs w:val="21"/>
                      <w:lang w:eastAsia="zh-CN"/>
                    </w:rPr>
                    <w:t>监测</w:t>
                  </w:r>
                  <w:r>
                    <w:rPr>
                      <w:rFonts w:ascii="Times New Roman" w:hAnsi="Times New Roman"/>
                      <w:color w:val="auto"/>
                      <w:spacing w:val="-2"/>
                      <w:sz w:val="21"/>
                      <w:szCs w:val="21"/>
                      <w:lang w:eastAsia="zh-CN"/>
                    </w:rPr>
                    <w:t>测点位</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CB19">
                  <w:pPr>
                    <w:pStyle w:val="20"/>
                    <w:jc w:val="center"/>
                    <w:rPr>
                      <w:rFonts w:ascii="Times New Roman" w:hAnsi="Times New Roman"/>
                      <w:color w:val="auto"/>
                      <w:sz w:val="21"/>
                      <w:szCs w:val="21"/>
                      <w:lang w:eastAsia="zh-CN"/>
                    </w:rPr>
                  </w:pPr>
                  <w:r>
                    <w:rPr>
                      <w:rFonts w:ascii="Times New Roman" w:hAnsi="Times New Roman"/>
                      <w:color w:val="auto"/>
                      <w:spacing w:val="-7"/>
                      <w:sz w:val="21"/>
                      <w:szCs w:val="21"/>
                      <w:lang w:eastAsia="zh-CN"/>
                    </w:rPr>
                    <w:t>排放口名称</w:t>
                  </w:r>
                  <w:r>
                    <w:rPr>
                      <w:rFonts w:ascii="Times New Roman" w:hAnsi="Times New Roman" w:cs="Cambria"/>
                      <w:color w:val="auto"/>
                      <w:spacing w:val="-7"/>
                      <w:sz w:val="21"/>
                      <w:szCs w:val="21"/>
                      <w:lang w:eastAsia="zh-CN"/>
                    </w:rPr>
                    <w:t>/</w:t>
                  </w:r>
                  <w:r>
                    <w:rPr>
                      <w:rFonts w:ascii="Times New Roman" w:hAnsi="Times New Roman"/>
                      <w:color w:val="auto"/>
                      <w:spacing w:val="-7"/>
                      <w:sz w:val="21"/>
                      <w:szCs w:val="21"/>
                      <w:lang w:eastAsia="zh-CN"/>
                    </w:rPr>
                    <w:t>监测</w:t>
                  </w:r>
                  <w:r>
                    <w:rPr>
                      <w:rFonts w:ascii="Times New Roman" w:hAnsi="Times New Roman"/>
                      <w:color w:val="auto"/>
                      <w:spacing w:val="-4"/>
                      <w:sz w:val="21"/>
                      <w:szCs w:val="21"/>
                      <w:lang w:eastAsia="zh-CN"/>
                    </w:rPr>
                    <w:t>点位名称</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561D2">
                  <w:pPr>
                    <w:pStyle w:val="20"/>
                    <w:jc w:val="center"/>
                    <w:rPr>
                      <w:rFonts w:ascii="Times New Roman" w:hAnsi="Times New Roman"/>
                      <w:color w:val="auto"/>
                      <w:sz w:val="21"/>
                      <w:szCs w:val="21"/>
                    </w:rPr>
                  </w:pPr>
                  <w:r>
                    <w:rPr>
                      <w:rFonts w:ascii="Times New Roman" w:hAnsi="Times New Roman"/>
                      <w:color w:val="auto"/>
                      <w:spacing w:val="-2"/>
                      <w:sz w:val="21"/>
                      <w:szCs w:val="21"/>
                    </w:rPr>
                    <w:t>监测因子</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90055">
                  <w:pPr>
                    <w:pStyle w:val="20"/>
                    <w:jc w:val="center"/>
                    <w:rPr>
                      <w:rFonts w:ascii="Times New Roman" w:hAnsi="Times New Roman"/>
                      <w:color w:val="auto"/>
                      <w:sz w:val="21"/>
                      <w:szCs w:val="21"/>
                    </w:rPr>
                  </w:pPr>
                  <w:r>
                    <w:rPr>
                      <w:rFonts w:ascii="Times New Roman" w:hAnsi="Times New Roman"/>
                      <w:color w:val="auto"/>
                      <w:spacing w:val="-2"/>
                      <w:sz w:val="21"/>
                      <w:szCs w:val="21"/>
                    </w:rPr>
                    <w:t>监测频次</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9D996">
                  <w:pPr>
                    <w:pStyle w:val="20"/>
                    <w:jc w:val="center"/>
                    <w:rPr>
                      <w:rFonts w:ascii="Times New Roman" w:hAnsi="Times New Roman"/>
                      <w:color w:val="auto"/>
                      <w:sz w:val="21"/>
                      <w:szCs w:val="21"/>
                    </w:rPr>
                  </w:pPr>
                  <w:r>
                    <w:rPr>
                      <w:rFonts w:ascii="Times New Roman" w:hAnsi="Times New Roman"/>
                      <w:color w:val="auto"/>
                      <w:spacing w:val="-2"/>
                      <w:sz w:val="21"/>
                      <w:szCs w:val="21"/>
                    </w:rPr>
                    <w:t>执行标准</w:t>
                  </w:r>
                </w:p>
              </w:tc>
            </w:tr>
            <w:tr w14:paraId="43F5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E7A8">
                  <w:pPr>
                    <w:jc w:val="center"/>
                    <w:rPr>
                      <w:rFonts w:ascii="Times New Roman" w:hAnsi="Times New Roman" w:eastAsia="宋体" w:cs="Cambria"/>
                      <w:color w:val="auto"/>
                    </w:rPr>
                  </w:pPr>
                  <w:r>
                    <w:rPr>
                      <w:rFonts w:ascii="Times New Roman" w:hAnsi="Times New Roman" w:eastAsia="宋体" w:cs="Cambria"/>
                      <w:color w:val="auto"/>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86BBE">
                  <w:pPr>
                    <w:pStyle w:val="20"/>
                    <w:jc w:val="center"/>
                    <w:rPr>
                      <w:rFonts w:ascii="Times New Roman" w:hAnsi="Times New Roman"/>
                      <w:color w:val="auto"/>
                      <w:sz w:val="21"/>
                      <w:szCs w:val="21"/>
                    </w:rPr>
                  </w:pPr>
                  <w:r>
                    <w:rPr>
                      <w:rFonts w:ascii="Times New Roman" w:hAnsi="Times New Roman"/>
                      <w:color w:val="auto"/>
                      <w:spacing w:val="-3"/>
                      <w:sz w:val="21"/>
                      <w:szCs w:val="21"/>
                    </w:rPr>
                    <w:t>厂界</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9E76A">
                  <w:pPr>
                    <w:pStyle w:val="20"/>
                    <w:jc w:val="center"/>
                    <w:rPr>
                      <w:rFonts w:ascii="Times New Roman" w:hAnsi="Times New Roman"/>
                      <w:color w:val="auto"/>
                      <w:sz w:val="21"/>
                      <w:szCs w:val="21"/>
                    </w:rPr>
                  </w:pPr>
                  <w:r>
                    <w:rPr>
                      <w:rFonts w:ascii="Times New Roman" w:hAnsi="Times New Roman"/>
                      <w:color w:val="auto"/>
                      <w:spacing w:val="-1"/>
                      <w:sz w:val="21"/>
                      <w:szCs w:val="21"/>
                    </w:rPr>
                    <w:t>颗粒物</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1CB19">
                  <w:pPr>
                    <w:pStyle w:val="20"/>
                    <w:jc w:val="center"/>
                    <w:rPr>
                      <w:rFonts w:hint="eastAsia" w:ascii="Times New Roman" w:hAnsi="Times New Roman" w:eastAsia="宋体"/>
                      <w:color w:val="auto"/>
                      <w:sz w:val="21"/>
                      <w:szCs w:val="21"/>
                      <w:lang w:eastAsia="zh-CN"/>
                    </w:rPr>
                  </w:pPr>
                  <w:r>
                    <w:rPr>
                      <w:rFonts w:ascii="Times New Roman" w:hAnsi="Times New Roman" w:cs="Cambria"/>
                      <w:color w:val="auto"/>
                      <w:spacing w:val="-19"/>
                      <w:sz w:val="21"/>
                      <w:szCs w:val="21"/>
                    </w:rPr>
                    <w:t>1</w:t>
                  </w:r>
                  <w:r>
                    <w:rPr>
                      <w:rFonts w:ascii="Times New Roman" w:hAnsi="Times New Roman"/>
                      <w:color w:val="auto"/>
                      <w:spacing w:val="-19"/>
                      <w:sz w:val="21"/>
                      <w:szCs w:val="21"/>
                    </w:rPr>
                    <w:t>次</w:t>
                  </w:r>
                  <w:r>
                    <w:rPr>
                      <w:rFonts w:ascii="Times New Roman" w:hAnsi="Times New Roman" w:cs="Cambria"/>
                      <w:color w:val="auto"/>
                      <w:spacing w:val="-19"/>
                      <w:sz w:val="21"/>
                      <w:szCs w:val="21"/>
                    </w:rPr>
                    <w:t>/</w:t>
                  </w:r>
                  <w:r>
                    <w:rPr>
                      <w:rFonts w:hint="eastAsia" w:ascii="Times New Roman" w:hAnsi="Times New Roman"/>
                      <w:color w:val="auto"/>
                      <w:spacing w:val="-19"/>
                      <w:sz w:val="21"/>
                      <w:szCs w:val="21"/>
                      <w:lang w:val="en-US" w:eastAsia="zh-CN"/>
                    </w:rPr>
                    <w:t>年</w:t>
                  </w:r>
                </w:p>
              </w:tc>
              <w:tc>
                <w:tcPr>
                  <w:tcW w:w="2718" w:type="dxa"/>
                  <w:vMerge w:val="restart"/>
                  <w:tcBorders>
                    <w:top w:val="single" w:color="000000" w:sz="4" w:space="0"/>
                    <w:left w:val="single" w:color="000000" w:sz="4" w:space="0"/>
                    <w:right w:val="single" w:color="000000" w:sz="4" w:space="0"/>
                  </w:tcBorders>
                  <w:shd w:val="clear" w:color="auto" w:fill="FFFFFF"/>
                  <w:vAlign w:val="center"/>
                </w:tcPr>
                <w:p w14:paraId="100FA4F8">
                  <w:pPr>
                    <w:pStyle w:val="20"/>
                    <w:jc w:val="center"/>
                    <w:rPr>
                      <w:rFonts w:ascii="Times New Roman" w:hAnsi="Times New Roman"/>
                      <w:color w:val="auto"/>
                      <w:sz w:val="21"/>
                      <w:szCs w:val="21"/>
                      <w:lang w:eastAsia="zh-CN"/>
                    </w:rPr>
                  </w:pPr>
                  <w:r>
                    <w:rPr>
                      <w:rFonts w:ascii="Times New Roman" w:hAnsi="Times New Roman"/>
                      <w:color w:val="auto"/>
                      <w:spacing w:val="-2"/>
                      <w:sz w:val="21"/>
                      <w:szCs w:val="21"/>
                      <w:lang w:eastAsia="zh-CN"/>
                    </w:rPr>
                    <w:t>《水泥工业大气污染物排放标</w:t>
                  </w:r>
                  <w:r>
                    <w:rPr>
                      <w:rFonts w:ascii="Times New Roman" w:hAnsi="Times New Roman"/>
                      <w:color w:val="auto"/>
                      <w:spacing w:val="-5"/>
                      <w:sz w:val="21"/>
                      <w:szCs w:val="21"/>
                      <w:lang w:eastAsia="zh-CN"/>
                    </w:rPr>
                    <w:t>准》（</w:t>
                  </w:r>
                  <w:r>
                    <w:rPr>
                      <w:rFonts w:ascii="Times New Roman" w:hAnsi="Times New Roman" w:cs="Cambria"/>
                      <w:color w:val="auto"/>
                      <w:spacing w:val="-5"/>
                      <w:sz w:val="21"/>
                      <w:szCs w:val="21"/>
                      <w:lang w:eastAsia="zh-CN"/>
                    </w:rPr>
                    <w:t>GB4915-2013</w:t>
                  </w:r>
                  <w:r>
                    <w:rPr>
                      <w:rFonts w:ascii="Times New Roman" w:hAnsi="Times New Roman"/>
                      <w:color w:val="auto"/>
                      <w:spacing w:val="-5"/>
                      <w:sz w:val="21"/>
                      <w:szCs w:val="21"/>
                      <w:lang w:eastAsia="zh-CN"/>
                    </w:rPr>
                    <w:t>）</w:t>
                  </w:r>
                </w:p>
              </w:tc>
            </w:tr>
            <w:tr w14:paraId="2F1A8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91D8D">
                  <w:pPr>
                    <w:jc w:val="center"/>
                    <w:rPr>
                      <w:rFonts w:hint="default" w:ascii="Times New Roman" w:hAnsi="Times New Roman" w:eastAsia="宋体" w:cs="Cambria"/>
                      <w:color w:val="auto"/>
                      <w:lang w:val="en-US" w:eastAsia="zh-CN"/>
                    </w:rPr>
                  </w:pPr>
                  <w:r>
                    <w:rPr>
                      <w:rFonts w:hint="eastAsia" w:ascii="Times New Roman" w:hAnsi="Times New Roman" w:eastAsia="宋体" w:cs="Cambria"/>
                      <w:color w:val="auto"/>
                      <w:lang w:val="en-US" w:eastAsia="zh-CN"/>
                    </w:rPr>
                    <w:t>DA001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9206">
                  <w:pPr>
                    <w:pStyle w:val="20"/>
                    <w:jc w:val="center"/>
                    <w:rPr>
                      <w:rFonts w:hint="eastAsia" w:ascii="Times New Roman" w:hAnsi="Times New Roman" w:eastAsia="宋体"/>
                      <w:color w:val="auto"/>
                      <w:spacing w:val="-3"/>
                      <w:sz w:val="21"/>
                      <w:szCs w:val="21"/>
                      <w:lang w:val="en-US" w:eastAsia="zh-CN"/>
                    </w:rPr>
                  </w:pPr>
                  <w:r>
                    <w:rPr>
                      <w:rFonts w:hint="eastAsia" w:ascii="Times New Roman" w:hAnsi="Times New Roman"/>
                      <w:color w:val="auto"/>
                      <w:spacing w:val="-3"/>
                      <w:sz w:val="21"/>
                      <w:szCs w:val="21"/>
                      <w:lang w:val="en-US" w:eastAsia="zh-CN"/>
                    </w:rPr>
                    <w:t>排气筒</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247C">
                  <w:pPr>
                    <w:pStyle w:val="20"/>
                    <w:jc w:val="center"/>
                    <w:rPr>
                      <w:rFonts w:hint="eastAsia" w:ascii="Times New Roman" w:hAnsi="Times New Roman" w:eastAsia="宋体"/>
                      <w:color w:val="auto"/>
                      <w:spacing w:val="-1"/>
                      <w:sz w:val="21"/>
                      <w:szCs w:val="21"/>
                      <w:lang w:val="en-US" w:eastAsia="zh-CN"/>
                    </w:rPr>
                  </w:pPr>
                  <w:r>
                    <w:rPr>
                      <w:rFonts w:hint="eastAsia" w:ascii="Times New Roman" w:hAnsi="Times New Roman"/>
                      <w:color w:val="auto"/>
                      <w:spacing w:val="-1"/>
                      <w:sz w:val="21"/>
                      <w:szCs w:val="21"/>
                      <w:lang w:val="en-US" w:eastAsia="zh-CN"/>
                    </w:rPr>
                    <w:t>颗粒物</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B6E8A">
                  <w:pPr>
                    <w:pStyle w:val="20"/>
                    <w:jc w:val="center"/>
                    <w:rPr>
                      <w:rFonts w:hint="eastAsia" w:ascii="Times New Roman" w:hAnsi="Times New Roman" w:eastAsia="宋体" w:cs="Cambria"/>
                      <w:color w:val="auto"/>
                      <w:spacing w:val="-19"/>
                      <w:sz w:val="21"/>
                      <w:szCs w:val="21"/>
                      <w:lang w:eastAsia="zh-CN"/>
                    </w:rPr>
                  </w:pPr>
                  <w:r>
                    <w:rPr>
                      <w:rFonts w:ascii="Times New Roman" w:hAnsi="Times New Roman" w:cs="Cambria"/>
                      <w:color w:val="auto"/>
                      <w:spacing w:val="-19"/>
                      <w:sz w:val="21"/>
                      <w:szCs w:val="21"/>
                    </w:rPr>
                    <w:t>1</w:t>
                  </w:r>
                  <w:r>
                    <w:rPr>
                      <w:rFonts w:ascii="Times New Roman" w:hAnsi="Times New Roman"/>
                      <w:color w:val="auto"/>
                      <w:spacing w:val="-19"/>
                      <w:sz w:val="21"/>
                      <w:szCs w:val="21"/>
                    </w:rPr>
                    <w:t>次</w:t>
                  </w:r>
                  <w:r>
                    <w:rPr>
                      <w:rFonts w:ascii="Times New Roman" w:hAnsi="Times New Roman" w:cs="Cambria"/>
                      <w:color w:val="auto"/>
                      <w:spacing w:val="-19"/>
                      <w:sz w:val="21"/>
                      <w:szCs w:val="21"/>
                    </w:rPr>
                    <w:t>/</w:t>
                  </w:r>
                  <w:r>
                    <w:rPr>
                      <w:rFonts w:hint="eastAsia" w:ascii="Times New Roman" w:hAnsi="Times New Roman"/>
                      <w:color w:val="auto"/>
                      <w:spacing w:val="-19"/>
                      <w:sz w:val="21"/>
                      <w:szCs w:val="21"/>
                      <w:lang w:val="en-US" w:eastAsia="zh-CN"/>
                    </w:rPr>
                    <w:t>年</w:t>
                  </w:r>
                </w:p>
              </w:tc>
              <w:tc>
                <w:tcPr>
                  <w:tcW w:w="2718" w:type="dxa"/>
                  <w:vMerge w:val="continue"/>
                  <w:tcBorders>
                    <w:left w:val="single" w:color="000000" w:sz="4" w:space="0"/>
                    <w:bottom w:val="single" w:color="000000" w:sz="4" w:space="0"/>
                    <w:right w:val="single" w:color="000000" w:sz="4" w:space="0"/>
                  </w:tcBorders>
                  <w:shd w:val="clear" w:color="auto" w:fill="FFFFFF"/>
                  <w:vAlign w:val="center"/>
                </w:tcPr>
                <w:p w14:paraId="21C73909">
                  <w:pPr>
                    <w:pStyle w:val="20"/>
                    <w:jc w:val="center"/>
                    <w:rPr>
                      <w:rFonts w:ascii="Times New Roman" w:hAnsi="Times New Roman"/>
                      <w:color w:val="auto"/>
                      <w:spacing w:val="-2"/>
                      <w:sz w:val="21"/>
                      <w:szCs w:val="21"/>
                      <w:lang w:eastAsia="zh-CN"/>
                    </w:rPr>
                  </w:pPr>
                </w:p>
              </w:tc>
            </w:tr>
          </w:tbl>
          <w:p w14:paraId="562D9A6B">
            <w:pPr>
              <w:pStyle w:val="20"/>
              <w:spacing w:line="360" w:lineRule="auto"/>
              <w:ind w:firstLine="472" w:firstLineChars="200"/>
              <w:rPr>
                <w:rFonts w:ascii="Times New Roman" w:hAnsi="Times New Roman" w:eastAsia="Times New Roman" w:cs="Times New Roman"/>
                <w:b/>
                <w:bCs/>
                <w:color w:val="auto"/>
                <w:spacing w:val="-2"/>
                <w:lang w:eastAsia="zh-CN"/>
              </w:rPr>
            </w:pPr>
            <w:r>
              <w:rPr>
                <w:rFonts w:hint="eastAsia" w:ascii="Times New Roman" w:hAnsi="Times New Roman" w:eastAsia="Times New Roman" w:cs="Times New Roman"/>
                <w:b/>
                <w:bCs/>
                <w:color w:val="auto"/>
                <w:spacing w:val="-2"/>
                <w:lang w:eastAsia="zh-CN"/>
              </w:rPr>
              <w:t>2、废水</w:t>
            </w:r>
          </w:p>
          <w:p w14:paraId="42D96DEC">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（1）污染物源强</w:t>
            </w:r>
          </w:p>
          <w:p w14:paraId="4C0B2956">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①生产用水</w:t>
            </w:r>
          </w:p>
          <w:p w14:paraId="6E6F4415">
            <w:pPr>
              <w:pStyle w:val="20"/>
              <w:widowControl w:val="0"/>
              <w:spacing w:line="360" w:lineRule="auto"/>
              <w:ind w:firstLine="468" w:firstLineChars="200"/>
              <w:jc w:val="both"/>
              <w:rPr>
                <w:rFonts w:ascii="Times New Roman" w:hAnsi="Times New Roman"/>
                <w:color w:val="auto"/>
                <w:spacing w:val="-3"/>
                <w:lang w:eastAsia="zh-CN"/>
              </w:rPr>
            </w:pPr>
            <w:r>
              <w:rPr>
                <w:rFonts w:ascii="Times New Roman" w:hAnsi="Times New Roman"/>
                <w:color w:val="auto"/>
                <w:spacing w:val="-3"/>
                <w:lang w:eastAsia="zh-CN"/>
              </w:rPr>
              <w:t>本项目生产用水环节为拌合料用水和打磨时用水。</w:t>
            </w:r>
          </w:p>
          <w:p w14:paraId="2B6EC890">
            <w:pPr>
              <w:pStyle w:val="20"/>
              <w:widowControl w:val="0"/>
              <w:spacing w:line="360" w:lineRule="auto"/>
              <w:ind w:firstLine="480" w:firstLineChars="200"/>
              <w:jc w:val="both"/>
              <w:rPr>
                <w:color w:val="auto"/>
                <w:lang w:eastAsia="zh-CN"/>
              </w:rPr>
            </w:pPr>
            <w:r>
              <w:rPr>
                <w:rFonts w:hint="eastAsia" w:cs="Times New Roman"/>
                <w:color w:val="auto"/>
                <w:lang w:eastAsia="zh-CN"/>
              </w:rPr>
              <w:t>透水砖</w:t>
            </w:r>
            <w:r>
              <w:rPr>
                <w:rFonts w:ascii="Times New Roman" w:hAnsi="Times New Roman" w:cs="Times New Roman"/>
                <w:color w:val="auto"/>
                <w:lang w:eastAsia="zh-CN"/>
              </w:rPr>
              <w:t>生产过程中，压砖机中搅拌工序需加入一定比例的水，生产用水量约为3.5m</w:t>
            </w:r>
            <w:r>
              <w:rPr>
                <w:rFonts w:ascii="Times New Roman" w:hAnsi="Times New Roman" w:cs="Times New Roman"/>
                <w:color w:val="auto"/>
                <w:vertAlign w:val="superscript"/>
                <w:lang w:eastAsia="zh-CN"/>
              </w:rPr>
              <w:t>3</w:t>
            </w:r>
            <w:r>
              <w:rPr>
                <w:rFonts w:ascii="Times New Roman" w:hAnsi="Times New Roman" w:cs="Times New Roman"/>
                <w:color w:val="auto"/>
                <w:lang w:eastAsia="zh-CN"/>
              </w:rPr>
              <w:t>/万块，项目预计年生产</w:t>
            </w:r>
            <w:r>
              <w:rPr>
                <w:rFonts w:hint="eastAsia" w:ascii="Times New Roman" w:hAnsi="Times New Roman" w:cs="Times New Roman"/>
                <w:color w:val="auto"/>
                <w:lang w:eastAsia="zh-CN"/>
              </w:rPr>
              <w:t>200</w:t>
            </w:r>
            <w:r>
              <w:rPr>
                <w:rFonts w:ascii="Times New Roman" w:hAnsi="Times New Roman" w:cs="Times New Roman"/>
                <w:color w:val="auto"/>
                <w:lang w:eastAsia="zh-CN"/>
              </w:rPr>
              <w:t>万块，则年用水量为</w:t>
            </w:r>
            <w:r>
              <w:rPr>
                <w:rFonts w:hint="eastAsia" w:ascii="Times New Roman" w:hAnsi="Times New Roman" w:cs="Times New Roman"/>
                <w:color w:val="auto"/>
                <w:lang w:eastAsia="zh-CN"/>
              </w:rPr>
              <w:t>700</w:t>
            </w:r>
            <w:r>
              <w:rPr>
                <w:rFonts w:ascii="Times New Roman" w:hAnsi="Times New Roman" w:cs="Times New Roman"/>
                <w:color w:val="auto"/>
                <w:lang w:eastAsia="zh-CN"/>
              </w:rPr>
              <w:t>m</w:t>
            </w:r>
            <w:r>
              <w:rPr>
                <w:rFonts w:ascii="Times New Roman" w:hAnsi="Times New Roman" w:cs="Times New Roman"/>
                <w:color w:val="auto"/>
                <w:vertAlign w:val="superscript"/>
                <w:lang w:eastAsia="zh-CN"/>
              </w:rPr>
              <w:t>3</w:t>
            </w:r>
            <w:r>
              <w:rPr>
                <w:rFonts w:ascii="Times New Roman" w:hAnsi="Times New Roman" w:cs="Times New Roman"/>
                <w:color w:val="auto"/>
                <w:lang w:eastAsia="zh-CN"/>
              </w:rPr>
              <w:t>/a（</w:t>
            </w:r>
            <w:r>
              <w:rPr>
                <w:rFonts w:hint="eastAsia" w:ascii="Times New Roman" w:hAnsi="Times New Roman" w:cs="Times New Roman"/>
                <w:color w:val="auto"/>
                <w:lang w:eastAsia="zh-CN"/>
              </w:rPr>
              <w:t>3.33</w:t>
            </w:r>
            <w:r>
              <w:rPr>
                <w:rFonts w:ascii="Times New Roman" w:hAnsi="Times New Roman" w:cs="Times New Roman"/>
                <w:color w:val="auto"/>
                <w:lang w:eastAsia="zh-CN"/>
              </w:rPr>
              <w:t>m</w:t>
            </w:r>
            <w:r>
              <w:rPr>
                <w:rFonts w:ascii="Times New Roman" w:hAnsi="Times New Roman" w:cs="Times New Roman"/>
                <w:color w:val="auto"/>
                <w:vertAlign w:val="superscript"/>
                <w:lang w:eastAsia="zh-CN"/>
              </w:rPr>
              <w:t>3</w:t>
            </w:r>
            <w:r>
              <w:rPr>
                <w:rFonts w:ascii="Times New Roman" w:hAnsi="Times New Roman" w:cs="Times New Roman"/>
                <w:color w:val="auto"/>
                <w:lang w:eastAsia="zh-CN"/>
              </w:rPr>
              <w:t>/d）。</w:t>
            </w:r>
            <w:r>
              <w:rPr>
                <w:rFonts w:hint="eastAsia"/>
                <w:color w:val="auto"/>
                <w:lang w:eastAsia="zh-CN"/>
              </w:rPr>
              <w:t>全部进入产品，无废水产生。</w:t>
            </w:r>
          </w:p>
          <w:p w14:paraId="5B47204A">
            <w:pPr>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在养护之后经过水磨拉丝机进行打磨，拉丝机钻头进行喷水，沉淀池容积为200m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，生产前将沉淀池注入80%的净水，约160m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，此部分水全部循环使用，每天需补充新鲜水1.4m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，年用水量294m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，冬季停产时该部分水不排放，可留至次年使用。</w:t>
            </w:r>
          </w:p>
          <w:p w14:paraId="6B7C13A6">
            <w:pPr>
              <w:pStyle w:val="20"/>
              <w:spacing w:line="360" w:lineRule="auto"/>
              <w:ind w:firstLine="468" w:firstLineChars="200"/>
              <w:rPr>
                <w:rFonts w:ascii="Times New Roman" w:hAnsi="Times New Roman"/>
                <w:color w:val="auto"/>
                <w:spacing w:val="-3"/>
                <w:lang w:eastAsia="zh-CN"/>
              </w:rPr>
            </w:pPr>
            <w:r>
              <w:rPr>
                <w:rFonts w:ascii="Times New Roman" w:hAnsi="Times New Roman"/>
                <w:color w:val="auto"/>
                <w:spacing w:val="-3"/>
                <w:lang w:eastAsia="zh-CN"/>
              </w:rPr>
              <w:t>综上所述生产过程中用水量共计</w:t>
            </w:r>
            <w:r>
              <w:rPr>
                <w:rFonts w:hint="eastAsia" w:ascii="Times New Roman" w:hAnsi="Times New Roman"/>
                <w:color w:val="auto"/>
                <w:spacing w:val="-3"/>
                <w:lang w:eastAsia="zh-CN"/>
              </w:rPr>
              <w:t>1154</w:t>
            </w:r>
            <w:r>
              <w:rPr>
                <w:rFonts w:ascii="Times New Roman" w:hAnsi="Times New Roman"/>
                <w:color w:val="auto"/>
                <w:spacing w:val="-3"/>
                <w:lang w:eastAsia="zh-CN"/>
              </w:rPr>
              <w:t>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/a，其中</w:t>
            </w:r>
            <w:r>
              <w:rPr>
                <w:rFonts w:hint="eastAsia" w:ascii="Times New Roman" w:hAnsi="Times New Roman"/>
                <w:color w:val="auto"/>
                <w:spacing w:val="-3"/>
                <w:lang w:eastAsia="zh-CN"/>
              </w:rPr>
              <w:t>160</w:t>
            </w:r>
            <w:r>
              <w:rPr>
                <w:rFonts w:ascii="Times New Roman" w:hAnsi="Times New Roman"/>
                <w:color w:val="auto"/>
                <w:spacing w:val="-3"/>
                <w:lang w:eastAsia="zh-CN"/>
              </w:rPr>
              <w:t>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为循环使用。</w:t>
            </w:r>
          </w:p>
          <w:p w14:paraId="3A312D4E">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w:t>
            </w:r>
            <w:r>
              <w:rPr>
                <w:rFonts w:ascii="Times New Roman" w:hAnsi="Times New Roman"/>
                <w:color w:val="auto"/>
                <w:spacing w:val="-2"/>
                <w:lang w:eastAsia="zh-CN"/>
              </w:rPr>
              <w:t>搅拌机清洗</w:t>
            </w:r>
            <w:r>
              <w:rPr>
                <w:rFonts w:hint="eastAsia" w:ascii="Times New Roman" w:hAnsi="Times New Roman"/>
                <w:color w:val="auto"/>
                <w:spacing w:val="-2"/>
                <w:lang w:eastAsia="zh-CN"/>
              </w:rPr>
              <w:t>、</w:t>
            </w:r>
            <w:r>
              <w:rPr>
                <w:rFonts w:hint="eastAsia" w:ascii="Times New Roman" w:hAnsi="Times New Roman"/>
                <w:color w:val="auto"/>
                <w:spacing w:val="-2"/>
                <w:lang w:val="en-US" w:eastAsia="zh-CN"/>
              </w:rPr>
              <w:t>运输车辆清洗</w:t>
            </w:r>
            <w:r>
              <w:rPr>
                <w:rFonts w:hint="eastAsia" w:ascii="Times New Roman" w:hAnsi="Times New Roman"/>
                <w:color w:val="auto"/>
                <w:spacing w:val="-2"/>
                <w:lang w:eastAsia="zh-CN"/>
              </w:rPr>
              <w:t>用</w:t>
            </w:r>
            <w:r>
              <w:rPr>
                <w:rFonts w:ascii="Times New Roman" w:hAnsi="Times New Roman"/>
                <w:color w:val="auto"/>
                <w:spacing w:val="-2"/>
                <w:lang w:eastAsia="zh-CN"/>
              </w:rPr>
              <w:t>水</w:t>
            </w:r>
          </w:p>
          <w:p w14:paraId="29630C2D">
            <w:pPr>
              <w:pStyle w:val="20"/>
              <w:spacing w:line="360" w:lineRule="auto"/>
              <w:ind w:firstLine="468" w:firstLineChars="200"/>
              <w:rPr>
                <w:rFonts w:hint="default" w:ascii="Times New Roman" w:hAnsi="Times New Roman"/>
                <w:spacing w:val="-3"/>
                <w:lang w:val="en-US" w:eastAsia="zh-CN"/>
              </w:rPr>
            </w:pPr>
            <w:r>
              <w:rPr>
                <w:rFonts w:ascii="Times New Roman" w:hAnsi="Times New Roman"/>
                <w:spacing w:val="-3"/>
                <w:lang w:eastAsia="zh-CN"/>
              </w:rPr>
              <w:t>根据业主提供，项目搅拌机在停止生产时需对其进行清理，采用冲击钻将设备上浆料冲掉后使用高压水枪进行冲洗，按一个月冲洗一次，每台搅拌机每次用水量约</w:t>
            </w:r>
            <w:r>
              <w:rPr>
                <w:rFonts w:hint="eastAsia" w:ascii="Times New Roman" w:hAnsi="Times New Roman"/>
                <w:spacing w:val="-3"/>
                <w:lang w:eastAsia="zh-CN"/>
              </w:rPr>
              <w:t>200</w:t>
            </w:r>
            <w:r>
              <w:rPr>
                <w:rFonts w:ascii="Times New Roman" w:hAnsi="Times New Roman"/>
                <w:spacing w:val="-3"/>
                <w:lang w:eastAsia="zh-CN"/>
              </w:rPr>
              <w:t>L，则项目冲洗水量为</w:t>
            </w:r>
            <w:r>
              <w:rPr>
                <w:rFonts w:hint="eastAsia" w:ascii="Times New Roman" w:hAnsi="Times New Roman"/>
                <w:spacing w:val="-3"/>
                <w:lang w:eastAsia="zh-CN"/>
              </w:rPr>
              <w:t>2.80</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hint="eastAsia" w:ascii="Times New Roman" w:hAnsi="Times New Roman"/>
                <w:spacing w:val="-3"/>
                <w:lang w:val="en-US" w:eastAsia="zh-CN"/>
              </w:rPr>
              <w:t>每台车辆每次清洗用水量为10L，本项目年运输约3500次，则运输车辆</w:t>
            </w:r>
            <w:r>
              <w:rPr>
                <w:rFonts w:ascii="Times New Roman" w:hAnsi="Times New Roman"/>
                <w:spacing w:val="-3"/>
                <w:lang w:eastAsia="zh-CN"/>
              </w:rPr>
              <w:t>冲洗水量为</w:t>
            </w:r>
            <w:r>
              <w:rPr>
                <w:rFonts w:hint="eastAsia" w:ascii="Times New Roman" w:hAnsi="Times New Roman"/>
                <w:spacing w:val="-3"/>
                <w:lang w:val="en-US" w:eastAsia="zh-CN"/>
              </w:rPr>
              <w:t>35</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hint="eastAsia" w:ascii="Times New Roman" w:hAnsi="Times New Roman"/>
                <w:spacing w:val="-3"/>
                <w:lang w:eastAsia="zh-CN"/>
              </w:rPr>
              <w:t>，</w:t>
            </w:r>
            <w:r>
              <w:rPr>
                <w:rFonts w:hint="eastAsia" w:ascii="Times New Roman" w:hAnsi="Times New Roman"/>
                <w:spacing w:val="-3"/>
                <w:lang w:val="en-US" w:eastAsia="zh-CN"/>
              </w:rPr>
              <w:t>用水量为37.8</w:t>
            </w:r>
            <w:r>
              <w:rPr>
                <w:rFonts w:ascii="Times New Roman" w:hAnsi="Times New Roman"/>
                <w:spacing w:val="-3"/>
                <w:lang w:eastAsia="zh-CN"/>
              </w:rPr>
              <w:t>m</w:t>
            </w:r>
            <w:r>
              <w:rPr>
                <w:rFonts w:hint="eastAsia" w:ascii="Times New Roman" w:hAnsi="Times New Roman"/>
                <w:spacing w:val="-3"/>
                <w:vertAlign w:val="superscript"/>
                <w:lang w:eastAsia="zh-CN"/>
              </w:rPr>
              <w:t>3</w:t>
            </w:r>
            <w:r>
              <w:rPr>
                <w:rFonts w:ascii="Times New Roman" w:hAnsi="Times New Roman"/>
                <w:spacing w:val="-3"/>
                <w:lang w:eastAsia="zh-CN"/>
              </w:rPr>
              <w:t>/a</w:t>
            </w:r>
            <w:r>
              <w:rPr>
                <w:rFonts w:hint="eastAsia" w:ascii="Times New Roman" w:hAnsi="Times New Roman"/>
                <w:spacing w:val="-3"/>
                <w:lang w:eastAsia="zh-CN"/>
              </w:rPr>
              <w:t>。</w:t>
            </w:r>
          </w:p>
          <w:p w14:paraId="72A1BDBC">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③</w:t>
            </w:r>
            <w:r>
              <w:rPr>
                <w:rFonts w:ascii="Times New Roman" w:hAnsi="Times New Roman"/>
                <w:color w:val="auto"/>
                <w:spacing w:val="-2"/>
                <w:lang w:eastAsia="zh-CN"/>
              </w:rPr>
              <w:t>养护用水</w:t>
            </w:r>
          </w:p>
          <w:p w14:paraId="18402226">
            <w:pPr>
              <w:pStyle w:val="20"/>
              <w:spacing w:line="360" w:lineRule="auto"/>
              <w:ind w:firstLine="468" w:firstLineChars="200"/>
              <w:rPr>
                <w:rFonts w:ascii="Times New Roman" w:hAnsi="Times New Roman"/>
                <w:color w:val="auto"/>
                <w:spacing w:val="-3"/>
                <w:lang w:eastAsia="zh-CN"/>
              </w:rPr>
            </w:pPr>
            <w:r>
              <w:rPr>
                <w:rFonts w:ascii="Times New Roman" w:hAnsi="Times New Roman"/>
                <w:color w:val="auto"/>
                <w:spacing w:val="-3"/>
                <w:lang w:eastAsia="zh-CN"/>
              </w:rPr>
              <w:t>本项目生产的砖采用自然养护的方式，需定时洒水，根据业主提供，每天需洒水3次，养护用水量为0.8m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/d。则本项目养护用水共计</w:t>
            </w:r>
            <w:r>
              <w:rPr>
                <w:rFonts w:hint="eastAsia" w:ascii="Times New Roman" w:hAnsi="Times New Roman"/>
                <w:color w:val="auto"/>
                <w:spacing w:val="-3"/>
                <w:lang w:eastAsia="zh-CN"/>
              </w:rPr>
              <w:t>168</w:t>
            </w:r>
            <w:r>
              <w:rPr>
                <w:rFonts w:ascii="Times New Roman" w:hAnsi="Times New Roman"/>
                <w:color w:val="auto"/>
                <w:spacing w:val="-3"/>
                <w:lang w:eastAsia="zh-CN"/>
              </w:rPr>
              <w:t>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/a，该部分水全部在使用过程中损耗，无废水产生。</w:t>
            </w:r>
          </w:p>
          <w:p w14:paraId="4729B243">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w:t>
            </w:r>
            <w:r>
              <w:rPr>
                <w:rFonts w:ascii="Times New Roman" w:hAnsi="Times New Roman"/>
                <w:color w:val="auto"/>
                <w:spacing w:val="-2"/>
                <w:lang w:eastAsia="zh-CN"/>
              </w:rPr>
              <w:t>生活用水</w:t>
            </w:r>
          </w:p>
          <w:p w14:paraId="46616D19">
            <w:pPr>
              <w:pStyle w:val="20"/>
              <w:widowControl w:val="0"/>
              <w:spacing w:line="360" w:lineRule="auto"/>
              <w:ind w:firstLine="468" w:firstLineChars="200"/>
              <w:jc w:val="both"/>
              <w:rPr>
                <w:rFonts w:ascii="Times New Roman" w:hAnsi="Times New Roman"/>
                <w:color w:val="auto"/>
                <w:spacing w:val="-3"/>
                <w:lang w:eastAsia="zh-CN"/>
              </w:rPr>
            </w:pPr>
            <w:r>
              <w:rPr>
                <w:rFonts w:ascii="Times New Roman" w:hAnsi="Times New Roman"/>
                <w:color w:val="auto"/>
                <w:spacing w:val="-3"/>
                <w:lang w:eastAsia="zh-CN"/>
              </w:rPr>
              <w:t>本项目劳动定员为15人，生活用水量按每人每天100L计算。本项目生活用水量为</w:t>
            </w:r>
            <w:r>
              <w:rPr>
                <w:rFonts w:hint="eastAsia" w:ascii="Times New Roman" w:hAnsi="Times New Roman"/>
                <w:color w:val="auto"/>
                <w:spacing w:val="-3"/>
                <w:lang w:eastAsia="zh-CN"/>
              </w:rPr>
              <w:t>315</w:t>
            </w:r>
            <w:r>
              <w:rPr>
                <w:rFonts w:ascii="Times New Roman" w:hAnsi="Times New Roman"/>
                <w:color w:val="auto"/>
                <w:spacing w:val="-3"/>
                <w:lang w:eastAsia="zh-CN"/>
              </w:rPr>
              <w:t>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/a，废水的排放量按用水量的80%计算，则本项目生活污水排放量为</w:t>
            </w:r>
            <w:r>
              <w:rPr>
                <w:rFonts w:hint="eastAsia" w:ascii="Times New Roman" w:hAnsi="Times New Roman"/>
                <w:color w:val="auto"/>
                <w:spacing w:val="-3"/>
                <w:lang w:eastAsia="zh-CN"/>
              </w:rPr>
              <w:t>252</w:t>
            </w:r>
            <w:r>
              <w:rPr>
                <w:rFonts w:ascii="Times New Roman" w:hAnsi="Times New Roman"/>
                <w:color w:val="auto"/>
                <w:spacing w:val="-3"/>
                <w:lang w:eastAsia="zh-CN"/>
              </w:rPr>
              <w:t>m</w:t>
            </w:r>
            <w:r>
              <w:rPr>
                <w:rFonts w:hint="eastAsia" w:ascii="Times New Roman" w:hAnsi="Times New Roman"/>
                <w:color w:val="auto"/>
                <w:spacing w:val="-3"/>
                <w:vertAlign w:val="superscript"/>
                <w:lang w:eastAsia="zh-CN"/>
              </w:rPr>
              <w:t>3</w:t>
            </w:r>
            <w:r>
              <w:rPr>
                <w:rFonts w:ascii="Times New Roman" w:hAnsi="Times New Roman"/>
                <w:color w:val="auto"/>
                <w:spacing w:val="-3"/>
                <w:lang w:eastAsia="zh-CN"/>
              </w:rPr>
              <w:t>/a，</w:t>
            </w:r>
            <w:r>
              <w:rPr>
                <w:rFonts w:hint="eastAsia"/>
                <w:color w:val="auto"/>
              </w:rPr>
              <w:t>生活污水排入农村污水管网，最终进入庆阳污水处理站处理</w:t>
            </w:r>
            <w:r>
              <w:rPr>
                <w:rFonts w:ascii="Times New Roman" w:hAnsi="Times New Roman"/>
                <w:color w:val="auto"/>
                <w:spacing w:val="-3"/>
                <w:lang w:eastAsia="zh-CN"/>
              </w:rPr>
              <w:t>。</w:t>
            </w:r>
          </w:p>
          <w:p w14:paraId="7BE78FCA">
            <w:pPr>
              <w:pStyle w:val="20"/>
              <w:widowControl w:val="0"/>
              <w:spacing w:line="360" w:lineRule="auto"/>
              <w:ind w:firstLine="468" w:firstLineChars="200"/>
              <w:jc w:val="both"/>
              <w:rPr>
                <w:rFonts w:ascii="Times New Roman" w:hAnsi="Times New Roman"/>
                <w:color w:val="auto"/>
                <w:spacing w:val="-3"/>
                <w:lang w:eastAsia="zh-CN"/>
              </w:rPr>
            </w:pPr>
            <w:r>
              <w:rPr>
                <w:rFonts w:ascii="Times New Roman" w:hAnsi="Times New Roman"/>
                <w:color w:val="auto"/>
                <w:spacing w:val="-3"/>
                <w:lang w:eastAsia="zh-CN"/>
              </w:rPr>
              <w:t>本项目生产过程中搅拌机清洗</w:t>
            </w:r>
            <w:r>
              <w:rPr>
                <w:rFonts w:hint="eastAsia" w:ascii="Times New Roman" w:hAnsi="Times New Roman"/>
                <w:color w:val="auto"/>
                <w:spacing w:val="-3"/>
                <w:lang w:eastAsia="zh-CN"/>
              </w:rPr>
              <w:t>、</w:t>
            </w:r>
            <w:r>
              <w:rPr>
                <w:rFonts w:hint="eastAsia" w:ascii="Times New Roman" w:hAnsi="Times New Roman"/>
                <w:color w:val="auto"/>
                <w:spacing w:val="-3"/>
                <w:lang w:val="en-US" w:eastAsia="zh-CN"/>
              </w:rPr>
              <w:t>运输车辆清洗</w:t>
            </w:r>
            <w:r>
              <w:rPr>
                <w:rFonts w:ascii="Times New Roman" w:hAnsi="Times New Roman"/>
                <w:color w:val="auto"/>
                <w:spacing w:val="-3"/>
                <w:lang w:eastAsia="zh-CN"/>
              </w:rPr>
              <w:t>用水量很少，全部用泥浆泵抽取回用于生产，自然养护水全部自然蒸发及损耗，无生产废水产生。废水主要为员工生活污水，</w:t>
            </w:r>
            <w:r>
              <w:rPr>
                <w:rFonts w:hint="eastAsia"/>
                <w:color w:val="auto"/>
              </w:rPr>
              <w:t>生活污水排入农村污水管网，最终进入庆阳污水处理站处理</w:t>
            </w:r>
            <w:r>
              <w:rPr>
                <w:rFonts w:ascii="Times New Roman" w:hAnsi="Times New Roman"/>
                <w:color w:val="auto"/>
                <w:spacing w:val="-3"/>
                <w:lang w:eastAsia="zh-CN"/>
              </w:rPr>
              <w:t>。</w:t>
            </w:r>
          </w:p>
          <w:p w14:paraId="2072F26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废水中污染物主要为COD、BOD</w:t>
            </w:r>
            <w:r>
              <w:rPr>
                <w:rFonts w:ascii="Times New Roman" w:hAnsi="Times New Roman"/>
                <w:color w:val="auto"/>
                <w:spacing w:val="-2"/>
                <w:vertAlign w:val="subscript"/>
                <w:lang w:eastAsia="zh-CN"/>
              </w:rPr>
              <w:t>5</w:t>
            </w:r>
            <w:r>
              <w:rPr>
                <w:rFonts w:ascii="Times New Roman" w:hAnsi="Times New Roman"/>
                <w:color w:val="auto"/>
                <w:spacing w:val="-2"/>
                <w:lang w:eastAsia="zh-CN"/>
              </w:rPr>
              <w:t>、SS、NH</w:t>
            </w:r>
            <w:r>
              <w:rPr>
                <w:rFonts w:ascii="Times New Roman" w:hAnsi="Times New Roman"/>
                <w:color w:val="auto"/>
                <w:spacing w:val="-2"/>
                <w:vertAlign w:val="subscript"/>
                <w:lang w:eastAsia="zh-CN"/>
              </w:rPr>
              <w:t>3</w:t>
            </w:r>
            <w:r>
              <w:rPr>
                <w:rFonts w:ascii="Times New Roman" w:hAnsi="Times New Roman"/>
                <w:color w:val="auto"/>
                <w:spacing w:val="-2"/>
                <w:lang w:eastAsia="zh-CN"/>
              </w:rPr>
              <w:t>-N。本项目生活污水排入农村污水管网，最终进入庆阳污水处理站处理。参照《城市给水排水工程规划设计实用全书》，本项目生活污水主要污染物及浓度分别为：COD≈350mg/L，BOD</w:t>
            </w:r>
            <w:r>
              <w:rPr>
                <w:rFonts w:ascii="Times New Roman" w:hAnsi="Times New Roman"/>
                <w:color w:val="auto"/>
                <w:spacing w:val="-2"/>
                <w:vertAlign w:val="subscript"/>
                <w:lang w:eastAsia="zh-CN"/>
              </w:rPr>
              <w:t>5</w:t>
            </w:r>
            <w:r>
              <w:rPr>
                <w:rFonts w:ascii="Times New Roman" w:hAnsi="Times New Roman"/>
                <w:color w:val="auto"/>
                <w:spacing w:val="-2"/>
                <w:lang w:eastAsia="zh-CN"/>
              </w:rPr>
              <w:t>≈200mg/L，SS≈250mg/L、NH</w:t>
            </w:r>
            <w:r>
              <w:rPr>
                <w:rFonts w:ascii="Times New Roman" w:hAnsi="Times New Roman"/>
                <w:color w:val="auto"/>
                <w:spacing w:val="-2"/>
                <w:vertAlign w:val="subscript"/>
                <w:lang w:eastAsia="zh-CN"/>
              </w:rPr>
              <w:t>3</w:t>
            </w:r>
            <w:r>
              <w:rPr>
                <w:rFonts w:ascii="Times New Roman" w:hAnsi="Times New Roman"/>
                <w:color w:val="auto"/>
                <w:spacing w:val="-2"/>
                <w:lang w:eastAsia="zh-CN"/>
              </w:rPr>
              <w:t>-N≈35mg/L。</w:t>
            </w:r>
          </w:p>
          <w:p w14:paraId="24DBC08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本项目废水污染源源强核算结果及相关参数见表</w:t>
            </w:r>
            <w:r>
              <w:rPr>
                <w:rFonts w:hint="eastAsia" w:ascii="Times New Roman" w:hAnsi="Times New Roman"/>
                <w:color w:val="auto"/>
                <w:spacing w:val="-2"/>
                <w:lang w:eastAsia="zh-CN"/>
              </w:rPr>
              <w:t>4-6</w:t>
            </w:r>
            <w:r>
              <w:rPr>
                <w:rFonts w:ascii="Times New Roman" w:hAnsi="Times New Roman"/>
                <w:color w:val="auto"/>
                <w:spacing w:val="-2"/>
                <w:lang w:eastAsia="zh-CN"/>
              </w:rPr>
              <w:t>。</w:t>
            </w:r>
          </w:p>
          <w:p w14:paraId="525E9782">
            <w:pPr>
              <w:pStyle w:val="20"/>
              <w:spacing w:line="360" w:lineRule="auto"/>
              <w:ind w:firstLine="414" w:firstLineChars="200"/>
              <w:jc w:val="center"/>
              <w:rPr>
                <w:color w:val="auto"/>
                <w:spacing w:val="-1"/>
                <w:lang w:eastAsia="zh-CN"/>
              </w:rPr>
            </w:pPr>
            <w:r>
              <w:rPr>
                <w:b/>
                <w:bCs/>
                <w:color w:val="auto"/>
                <w:spacing w:val="-2"/>
                <w:sz w:val="21"/>
                <w:szCs w:val="21"/>
                <w:lang w:eastAsia="zh-CN"/>
              </w:rPr>
              <w:t>表</w:t>
            </w:r>
            <w:r>
              <w:rPr>
                <w:rFonts w:hint="eastAsia" w:ascii="Times New Roman" w:hAnsi="Times New Roman" w:cs="Times New Roman"/>
                <w:b/>
                <w:bCs/>
                <w:color w:val="auto"/>
                <w:spacing w:val="-2"/>
                <w:sz w:val="21"/>
                <w:szCs w:val="21"/>
                <w:lang w:eastAsia="zh-CN"/>
              </w:rPr>
              <w:t>4-6</w:t>
            </w:r>
            <w:r>
              <w:rPr>
                <w:b/>
                <w:bCs/>
                <w:color w:val="auto"/>
                <w:spacing w:val="-2"/>
                <w:sz w:val="21"/>
                <w:szCs w:val="21"/>
                <w:lang w:eastAsia="zh-CN"/>
              </w:rPr>
              <w:t>废水污染源源强核算结果及相关参数一览表</w:t>
            </w:r>
          </w:p>
          <w:tbl>
            <w:tblPr>
              <w:tblStyle w:val="13"/>
              <w:tblW w:w="4900" w:type="pct"/>
              <w:jc w:val="center"/>
              <w:tblLayout w:type="fixed"/>
              <w:tblCellMar>
                <w:top w:w="0" w:type="dxa"/>
                <w:left w:w="108" w:type="dxa"/>
                <w:bottom w:w="0" w:type="dxa"/>
                <w:right w:w="108" w:type="dxa"/>
              </w:tblCellMar>
            </w:tblPr>
            <w:tblGrid>
              <w:gridCol w:w="518"/>
              <w:gridCol w:w="763"/>
              <w:gridCol w:w="694"/>
              <w:gridCol w:w="813"/>
              <w:gridCol w:w="722"/>
              <w:gridCol w:w="839"/>
              <w:gridCol w:w="829"/>
              <w:gridCol w:w="600"/>
              <w:gridCol w:w="707"/>
              <w:gridCol w:w="839"/>
              <w:gridCol w:w="847"/>
            </w:tblGrid>
            <w:tr w14:paraId="4E425BD7">
              <w:tblPrEx>
                <w:tblCellMar>
                  <w:top w:w="0" w:type="dxa"/>
                  <w:left w:w="108" w:type="dxa"/>
                  <w:bottom w:w="0" w:type="dxa"/>
                  <w:right w:w="108" w:type="dxa"/>
                </w:tblCellMar>
              </w:tblPrEx>
              <w:trPr>
                <w:trHeight w:val="795"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C1CBC">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工序/生产线</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F305B">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装置</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7ED5D">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污染源</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3284">
                  <w:pP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污染物</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B240A">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核算方法</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3036">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污染物产生量</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F261">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治理措施</w:t>
                  </w: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F0EC9">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污染物排放量</w:t>
                  </w:r>
                </w:p>
              </w:tc>
            </w:tr>
            <w:tr w14:paraId="653CA310">
              <w:tblPrEx>
                <w:tblCellMar>
                  <w:top w:w="0" w:type="dxa"/>
                  <w:left w:w="108" w:type="dxa"/>
                  <w:bottom w:w="0" w:type="dxa"/>
                  <w:right w:w="108" w:type="dxa"/>
                </w:tblCellMar>
              </w:tblPrEx>
              <w:trPr>
                <w:trHeight w:val="138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9272">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CC19">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9309">
                  <w:pPr>
                    <w:jc w:val="center"/>
                    <w:rPr>
                      <w:rFonts w:ascii="Times New Roman" w:hAnsi="Times New Roman" w:eastAsia="宋体" w:cs="宋体"/>
                      <w:color w:val="auto"/>
                      <w:szCs w:val="32"/>
                      <w:lang w:eastAsia="zh-CN"/>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FE0D">
                  <w:pPr>
                    <w:rPr>
                      <w:rFonts w:ascii="Times New Roman" w:hAnsi="Times New Roman" w:eastAsia="宋体" w:cs="宋体"/>
                      <w:color w:val="auto"/>
                      <w:szCs w:val="32"/>
                      <w:lang w:eastAsia="zh-CN"/>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66B6">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8C4">
                  <w:pPr>
                    <w:textAlignment w:val="center"/>
                    <w:rPr>
                      <w:rFonts w:ascii="Times New Roman" w:hAnsi="Times New Roman" w:eastAsia="宋体" w:cs="宋体"/>
                      <w:color w:val="auto"/>
                      <w:szCs w:val="42"/>
                      <w:lang w:eastAsia="zh-CN"/>
                    </w:rPr>
                  </w:pPr>
                  <w:r>
                    <w:rPr>
                      <w:rStyle w:val="22"/>
                      <w:rFonts w:ascii="Times New Roman" w:hAnsi="Times New Roman"/>
                      <w:color w:val="auto"/>
                      <w:sz w:val="21"/>
                      <w:lang w:eastAsia="zh-CN" w:bidi="ar"/>
                    </w:rPr>
                    <w:t>产生浓度</w:t>
                  </w:r>
                  <w:r>
                    <w:rPr>
                      <w:rStyle w:val="22"/>
                      <w:rFonts w:ascii="Times New Roman" w:hAnsi="Times New Roman"/>
                      <w:color w:val="auto"/>
                      <w:sz w:val="21"/>
                      <w:lang w:eastAsia="zh-CN" w:bidi="ar"/>
                    </w:rPr>
                    <w:br w:type="textWrapping"/>
                  </w:r>
                  <w:r>
                    <w:rPr>
                      <w:rStyle w:val="23"/>
                      <w:rFonts w:ascii="Times New Roman" w:hAnsi="Times New Roman"/>
                      <w:color w:val="auto"/>
                      <w:sz w:val="21"/>
                      <w:lang w:eastAsia="zh-CN" w:bidi="ar"/>
                    </w:rPr>
                    <w:t>(mg/L)</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47E">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产生量</w:t>
                  </w:r>
                  <w:r>
                    <w:rPr>
                      <w:rStyle w:val="22"/>
                      <w:rFonts w:hint="eastAsia" w:ascii="Times New Roman" w:hAnsi="Times New Roman"/>
                      <w:color w:val="auto"/>
                      <w:sz w:val="21"/>
                      <w:lang w:eastAsia="zh-CN" w:bidi="ar"/>
                    </w:rPr>
                    <w:t>（</w:t>
                  </w:r>
                  <w:r>
                    <w:rPr>
                      <w:rStyle w:val="22"/>
                      <w:rFonts w:ascii="Times New Roman" w:hAnsi="Times New Roman"/>
                      <w:color w:val="auto"/>
                      <w:sz w:val="21"/>
                      <w:lang w:eastAsia="zh-CN" w:bidi="ar"/>
                    </w:rPr>
                    <w:t>t/a</w:t>
                  </w:r>
                  <w:r>
                    <w:rPr>
                      <w:rStyle w:val="22"/>
                      <w:rFonts w:hint="eastAsia" w:ascii="Times New Roman" w:hAnsi="Times New Roman"/>
                      <w:color w:val="auto"/>
                      <w:sz w:val="21"/>
                      <w:lang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463">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工艺</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336">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效率</w:t>
                  </w:r>
                  <w:r>
                    <w:rPr>
                      <w:rStyle w:val="22"/>
                      <w:rFonts w:ascii="Times New Roman" w:hAnsi="Times New Roman"/>
                      <w:color w:val="auto"/>
                      <w:sz w:val="21"/>
                      <w:lang w:eastAsia="zh-CN" w:bidi="ar"/>
                    </w:rPr>
                    <w:br w:type="textWrapping"/>
                  </w:r>
                  <w:r>
                    <w:rPr>
                      <w:rStyle w:val="22"/>
                      <w:rFonts w:ascii="Times New Roman" w:hAnsi="Times New Roman"/>
                      <w:color w:val="auto"/>
                      <w:sz w:val="21"/>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8FA">
                  <w:pPr>
                    <w:jc w:val="center"/>
                    <w:textAlignment w:val="center"/>
                    <w:rPr>
                      <w:rFonts w:ascii="Times New Roman" w:hAnsi="Times New Roman" w:eastAsia="宋体" w:cs="宋体"/>
                      <w:color w:val="auto"/>
                      <w:szCs w:val="42"/>
                      <w:lang w:eastAsia="zh-CN"/>
                    </w:rPr>
                  </w:pPr>
                  <w:r>
                    <w:rPr>
                      <w:rStyle w:val="22"/>
                      <w:rFonts w:ascii="Times New Roman" w:hAnsi="Times New Roman"/>
                      <w:color w:val="auto"/>
                      <w:sz w:val="21"/>
                      <w:lang w:eastAsia="zh-CN" w:bidi="ar"/>
                    </w:rPr>
                    <w:t>排放浓度</w:t>
                  </w:r>
                  <w:r>
                    <w:rPr>
                      <w:rStyle w:val="22"/>
                      <w:rFonts w:hint="eastAsia" w:ascii="Times New Roman" w:hAnsi="Times New Roman"/>
                      <w:color w:val="auto"/>
                      <w:sz w:val="21"/>
                      <w:lang w:eastAsia="zh-CN" w:bidi="ar"/>
                    </w:rPr>
                    <w:t>（</w:t>
                  </w:r>
                  <w:r>
                    <w:rPr>
                      <w:rStyle w:val="23"/>
                      <w:rFonts w:ascii="Times New Roman" w:hAnsi="Times New Roman"/>
                      <w:color w:val="auto"/>
                      <w:sz w:val="21"/>
                      <w:lang w:eastAsia="zh-CN" w:bidi="ar"/>
                    </w:rPr>
                    <w:t>mg/L</w:t>
                  </w:r>
                  <w:r>
                    <w:rPr>
                      <w:rStyle w:val="23"/>
                      <w:rFonts w:hint="eastAsia" w:ascii="Times New Roman" w:hAnsi="Times New Roman"/>
                      <w:color w:val="auto"/>
                      <w:sz w:val="21"/>
                      <w:lang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BE8">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排放量</w:t>
                  </w:r>
                  <w:r>
                    <w:rPr>
                      <w:rStyle w:val="22"/>
                      <w:rFonts w:hint="eastAsia" w:ascii="Times New Roman" w:hAnsi="Times New Roman"/>
                      <w:color w:val="auto"/>
                      <w:sz w:val="21"/>
                      <w:lang w:eastAsia="zh-CN" w:bidi="ar"/>
                    </w:rPr>
                    <w:t>（</w:t>
                  </w:r>
                  <w:r>
                    <w:rPr>
                      <w:rStyle w:val="22"/>
                      <w:rFonts w:ascii="Times New Roman" w:hAnsi="Times New Roman"/>
                      <w:color w:val="auto"/>
                      <w:sz w:val="21"/>
                      <w:lang w:eastAsia="zh-CN" w:bidi="ar"/>
                    </w:rPr>
                    <w:t>t/a</w:t>
                  </w:r>
                  <w:r>
                    <w:rPr>
                      <w:rStyle w:val="22"/>
                      <w:rFonts w:hint="eastAsia" w:ascii="Times New Roman" w:hAnsi="Times New Roman"/>
                      <w:color w:val="auto"/>
                      <w:sz w:val="21"/>
                      <w:lang w:eastAsia="zh-CN" w:bidi="ar"/>
                    </w:rPr>
                    <w:t>）</w:t>
                  </w:r>
                </w:p>
              </w:tc>
            </w:tr>
            <w:tr w14:paraId="2FE166D9">
              <w:tblPrEx>
                <w:tblCellMar>
                  <w:top w:w="0" w:type="dxa"/>
                  <w:left w:w="108" w:type="dxa"/>
                  <w:bottom w:w="0" w:type="dxa"/>
                  <w:right w:w="108" w:type="dxa"/>
                </w:tblCellMar>
              </w:tblPrEx>
              <w:trPr>
                <w:trHeight w:val="760"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64BEC">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生活系统</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76256">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生活系统</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DC6B">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生活污水</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7AA">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COD</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142A3">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资料法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1F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1FFA">
                  <w:pPr>
                    <w:jc w:val="center"/>
                    <w:textAlignment w:val="center"/>
                    <w:rPr>
                      <w:rFonts w:ascii="Times New Roman" w:hAnsi="Times New Roman" w:eastAsia="宋体" w:cs="宋体"/>
                      <w:color w:val="auto"/>
                      <w:szCs w:val="32"/>
                      <w:lang w:eastAsia="zh-CN" w:bidi="ar"/>
                    </w:rPr>
                  </w:pPr>
                  <w:r>
                    <w:rPr>
                      <w:rFonts w:hint="eastAsia" w:ascii="Times New Roman" w:hAnsi="Times New Roman" w:eastAsia="宋体" w:cs="宋体"/>
                      <w:color w:val="auto"/>
                      <w:szCs w:val="32"/>
                      <w:lang w:eastAsia="zh-CN" w:bidi="ar"/>
                    </w:rPr>
                    <w:t>0.0882</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CF81">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3CF0">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E45">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F413">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0.0882</w:t>
                  </w:r>
                </w:p>
              </w:tc>
            </w:tr>
            <w:tr w14:paraId="3D53D4A5">
              <w:tblPrEx>
                <w:tblCellMar>
                  <w:top w:w="0" w:type="dxa"/>
                  <w:left w:w="108" w:type="dxa"/>
                  <w:bottom w:w="0" w:type="dxa"/>
                  <w:right w:w="108" w:type="dxa"/>
                </w:tblCellMar>
              </w:tblPrEx>
              <w:trPr>
                <w:trHeight w:val="78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678B">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FB0F">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88FE">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E4CA">
                  <w:pPr>
                    <w:jc w:val="center"/>
                    <w:textAlignment w:val="center"/>
                    <w:rPr>
                      <w:rFonts w:ascii="Times New Roman" w:hAnsi="Times New Roman" w:eastAsia="宋体" w:cs="Calibri"/>
                      <w:color w:val="auto"/>
                      <w:szCs w:val="32"/>
                      <w:lang w:eastAsia="zh-CN"/>
                    </w:rPr>
                  </w:pPr>
                  <w:r>
                    <w:rPr>
                      <w:rStyle w:val="22"/>
                      <w:rFonts w:ascii="Times New Roman" w:hAnsi="Times New Roman"/>
                      <w:color w:val="auto"/>
                      <w:sz w:val="21"/>
                      <w:lang w:eastAsia="zh-CN" w:bidi="ar"/>
                    </w:rPr>
                    <w:t>BOD</w:t>
                  </w:r>
                  <w:r>
                    <w:rPr>
                      <w:rStyle w:val="24"/>
                      <w:rFonts w:ascii="Times New Roman" w:hAnsi="Times New Roman" w:eastAsia="宋体"/>
                      <w:color w:val="auto"/>
                      <w:sz w:val="21"/>
                      <w:lang w:eastAsia="zh-CN" w:bidi="ar"/>
                    </w:rPr>
                    <w:t>₅</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E37">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E5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157C">
                  <w:pPr>
                    <w:jc w:val="center"/>
                    <w:textAlignment w:val="center"/>
                    <w:rPr>
                      <w:rFonts w:ascii="Times New Roman" w:hAnsi="Times New Roman" w:eastAsia="宋体" w:cs="宋体"/>
                      <w:color w:val="auto"/>
                      <w:szCs w:val="32"/>
                      <w:lang w:eastAsia="zh-CN" w:bidi="ar"/>
                    </w:rPr>
                  </w:pPr>
                  <w:r>
                    <w:rPr>
                      <w:rFonts w:hint="eastAsia" w:ascii="Times New Roman" w:hAnsi="Times New Roman" w:eastAsia="宋体" w:cs="宋体"/>
                      <w:color w:val="auto"/>
                      <w:szCs w:val="32"/>
                      <w:lang w:eastAsia="zh-CN" w:bidi="ar"/>
                    </w:rPr>
                    <w:t>0.0504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B732">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790">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D3F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2864">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0.0504</w:t>
                  </w:r>
                </w:p>
              </w:tc>
            </w:tr>
            <w:tr w14:paraId="695F2EB3">
              <w:tblPrEx>
                <w:tblCellMar>
                  <w:top w:w="0" w:type="dxa"/>
                  <w:left w:w="108" w:type="dxa"/>
                  <w:bottom w:w="0" w:type="dxa"/>
                  <w:right w:w="108" w:type="dxa"/>
                </w:tblCellMar>
              </w:tblPrEx>
              <w:trPr>
                <w:trHeight w:val="77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32B7">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1D40">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0AE6">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477">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SS</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46CB">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190">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C3D">
                  <w:pPr>
                    <w:jc w:val="center"/>
                    <w:textAlignment w:val="center"/>
                    <w:rPr>
                      <w:rFonts w:ascii="Times New Roman" w:hAnsi="Times New Roman" w:eastAsia="宋体" w:cs="宋体"/>
                      <w:color w:val="auto"/>
                      <w:szCs w:val="32"/>
                      <w:lang w:eastAsia="zh-CN" w:bidi="ar"/>
                    </w:rPr>
                  </w:pPr>
                  <w:r>
                    <w:rPr>
                      <w:rFonts w:hint="eastAsia" w:ascii="Times New Roman" w:hAnsi="Times New Roman" w:eastAsia="宋体" w:cs="宋体"/>
                      <w:color w:val="auto"/>
                      <w:szCs w:val="32"/>
                      <w:lang w:eastAsia="zh-CN" w:bidi="ar"/>
                    </w:rPr>
                    <w:t>0.063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DA51">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08A">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8F3">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250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5CF6">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0.063</w:t>
                  </w:r>
                </w:p>
              </w:tc>
            </w:tr>
            <w:tr w14:paraId="056D5C00">
              <w:tblPrEx>
                <w:tblCellMar>
                  <w:top w:w="0" w:type="dxa"/>
                  <w:left w:w="108" w:type="dxa"/>
                  <w:bottom w:w="0" w:type="dxa"/>
                  <w:right w:w="108" w:type="dxa"/>
                </w:tblCellMar>
              </w:tblPrEx>
              <w:trPr>
                <w:trHeight w:val="775"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2A23">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A42B">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8F99">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7A0">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NH</w:t>
                  </w:r>
                  <w:r>
                    <w:rPr>
                      <w:rStyle w:val="24"/>
                      <w:rFonts w:ascii="Times New Roman" w:hAnsi="Times New Roman" w:eastAsia="宋体"/>
                      <w:color w:val="auto"/>
                      <w:sz w:val="21"/>
                      <w:lang w:eastAsia="zh-CN" w:bidi="ar"/>
                    </w:rPr>
                    <w:t>₃</w:t>
                  </w:r>
                  <w:r>
                    <w:rPr>
                      <w:rStyle w:val="22"/>
                      <w:rFonts w:ascii="Times New Roman" w:hAnsi="Times New Roman"/>
                      <w:color w:val="auto"/>
                      <w:sz w:val="21"/>
                      <w:lang w:eastAsia="zh-CN" w:bidi="ar"/>
                    </w:rPr>
                    <w:t>-N</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602D">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1849">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748D">
                  <w:pPr>
                    <w:jc w:val="center"/>
                    <w:textAlignment w:val="center"/>
                    <w:rPr>
                      <w:rFonts w:ascii="Times New Roman" w:hAnsi="Times New Roman" w:eastAsia="宋体" w:cs="宋体"/>
                      <w:color w:val="auto"/>
                      <w:szCs w:val="32"/>
                      <w:lang w:eastAsia="zh-CN" w:bidi="ar"/>
                    </w:rPr>
                  </w:pPr>
                  <w:r>
                    <w:rPr>
                      <w:rFonts w:hint="eastAsia" w:ascii="Times New Roman" w:hAnsi="Times New Roman" w:eastAsia="宋体" w:cs="宋体"/>
                      <w:color w:val="auto"/>
                      <w:szCs w:val="32"/>
                      <w:lang w:eastAsia="zh-CN" w:bidi="ar"/>
                    </w:rPr>
                    <w:t>0.00882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FBF7">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2CF6">
                  <w:pPr>
                    <w:jc w:val="center"/>
                    <w:textAlignment w:val="center"/>
                    <w:rPr>
                      <w:rFonts w:ascii="Times New Roman" w:hAnsi="Times New Roman" w:eastAsia="宋体" w:cs="宋体"/>
                      <w:color w:val="auto"/>
                      <w:szCs w:val="32"/>
                      <w:lang w:eastAsia="zh-CN"/>
                    </w:rPr>
                  </w:pPr>
                  <w:r>
                    <w:rPr>
                      <w:rStyle w:val="22"/>
                      <w:rFonts w:ascii="Times New Roman" w:hAnsi="Times New Roman"/>
                      <w:color w:val="auto"/>
                      <w:sz w:val="21"/>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942C">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5035">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0.00882</w:t>
                  </w:r>
                </w:p>
              </w:tc>
            </w:tr>
          </w:tbl>
          <w:p w14:paraId="076DF60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本项目废水间接排放口基本情况见表</w:t>
            </w:r>
            <w:r>
              <w:rPr>
                <w:rFonts w:hint="eastAsia" w:ascii="Times New Roman" w:hAnsi="Times New Roman"/>
                <w:color w:val="auto"/>
                <w:spacing w:val="-2"/>
                <w:lang w:eastAsia="zh-CN"/>
              </w:rPr>
              <w:t>4-7</w:t>
            </w:r>
            <w:r>
              <w:rPr>
                <w:rFonts w:ascii="Times New Roman" w:hAnsi="Times New Roman"/>
                <w:color w:val="auto"/>
                <w:spacing w:val="-2"/>
                <w:lang w:eastAsia="zh-CN"/>
              </w:rPr>
              <w:t>。</w:t>
            </w:r>
          </w:p>
          <w:p w14:paraId="0DFAB82A">
            <w:pPr>
              <w:pStyle w:val="20"/>
              <w:spacing w:line="360" w:lineRule="auto"/>
              <w:ind w:firstLine="414" w:firstLineChars="200"/>
              <w:jc w:val="center"/>
              <w:rPr>
                <w:color w:val="auto"/>
                <w:spacing w:val="-7"/>
                <w:lang w:eastAsia="zh-CN"/>
              </w:rPr>
            </w:pPr>
            <w:r>
              <w:rPr>
                <w:b/>
                <w:bCs/>
                <w:color w:val="auto"/>
                <w:spacing w:val="-2"/>
                <w:sz w:val="21"/>
                <w:szCs w:val="21"/>
                <w:lang w:eastAsia="zh-CN"/>
              </w:rPr>
              <w:t>表</w:t>
            </w:r>
            <w:r>
              <w:rPr>
                <w:rFonts w:hint="eastAsia" w:ascii="Times New Roman" w:hAnsi="Times New Roman" w:cs="Times New Roman"/>
                <w:b/>
                <w:bCs/>
                <w:color w:val="auto"/>
                <w:spacing w:val="-2"/>
                <w:sz w:val="21"/>
                <w:szCs w:val="21"/>
                <w:lang w:eastAsia="zh-CN"/>
              </w:rPr>
              <w:t>4-7</w:t>
            </w:r>
            <w:r>
              <w:rPr>
                <w:b/>
                <w:bCs/>
                <w:color w:val="auto"/>
                <w:spacing w:val="-2"/>
                <w:sz w:val="21"/>
                <w:szCs w:val="21"/>
                <w:lang w:eastAsia="zh-CN"/>
              </w:rPr>
              <w:t>废水间接排放口基本情况表</w:t>
            </w:r>
          </w:p>
          <w:tbl>
            <w:tblPr>
              <w:tblStyle w:val="13"/>
              <w:tblW w:w="4900" w:type="pct"/>
              <w:jc w:val="center"/>
              <w:tblLayout w:type="fixed"/>
              <w:tblCellMar>
                <w:top w:w="0" w:type="dxa"/>
                <w:left w:w="108" w:type="dxa"/>
                <w:bottom w:w="0" w:type="dxa"/>
                <w:right w:w="108" w:type="dxa"/>
              </w:tblCellMar>
            </w:tblPr>
            <w:tblGrid>
              <w:gridCol w:w="518"/>
              <w:gridCol w:w="763"/>
              <w:gridCol w:w="694"/>
              <w:gridCol w:w="813"/>
              <w:gridCol w:w="722"/>
              <w:gridCol w:w="839"/>
              <w:gridCol w:w="829"/>
              <w:gridCol w:w="600"/>
              <w:gridCol w:w="707"/>
              <w:gridCol w:w="839"/>
              <w:gridCol w:w="847"/>
            </w:tblGrid>
            <w:tr w14:paraId="4CE7ECE1">
              <w:tblPrEx>
                <w:tblCellMar>
                  <w:top w:w="0" w:type="dxa"/>
                  <w:left w:w="108" w:type="dxa"/>
                  <w:bottom w:w="0" w:type="dxa"/>
                  <w:right w:w="108" w:type="dxa"/>
                </w:tblCellMar>
              </w:tblPrEx>
              <w:trPr>
                <w:trHeight w:val="795"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360B">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工序/生产线</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E70F">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装置</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46F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污染源</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CE51F">
                  <w:pP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污染物</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DA16">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核算方法</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D25A0">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污染物产生量</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805A">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治理措施</w:t>
                  </w: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0DFEE">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污染物排放量</w:t>
                  </w:r>
                </w:p>
              </w:tc>
            </w:tr>
            <w:tr w14:paraId="3F43CB7A">
              <w:tblPrEx>
                <w:tblCellMar>
                  <w:top w:w="0" w:type="dxa"/>
                  <w:left w:w="108" w:type="dxa"/>
                  <w:bottom w:w="0" w:type="dxa"/>
                  <w:right w:w="108" w:type="dxa"/>
                </w:tblCellMar>
              </w:tblPrEx>
              <w:trPr>
                <w:trHeight w:val="138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F6B5">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BB9C">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C4FB">
                  <w:pPr>
                    <w:jc w:val="center"/>
                    <w:rPr>
                      <w:rFonts w:ascii="Times New Roman" w:hAnsi="Times New Roman" w:eastAsia="宋体" w:cs="宋体"/>
                      <w:color w:val="auto"/>
                      <w:szCs w:val="32"/>
                      <w:lang w:eastAsia="zh-CN"/>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9339">
                  <w:pPr>
                    <w:rPr>
                      <w:rFonts w:ascii="Times New Roman" w:hAnsi="Times New Roman" w:eastAsia="宋体" w:cs="宋体"/>
                      <w:color w:val="auto"/>
                      <w:szCs w:val="32"/>
                      <w:lang w:eastAsia="zh-CN"/>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BBED">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33E8">
                  <w:pPr>
                    <w:textAlignment w:val="center"/>
                    <w:rPr>
                      <w:rFonts w:ascii="Times New Roman" w:hAnsi="Times New Roman" w:eastAsia="宋体" w:cs="宋体"/>
                      <w:color w:val="auto"/>
                      <w:szCs w:val="42"/>
                      <w:lang w:eastAsia="zh-CN"/>
                    </w:rPr>
                  </w:pPr>
                  <w:r>
                    <w:rPr>
                      <w:rFonts w:ascii="Times New Roman" w:hAnsi="Times New Roman" w:eastAsia="宋体" w:cs="宋体"/>
                      <w:color w:val="auto"/>
                      <w:szCs w:val="32"/>
                      <w:lang w:eastAsia="zh-CN" w:bidi="ar"/>
                    </w:rPr>
                    <w:t>产生浓度</w:t>
                  </w:r>
                  <w:r>
                    <w:rPr>
                      <w:rFonts w:hint="eastAsia" w:ascii="Times New Roman" w:hAnsi="Times New Roman" w:eastAsia="宋体" w:cs="宋体"/>
                      <w:color w:val="auto"/>
                      <w:szCs w:val="32"/>
                      <w:lang w:eastAsia="zh-CN" w:bidi="ar"/>
                    </w:rPr>
                    <w:t>（</w:t>
                  </w:r>
                  <w:r>
                    <w:rPr>
                      <w:rFonts w:ascii="Times New Roman" w:hAnsi="Times New Roman" w:eastAsia="宋体" w:cs="宋体"/>
                      <w:color w:val="auto"/>
                      <w:szCs w:val="42"/>
                      <w:lang w:eastAsia="zh-CN" w:bidi="ar"/>
                    </w:rPr>
                    <w:t>mg/L</w:t>
                  </w:r>
                  <w:r>
                    <w:rPr>
                      <w:rFonts w:hint="eastAsia" w:ascii="Times New Roman" w:hAnsi="Times New Roman" w:eastAsia="宋体" w:cs="宋体"/>
                      <w:color w:val="auto"/>
                      <w:szCs w:val="42"/>
                      <w:lang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E40">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产生量</w:t>
                  </w:r>
                  <w:r>
                    <w:rPr>
                      <w:rFonts w:hint="eastAsia" w:ascii="Times New Roman" w:hAnsi="Times New Roman" w:eastAsia="宋体" w:cs="宋体"/>
                      <w:color w:val="auto"/>
                      <w:szCs w:val="32"/>
                      <w:lang w:eastAsia="zh-CN" w:bidi="ar"/>
                    </w:rPr>
                    <w:t>（</w:t>
                  </w:r>
                  <w:r>
                    <w:rPr>
                      <w:rFonts w:ascii="Times New Roman" w:hAnsi="Times New Roman" w:eastAsia="宋体" w:cs="宋体"/>
                      <w:color w:val="auto"/>
                      <w:szCs w:val="32"/>
                      <w:lang w:eastAsia="zh-CN" w:bidi="ar"/>
                    </w:rPr>
                    <w:t>t/a</w:t>
                  </w:r>
                  <w:r>
                    <w:rPr>
                      <w:rFonts w:hint="eastAsia" w:ascii="Times New Roman" w:hAnsi="Times New Roman" w:eastAsia="宋体" w:cs="宋体"/>
                      <w:color w:val="auto"/>
                      <w:szCs w:val="32"/>
                      <w:lang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494D">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工艺</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210">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效率</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99C">
                  <w:pPr>
                    <w:jc w:val="center"/>
                    <w:textAlignment w:val="center"/>
                    <w:rPr>
                      <w:rFonts w:ascii="Times New Roman" w:hAnsi="Times New Roman" w:eastAsia="宋体" w:cs="宋体"/>
                      <w:color w:val="auto"/>
                      <w:szCs w:val="42"/>
                      <w:lang w:eastAsia="zh-CN"/>
                    </w:rPr>
                  </w:pPr>
                  <w:r>
                    <w:rPr>
                      <w:rFonts w:ascii="Times New Roman" w:hAnsi="Times New Roman" w:eastAsia="宋体" w:cs="宋体"/>
                      <w:color w:val="auto"/>
                      <w:szCs w:val="32"/>
                      <w:lang w:eastAsia="zh-CN" w:bidi="ar"/>
                    </w:rPr>
                    <w:t>排放浓度</w:t>
                  </w:r>
                  <w:r>
                    <w:rPr>
                      <w:rFonts w:hint="eastAsia" w:ascii="Times New Roman" w:hAnsi="Times New Roman" w:eastAsia="宋体" w:cs="宋体"/>
                      <w:color w:val="auto"/>
                      <w:szCs w:val="32"/>
                      <w:lang w:eastAsia="zh-CN" w:bidi="ar"/>
                    </w:rPr>
                    <w:t>（</w:t>
                  </w:r>
                  <w:r>
                    <w:rPr>
                      <w:rFonts w:ascii="Times New Roman" w:hAnsi="Times New Roman" w:eastAsia="宋体" w:cs="宋体"/>
                      <w:color w:val="auto"/>
                      <w:szCs w:val="42"/>
                      <w:lang w:eastAsia="zh-CN" w:bidi="ar"/>
                    </w:rPr>
                    <w:t>mg/L</w:t>
                  </w:r>
                  <w:r>
                    <w:rPr>
                      <w:rFonts w:hint="eastAsia" w:ascii="Times New Roman" w:hAnsi="Times New Roman" w:eastAsia="宋体" w:cs="宋体"/>
                      <w:color w:val="auto"/>
                      <w:szCs w:val="42"/>
                      <w:lang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0BFC">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排放量</w:t>
                  </w:r>
                  <w:r>
                    <w:rPr>
                      <w:rFonts w:hint="eastAsia" w:ascii="Times New Roman" w:hAnsi="Times New Roman" w:eastAsia="宋体" w:cs="宋体"/>
                      <w:color w:val="auto"/>
                      <w:szCs w:val="32"/>
                      <w:lang w:eastAsia="zh-CN" w:bidi="ar"/>
                    </w:rPr>
                    <w:t>（</w:t>
                  </w:r>
                  <w:r>
                    <w:rPr>
                      <w:rFonts w:ascii="Times New Roman" w:hAnsi="Times New Roman" w:eastAsia="宋体" w:cs="宋体"/>
                      <w:color w:val="auto"/>
                      <w:szCs w:val="32"/>
                      <w:lang w:eastAsia="zh-CN" w:bidi="ar"/>
                    </w:rPr>
                    <w:t>t/a</w:t>
                  </w:r>
                  <w:r>
                    <w:rPr>
                      <w:rFonts w:hint="eastAsia" w:ascii="Times New Roman" w:hAnsi="Times New Roman" w:eastAsia="宋体" w:cs="宋体"/>
                      <w:color w:val="auto"/>
                      <w:szCs w:val="32"/>
                      <w:lang w:eastAsia="zh-CN" w:bidi="ar"/>
                    </w:rPr>
                    <w:t>）</w:t>
                  </w:r>
                </w:p>
              </w:tc>
            </w:tr>
            <w:tr w14:paraId="01954ED9">
              <w:tblPrEx>
                <w:tblCellMar>
                  <w:top w:w="0" w:type="dxa"/>
                  <w:left w:w="108" w:type="dxa"/>
                  <w:bottom w:w="0" w:type="dxa"/>
                  <w:right w:w="108" w:type="dxa"/>
                </w:tblCellMar>
              </w:tblPrEx>
              <w:trPr>
                <w:trHeight w:val="760"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7BCA3">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生活</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系统</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0F94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生活</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系统</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8012F">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生活</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污水</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9192">
                  <w:pP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COD</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657F5">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资料法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F046">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FF2C">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0.0882</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26196">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2054">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D8A8">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E6C">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0.0882</w:t>
                  </w:r>
                </w:p>
              </w:tc>
            </w:tr>
            <w:tr w14:paraId="20819F28">
              <w:tblPrEx>
                <w:tblCellMar>
                  <w:top w:w="0" w:type="dxa"/>
                  <w:left w:w="108" w:type="dxa"/>
                  <w:bottom w:w="0" w:type="dxa"/>
                  <w:right w:w="108" w:type="dxa"/>
                </w:tblCellMar>
              </w:tblPrEx>
              <w:trPr>
                <w:trHeight w:val="78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8984">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266E">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BAF2">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E91B">
                  <w:pPr>
                    <w:textAlignment w:val="center"/>
                    <w:rPr>
                      <w:rFonts w:ascii="Times New Roman" w:hAnsi="Times New Roman" w:eastAsia="宋体" w:cs="Calibri"/>
                      <w:color w:val="auto"/>
                      <w:szCs w:val="32"/>
                      <w:lang w:eastAsia="zh-CN"/>
                    </w:rPr>
                  </w:pPr>
                  <w:r>
                    <w:rPr>
                      <w:rFonts w:ascii="Times New Roman" w:hAnsi="Times New Roman" w:eastAsia="宋体" w:cs="宋体"/>
                      <w:color w:val="auto"/>
                      <w:szCs w:val="32"/>
                      <w:lang w:eastAsia="zh-CN" w:bidi="ar"/>
                    </w:rPr>
                    <w:t>BOD</w:t>
                  </w:r>
                  <w:r>
                    <w:rPr>
                      <w:rFonts w:ascii="Times New Roman" w:hAnsi="Times New Roman" w:eastAsia="宋体" w:cs="Calibri"/>
                      <w:color w:val="auto"/>
                      <w:szCs w:val="32"/>
                      <w:lang w:eastAsia="zh-CN" w:bidi="ar"/>
                    </w:rPr>
                    <w:t>₅</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BB62">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3993">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BDF9">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0.0504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9C5B">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7424">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43A">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792">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0.0504</w:t>
                  </w:r>
                </w:p>
              </w:tc>
            </w:tr>
            <w:tr w14:paraId="6ED096A4">
              <w:tblPrEx>
                <w:tblCellMar>
                  <w:top w:w="0" w:type="dxa"/>
                  <w:left w:w="108" w:type="dxa"/>
                  <w:bottom w:w="0" w:type="dxa"/>
                  <w:right w:w="108" w:type="dxa"/>
                </w:tblCellMar>
              </w:tblPrEx>
              <w:trPr>
                <w:trHeight w:val="77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E82B">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116D">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0537">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CD0">
                  <w:pP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SS</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2E26">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34B3">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260">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0.063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0181">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13F">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C028">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250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E3C">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0.063</w:t>
                  </w:r>
                </w:p>
              </w:tc>
            </w:tr>
            <w:tr w14:paraId="5195B70D">
              <w:tblPrEx>
                <w:tblCellMar>
                  <w:top w:w="0" w:type="dxa"/>
                  <w:left w:w="108" w:type="dxa"/>
                  <w:bottom w:w="0" w:type="dxa"/>
                  <w:right w:w="108" w:type="dxa"/>
                </w:tblCellMar>
              </w:tblPrEx>
              <w:trPr>
                <w:trHeight w:val="775"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1DE0">
                  <w:pPr>
                    <w:jc w:val="center"/>
                    <w:rPr>
                      <w:rFonts w:ascii="Times New Roman" w:hAnsi="Times New Roman" w:eastAsia="宋体" w:cs="宋体"/>
                      <w:color w:val="auto"/>
                      <w:szCs w:val="32"/>
                      <w:lang w:eastAsia="zh-CN"/>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CB16">
                  <w:pPr>
                    <w:jc w:val="center"/>
                    <w:rPr>
                      <w:rFonts w:ascii="Times New Roman" w:hAnsi="Times New Roman" w:eastAsia="宋体" w:cs="宋体"/>
                      <w:color w:val="auto"/>
                      <w:szCs w:val="32"/>
                      <w:lang w:eastAsia="zh-CN"/>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91EF">
                  <w:pPr>
                    <w:jc w:val="center"/>
                    <w:rPr>
                      <w:rFonts w:ascii="Times New Roman" w:hAnsi="Times New Roman" w:eastAsia="宋体" w:cs="宋体"/>
                      <w:color w:val="auto"/>
                      <w:szCs w:val="32"/>
                      <w:lang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DD4A">
                  <w:pP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NH</w:t>
                  </w:r>
                  <w:r>
                    <w:rPr>
                      <w:rFonts w:ascii="Times New Roman" w:hAnsi="Times New Roman" w:eastAsia="宋体" w:cs="Calibri"/>
                      <w:color w:val="auto"/>
                      <w:szCs w:val="32"/>
                      <w:lang w:eastAsia="zh-CN" w:bidi="ar"/>
                    </w:rPr>
                    <w:t>₃</w:t>
                  </w:r>
                  <w:r>
                    <w:rPr>
                      <w:rFonts w:ascii="Times New Roman" w:hAnsi="Times New Roman" w:eastAsia="宋体" w:cs="宋体"/>
                      <w:color w:val="auto"/>
                      <w:szCs w:val="32"/>
                      <w:lang w:eastAsia="zh-CN" w:bidi="ar"/>
                    </w:rPr>
                    <w:t>-N</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9070">
                  <w:pPr>
                    <w:jc w:val="center"/>
                    <w:rPr>
                      <w:rFonts w:ascii="Times New Roman" w:hAnsi="Times New Roman" w:eastAsia="宋体" w:cs="宋体"/>
                      <w:color w:val="auto"/>
                      <w:szCs w:val="32"/>
                      <w:lang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0B70">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42F">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0.00882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ADAD">
                  <w:pPr>
                    <w:jc w:val="center"/>
                    <w:rPr>
                      <w:rFonts w:ascii="Times New Roman" w:hAnsi="Times New Roman" w:eastAsia="宋体" w:cs="宋体"/>
                      <w:color w:val="auto"/>
                      <w:szCs w:val="32"/>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67C1">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139">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35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E83">
                  <w:pPr>
                    <w:jc w:val="center"/>
                    <w:textAlignment w:val="center"/>
                    <w:rPr>
                      <w:rFonts w:ascii="Times New Roman" w:hAnsi="Times New Roman" w:eastAsia="宋体" w:cs="宋体"/>
                      <w:color w:val="auto"/>
                      <w:szCs w:val="32"/>
                      <w:lang w:eastAsia="zh-CN"/>
                    </w:rPr>
                  </w:pPr>
                  <w:r>
                    <w:rPr>
                      <w:rFonts w:hint="eastAsia" w:ascii="Times New Roman" w:hAnsi="Times New Roman" w:eastAsia="宋体" w:cs="宋体"/>
                      <w:color w:val="auto"/>
                      <w:szCs w:val="32"/>
                      <w:lang w:eastAsia="zh-CN" w:bidi="ar"/>
                    </w:rPr>
                    <w:t>0.00882</w:t>
                  </w:r>
                </w:p>
              </w:tc>
            </w:tr>
          </w:tbl>
          <w:p w14:paraId="6E22008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（2）废水排放标准</w:t>
            </w:r>
          </w:p>
          <w:p w14:paraId="6400653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执行《污水综合排放标准》（GB8978-1996）中表4中的三级排放限值和《污水排入城镇下水道水质标准》（GB/T31962-2015）中NH</w:t>
            </w:r>
            <w:r>
              <w:rPr>
                <w:rFonts w:ascii="Times New Roman" w:hAnsi="Times New Roman"/>
                <w:color w:val="auto"/>
                <w:spacing w:val="-2"/>
                <w:vertAlign w:val="subscript"/>
                <w:lang w:eastAsia="zh-CN"/>
              </w:rPr>
              <w:t>3</w:t>
            </w:r>
            <w:r>
              <w:rPr>
                <w:rFonts w:ascii="Times New Roman" w:hAnsi="Times New Roman"/>
                <w:color w:val="auto"/>
                <w:spacing w:val="-2"/>
                <w:lang w:eastAsia="zh-CN"/>
              </w:rPr>
              <w:t>-N最高允许值中B级标准45mg/L的规定。相关标准限值见表</w:t>
            </w:r>
            <w:r>
              <w:rPr>
                <w:rFonts w:hint="eastAsia" w:ascii="Times New Roman" w:hAnsi="Times New Roman"/>
                <w:color w:val="auto"/>
                <w:spacing w:val="-2"/>
                <w:lang w:eastAsia="zh-CN"/>
              </w:rPr>
              <w:t>4-8</w:t>
            </w:r>
            <w:r>
              <w:rPr>
                <w:rFonts w:ascii="Times New Roman" w:hAnsi="Times New Roman"/>
                <w:color w:val="auto"/>
                <w:spacing w:val="-2"/>
                <w:lang w:eastAsia="zh-CN"/>
              </w:rPr>
              <w:t>。</w:t>
            </w:r>
          </w:p>
          <w:p w14:paraId="48E54D29">
            <w:pPr>
              <w:spacing w:line="360" w:lineRule="auto"/>
              <w:ind w:firstLine="412" w:firstLineChars="200"/>
              <w:jc w:val="center"/>
              <w:rPr>
                <w:color w:val="auto"/>
                <w:lang w:eastAsia="zh-CN"/>
              </w:rPr>
            </w:pPr>
            <w:r>
              <w:rPr>
                <w:b/>
                <w:bCs/>
                <w:color w:val="auto"/>
                <w:spacing w:val="-2"/>
                <w:lang w:eastAsia="zh-CN"/>
              </w:rPr>
              <w:t>表</w:t>
            </w:r>
            <w:r>
              <w:rPr>
                <w:rFonts w:hint="eastAsia" w:ascii="Times New Roman" w:hAnsi="Times New Roman" w:eastAsia="宋体" w:cs="Times New Roman"/>
                <w:b/>
                <w:bCs/>
                <w:color w:val="auto"/>
                <w:spacing w:val="-2"/>
                <w:lang w:eastAsia="zh-CN"/>
              </w:rPr>
              <w:t>4-8</w:t>
            </w:r>
            <w:r>
              <w:rPr>
                <w:b/>
                <w:bCs/>
                <w:color w:val="auto"/>
                <w:spacing w:val="-2"/>
                <w:lang w:eastAsia="zh-CN"/>
              </w:rPr>
              <w:t>废水污染物排放执行标准表</w:t>
            </w:r>
          </w:p>
          <w:tbl>
            <w:tblPr>
              <w:tblStyle w:val="1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631"/>
              <w:gridCol w:w="1631"/>
              <w:gridCol w:w="1632"/>
              <w:gridCol w:w="1634"/>
            </w:tblGrid>
            <w:tr w14:paraId="02F8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53" w:type="dxa"/>
                  <w:vMerge w:val="restart"/>
                  <w:shd w:val="clear" w:color="auto" w:fill="auto"/>
                  <w:vAlign w:val="center"/>
                </w:tcPr>
                <w:p w14:paraId="463FB57B">
                  <w:pPr>
                    <w:textAlignment w:val="bottom"/>
                    <w:rPr>
                      <w:rFonts w:ascii="宋体" w:hAnsi="宋体" w:eastAsia="宋体" w:cs="宋体"/>
                      <w:color w:val="auto"/>
                    </w:rPr>
                  </w:pPr>
                  <w:r>
                    <w:rPr>
                      <w:rFonts w:hint="eastAsia" w:ascii="宋体" w:hAnsi="宋体" w:eastAsia="宋体" w:cs="宋体"/>
                      <w:color w:val="auto"/>
                      <w:lang w:eastAsia="zh-CN" w:bidi="ar"/>
                    </w:rPr>
                    <w:t>排放口编号</w:t>
                  </w:r>
                </w:p>
              </w:tc>
              <w:tc>
                <w:tcPr>
                  <w:tcW w:w="1653" w:type="dxa"/>
                  <w:vMerge w:val="restart"/>
                  <w:shd w:val="clear" w:color="auto" w:fill="auto"/>
                  <w:vAlign w:val="center"/>
                </w:tcPr>
                <w:p w14:paraId="09654777">
                  <w:pPr>
                    <w:textAlignment w:val="bottom"/>
                    <w:rPr>
                      <w:rFonts w:ascii="宋体" w:hAnsi="宋体" w:eastAsia="宋体" w:cs="宋体"/>
                      <w:color w:val="auto"/>
                    </w:rPr>
                  </w:pPr>
                  <w:r>
                    <w:rPr>
                      <w:rFonts w:hint="eastAsia" w:ascii="宋体" w:hAnsi="宋体" w:eastAsia="宋体" w:cs="宋体"/>
                      <w:color w:val="auto"/>
                      <w:lang w:eastAsia="zh-CN" w:bidi="ar"/>
                    </w:rPr>
                    <w:t>排放口名称</w:t>
                  </w:r>
                </w:p>
              </w:tc>
              <w:tc>
                <w:tcPr>
                  <w:tcW w:w="1653" w:type="dxa"/>
                  <w:vMerge w:val="restart"/>
                  <w:shd w:val="clear" w:color="auto" w:fill="auto"/>
                  <w:vAlign w:val="center"/>
                </w:tcPr>
                <w:p w14:paraId="591EC32B">
                  <w:pPr>
                    <w:textAlignment w:val="bottom"/>
                    <w:rPr>
                      <w:rFonts w:ascii="宋体" w:hAnsi="宋体" w:eastAsia="宋体" w:cs="宋体"/>
                      <w:color w:val="auto"/>
                    </w:rPr>
                  </w:pPr>
                  <w:r>
                    <w:rPr>
                      <w:rFonts w:hint="eastAsia" w:ascii="宋体" w:hAnsi="宋体" w:eastAsia="宋体" w:cs="宋体"/>
                      <w:color w:val="auto"/>
                      <w:lang w:eastAsia="zh-CN" w:bidi="ar"/>
                    </w:rPr>
                    <w:t>污染物种类</w:t>
                  </w:r>
                </w:p>
              </w:tc>
              <w:tc>
                <w:tcPr>
                  <w:tcW w:w="3310" w:type="dxa"/>
                  <w:gridSpan w:val="2"/>
                  <w:shd w:val="clear" w:color="auto" w:fill="auto"/>
                  <w:vAlign w:val="center"/>
                </w:tcPr>
                <w:p w14:paraId="618BA480">
                  <w:pPr>
                    <w:textAlignment w:val="bottom"/>
                    <w:rPr>
                      <w:rFonts w:ascii="宋体" w:hAnsi="宋体" w:eastAsia="宋体" w:cs="宋体"/>
                      <w:color w:val="auto"/>
                      <w:lang w:eastAsia="zh-CN"/>
                    </w:rPr>
                  </w:pPr>
                  <w:r>
                    <w:rPr>
                      <w:rFonts w:hint="eastAsia" w:ascii="宋体" w:hAnsi="宋体" w:eastAsia="宋体" w:cs="宋体"/>
                      <w:color w:val="auto"/>
                      <w:lang w:eastAsia="zh-CN" w:bidi="ar"/>
                    </w:rPr>
                    <w:t>国家或地方污染物排放标准</w:t>
                  </w:r>
                </w:p>
              </w:tc>
            </w:tr>
            <w:tr w14:paraId="3CA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53" w:type="dxa"/>
                  <w:vMerge w:val="continue"/>
                  <w:shd w:val="clear" w:color="auto" w:fill="auto"/>
                  <w:vAlign w:val="center"/>
                </w:tcPr>
                <w:p w14:paraId="593D3F62">
                  <w:pPr>
                    <w:rPr>
                      <w:rFonts w:eastAsia="宋体"/>
                      <w:color w:val="auto"/>
                      <w:lang w:eastAsia="zh-CN"/>
                    </w:rPr>
                  </w:pPr>
                </w:p>
              </w:tc>
              <w:tc>
                <w:tcPr>
                  <w:tcW w:w="1653" w:type="dxa"/>
                  <w:vMerge w:val="continue"/>
                  <w:shd w:val="clear" w:color="auto" w:fill="auto"/>
                  <w:vAlign w:val="center"/>
                </w:tcPr>
                <w:p w14:paraId="6F249DB2">
                  <w:pPr>
                    <w:rPr>
                      <w:rFonts w:eastAsia="宋体"/>
                      <w:color w:val="auto"/>
                      <w:lang w:eastAsia="zh-CN"/>
                    </w:rPr>
                  </w:pPr>
                </w:p>
              </w:tc>
              <w:tc>
                <w:tcPr>
                  <w:tcW w:w="1653" w:type="dxa"/>
                  <w:vMerge w:val="continue"/>
                  <w:shd w:val="clear" w:color="auto" w:fill="auto"/>
                  <w:vAlign w:val="center"/>
                </w:tcPr>
                <w:p w14:paraId="32398AA5">
                  <w:pPr>
                    <w:rPr>
                      <w:rFonts w:eastAsia="宋体"/>
                      <w:color w:val="auto"/>
                      <w:lang w:eastAsia="zh-CN"/>
                    </w:rPr>
                  </w:pPr>
                </w:p>
              </w:tc>
              <w:tc>
                <w:tcPr>
                  <w:tcW w:w="1654" w:type="dxa"/>
                  <w:shd w:val="clear" w:color="auto" w:fill="auto"/>
                  <w:vAlign w:val="center"/>
                </w:tcPr>
                <w:p w14:paraId="6AB55898">
                  <w:pPr>
                    <w:textAlignment w:val="bottom"/>
                    <w:rPr>
                      <w:rFonts w:ascii="宋体" w:hAnsi="宋体" w:eastAsia="宋体" w:cs="宋体"/>
                      <w:color w:val="auto"/>
                    </w:rPr>
                  </w:pPr>
                  <w:r>
                    <w:rPr>
                      <w:rFonts w:hint="eastAsia" w:ascii="宋体" w:hAnsi="宋体" w:eastAsia="宋体" w:cs="宋体"/>
                      <w:color w:val="auto"/>
                      <w:lang w:eastAsia="zh-CN" w:bidi="ar"/>
                    </w:rPr>
                    <w:t>名称</w:t>
                  </w:r>
                </w:p>
              </w:tc>
              <w:tc>
                <w:tcPr>
                  <w:tcW w:w="1656" w:type="dxa"/>
                  <w:vMerge w:val="restart"/>
                  <w:shd w:val="clear" w:color="auto" w:fill="auto"/>
                  <w:vAlign w:val="center"/>
                </w:tcPr>
                <w:p w14:paraId="4431DD16">
                  <w:pPr>
                    <w:textAlignment w:val="bottom"/>
                    <w:rPr>
                      <w:rFonts w:ascii="宋体" w:hAnsi="宋体" w:eastAsia="宋体" w:cs="宋体"/>
                      <w:color w:val="auto"/>
                    </w:rPr>
                  </w:pPr>
                  <w:r>
                    <w:rPr>
                      <w:rFonts w:hint="eastAsia" w:ascii="宋体" w:hAnsi="宋体" w:eastAsia="宋体" w:cs="宋体"/>
                      <w:color w:val="auto"/>
                      <w:lang w:eastAsia="zh-CN" w:bidi="ar"/>
                    </w:rPr>
                    <w:t>浓度限值（</w:t>
                  </w:r>
                  <w:r>
                    <w:rPr>
                      <w:rStyle w:val="25"/>
                      <w:rFonts w:eastAsia="宋体"/>
                      <w:color w:val="auto"/>
                      <w:lang w:eastAsia="zh-CN" w:bidi="ar"/>
                    </w:rPr>
                    <w:t>mg/L</w:t>
                  </w:r>
                  <w:r>
                    <w:rPr>
                      <w:rStyle w:val="26"/>
                      <w:rFonts w:hint="default"/>
                      <w:color w:val="auto"/>
                      <w:lang w:eastAsia="zh-CN" w:bidi="ar"/>
                    </w:rPr>
                    <w:t>）</w:t>
                  </w:r>
                </w:p>
              </w:tc>
            </w:tr>
            <w:tr w14:paraId="3735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653" w:type="dxa"/>
                  <w:vMerge w:val="restart"/>
                  <w:shd w:val="clear" w:color="auto" w:fill="auto"/>
                  <w:vAlign w:val="center"/>
                </w:tcPr>
                <w:p w14:paraId="781676D2">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DW001</w:t>
                  </w:r>
                </w:p>
              </w:tc>
              <w:tc>
                <w:tcPr>
                  <w:tcW w:w="1653" w:type="dxa"/>
                  <w:vMerge w:val="restart"/>
                  <w:shd w:val="clear" w:color="auto" w:fill="auto"/>
                  <w:vAlign w:val="center"/>
                </w:tcPr>
                <w:p w14:paraId="4538F909">
                  <w:pPr>
                    <w:textAlignment w:val="bottom"/>
                    <w:rPr>
                      <w:rFonts w:ascii="宋体" w:hAnsi="宋体" w:eastAsia="宋体" w:cs="宋体"/>
                      <w:color w:val="auto"/>
                    </w:rPr>
                  </w:pPr>
                  <w:r>
                    <w:rPr>
                      <w:rFonts w:hint="eastAsia" w:ascii="宋体" w:hAnsi="宋体" w:eastAsia="宋体" w:cs="宋体"/>
                      <w:color w:val="auto"/>
                      <w:lang w:eastAsia="zh-CN" w:bidi="ar"/>
                    </w:rPr>
                    <w:t>企业总排口</w:t>
                  </w:r>
                </w:p>
              </w:tc>
              <w:tc>
                <w:tcPr>
                  <w:tcW w:w="1653" w:type="dxa"/>
                  <w:shd w:val="clear" w:color="auto" w:fill="auto"/>
                  <w:vAlign w:val="center"/>
                </w:tcPr>
                <w:p w14:paraId="78FE4ADD">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SS</w:t>
                  </w:r>
                </w:p>
              </w:tc>
              <w:tc>
                <w:tcPr>
                  <w:tcW w:w="1654" w:type="dxa"/>
                  <w:vMerge w:val="restart"/>
                  <w:shd w:val="clear" w:color="auto" w:fill="auto"/>
                  <w:vAlign w:val="center"/>
                </w:tcPr>
                <w:p w14:paraId="3CAF91EA">
                  <w:pPr>
                    <w:textAlignment w:val="bottom"/>
                    <w:rPr>
                      <w:rFonts w:ascii="宋体" w:hAnsi="宋体" w:eastAsia="宋体" w:cs="宋体"/>
                      <w:color w:val="auto"/>
                      <w:lang w:eastAsia="zh-CN"/>
                    </w:rPr>
                  </w:pPr>
                  <w:r>
                    <w:rPr>
                      <w:rFonts w:hint="eastAsia" w:ascii="宋体" w:hAnsi="宋体" w:eastAsia="宋体" w:cs="宋体"/>
                      <w:color w:val="auto"/>
                      <w:lang w:eastAsia="zh-CN" w:bidi="ar"/>
                    </w:rPr>
                    <w:t>《污水综合排放标准》</w:t>
                  </w:r>
                  <w:r>
                    <w:rPr>
                      <w:rStyle w:val="26"/>
                      <w:rFonts w:hint="default"/>
                      <w:color w:val="auto"/>
                      <w:lang w:eastAsia="zh-CN" w:bidi="ar"/>
                    </w:rPr>
                    <w:t>（</w:t>
                  </w:r>
                  <w:r>
                    <w:rPr>
                      <w:rStyle w:val="25"/>
                      <w:rFonts w:eastAsia="宋体"/>
                      <w:color w:val="auto"/>
                      <w:lang w:eastAsia="zh-CN" w:bidi="ar"/>
                    </w:rPr>
                    <w:t>GB8978-1996</w:t>
                  </w:r>
                  <w:r>
                    <w:rPr>
                      <w:rStyle w:val="26"/>
                      <w:rFonts w:hint="default"/>
                      <w:color w:val="auto"/>
                      <w:lang w:eastAsia="zh-CN" w:bidi="ar"/>
                    </w:rPr>
                    <w:t>）</w:t>
                  </w:r>
                </w:p>
              </w:tc>
              <w:tc>
                <w:tcPr>
                  <w:tcW w:w="1656" w:type="dxa"/>
                  <w:shd w:val="clear" w:color="auto" w:fill="auto"/>
                  <w:vAlign w:val="center"/>
                </w:tcPr>
                <w:p w14:paraId="28547385">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400</w:t>
                  </w:r>
                </w:p>
              </w:tc>
            </w:tr>
            <w:tr w14:paraId="719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653" w:type="dxa"/>
                  <w:vMerge w:val="continue"/>
                  <w:shd w:val="clear" w:color="auto" w:fill="auto"/>
                  <w:vAlign w:val="center"/>
                </w:tcPr>
                <w:p w14:paraId="2FB34F18">
                  <w:pPr>
                    <w:rPr>
                      <w:rFonts w:eastAsia="宋体"/>
                      <w:color w:val="auto"/>
                    </w:rPr>
                  </w:pPr>
                </w:p>
              </w:tc>
              <w:tc>
                <w:tcPr>
                  <w:tcW w:w="1653" w:type="dxa"/>
                  <w:vMerge w:val="continue"/>
                  <w:shd w:val="clear" w:color="auto" w:fill="auto"/>
                  <w:vAlign w:val="center"/>
                </w:tcPr>
                <w:p w14:paraId="65884559">
                  <w:pPr>
                    <w:rPr>
                      <w:rFonts w:eastAsia="宋体"/>
                      <w:color w:val="auto"/>
                    </w:rPr>
                  </w:pPr>
                </w:p>
              </w:tc>
              <w:tc>
                <w:tcPr>
                  <w:tcW w:w="1653" w:type="dxa"/>
                  <w:shd w:val="clear" w:color="auto" w:fill="auto"/>
                  <w:vAlign w:val="center"/>
                </w:tcPr>
                <w:p w14:paraId="3860B9FC">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BOD</w:t>
                  </w:r>
                  <w:r>
                    <w:rPr>
                      <w:rFonts w:ascii="Times New Roman" w:hAnsi="Times New Roman" w:eastAsia="宋体" w:cs="Times New Roman"/>
                      <w:color w:val="auto"/>
                      <w:sz w:val="13"/>
                      <w:szCs w:val="13"/>
                      <w:lang w:eastAsia="zh-CN" w:bidi="ar"/>
                    </w:rPr>
                    <w:t>5</w:t>
                  </w:r>
                </w:p>
              </w:tc>
              <w:tc>
                <w:tcPr>
                  <w:tcW w:w="1654" w:type="dxa"/>
                  <w:vMerge w:val="continue"/>
                  <w:shd w:val="clear" w:color="auto" w:fill="auto"/>
                  <w:vAlign w:val="center"/>
                </w:tcPr>
                <w:p w14:paraId="1CCD961B">
                  <w:pPr>
                    <w:rPr>
                      <w:rFonts w:eastAsia="宋体"/>
                      <w:color w:val="auto"/>
                    </w:rPr>
                  </w:pPr>
                </w:p>
              </w:tc>
              <w:tc>
                <w:tcPr>
                  <w:tcW w:w="1656" w:type="dxa"/>
                  <w:shd w:val="clear" w:color="auto" w:fill="auto"/>
                  <w:vAlign w:val="center"/>
                </w:tcPr>
                <w:p w14:paraId="2616CC8A">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300</w:t>
                  </w:r>
                </w:p>
              </w:tc>
            </w:tr>
            <w:tr w14:paraId="2E6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653" w:type="dxa"/>
                  <w:vMerge w:val="continue"/>
                  <w:shd w:val="clear" w:color="auto" w:fill="auto"/>
                  <w:vAlign w:val="center"/>
                </w:tcPr>
                <w:p w14:paraId="6D2CBB76">
                  <w:pPr>
                    <w:rPr>
                      <w:rFonts w:eastAsia="宋体"/>
                      <w:color w:val="auto"/>
                    </w:rPr>
                  </w:pPr>
                </w:p>
              </w:tc>
              <w:tc>
                <w:tcPr>
                  <w:tcW w:w="1653" w:type="dxa"/>
                  <w:vMerge w:val="continue"/>
                  <w:shd w:val="clear" w:color="auto" w:fill="auto"/>
                  <w:vAlign w:val="center"/>
                </w:tcPr>
                <w:p w14:paraId="727A9B11">
                  <w:pPr>
                    <w:rPr>
                      <w:rFonts w:eastAsia="宋体"/>
                      <w:color w:val="auto"/>
                    </w:rPr>
                  </w:pPr>
                </w:p>
              </w:tc>
              <w:tc>
                <w:tcPr>
                  <w:tcW w:w="1653" w:type="dxa"/>
                  <w:shd w:val="clear" w:color="auto" w:fill="auto"/>
                  <w:vAlign w:val="center"/>
                </w:tcPr>
                <w:p w14:paraId="39900BF7">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COD</w:t>
                  </w:r>
                </w:p>
              </w:tc>
              <w:tc>
                <w:tcPr>
                  <w:tcW w:w="1654" w:type="dxa"/>
                  <w:vMerge w:val="continue"/>
                  <w:shd w:val="clear" w:color="auto" w:fill="auto"/>
                  <w:vAlign w:val="center"/>
                </w:tcPr>
                <w:p w14:paraId="3C6A8461">
                  <w:pPr>
                    <w:rPr>
                      <w:rFonts w:eastAsia="宋体"/>
                      <w:color w:val="auto"/>
                    </w:rPr>
                  </w:pPr>
                </w:p>
              </w:tc>
              <w:tc>
                <w:tcPr>
                  <w:tcW w:w="1656" w:type="dxa"/>
                  <w:shd w:val="clear" w:color="auto" w:fill="auto"/>
                  <w:vAlign w:val="center"/>
                </w:tcPr>
                <w:p w14:paraId="5CB2F7ED">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500</w:t>
                  </w:r>
                </w:p>
              </w:tc>
            </w:tr>
            <w:tr w14:paraId="023E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653" w:type="dxa"/>
                  <w:vMerge w:val="continue"/>
                  <w:shd w:val="clear" w:color="auto" w:fill="auto"/>
                  <w:vAlign w:val="center"/>
                </w:tcPr>
                <w:p w14:paraId="3F5386D0">
                  <w:pPr>
                    <w:rPr>
                      <w:rFonts w:eastAsia="宋体"/>
                      <w:color w:val="auto"/>
                    </w:rPr>
                  </w:pPr>
                </w:p>
              </w:tc>
              <w:tc>
                <w:tcPr>
                  <w:tcW w:w="1653" w:type="dxa"/>
                  <w:vMerge w:val="continue"/>
                  <w:shd w:val="clear" w:color="auto" w:fill="auto"/>
                  <w:vAlign w:val="center"/>
                </w:tcPr>
                <w:p w14:paraId="623298D4">
                  <w:pPr>
                    <w:rPr>
                      <w:rFonts w:eastAsia="宋体"/>
                      <w:color w:val="auto"/>
                    </w:rPr>
                  </w:pPr>
                </w:p>
              </w:tc>
              <w:tc>
                <w:tcPr>
                  <w:tcW w:w="1653" w:type="dxa"/>
                  <w:shd w:val="clear" w:color="auto" w:fill="auto"/>
                  <w:vAlign w:val="center"/>
                </w:tcPr>
                <w:p w14:paraId="6C70CAF6">
                  <w:pP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NH</w:t>
                  </w:r>
                  <w:r>
                    <w:rPr>
                      <w:rFonts w:ascii="Times New Roman" w:hAnsi="Times New Roman" w:eastAsia="宋体" w:cs="Times New Roman"/>
                      <w:color w:val="auto"/>
                      <w:sz w:val="13"/>
                      <w:szCs w:val="13"/>
                      <w:lang w:eastAsia="zh-CN" w:bidi="ar"/>
                    </w:rPr>
                    <w:t>3</w:t>
                  </w:r>
                  <w:r>
                    <w:rPr>
                      <w:rStyle w:val="25"/>
                      <w:rFonts w:eastAsia="宋体"/>
                      <w:color w:val="auto"/>
                      <w:lang w:eastAsia="zh-CN" w:bidi="ar"/>
                    </w:rPr>
                    <w:t>-N</w:t>
                  </w:r>
                </w:p>
              </w:tc>
              <w:tc>
                <w:tcPr>
                  <w:tcW w:w="1654" w:type="dxa"/>
                  <w:shd w:val="clear" w:color="auto" w:fill="auto"/>
                  <w:vAlign w:val="center"/>
                </w:tcPr>
                <w:p w14:paraId="63D681D6">
                  <w:pPr>
                    <w:textAlignment w:val="bottom"/>
                    <w:rPr>
                      <w:rFonts w:ascii="宋体" w:hAnsi="宋体" w:eastAsia="宋体" w:cs="宋体"/>
                      <w:color w:val="auto"/>
                      <w:lang w:eastAsia="zh-CN"/>
                    </w:rPr>
                  </w:pPr>
                  <w:r>
                    <w:rPr>
                      <w:rFonts w:hint="eastAsia" w:ascii="宋体" w:hAnsi="宋体" w:eastAsia="宋体" w:cs="宋体"/>
                      <w:color w:val="auto"/>
                      <w:lang w:eastAsia="zh-CN" w:bidi="ar"/>
                    </w:rPr>
                    <w:t>《污水排入城镇下水道水质标准》</w:t>
                  </w:r>
                  <w:r>
                    <w:rPr>
                      <w:rStyle w:val="26"/>
                      <w:rFonts w:hint="default"/>
                      <w:color w:val="auto"/>
                      <w:lang w:eastAsia="zh-CN" w:bidi="ar"/>
                    </w:rPr>
                    <w:t>（</w:t>
                  </w:r>
                  <w:r>
                    <w:rPr>
                      <w:rStyle w:val="25"/>
                      <w:rFonts w:eastAsia="宋体"/>
                      <w:color w:val="auto"/>
                      <w:lang w:eastAsia="zh-CN" w:bidi="ar"/>
                    </w:rPr>
                    <w:t>GB/T31962-2015</w:t>
                  </w:r>
                  <w:r>
                    <w:rPr>
                      <w:rStyle w:val="26"/>
                      <w:rFonts w:hint="default"/>
                      <w:color w:val="auto"/>
                      <w:lang w:eastAsia="zh-CN" w:bidi="ar"/>
                    </w:rPr>
                    <w:t>）中</w:t>
                  </w:r>
                  <w:r>
                    <w:rPr>
                      <w:rStyle w:val="25"/>
                      <w:rFonts w:eastAsia="宋体"/>
                      <w:color w:val="auto"/>
                      <w:lang w:eastAsia="zh-CN" w:bidi="ar"/>
                    </w:rPr>
                    <w:t>B</w:t>
                  </w:r>
                  <w:r>
                    <w:rPr>
                      <w:rStyle w:val="26"/>
                      <w:rFonts w:hint="default"/>
                      <w:color w:val="auto"/>
                      <w:lang w:eastAsia="zh-CN" w:bidi="ar"/>
                    </w:rPr>
                    <w:t>级标准</w:t>
                  </w:r>
                </w:p>
              </w:tc>
              <w:tc>
                <w:tcPr>
                  <w:tcW w:w="1656" w:type="dxa"/>
                  <w:shd w:val="clear" w:color="auto" w:fill="auto"/>
                  <w:vAlign w:val="center"/>
                </w:tcPr>
                <w:p w14:paraId="05863392">
                  <w:pPr>
                    <w:textAlignment w:val="bottom"/>
                    <w:rPr>
                      <w:rFonts w:ascii="Times New Roman" w:hAnsi="Times New Roman" w:eastAsia="宋体" w:cs="Times New Roman"/>
                      <w:color w:val="auto"/>
                      <w:lang w:eastAsia="zh-CN"/>
                    </w:rPr>
                  </w:pPr>
                  <w:r>
                    <w:rPr>
                      <w:rFonts w:ascii="Times New Roman" w:hAnsi="Times New Roman" w:eastAsia="宋体" w:cs="Times New Roman"/>
                      <w:color w:val="auto"/>
                      <w:lang w:eastAsia="zh-CN" w:bidi="ar"/>
                    </w:rPr>
                    <w:t>45</w:t>
                  </w:r>
                </w:p>
              </w:tc>
            </w:tr>
          </w:tbl>
          <w:p w14:paraId="6C7AC365">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（3）废水治理设施依托可行性</w:t>
            </w:r>
          </w:p>
          <w:p w14:paraId="58B3B4C1">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本项目产生的</w:t>
            </w:r>
            <w:r>
              <w:rPr>
                <w:rFonts w:hint="eastAsia"/>
                <w:color w:val="auto"/>
              </w:rPr>
              <w:t>生活污水排入农村污水管网，最终进入庆阳污水处理站处理</w:t>
            </w:r>
            <w:r>
              <w:rPr>
                <w:rFonts w:ascii="Times New Roman" w:hAnsi="Times New Roman"/>
                <w:color w:val="auto"/>
                <w:spacing w:val="-2"/>
                <w:lang w:eastAsia="zh-CN"/>
              </w:rPr>
              <w:t>，不会对周围水环境造成影响。</w:t>
            </w:r>
          </w:p>
          <w:p w14:paraId="00A5BC5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吉木萨尔县庆阳湖乡污水处理站位于吉木萨尔县庆阳湖乡西北角，该污水处理厂污水接纳范围主要包括吉木萨尔县庆阳湖</w:t>
            </w:r>
            <w:r>
              <w:rPr>
                <w:rFonts w:hint="eastAsia" w:ascii="Times New Roman" w:hAnsi="Times New Roman"/>
                <w:color w:val="auto"/>
                <w:spacing w:val="-2"/>
                <w:lang w:eastAsia="zh-CN"/>
              </w:rPr>
              <w:t>乡</w:t>
            </w:r>
            <w:r>
              <w:rPr>
                <w:rFonts w:ascii="Times New Roman" w:hAnsi="Times New Roman"/>
                <w:color w:val="auto"/>
                <w:spacing w:val="-2"/>
                <w:lang w:eastAsia="zh-CN"/>
              </w:rPr>
              <w:t>生活污水，设计处理规模500m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/d，实际处理规模300m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/d，污水处理工艺采用污水→粗格栅及污水提升泵站→细格栅及曝气沉砂池→初沉池→MBBR池→紫外消毒，处理后污水可达到《农村生活污水处理排放标准》（DB654275-2019）标准要求。</w:t>
            </w:r>
          </w:p>
          <w:p w14:paraId="1C386CC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本项目生活</w:t>
            </w:r>
            <w:r>
              <w:rPr>
                <w:rFonts w:hint="eastAsia" w:ascii="Times New Roman" w:hAnsi="Times New Roman"/>
                <w:color w:val="auto"/>
                <w:spacing w:val="-2"/>
                <w:lang w:val="en-US" w:eastAsia="zh-CN"/>
              </w:rPr>
              <w:t>污水</w:t>
            </w:r>
            <w:r>
              <w:rPr>
                <w:rFonts w:ascii="Times New Roman" w:hAnsi="Times New Roman"/>
                <w:color w:val="auto"/>
                <w:spacing w:val="-2"/>
                <w:lang w:eastAsia="zh-CN"/>
              </w:rPr>
              <w:t>污染物排放浓度可达《污水综合排放标准》（GB8978-1996）中三级标准和《污水排入城镇下水道水质标准》（GB/T31962-2015）中NH</w:t>
            </w:r>
            <w:r>
              <w:rPr>
                <w:rFonts w:ascii="Times New Roman" w:hAnsi="Times New Roman"/>
                <w:color w:val="auto"/>
                <w:spacing w:val="-2"/>
                <w:vertAlign w:val="subscript"/>
                <w:lang w:eastAsia="zh-CN"/>
              </w:rPr>
              <w:t>3</w:t>
            </w:r>
            <w:r>
              <w:rPr>
                <w:rFonts w:ascii="Times New Roman" w:hAnsi="Times New Roman"/>
                <w:color w:val="auto"/>
                <w:spacing w:val="-2"/>
                <w:lang w:eastAsia="zh-CN"/>
              </w:rPr>
              <w:t>-N最高允许值中B级标准45mg/L的规定，能够满足污水处理厂入厂要求。</w:t>
            </w:r>
          </w:p>
          <w:p w14:paraId="1070CFE5">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本项目生活污水量为1.</w:t>
            </w:r>
            <w:r>
              <w:rPr>
                <w:rFonts w:hint="eastAsia" w:ascii="Times New Roman" w:hAnsi="Times New Roman"/>
                <w:color w:val="auto"/>
                <w:spacing w:val="-2"/>
                <w:lang w:eastAsia="zh-CN"/>
              </w:rPr>
              <w:t>2</w:t>
            </w:r>
            <w:r>
              <w:rPr>
                <w:rFonts w:ascii="Times New Roman" w:hAnsi="Times New Roman"/>
                <w:color w:val="auto"/>
                <w:spacing w:val="-2"/>
                <w:lang w:eastAsia="zh-CN"/>
              </w:rPr>
              <w:t>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/d，吉木萨尔县庆阳湖乡污水处理厂设计处理规模500m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/d，目前实际处理水量为300m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/d，尚有200m</w:t>
            </w:r>
            <w:r>
              <w:rPr>
                <w:rFonts w:hint="eastAsia" w:ascii="Times New Roman" w:hAnsi="Times New Roman"/>
                <w:color w:val="auto"/>
                <w:spacing w:val="-2"/>
                <w:vertAlign w:val="superscript"/>
                <w:lang w:eastAsia="zh-CN"/>
              </w:rPr>
              <w:t>3</w:t>
            </w:r>
            <w:r>
              <w:rPr>
                <w:rFonts w:ascii="Times New Roman" w:hAnsi="Times New Roman"/>
                <w:color w:val="auto"/>
                <w:spacing w:val="-2"/>
                <w:lang w:eastAsia="zh-CN"/>
              </w:rPr>
              <w:t>/d富余量，因此项目产生的生活污水完全能够纳入吉木萨尔县庆阳湖乡污水处理站处理。</w:t>
            </w:r>
          </w:p>
          <w:p w14:paraId="7E4D2AC0">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因此，项目在采取上述废水处理措施后，满足相关环保要求，因此项目建设对水环境影响很小。</w:t>
            </w:r>
          </w:p>
          <w:p w14:paraId="5962B23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（4）水环境影响分析</w:t>
            </w:r>
          </w:p>
          <w:p w14:paraId="0C9A17C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本项目产生的废水量较小，生活废水通过厂区内的污水管网排放至乡污水管网，最终进入乡污水处理站，对项目区周围水环境影响较小。</w:t>
            </w:r>
          </w:p>
          <w:p w14:paraId="1BE28AD4">
            <w:pPr>
              <w:pStyle w:val="20"/>
              <w:spacing w:line="360" w:lineRule="auto"/>
              <w:ind w:firstLine="472" w:firstLineChars="200"/>
              <w:rPr>
                <w:rFonts w:ascii="Times New Roman" w:hAnsi="Times New Roman" w:eastAsia="Times New Roman" w:cs="Times New Roman"/>
                <w:b/>
                <w:bCs/>
                <w:color w:val="auto"/>
                <w:spacing w:val="-2"/>
                <w:lang w:eastAsia="zh-CN"/>
              </w:rPr>
            </w:pPr>
            <w:r>
              <w:rPr>
                <w:rFonts w:hint="eastAsia" w:ascii="Times New Roman" w:hAnsi="Times New Roman" w:eastAsia="Times New Roman" w:cs="Times New Roman"/>
                <w:b/>
                <w:bCs/>
                <w:color w:val="auto"/>
                <w:spacing w:val="-2"/>
                <w:lang w:eastAsia="zh-CN"/>
              </w:rPr>
              <w:t>3、噪声</w:t>
            </w:r>
          </w:p>
          <w:p w14:paraId="1E6A8064">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（1）噪声源强</w:t>
            </w:r>
          </w:p>
          <w:p w14:paraId="3F634B1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本项目运营期噪声源主要是搅拌机、成型机、行吊、铲车等噪声，噪声源强在60～80dB</w:t>
            </w:r>
            <w:r>
              <w:rPr>
                <w:rFonts w:hint="eastAsia" w:ascii="Times New Roman" w:hAnsi="Times New Roman"/>
                <w:color w:val="auto"/>
                <w:spacing w:val="-2"/>
                <w:lang w:eastAsia="zh-CN"/>
              </w:rPr>
              <w:t>（</w:t>
            </w:r>
            <w:r>
              <w:rPr>
                <w:rFonts w:ascii="Times New Roman" w:hAnsi="Times New Roman"/>
                <w:color w:val="auto"/>
                <w:spacing w:val="-2"/>
                <w:lang w:eastAsia="zh-CN"/>
              </w:rPr>
              <w:t>A</w:t>
            </w:r>
            <w:r>
              <w:rPr>
                <w:rFonts w:hint="eastAsia" w:ascii="Times New Roman" w:hAnsi="Times New Roman"/>
                <w:color w:val="auto"/>
                <w:spacing w:val="-2"/>
                <w:lang w:eastAsia="zh-CN"/>
              </w:rPr>
              <w:t>）</w:t>
            </w:r>
            <w:r>
              <w:rPr>
                <w:rFonts w:ascii="Times New Roman" w:hAnsi="Times New Roman"/>
                <w:color w:val="auto"/>
                <w:spacing w:val="-2"/>
                <w:lang w:eastAsia="zh-CN"/>
              </w:rPr>
              <w:t>。通过对设备的隔声防护措施，减少对环境的影响。主要噪声源强见表</w:t>
            </w:r>
            <w:r>
              <w:rPr>
                <w:rFonts w:hint="eastAsia" w:ascii="Times New Roman" w:hAnsi="Times New Roman"/>
                <w:color w:val="auto"/>
                <w:spacing w:val="-2"/>
                <w:lang w:eastAsia="zh-CN"/>
              </w:rPr>
              <w:t>4-9</w:t>
            </w:r>
            <w:r>
              <w:rPr>
                <w:rFonts w:ascii="Times New Roman" w:hAnsi="Times New Roman"/>
                <w:color w:val="auto"/>
                <w:spacing w:val="-2"/>
                <w:lang w:eastAsia="zh-CN"/>
              </w:rPr>
              <w:t>。</w:t>
            </w:r>
          </w:p>
          <w:p w14:paraId="0085D894">
            <w:pPr>
              <w:pStyle w:val="20"/>
              <w:spacing w:line="360" w:lineRule="auto"/>
              <w:ind w:firstLine="418" w:firstLineChars="200"/>
              <w:jc w:val="center"/>
              <w:rPr>
                <w:color w:val="auto"/>
                <w:sz w:val="21"/>
                <w:szCs w:val="21"/>
                <w:lang w:eastAsia="zh-CN"/>
              </w:rPr>
            </w:pPr>
            <w:r>
              <w:rPr>
                <w:b/>
                <w:bCs/>
                <w:color w:val="auto"/>
                <w:spacing w:val="-1"/>
                <w:sz w:val="21"/>
                <w:szCs w:val="21"/>
                <w:lang w:eastAsia="zh-CN"/>
              </w:rPr>
              <w:t>表</w:t>
            </w:r>
            <w:r>
              <w:rPr>
                <w:rFonts w:hint="eastAsia" w:ascii="Times New Roman" w:hAnsi="Times New Roman" w:cs="Times New Roman"/>
                <w:b/>
                <w:bCs/>
                <w:color w:val="auto"/>
                <w:spacing w:val="-1"/>
                <w:sz w:val="21"/>
                <w:szCs w:val="21"/>
                <w:lang w:eastAsia="zh-CN"/>
              </w:rPr>
              <w:t>4-9</w:t>
            </w:r>
            <w:r>
              <w:rPr>
                <w:b/>
                <w:bCs/>
                <w:color w:val="auto"/>
                <w:spacing w:val="-1"/>
                <w:sz w:val="21"/>
                <w:szCs w:val="21"/>
                <w:lang w:eastAsia="zh-CN"/>
              </w:rPr>
              <w:t>主要噪声设备</w:t>
            </w:r>
            <w:r>
              <w:rPr>
                <w:b/>
                <w:bCs/>
                <w:color w:val="auto"/>
                <w:spacing w:val="-2"/>
                <w:sz w:val="21"/>
                <w:szCs w:val="21"/>
                <w:lang w:eastAsia="zh-CN"/>
              </w:rPr>
              <w:t>及噪声源强</w:t>
            </w:r>
          </w:p>
          <w:tbl>
            <w:tblPr>
              <w:tblStyle w:val="19"/>
              <w:tblW w:w="49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309"/>
              <w:gridCol w:w="985"/>
              <w:gridCol w:w="1059"/>
              <w:gridCol w:w="798"/>
              <w:gridCol w:w="2186"/>
              <w:gridCol w:w="1263"/>
            </w:tblGrid>
            <w:tr w14:paraId="043F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561"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655491B">
                  <w:pPr>
                    <w:pStyle w:val="20"/>
                    <w:jc w:val="center"/>
                    <w:rPr>
                      <w:rFonts w:ascii="Times New Roman" w:hAnsi="Times New Roman"/>
                      <w:color w:val="auto"/>
                      <w:sz w:val="21"/>
                      <w:szCs w:val="21"/>
                    </w:rPr>
                  </w:pPr>
                  <w:r>
                    <w:rPr>
                      <w:rFonts w:ascii="Times New Roman" w:hAnsi="Times New Roman"/>
                      <w:color w:val="auto"/>
                      <w:spacing w:val="31"/>
                      <w:sz w:val="21"/>
                      <w:szCs w:val="21"/>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421A5">
                  <w:pPr>
                    <w:pStyle w:val="20"/>
                    <w:jc w:val="center"/>
                    <w:rPr>
                      <w:rFonts w:ascii="Times New Roman" w:hAnsi="Times New Roman"/>
                      <w:color w:val="auto"/>
                      <w:sz w:val="21"/>
                      <w:szCs w:val="21"/>
                    </w:rPr>
                  </w:pPr>
                  <w:r>
                    <w:rPr>
                      <w:rFonts w:ascii="Times New Roman" w:hAnsi="Times New Roman"/>
                      <w:color w:val="auto"/>
                      <w:spacing w:val="-2"/>
                      <w:sz w:val="21"/>
                      <w:szCs w:val="21"/>
                    </w:rPr>
                    <w:t>主要噪声源</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074B">
                  <w:pPr>
                    <w:pStyle w:val="20"/>
                    <w:jc w:val="center"/>
                    <w:rPr>
                      <w:rFonts w:ascii="Times New Roman" w:hAnsi="Times New Roman"/>
                      <w:color w:val="auto"/>
                      <w:sz w:val="21"/>
                      <w:szCs w:val="21"/>
                    </w:rPr>
                  </w:pPr>
                  <w:r>
                    <w:rPr>
                      <w:rFonts w:ascii="Times New Roman" w:hAnsi="Times New Roman"/>
                      <w:color w:val="auto"/>
                      <w:spacing w:val="-3"/>
                      <w:sz w:val="21"/>
                      <w:szCs w:val="21"/>
                    </w:rPr>
                    <w:t>设备名</w:t>
                  </w:r>
                  <w:r>
                    <w:rPr>
                      <w:rFonts w:ascii="Times New Roman" w:hAnsi="Times New Roman"/>
                      <w:color w:val="auto"/>
                      <w:sz w:val="21"/>
                      <w:szCs w:val="21"/>
                    </w:rPr>
                    <w:t>称</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CB83">
                  <w:pPr>
                    <w:pStyle w:val="20"/>
                    <w:jc w:val="center"/>
                    <w:rPr>
                      <w:rFonts w:ascii="Times New Roman" w:hAnsi="Times New Roman" w:cs="Cambria"/>
                      <w:color w:val="auto"/>
                      <w:sz w:val="21"/>
                      <w:szCs w:val="21"/>
                    </w:rPr>
                  </w:pPr>
                  <w:r>
                    <w:rPr>
                      <w:rFonts w:ascii="Times New Roman" w:hAnsi="Times New Roman"/>
                      <w:color w:val="auto"/>
                      <w:spacing w:val="-2"/>
                      <w:sz w:val="21"/>
                      <w:szCs w:val="21"/>
                    </w:rPr>
                    <w:t>产生强度</w:t>
                  </w:r>
                  <w:r>
                    <w:rPr>
                      <w:rFonts w:ascii="Times New Roman" w:hAnsi="Times New Roman" w:cs="Cambria"/>
                      <w:color w:val="auto"/>
                      <w:spacing w:val="-2"/>
                      <w:sz w:val="21"/>
                      <w:szCs w:val="21"/>
                    </w:rPr>
                    <w:t>dB(A)</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EC9A">
                  <w:pPr>
                    <w:pStyle w:val="20"/>
                    <w:jc w:val="center"/>
                    <w:rPr>
                      <w:rFonts w:ascii="Times New Roman" w:hAnsi="Times New Roman"/>
                      <w:color w:val="auto"/>
                      <w:sz w:val="21"/>
                      <w:szCs w:val="21"/>
                    </w:rPr>
                  </w:pPr>
                  <w:r>
                    <w:rPr>
                      <w:rFonts w:ascii="Times New Roman" w:hAnsi="Times New Roman"/>
                      <w:color w:val="auto"/>
                      <w:spacing w:val="-3"/>
                      <w:sz w:val="21"/>
                      <w:szCs w:val="21"/>
                    </w:rPr>
                    <w:t>持续</w:t>
                  </w:r>
                </w:p>
                <w:p w14:paraId="4CA45F99">
                  <w:pPr>
                    <w:pStyle w:val="20"/>
                    <w:jc w:val="center"/>
                    <w:rPr>
                      <w:rFonts w:ascii="Times New Roman" w:hAnsi="Times New Roman"/>
                      <w:color w:val="auto"/>
                      <w:sz w:val="21"/>
                      <w:szCs w:val="21"/>
                    </w:rPr>
                  </w:pPr>
                  <w:r>
                    <w:rPr>
                      <w:rFonts w:ascii="Times New Roman" w:hAnsi="Times New Roman"/>
                      <w:color w:val="auto"/>
                      <w:spacing w:val="-4"/>
                      <w:sz w:val="21"/>
                      <w:szCs w:val="21"/>
                    </w:rPr>
                    <w:t>时间</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A0F97">
                  <w:pPr>
                    <w:pStyle w:val="20"/>
                    <w:jc w:val="center"/>
                    <w:rPr>
                      <w:rFonts w:ascii="Times New Roman" w:hAnsi="Times New Roman"/>
                      <w:color w:val="auto"/>
                      <w:sz w:val="21"/>
                      <w:szCs w:val="21"/>
                    </w:rPr>
                  </w:pPr>
                  <w:r>
                    <w:rPr>
                      <w:rFonts w:ascii="Times New Roman" w:hAnsi="Times New Roman"/>
                      <w:color w:val="auto"/>
                      <w:spacing w:val="-6"/>
                      <w:sz w:val="21"/>
                      <w:szCs w:val="21"/>
                    </w:rPr>
                    <w:t>降噪措施</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FCA4F">
                  <w:pPr>
                    <w:pStyle w:val="20"/>
                    <w:jc w:val="center"/>
                    <w:rPr>
                      <w:rFonts w:ascii="Times New Roman" w:hAnsi="Times New Roman" w:cs="Cambria"/>
                      <w:color w:val="auto"/>
                      <w:sz w:val="21"/>
                      <w:szCs w:val="21"/>
                    </w:rPr>
                  </w:pPr>
                  <w:r>
                    <w:rPr>
                      <w:rFonts w:ascii="Times New Roman" w:hAnsi="Times New Roman"/>
                      <w:color w:val="auto"/>
                      <w:spacing w:val="-2"/>
                      <w:sz w:val="21"/>
                      <w:szCs w:val="21"/>
                    </w:rPr>
                    <w:t>产生强度</w:t>
                  </w:r>
                  <w:r>
                    <w:rPr>
                      <w:rFonts w:ascii="Times New Roman" w:hAnsi="Times New Roman" w:cs="Cambria"/>
                      <w:color w:val="auto"/>
                      <w:sz w:val="21"/>
                      <w:szCs w:val="21"/>
                    </w:rPr>
                    <w:t>dB</w:t>
                  </w:r>
                  <w:r>
                    <w:rPr>
                      <w:rFonts w:ascii="Times New Roman" w:hAnsi="Times New Roman" w:cs="Cambria"/>
                      <w:color w:val="auto"/>
                      <w:spacing w:val="1"/>
                      <w:sz w:val="21"/>
                      <w:szCs w:val="21"/>
                    </w:rPr>
                    <w:t>(A)</w:t>
                  </w:r>
                </w:p>
              </w:tc>
            </w:tr>
            <w:tr w14:paraId="7F60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3F108">
                  <w:pPr>
                    <w:jc w:val="center"/>
                    <w:rPr>
                      <w:rFonts w:ascii="Times New Roman" w:hAnsi="Times New Roman" w:eastAsia="宋体" w:cs="Cambria"/>
                      <w:color w:val="auto"/>
                    </w:rPr>
                  </w:pPr>
                  <w:r>
                    <w:rPr>
                      <w:rFonts w:ascii="Times New Roman" w:hAnsi="Times New Roman" w:eastAsia="宋体" w:cs="Cambria"/>
                      <w:color w:val="auto"/>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B3442">
                  <w:pPr>
                    <w:pStyle w:val="20"/>
                    <w:jc w:val="center"/>
                    <w:rPr>
                      <w:rFonts w:ascii="Times New Roman" w:hAnsi="Times New Roman"/>
                      <w:color w:val="auto"/>
                      <w:sz w:val="21"/>
                      <w:szCs w:val="21"/>
                    </w:rPr>
                  </w:pPr>
                  <w:r>
                    <w:rPr>
                      <w:rFonts w:ascii="Times New Roman" w:hAnsi="Times New Roman"/>
                      <w:color w:val="auto"/>
                      <w:spacing w:val="-2"/>
                      <w:sz w:val="21"/>
                      <w:szCs w:val="21"/>
                    </w:rPr>
                    <w:t>水泥筒仓</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65A2">
                  <w:pPr>
                    <w:pStyle w:val="20"/>
                    <w:jc w:val="center"/>
                    <w:rPr>
                      <w:rFonts w:ascii="Times New Roman" w:hAnsi="Times New Roman"/>
                      <w:color w:val="auto"/>
                      <w:sz w:val="21"/>
                      <w:szCs w:val="21"/>
                    </w:rPr>
                  </w:pPr>
                  <w:r>
                    <w:rPr>
                      <w:rFonts w:ascii="Times New Roman" w:hAnsi="Times New Roman"/>
                      <w:color w:val="auto"/>
                      <w:spacing w:val="-2"/>
                      <w:sz w:val="21"/>
                      <w:szCs w:val="21"/>
                    </w:rPr>
                    <w:t>风机</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FC3A">
                  <w:pPr>
                    <w:jc w:val="center"/>
                    <w:rPr>
                      <w:rFonts w:ascii="Times New Roman" w:hAnsi="Times New Roman" w:eastAsia="宋体" w:cs="Cambria"/>
                      <w:color w:val="auto"/>
                    </w:rPr>
                  </w:pPr>
                  <w:r>
                    <w:rPr>
                      <w:rFonts w:ascii="Times New Roman" w:hAnsi="Times New Roman" w:eastAsia="宋体" w:cs="Cambria"/>
                      <w:color w:val="auto"/>
                      <w:spacing w:val="-9"/>
                    </w:rPr>
                    <w:t>80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3C0D">
                  <w:pPr>
                    <w:jc w:val="center"/>
                    <w:rPr>
                      <w:rFonts w:ascii="Times New Roman" w:hAnsi="Times New Roman" w:eastAsia="宋体" w:cs="Cambria"/>
                      <w:color w:val="auto"/>
                    </w:rPr>
                  </w:pPr>
                  <w:r>
                    <w:rPr>
                      <w:rFonts w:ascii="Times New Roman" w:hAnsi="Times New Roman" w:eastAsia="宋体" w:cs="Cambria"/>
                      <w:color w:val="auto"/>
                      <w:spacing w:val="-12"/>
                    </w:rPr>
                    <w:t>1h</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7765C">
                  <w:pPr>
                    <w:pStyle w:val="20"/>
                    <w:jc w:val="center"/>
                    <w:rPr>
                      <w:rFonts w:ascii="Times New Roman" w:hAnsi="Times New Roman"/>
                      <w:color w:val="auto"/>
                      <w:sz w:val="21"/>
                      <w:szCs w:val="21"/>
                      <w:lang w:eastAsia="zh-CN"/>
                    </w:rPr>
                  </w:pPr>
                  <w:r>
                    <w:rPr>
                      <w:rFonts w:ascii="Times New Roman" w:hAnsi="Times New Roman"/>
                      <w:color w:val="auto"/>
                      <w:spacing w:val="-1"/>
                      <w:sz w:val="21"/>
                      <w:szCs w:val="21"/>
                      <w:lang w:eastAsia="zh-CN"/>
                    </w:rPr>
                    <w:t>低噪音设备、距离衰</w:t>
                  </w:r>
                </w:p>
                <w:p w14:paraId="71B8CC53">
                  <w:pPr>
                    <w:pStyle w:val="20"/>
                    <w:jc w:val="center"/>
                    <w:rPr>
                      <w:rFonts w:ascii="Times New Roman" w:hAnsi="Times New Roman"/>
                      <w:color w:val="auto"/>
                      <w:sz w:val="21"/>
                      <w:szCs w:val="21"/>
                      <w:lang w:eastAsia="zh-CN"/>
                    </w:rPr>
                  </w:pPr>
                  <w:r>
                    <w:rPr>
                      <w:rFonts w:ascii="Times New Roman" w:hAnsi="Times New Roman"/>
                      <w:color w:val="auto"/>
                      <w:sz w:val="21"/>
                      <w:szCs w:val="21"/>
                      <w:lang w:eastAsia="zh-CN"/>
                    </w:rPr>
                    <w:t>减</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355FA">
                  <w:pPr>
                    <w:jc w:val="center"/>
                    <w:rPr>
                      <w:rFonts w:ascii="Times New Roman" w:hAnsi="Times New Roman" w:eastAsia="宋体" w:cs="Cambria"/>
                      <w:color w:val="auto"/>
                    </w:rPr>
                  </w:pPr>
                  <w:r>
                    <w:rPr>
                      <w:rFonts w:ascii="Times New Roman" w:hAnsi="Times New Roman" w:eastAsia="宋体" w:cs="Cambria"/>
                      <w:color w:val="auto"/>
                      <w:spacing w:val="-9"/>
                    </w:rPr>
                    <w:t>80</w:t>
                  </w:r>
                </w:p>
              </w:tc>
            </w:tr>
            <w:tr w14:paraId="0C4D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D97E2">
                  <w:pPr>
                    <w:jc w:val="center"/>
                    <w:rPr>
                      <w:rFonts w:ascii="Times New Roman" w:hAnsi="Times New Roman" w:eastAsia="宋体" w:cs="Cambria"/>
                      <w:color w:val="auto"/>
                    </w:rPr>
                  </w:pPr>
                  <w:r>
                    <w:rPr>
                      <w:rFonts w:ascii="Times New Roman" w:hAnsi="Times New Roman" w:eastAsia="宋体" w:cs="Cambria"/>
                      <w:color w:val="auto"/>
                    </w:rPr>
                    <w:t>2</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3B8069">
                  <w:pPr>
                    <w:pStyle w:val="20"/>
                    <w:jc w:val="center"/>
                    <w:rPr>
                      <w:rFonts w:ascii="Times New Roman" w:hAnsi="Times New Roman"/>
                      <w:color w:val="auto"/>
                      <w:sz w:val="21"/>
                      <w:szCs w:val="21"/>
                    </w:rPr>
                  </w:pPr>
                  <w:r>
                    <w:rPr>
                      <w:rFonts w:ascii="Times New Roman" w:hAnsi="Times New Roman"/>
                      <w:color w:val="auto"/>
                      <w:spacing w:val="-1"/>
                      <w:sz w:val="21"/>
                      <w:szCs w:val="21"/>
                    </w:rPr>
                    <w:t>搅拌区</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4550">
                  <w:pPr>
                    <w:pStyle w:val="20"/>
                    <w:jc w:val="center"/>
                    <w:rPr>
                      <w:rFonts w:ascii="Times New Roman" w:hAnsi="Times New Roman"/>
                      <w:color w:val="auto"/>
                      <w:sz w:val="21"/>
                      <w:szCs w:val="21"/>
                    </w:rPr>
                  </w:pPr>
                  <w:r>
                    <w:rPr>
                      <w:rFonts w:ascii="Times New Roman" w:hAnsi="Times New Roman"/>
                      <w:color w:val="auto"/>
                      <w:spacing w:val="-1"/>
                      <w:sz w:val="21"/>
                      <w:szCs w:val="21"/>
                    </w:rPr>
                    <w:t>搅拌机</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B845E">
                  <w:pPr>
                    <w:jc w:val="center"/>
                    <w:rPr>
                      <w:rFonts w:ascii="Times New Roman" w:hAnsi="Times New Roman" w:eastAsia="宋体" w:cs="Cambria"/>
                      <w:color w:val="auto"/>
                    </w:rPr>
                  </w:pPr>
                  <w:r>
                    <w:rPr>
                      <w:rFonts w:ascii="Times New Roman" w:hAnsi="Times New Roman" w:eastAsia="宋体" w:cs="Cambria"/>
                      <w:color w:val="auto"/>
                      <w:spacing w:val="-8"/>
                    </w:rPr>
                    <w:t>70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53E24">
                  <w:pPr>
                    <w:jc w:val="center"/>
                    <w:rPr>
                      <w:rFonts w:ascii="Times New Roman" w:hAnsi="Times New Roman" w:eastAsia="宋体" w:cs="Cambria"/>
                      <w:color w:val="auto"/>
                    </w:rPr>
                  </w:pPr>
                  <w:r>
                    <w:rPr>
                      <w:rFonts w:ascii="Times New Roman" w:hAnsi="Times New Roman" w:eastAsia="宋体" w:cs="Cambria"/>
                      <w:color w:val="auto"/>
                      <w:spacing w:val="-10"/>
                    </w:rPr>
                    <w:t>1.5h</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6810C9">
                  <w:pPr>
                    <w:pStyle w:val="20"/>
                    <w:jc w:val="center"/>
                    <w:rPr>
                      <w:rFonts w:ascii="Times New Roman" w:hAnsi="Times New Roman"/>
                      <w:color w:val="auto"/>
                      <w:sz w:val="21"/>
                      <w:szCs w:val="21"/>
                      <w:lang w:eastAsia="zh-CN"/>
                    </w:rPr>
                  </w:pPr>
                  <w:r>
                    <w:rPr>
                      <w:rFonts w:ascii="Times New Roman" w:hAnsi="Times New Roman"/>
                      <w:color w:val="auto"/>
                      <w:spacing w:val="-1"/>
                      <w:sz w:val="21"/>
                      <w:szCs w:val="21"/>
                      <w:lang w:eastAsia="zh-CN"/>
                    </w:rPr>
                    <w:t>基础减振、低噪音设</w:t>
                  </w:r>
                  <w:r>
                    <w:rPr>
                      <w:rFonts w:ascii="Times New Roman" w:hAnsi="Times New Roman"/>
                      <w:color w:val="auto"/>
                      <w:spacing w:val="-2"/>
                      <w:sz w:val="21"/>
                      <w:szCs w:val="21"/>
                      <w:lang w:eastAsia="zh-CN"/>
                    </w:rPr>
                    <w:t>备、距离衰减</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7760">
                  <w:pPr>
                    <w:jc w:val="center"/>
                    <w:rPr>
                      <w:rFonts w:ascii="Times New Roman" w:hAnsi="Times New Roman" w:eastAsia="宋体" w:cs="Cambria"/>
                      <w:color w:val="auto"/>
                    </w:rPr>
                  </w:pPr>
                  <w:r>
                    <w:rPr>
                      <w:rFonts w:ascii="Times New Roman" w:hAnsi="Times New Roman" w:eastAsia="宋体" w:cs="Cambria"/>
                      <w:color w:val="auto"/>
                      <w:spacing w:val="-8"/>
                    </w:rPr>
                    <w:t>50</w:t>
                  </w:r>
                </w:p>
              </w:tc>
            </w:tr>
            <w:tr w14:paraId="5F68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8410">
                  <w:pPr>
                    <w:jc w:val="center"/>
                    <w:rPr>
                      <w:rFonts w:ascii="Times New Roman" w:hAnsi="Times New Roman" w:eastAsia="宋体" w:cs="Cambria"/>
                      <w:color w:val="auto"/>
                    </w:rPr>
                  </w:pPr>
                  <w:r>
                    <w:rPr>
                      <w:rFonts w:ascii="Times New Roman" w:hAnsi="Times New Roman" w:eastAsia="宋体" w:cs="Cambria"/>
                      <w:color w:val="auto"/>
                    </w:rPr>
                    <w:t>3</w:t>
                  </w: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3EB0AD">
                  <w:pPr>
                    <w:jc w:val="center"/>
                    <w:rPr>
                      <w:rFonts w:ascii="Times New Roman" w:hAnsi="Times New Roman" w:eastAsia="宋体"/>
                      <w:color w:val="auto"/>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E7E37">
                  <w:pPr>
                    <w:pStyle w:val="20"/>
                    <w:jc w:val="center"/>
                    <w:rPr>
                      <w:rFonts w:ascii="Times New Roman" w:hAnsi="Times New Roman"/>
                      <w:color w:val="auto"/>
                      <w:sz w:val="21"/>
                      <w:szCs w:val="21"/>
                    </w:rPr>
                  </w:pPr>
                  <w:r>
                    <w:rPr>
                      <w:rFonts w:ascii="Times New Roman" w:hAnsi="Times New Roman"/>
                      <w:color w:val="auto"/>
                      <w:spacing w:val="-2"/>
                      <w:sz w:val="21"/>
                      <w:szCs w:val="21"/>
                    </w:rPr>
                    <w:t>配料机</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CF7D">
                  <w:pPr>
                    <w:jc w:val="center"/>
                    <w:rPr>
                      <w:rFonts w:ascii="Times New Roman" w:hAnsi="Times New Roman" w:eastAsia="宋体" w:cs="Cambria"/>
                      <w:color w:val="auto"/>
                    </w:rPr>
                  </w:pPr>
                  <w:r>
                    <w:rPr>
                      <w:rFonts w:ascii="Times New Roman" w:hAnsi="Times New Roman" w:eastAsia="宋体" w:cs="Cambria"/>
                      <w:color w:val="auto"/>
                      <w:spacing w:val="-8"/>
                    </w:rPr>
                    <w:t>70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CBDFA">
                  <w:pPr>
                    <w:jc w:val="center"/>
                    <w:rPr>
                      <w:rFonts w:ascii="Times New Roman" w:hAnsi="Times New Roman" w:eastAsia="宋体" w:cs="Cambria"/>
                      <w:color w:val="auto"/>
                    </w:rPr>
                  </w:pPr>
                  <w:r>
                    <w:rPr>
                      <w:rFonts w:ascii="Times New Roman" w:hAnsi="Times New Roman" w:eastAsia="宋体" w:cs="Cambria"/>
                      <w:color w:val="auto"/>
                      <w:spacing w:val="-12"/>
                    </w:rPr>
                    <w:t>1h</w:t>
                  </w: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D64DE">
                  <w:pPr>
                    <w:jc w:val="center"/>
                    <w:rPr>
                      <w:rFonts w:ascii="Times New Roman" w:hAnsi="Times New Roman" w:eastAsia="宋体"/>
                      <w:color w:val="auto"/>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2F12">
                  <w:pPr>
                    <w:jc w:val="center"/>
                    <w:rPr>
                      <w:rFonts w:ascii="Times New Roman" w:hAnsi="Times New Roman" w:eastAsia="宋体" w:cs="Cambria"/>
                      <w:color w:val="auto"/>
                    </w:rPr>
                  </w:pPr>
                  <w:r>
                    <w:rPr>
                      <w:rFonts w:ascii="Times New Roman" w:hAnsi="Times New Roman" w:eastAsia="宋体" w:cs="Cambria"/>
                      <w:color w:val="auto"/>
                      <w:spacing w:val="-8"/>
                    </w:rPr>
                    <w:t>50</w:t>
                  </w:r>
                </w:p>
              </w:tc>
            </w:tr>
            <w:tr w14:paraId="4015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FAD36">
                  <w:pPr>
                    <w:jc w:val="center"/>
                    <w:rPr>
                      <w:rFonts w:ascii="Times New Roman" w:hAnsi="Times New Roman" w:eastAsia="宋体" w:cs="Cambria"/>
                      <w:color w:val="auto"/>
                    </w:rPr>
                  </w:pPr>
                  <w:r>
                    <w:rPr>
                      <w:rFonts w:ascii="Times New Roman" w:hAnsi="Times New Roman" w:eastAsia="宋体" w:cs="Cambria"/>
                      <w:color w:val="auto"/>
                    </w:rPr>
                    <w:t>4</w:t>
                  </w: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F946A">
                  <w:pPr>
                    <w:jc w:val="center"/>
                    <w:rPr>
                      <w:rFonts w:ascii="Times New Roman" w:hAnsi="Times New Roman" w:eastAsia="宋体"/>
                      <w:color w:val="auto"/>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0141F">
                  <w:pPr>
                    <w:pStyle w:val="20"/>
                    <w:jc w:val="center"/>
                    <w:rPr>
                      <w:rFonts w:ascii="Times New Roman" w:hAnsi="Times New Roman"/>
                      <w:color w:val="auto"/>
                      <w:sz w:val="21"/>
                      <w:szCs w:val="21"/>
                    </w:rPr>
                  </w:pPr>
                  <w:r>
                    <w:rPr>
                      <w:rFonts w:ascii="Times New Roman" w:hAnsi="Times New Roman"/>
                      <w:color w:val="auto"/>
                      <w:spacing w:val="-2"/>
                      <w:sz w:val="21"/>
                      <w:szCs w:val="21"/>
                    </w:rPr>
                    <w:t>铲车</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0863E">
                  <w:pPr>
                    <w:jc w:val="center"/>
                    <w:rPr>
                      <w:rFonts w:ascii="Times New Roman" w:hAnsi="Times New Roman" w:eastAsia="宋体" w:cs="Cambria"/>
                      <w:color w:val="auto"/>
                    </w:rPr>
                  </w:pPr>
                  <w:r>
                    <w:rPr>
                      <w:rFonts w:ascii="Times New Roman" w:hAnsi="Times New Roman" w:eastAsia="宋体" w:cs="Cambria"/>
                      <w:color w:val="auto"/>
                      <w:spacing w:val="-8"/>
                    </w:rPr>
                    <w:t>65</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DDF4B">
                  <w:pPr>
                    <w:jc w:val="center"/>
                    <w:rPr>
                      <w:rFonts w:ascii="Times New Roman" w:hAnsi="Times New Roman" w:eastAsia="宋体" w:cs="Cambria"/>
                      <w:color w:val="auto"/>
                    </w:rPr>
                  </w:pPr>
                  <w:r>
                    <w:rPr>
                      <w:rFonts w:ascii="Times New Roman" w:hAnsi="Times New Roman" w:eastAsia="宋体" w:cs="Cambria"/>
                      <w:color w:val="auto"/>
                      <w:spacing w:val="-5"/>
                    </w:rPr>
                    <w:t>0.2h</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6AB3">
                  <w:pPr>
                    <w:pStyle w:val="20"/>
                    <w:jc w:val="center"/>
                    <w:rPr>
                      <w:rFonts w:ascii="Times New Roman" w:hAnsi="Times New Roman"/>
                      <w:color w:val="auto"/>
                      <w:sz w:val="21"/>
                      <w:szCs w:val="21"/>
                      <w:lang w:eastAsia="zh-CN"/>
                    </w:rPr>
                  </w:pPr>
                  <w:r>
                    <w:rPr>
                      <w:rFonts w:ascii="Times New Roman" w:hAnsi="Times New Roman"/>
                      <w:color w:val="auto"/>
                      <w:spacing w:val="-1"/>
                      <w:sz w:val="21"/>
                      <w:szCs w:val="21"/>
                      <w:lang w:eastAsia="zh-CN"/>
                    </w:rPr>
                    <w:t>静止鸣笛、低噪声设</w:t>
                  </w:r>
                  <w:r>
                    <w:rPr>
                      <w:rFonts w:ascii="Times New Roman" w:hAnsi="Times New Roman"/>
                      <w:color w:val="auto"/>
                      <w:spacing w:val="-2"/>
                      <w:sz w:val="21"/>
                      <w:szCs w:val="21"/>
                      <w:lang w:eastAsia="zh-CN"/>
                    </w:rPr>
                    <w:t>备、距离衰减</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B75A">
                  <w:pPr>
                    <w:jc w:val="center"/>
                    <w:rPr>
                      <w:rFonts w:ascii="Times New Roman" w:hAnsi="Times New Roman" w:eastAsia="宋体" w:cs="Cambria"/>
                      <w:color w:val="auto"/>
                    </w:rPr>
                  </w:pPr>
                  <w:r>
                    <w:rPr>
                      <w:rFonts w:ascii="Times New Roman" w:hAnsi="Times New Roman" w:eastAsia="宋体" w:cs="Cambria"/>
                      <w:color w:val="auto"/>
                      <w:spacing w:val="-7"/>
                    </w:rPr>
                    <w:t>45</w:t>
                  </w:r>
                </w:p>
              </w:tc>
            </w:tr>
            <w:tr w14:paraId="1F841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B0B0">
                  <w:pPr>
                    <w:jc w:val="center"/>
                    <w:rPr>
                      <w:rFonts w:ascii="Times New Roman" w:hAnsi="Times New Roman" w:eastAsia="宋体" w:cs="Cambria"/>
                      <w:color w:val="auto"/>
                    </w:rPr>
                  </w:pPr>
                  <w:r>
                    <w:rPr>
                      <w:rFonts w:ascii="Times New Roman" w:hAnsi="Times New Roman" w:eastAsia="宋体" w:cs="Cambria"/>
                      <w:color w:val="auto"/>
                    </w:rPr>
                    <w:t>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83AD">
                  <w:pPr>
                    <w:pStyle w:val="20"/>
                    <w:jc w:val="center"/>
                    <w:rPr>
                      <w:rFonts w:ascii="Times New Roman" w:hAnsi="Times New Roman"/>
                      <w:color w:val="auto"/>
                      <w:sz w:val="21"/>
                      <w:szCs w:val="21"/>
                    </w:rPr>
                  </w:pPr>
                  <w:r>
                    <w:rPr>
                      <w:rFonts w:ascii="Times New Roman" w:hAnsi="Times New Roman"/>
                      <w:color w:val="auto"/>
                      <w:spacing w:val="-2"/>
                      <w:sz w:val="21"/>
                      <w:szCs w:val="21"/>
                    </w:rPr>
                    <w:t>生产区</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87579">
                  <w:pPr>
                    <w:pStyle w:val="20"/>
                    <w:jc w:val="center"/>
                    <w:rPr>
                      <w:rFonts w:ascii="Times New Roman" w:hAnsi="Times New Roman"/>
                      <w:color w:val="auto"/>
                      <w:sz w:val="21"/>
                      <w:szCs w:val="21"/>
                    </w:rPr>
                  </w:pPr>
                  <w:r>
                    <w:rPr>
                      <w:rFonts w:ascii="Times New Roman" w:hAnsi="Times New Roman"/>
                      <w:color w:val="auto"/>
                      <w:spacing w:val="-3"/>
                      <w:sz w:val="21"/>
                      <w:szCs w:val="21"/>
                    </w:rPr>
                    <w:t>一体化</w:t>
                  </w:r>
                </w:p>
                <w:p w14:paraId="3509FDE8">
                  <w:pPr>
                    <w:pStyle w:val="20"/>
                    <w:jc w:val="center"/>
                    <w:rPr>
                      <w:rFonts w:ascii="Times New Roman" w:hAnsi="Times New Roman"/>
                      <w:color w:val="auto"/>
                      <w:sz w:val="21"/>
                      <w:szCs w:val="21"/>
                    </w:rPr>
                  </w:pPr>
                  <w:r>
                    <w:rPr>
                      <w:rFonts w:ascii="Times New Roman" w:hAnsi="Times New Roman"/>
                      <w:color w:val="auto"/>
                      <w:spacing w:val="-2"/>
                      <w:sz w:val="21"/>
                      <w:szCs w:val="21"/>
                    </w:rPr>
                    <w:t>成型机</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86496">
                  <w:pPr>
                    <w:jc w:val="center"/>
                    <w:rPr>
                      <w:rFonts w:ascii="Times New Roman" w:hAnsi="Times New Roman" w:eastAsia="宋体" w:cs="Cambria"/>
                      <w:color w:val="auto"/>
                    </w:rPr>
                  </w:pPr>
                  <w:r>
                    <w:rPr>
                      <w:rFonts w:ascii="Times New Roman" w:hAnsi="Times New Roman" w:eastAsia="宋体" w:cs="Cambria"/>
                      <w:color w:val="auto"/>
                      <w:spacing w:val="-8"/>
                    </w:rPr>
                    <w:t>75</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8746">
                  <w:pPr>
                    <w:jc w:val="center"/>
                    <w:rPr>
                      <w:rFonts w:ascii="Times New Roman" w:hAnsi="Times New Roman" w:eastAsia="宋体" w:cs="Cambria"/>
                      <w:color w:val="auto"/>
                    </w:rPr>
                  </w:pPr>
                  <w:r>
                    <w:rPr>
                      <w:rFonts w:ascii="Times New Roman" w:hAnsi="Times New Roman" w:eastAsia="宋体" w:cs="Cambria"/>
                      <w:color w:val="auto"/>
                      <w:spacing w:val="-8"/>
                    </w:rPr>
                    <w:t>3h</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42B1A">
                  <w:pPr>
                    <w:pStyle w:val="20"/>
                    <w:jc w:val="center"/>
                    <w:rPr>
                      <w:rFonts w:ascii="Times New Roman" w:hAnsi="Times New Roman"/>
                      <w:color w:val="auto"/>
                      <w:sz w:val="21"/>
                      <w:szCs w:val="21"/>
                      <w:lang w:eastAsia="zh-CN"/>
                    </w:rPr>
                  </w:pPr>
                  <w:r>
                    <w:rPr>
                      <w:rFonts w:ascii="Times New Roman" w:hAnsi="Times New Roman"/>
                      <w:color w:val="auto"/>
                      <w:spacing w:val="-1"/>
                      <w:sz w:val="21"/>
                      <w:szCs w:val="21"/>
                      <w:lang w:eastAsia="zh-CN"/>
                    </w:rPr>
                    <w:t>低噪声设备、隔声减振、距离衰减</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D585A">
                  <w:pPr>
                    <w:jc w:val="center"/>
                    <w:rPr>
                      <w:rFonts w:ascii="Times New Roman" w:hAnsi="Times New Roman" w:eastAsia="宋体" w:cs="Cambria"/>
                      <w:color w:val="auto"/>
                    </w:rPr>
                  </w:pPr>
                  <w:r>
                    <w:rPr>
                      <w:rFonts w:ascii="Times New Roman" w:hAnsi="Times New Roman" w:eastAsia="宋体" w:cs="Cambria"/>
                      <w:color w:val="auto"/>
                      <w:spacing w:val="-8"/>
                    </w:rPr>
                    <w:t>60</w:t>
                  </w:r>
                </w:p>
              </w:tc>
            </w:tr>
            <w:tr w14:paraId="04079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992F2">
                  <w:pPr>
                    <w:jc w:val="center"/>
                    <w:rPr>
                      <w:rFonts w:ascii="Times New Roman" w:hAnsi="Times New Roman" w:eastAsia="宋体" w:cs="Cambria"/>
                      <w:color w:val="auto"/>
                      <w:lang w:eastAsia="zh-CN"/>
                    </w:rPr>
                  </w:pPr>
                  <w:r>
                    <w:rPr>
                      <w:rFonts w:hint="eastAsia" w:ascii="Times New Roman" w:hAnsi="Times New Roman" w:eastAsia="宋体" w:cs="Cambria"/>
                      <w:color w:val="auto"/>
                      <w:lang w:eastAsia="zh-CN"/>
                    </w:rPr>
                    <w:t>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7A17">
                  <w:pPr>
                    <w:pStyle w:val="20"/>
                    <w:jc w:val="center"/>
                    <w:rPr>
                      <w:rFonts w:ascii="Times New Roman" w:hAnsi="Times New Roman"/>
                      <w:color w:val="auto"/>
                      <w:sz w:val="21"/>
                      <w:szCs w:val="21"/>
                    </w:rPr>
                  </w:pPr>
                  <w:r>
                    <w:rPr>
                      <w:rFonts w:ascii="Times New Roman" w:hAnsi="Times New Roman"/>
                      <w:color w:val="auto"/>
                      <w:spacing w:val="-1"/>
                      <w:sz w:val="21"/>
                      <w:szCs w:val="21"/>
                    </w:rPr>
                    <w:t>产品堆放区</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55EA">
                  <w:pPr>
                    <w:pStyle w:val="20"/>
                    <w:jc w:val="center"/>
                    <w:rPr>
                      <w:rFonts w:ascii="Times New Roman" w:hAnsi="Times New Roman"/>
                      <w:color w:val="auto"/>
                      <w:sz w:val="21"/>
                      <w:szCs w:val="21"/>
                    </w:rPr>
                  </w:pPr>
                  <w:r>
                    <w:rPr>
                      <w:rFonts w:ascii="Times New Roman" w:hAnsi="Times New Roman"/>
                      <w:color w:val="auto"/>
                      <w:spacing w:val="-3"/>
                      <w:sz w:val="21"/>
                      <w:szCs w:val="21"/>
                    </w:rPr>
                    <w:t>行吊</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542E7">
                  <w:pPr>
                    <w:jc w:val="center"/>
                    <w:rPr>
                      <w:rFonts w:ascii="Times New Roman" w:hAnsi="Times New Roman" w:eastAsia="宋体" w:cs="Cambria"/>
                      <w:color w:val="auto"/>
                    </w:rPr>
                  </w:pPr>
                  <w:r>
                    <w:rPr>
                      <w:rFonts w:ascii="Times New Roman" w:hAnsi="Times New Roman" w:eastAsia="宋体" w:cs="Cambria"/>
                      <w:color w:val="auto"/>
                      <w:spacing w:val="-9"/>
                    </w:rPr>
                    <w:t>80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D47B">
                  <w:pPr>
                    <w:jc w:val="center"/>
                    <w:rPr>
                      <w:rFonts w:ascii="Times New Roman" w:hAnsi="Times New Roman" w:eastAsia="宋体" w:cs="Cambria"/>
                      <w:color w:val="auto"/>
                    </w:rPr>
                  </w:pPr>
                  <w:r>
                    <w:rPr>
                      <w:rFonts w:ascii="Times New Roman" w:hAnsi="Times New Roman" w:eastAsia="宋体" w:cs="Cambria"/>
                      <w:color w:val="auto"/>
                      <w:spacing w:val="-7"/>
                    </w:rPr>
                    <w:t>2h</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DC2C">
                  <w:pPr>
                    <w:pStyle w:val="20"/>
                    <w:jc w:val="center"/>
                    <w:rPr>
                      <w:rFonts w:ascii="Times New Roman" w:hAnsi="Times New Roman"/>
                      <w:color w:val="auto"/>
                      <w:sz w:val="21"/>
                      <w:szCs w:val="21"/>
                      <w:lang w:eastAsia="zh-CN"/>
                    </w:rPr>
                  </w:pPr>
                  <w:r>
                    <w:rPr>
                      <w:rFonts w:ascii="Times New Roman" w:hAnsi="Times New Roman"/>
                      <w:color w:val="auto"/>
                      <w:spacing w:val="-1"/>
                      <w:sz w:val="21"/>
                      <w:szCs w:val="21"/>
                      <w:lang w:eastAsia="zh-CN"/>
                    </w:rPr>
                    <w:t>低噪声设备、距离衰</w:t>
                  </w:r>
                </w:p>
                <w:p w14:paraId="17E1F6AB">
                  <w:pPr>
                    <w:pStyle w:val="20"/>
                    <w:jc w:val="center"/>
                    <w:rPr>
                      <w:rFonts w:ascii="Times New Roman" w:hAnsi="Times New Roman"/>
                      <w:color w:val="auto"/>
                      <w:sz w:val="21"/>
                      <w:szCs w:val="21"/>
                      <w:lang w:eastAsia="zh-CN"/>
                    </w:rPr>
                  </w:pPr>
                  <w:r>
                    <w:rPr>
                      <w:rFonts w:ascii="Times New Roman" w:hAnsi="Times New Roman"/>
                      <w:color w:val="auto"/>
                      <w:sz w:val="21"/>
                      <w:szCs w:val="21"/>
                      <w:lang w:eastAsia="zh-CN"/>
                    </w:rPr>
                    <w:t>减</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87EB9">
                  <w:pPr>
                    <w:jc w:val="center"/>
                    <w:rPr>
                      <w:rFonts w:ascii="Times New Roman" w:hAnsi="Times New Roman" w:eastAsia="宋体" w:cs="Cambria"/>
                      <w:color w:val="auto"/>
                      <w:lang w:eastAsia="zh-CN"/>
                    </w:rPr>
                  </w:pPr>
                  <w:r>
                    <w:rPr>
                      <w:rFonts w:ascii="Times New Roman" w:hAnsi="Times New Roman" w:eastAsia="宋体" w:cs="Cambria"/>
                      <w:color w:val="auto"/>
                      <w:spacing w:val="-8"/>
                      <w:lang w:eastAsia="zh-CN"/>
                    </w:rPr>
                    <w:t>75</w:t>
                  </w:r>
                </w:p>
              </w:tc>
            </w:tr>
          </w:tbl>
          <w:p w14:paraId="34FD57F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（2）降噪措施</w:t>
            </w:r>
          </w:p>
          <w:p w14:paraId="05712B81">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本项目运营在生产过程中产生的噪声，噪声源强介于60~80dB</w:t>
            </w:r>
            <w:r>
              <w:rPr>
                <w:rFonts w:hint="eastAsia" w:ascii="Times New Roman" w:hAnsi="Times New Roman"/>
                <w:color w:val="auto"/>
                <w:spacing w:val="-2"/>
                <w:lang w:eastAsia="zh-CN"/>
              </w:rPr>
              <w:t>（</w:t>
            </w:r>
            <w:r>
              <w:rPr>
                <w:rFonts w:ascii="Times New Roman" w:hAnsi="Times New Roman"/>
                <w:color w:val="auto"/>
                <w:spacing w:val="-2"/>
                <w:lang w:eastAsia="zh-CN"/>
              </w:rPr>
              <w:t>A</w:t>
            </w:r>
            <w:r>
              <w:rPr>
                <w:rFonts w:hint="eastAsia" w:ascii="Times New Roman" w:hAnsi="Times New Roman"/>
                <w:color w:val="auto"/>
                <w:spacing w:val="-2"/>
                <w:lang w:eastAsia="zh-CN"/>
              </w:rPr>
              <w:t>）</w:t>
            </w:r>
            <w:r>
              <w:rPr>
                <w:rFonts w:ascii="Times New Roman" w:hAnsi="Times New Roman"/>
                <w:color w:val="auto"/>
                <w:spacing w:val="-2"/>
                <w:lang w:eastAsia="zh-CN"/>
              </w:rPr>
              <w:t>之间，本评价建议采取以下噪声防治措施：</w:t>
            </w:r>
          </w:p>
          <w:p w14:paraId="30727A5B">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①选用低噪声设备，从根本上降低噪声源强，控制噪声污染水平；在基础加装减振、阻尼、隔振、吸声和隔声装置，有效地降低噪声和设备振动；</w:t>
            </w:r>
          </w:p>
          <w:p w14:paraId="632D72AA">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w:t>
            </w:r>
            <w:r>
              <w:rPr>
                <w:rFonts w:ascii="Times New Roman" w:hAnsi="Times New Roman"/>
                <w:color w:val="auto"/>
                <w:spacing w:val="-2"/>
                <w:lang w:eastAsia="zh-CN"/>
              </w:rPr>
              <w:t>加强设备维护，确保设备运行状态良好，避免设备不正常运转产生的高噪声现象。</w:t>
            </w:r>
          </w:p>
          <w:p w14:paraId="675D1534">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③</w:t>
            </w:r>
            <w:r>
              <w:rPr>
                <w:rFonts w:ascii="Times New Roman" w:hAnsi="Times New Roman"/>
                <w:color w:val="auto"/>
                <w:spacing w:val="-2"/>
                <w:lang w:eastAsia="zh-CN"/>
              </w:rPr>
              <w:t>项目建成后，加强对噪声设备的管理，对噪声集中的建筑门窗采取隔声措施，以减少噪声对外界环境的影响。</w:t>
            </w:r>
          </w:p>
          <w:p w14:paraId="3388B19C">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w:t>
            </w:r>
            <w:r>
              <w:rPr>
                <w:rFonts w:ascii="Times New Roman" w:hAnsi="Times New Roman"/>
                <w:color w:val="auto"/>
                <w:spacing w:val="-2"/>
                <w:lang w:eastAsia="zh-CN"/>
              </w:rPr>
              <w:t>项目通过加强管理，文明施工操作，装卸货物时轻拿轻放，避免因操作产生的突发性噪声。</w:t>
            </w:r>
          </w:p>
          <w:p w14:paraId="09DFA302">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项目在正常工况下采取上述防治措施后噪声值可满足《工业企业厂界环境噪声排放标准》（GB12348-2008）中3类标准限值，即昼间≤65dB（A），夜间≤55dB（A），对区域声环境影响较小。</w:t>
            </w:r>
          </w:p>
          <w:p w14:paraId="68F7828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（3）噪声达标分析</w:t>
            </w:r>
          </w:p>
          <w:p w14:paraId="2EBCC02D">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本项目采取车间密闭、基础减振、隔声、消声等措施处理后，降噪效果显著，厂界噪声预计能够达到《工业企业厂界环境噪声排放标准》（GB12348-2008）中3类区排放限值的要求（昼间≤65dB</w:t>
            </w:r>
            <w:r>
              <w:rPr>
                <w:rFonts w:hint="eastAsia" w:ascii="Times New Roman" w:hAnsi="Times New Roman"/>
                <w:color w:val="auto"/>
                <w:spacing w:val="-2"/>
                <w:lang w:eastAsia="zh-CN"/>
              </w:rPr>
              <w:t>（</w:t>
            </w:r>
            <w:r>
              <w:rPr>
                <w:rFonts w:ascii="Times New Roman" w:hAnsi="Times New Roman"/>
                <w:color w:val="auto"/>
                <w:spacing w:val="-2"/>
                <w:lang w:eastAsia="zh-CN"/>
              </w:rPr>
              <w:t>A</w:t>
            </w:r>
            <w:r>
              <w:rPr>
                <w:rFonts w:hint="eastAsia" w:ascii="Times New Roman" w:hAnsi="Times New Roman"/>
                <w:color w:val="auto"/>
                <w:spacing w:val="-2"/>
                <w:lang w:eastAsia="zh-CN"/>
              </w:rPr>
              <w:t>）</w:t>
            </w:r>
            <w:r>
              <w:rPr>
                <w:rFonts w:ascii="Times New Roman" w:hAnsi="Times New Roman"/>
                <w:color w:val="auto"/>
                <w:spacing w:val="-2"/>
                <w:lang w:eastAsia="zh-CN"/>
              </w:rPr>
              <w:t>，夜间≤55dB</w:t>
            </w:r>
            <w:r>
              <w:rPr>
                <w:rFonts w:hint="eastAsia" w:ascii="Times New Roman" w:hAnsi="Times New Roman"/>
                <w:color w:val="auto"/>
                <w:spacing w:val="-2"/>
                <w:lang w:eastAsia="zh-CN"/>
              </w:rPr>
              <w:t>（</w:t>
            </w:r>
            <w:r>
              <w:rPr>
                <w:rFonts w:ascii="Times New Roman" w:hAnsi="Times New Roman"/>
                <w:color w:val="auto"/>
                <w:spacing w:val="-2"/>
                <w:lang w:eastAsia="zh-CN"/>
              </w:rPr>
              <w:t>A</w:t>
            </w:r>
            <w:r>
              <w:rPr>
                <w:rFonts w:hint="eastAsia" w:ascii="Times New Roman" w:hAnsi="Times New Roman"/>
                <w:color w:val="auto"/>
                <w:spacing w:val="-2"/>
                <w:lang w:eastAsia="zh-CN"/>
              </w:rPr>
              <w:t>）</w:t>
            </w:r>
            <w:r>
              <w:rPr>
                <w:rFonts w:ascii="Times New Roman" w:hAnsi="Times New Roman"/>
                <w:color w:val="auto"/>
                <w:spacing w:val="-2"/>
                <w:lang w:eastAsia="zh-CN"/>
              </w:rPr>
              <w:t>），拟建项目运营期产生的噪声对周围环境影响较小，且项目用地较为宽广，周边均为工业企业，也无声环境保护目标。</w:t>
            </w:r>
          </w:p>
          <w:p w14:paraId="65C10945">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（4）监测要求</w:t>
            </w:r>
          </w:p>
          <w:p w14:paraId="02689913">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根据《排污单位自行监测技术指南总则》（HJ819-2017）和本项目情况，确定本项目噪声的日常监测要求，如表</w:t>
            </w:r>
            <w:r>
              <w:rPr>
                <w:rFonts w:hint="eastAsia" w:ascii="Times New Roman" w:hAnsi="Times New Roman"/>
                <w:color w:val="auto"/>
                <w:spacing w:val="-2"/>
                <w:lang w:eastAsia="zh-CN"/>
              </w:rPr>
              <w:t>4-10</w:t>
            </w:r>
            <w:r>
              <w:rPr>
                <w:rFonts w:ascii="Times New Roman" w:hAnsi="Times New Roman"/>
                <w:color w:val="auto"/>
                <w:spacing w:val="-2"/>
                <w:lang w:eastAsia="zh-CN"/>
              </w:rPr>
              <w:t>所示。</w:t>
            </w:r>
          </w:p>
          <w:p w14:paraId="2E3060DB">
            <w:pPr>
              <w:pStyle w:val="20"/>
              <w:spacing w:line="360" w:lineRule="auto"/>
              <w:ind w:firstLine="414" w:firstLineChars="200"/>
              <w:jc w:val="center"/>
              <w:rPr>
                <w:color w:val="auto"/>
                <w:sz w:val="21"/>
                <w:szCs w:val="21"/>
              </w:rPr>
            </w:pPr>
            <w:r>
              <w:rPr>
                <w:b/>
                <w:bCs/>
                <w:color w:val="auto"/>
                <w:spacing w:val="-2"/>
                <w:sz w:val="21"/>
                <w:szCs w:val="21"/>
              </w:rPr>
              <w:t>表</w:t>
            </w:r>
            <w:r>
              <w:rPr>
                <w:rFonts w:hint="eastAsia" w:ascii="Times New Roman" w:hAnsi="Times New Roman" w:cs="Times New Roman"/>
                <w:b/>
                <w:bCs/>
                <w:color w:val="auto"/>
                <w:spacing w:val="-2"/>
                <w:sz w:val="21"/>
                <w:szCs w:val="21"/>
                <w:lang w:eastAsia="zh-CN"/>
              </w:rPr>
              <w:t>4-10</w:t>
            </w:r>
            <w:r>
              <w:rPr>
                <w:b/>
                <w:bCs/>
                <w:color w:val="auto"/>
                <w:spacing w:val="-2"/>
                <w:sz w:val="21"/>
                <w:szCs w:val="21"/>
              </w:rPr>
              <w:t>噪声监测要求一览表</w:t>
            </w:r>
          </w:p>
          <w:tbl>
            <w:tblPr>
              <w:tblStyle w:val="19"/>
              <w:tblW w:w="7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1"/>
              <w:gridCol w:w="2102"/>
              <w:gridCol w:w="1313"/>
              <w:gridCol w:w="3096"/>
            </w:tblGrid>
            <w:tr w14:paraId="38F8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441" w:type="dxa"/>
                  <w:vAlign w:val="center"/>
                </w:tcPr>
                <w:p w14:paraId="7CBA4DD5">
                  <w:pPr>
                    <w:pStyle w:val="20"/>
                    <w:jc w:val="center"/>
                    <w:rPr>
                      <w:color w:val="auto"/>
                      <w:sz w:val="21"/>
                      <w:szCs w:val="21"/>
                    </w:rPr>
                  </w:pPr>
                  <w:r>
                    <w:rPr>
                      <w:color w:val="auto"/>
                      <w:spacing w:val="-2"/>
                      <w:sz w:val="21"/>
                      <w:szCs w:val="21"/>
                    </w:rPr>
                    <w:t>监测点位</w:t>
                  </w:r>
                </w:p>
              </w:tc>
              <w:tc>
                <w:tcPr>
                  <w:tcW w:w="2102" w:type="dxa"/>
                  <w:vAlign w:val="center"/>
                </w:tcPr>
                <w:p w14:paraId="5587895B">
                  <w:pPr>
                    <w:pStyle w:val="20"/>
                    <w:jc w:val="center"/>
                    <w:rPr>
                      <w:color w:val="auto"/>
                      <w:sz w:val="21"/>
                      <w:szCs w:val="21"/>
                    </w:rPr>
                  </w:pPr>
                  <w:r>
                    <w:rPr>
                      <w:color w:val="auto"/>
                      <w:spacing w:val="-2"/>
                      <w:sz w:val="21"/>
                      <w:szCs w:val="21"/>
                    </w:rPr>
                    <w:t>监测指标</w:t>
                  </w:r>
                </w:p>
              </w:tc>
              <w:tc>
                <w:tcPr>
                  <w:tcW w:w="1313" w:type="dxa"/>
                  <w:vAlign w:val="center"/>
                </w:tcPr>
                <w:p w14:paraId="2A20B3E9">
                  <w:pPr>
                    <w:pStyle w:val="20"/>
                    <w:jc w:val="center"/>
                    <w:rPr>
                      <w:color w:val="auto"/>
                      <w:sz w:val="21"/>
                      <w:szCs w:val="21"/>
                    </w:rPr>
                  </w:pPr>
                  <w:r>
                    <w:rPr>
                      <w:color w:val="auto"/>
                      <w:spacing w:val="-2"/>
                      <w:sz w:val="21"/>
                      <w:szCs w:val="21"/>
                    </w:rPr>
                    <w:t>监测频次</w:t>
                  </w:r>
                </w:p>
              </w:tc>
              <w:tc>
                <w:tcPr>
                  <w:tcW w:w="3096" w:type="dxa"/>
                  <w:vAlign w:val="center"/>
                </w:tcPr>
                <w:p w14:paraId="46D158E0">
                  <w:pPr>
                    <w:pStyle w:val="20"/>
                    <w:jc w:val="center"/>
                    <w:rPr>
                      <w:color w:val="auto"/>
                      <w:sz w:val="21"/>
                      <w:szCs w:val="21"/>
                    </w:rPr>
                  </w:pPr>
                  <w:r>
                    <w:rPr>
                      <w:color w:val="auto"/>
                      <w:spacing w:val="-1"/>
                      <w:sz w:val="21"/>
                      <w:szCs w:val="21"/>
                    </w:rPr>
                    <w:t>执行排放标准</w:t>
                  </w:r>
                </w:p>
              </w:tc>
            </w:tr>
            <w:tr w14:paraId="7928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1441" w:type="dxa"/>
                  <w:vAlign w:val="center"/>
                </w:tcPr>
                <w:p w14:paraId="1499A3D9">
                  <w:pPr>
                    <w:pStyle w:val="20"/>
                    <w:jc w:val="center"/>
                    <w:rPr>
                      <w:color w:val="auto"/>
                      <w:sz w:val="21"/>
                      <w:szCs w:val="21"/>
                    </w:rPr>
                  </w:pPr>
                  <w:r>
                    <w:rPr>
                      <w:color w:val="auto"/>
                      <w:spacing w:val="-5"/>
                      <w:sz w:val="21"/>
                      <w:szCs w:val="21"/>
                    </w:rPr>
                    <w:t>厂界外</w:t>
                  </w:r>
                  <w:r>
                    <w:rPr>
                      <w:rFonts w:ascii="Times New Roman" w:hAnsi="Times New Roman" w:eastAsia="Times New Roman" w:cs="Times New Roman"/>
                      <w:color w:val="auto"/>
                      <w:spacing w:val="-5"/>
                      <w:sz w:val="21"/>
                      <w:szCs w:val="21"/>
                    </w:rPr>
                    <w:t>1m</w:t>
                  </w:r>
                  <w:r>
                    <w:rPr>
                      <w:color w:val="auto"/>
                      <w:spacing w:val="-5"/>
                      <w:sz w:val="21"/>
                      <w:szCs w:val="21"/>
                    </w:rPr>
                    <w:t>设</w:t>
                  </w:r>
                  <w:r>
                    <w:rPr>
                      <w:color w:val="auto"/>
                      <w:spacing w:val="-2"/>
                      <w:sz w:val="21"/>
                      <w:szCs w:val="21"/>
                    </w:rPr>
                    <w:t>监测点位</w:t>
                  </w:r>
                </w:p>
              </w:tc>
              <w:tc>
                <w:tcPr>
                  <w:tcW w:w="2102" w:type="dxa"/>
                  <w:vAlign w:val="center"/>
                </w:tcPr>
                <w:p w14:paraId="0D9E4DBA">
                  <w:pPr>
                    <w:pStyle w:val="20"/>
                    <w:jc w:val="center"/>
                    <w:rPr>
                      <w:color w:val="auto"/>
                      <w:sz w:val="21"/>
                      <w:szCs w:val="21"/>
                      <w:lang w:eastAsia="zh-CN"/>
                    </w:rPr>
                  </w:pPr>
                  <w:r>
                    <w:rPr>
                      <w:color w:val="auto"/>
                      <w:spacing w:val="-1"/>
                      <w:sz w:val="21"/>
                      <w:szCs w:val="21"/>
                      <w:lang w:eastAsia="zh-CN"/>
                    </w:rPr>
                    <w:t>昼、夜间等效连续</w:t>
                  </w:r>
                  <w:r>
                    <w:rPr>
                      <w:rFonts w:ascii="Times New Roman" w:hAnsi="Times New Roman" w:eastAsia="Times New Roman" w:cs="Times New Roman"/>
                      <w:color w:val="auto"/>
                      <w:spacing w:val="-1"/>
                      <w:sz w:val="21"/>
                      <w:szCs w:val="21"/>
                      <w:lang w:eastAsia="zh-CN"/>
                    </w:rPr>
                    <w:t>A</w:t>
                  </w:r>
                  <w:r>
                    <w:rPr>
                      <w:color w:val="auto"/>
                      <w:spacing w:val="-3"/>
                      <w:sz w:val="21"/>
                      <w:szCs w:val="21"/>
                      <w:lang w:eastAsia="zh-CN"/>
                    </w:rPr>
                    <w:t>声级</w:t>
                  </w:r>
                </w:p>
              </w:tc>
              <w:tc>
                <w:tcPr>
                  <w:tcW w:w="1313" w:type="dxa"/>
                  <w:vAlign w:val="center"/>
                </w:tcPr>
                <w:p w14:paraId="188F6E05">
                  <w:pPr>
                    <w:pStyle w:val="20"/>
                    <w:jc w:val="center"/>
                    <w:rPr>
                      <w:rFonts w:hint="eastAsia" w:eastAsia="宋体"/>
                      <w:color w:val="auto"/>
                      <w:sz w:val="21"/>
                      <w:szCs w:val="21"/>
                      <w:lang w:eastAsia="zh-CN"/>
                    </w:rPr>
                  </w:pPr>
                  <w:r>
                    <w:rPr>
                      <w:rFonts w:ascii="Times New Roman" w:hAnsi="Times New Roman" w:eastAsia="Times New Roman" w:cs="Times New Roman"/>
                      <w:color w:val="auto"/>
                      <w:spacing w:val="-8"/>
                      <w:sz w:val="21"/>
                      <w:szCs w:val="21"/>
                    </w:rPr>
                    <w:t>1</w:t>
                  </w:r>
                  <w:r>
                    <w:rPr>
                      <w:color w:val="auto"/>
                      <w:spacing w:val="-8"/>
                      <w:sz w:val="21"/>
                      <w:szCs w:val="21"/>
                    </w:rPr>
                    <w:t>次</w:t>
                  </w:r>
                  <w:r>
                    <w:rPr>
                      <w:rFonts w:ascii="Times New Roman" w:hAnsi="Times New Roman" w:eastAsia="Times New Roman" w:cs="Times New Roman"/>
                      <w:color w:val="auto"/>
                      <w:spacing w:val="-8"/>
                      <w:sz w:val="21"/>
                      <w:szCs w:val="21"/>
                    </w:rPr>
                    <w:t>/</w:t>
                  </w:r>
                  <w:r>
                    <w:rPr>
                      <w:rFonts w:hint="eastAsia" w:eastAsia="宋体"/>
                      <w:color w:val="auto"/>
                      <w:spacing w:val="-8"/>
                      <w:sz w:val="21"/>
                      <w:szCs w:val="21"/>
                      <w:lang w:val="en-US" w:eastAsia="zh-CN"/>
                    </w:rPr>
                    <w:t>年</w:t>
                  </w:r>
                </w:p>
              </w:tc>
              <w:tc>
                <w:tcPr>
                  <w:tcW w:w="3096" w:type="dxa"/>
                  <w:vAlign w:val="center"/>
                </w:tcPr>
                <w:p w14:paraId="73A856D8">
                  <w:pPr>
                    <w:pStyle w:val="20"/>
                    <w:jc w:val="center"/>
                    <w:rPr>
                      <w:color w:val="auto"/>
                      <w:sz w:val="21"/>
                      <w:szCs w:val="21"/>
                      <w:lang w:eastAsia="zh-CN"/>
                    </w:rPr>
                  </w:pPr>
                  <w:r>
                    <w:rPr>
                      <w:color w:val="auto"/>
                      <w:spacing w:val="9"/>
                      <w:sz w:val="21"/>
                      <w:szCs w:val="21"/>
                      <w:lang w:eastAsia="zh-CN"/>
                    </w:rPr>
                    <w:t>《工业企业厂界环境噪声排放</w:t>
                  </w:r>
                  <w:r>
                    <w:rPr>
                      <w:color w:val="auto"/>
                      <w:sz w:val="21"/>
                      <w:szCs w:val="21"/>
                      <w:lang w:eastAsia="zh-CN"/>
                    </w:rPr>
                    <w:t>标准》（</w:t>
                  </w:r>
                  <w:r>
                    <w:rPr>
                      <w:rFonts w:ascii="Times New Roman" w:hAnsi="Times New Roman" w:eastAsia="Times New Roman" w:cs="Times New Roman"/>
                      <w:color w:val="auto"/>
                      <w:sz w:val="21"/>
                      <w:szCs w:val="21"/>
                      <w:lang w:eastAsia="zh-CN"/>
                    </w:rPr>
                    <w:t>GB12348-2008</w:t>
                  </w:r>
                  <w:r>
                    <w:rPr>
                      <w:color w:val="auto"/>
                      <w:sz w:val="21"/>
                      <w:szCs w:val="21"/>
                      <w:lang w:eastAsia="zh-CN"/>
                    </w:rPr>
                    <w:t>）</w:t>
                  </w:r>
                  <w:r>
                    <w:rPr>
                      <w:rFonts w:ascii="Times New Roman" w:hAnsi="Times New Roman" w:eastAsia="Times New Roman" w:cs="Times New Roman"/>
                      <w:color w:val="auto"/>
                      <w:sz w:val="21"/>
                      <w:szCs w:val="21"/>
                      <w:lang w:eastAsia="zh-CN"/>
                    </w:rPr>
                    <w:t>3</w:t>
                  </w:r>
                  <w:r>
                    <w:rPr>
                      <w:color w:val="auto"/>
                      <w:sz w:val="21"/>
                      <w:szCs w:val="21"/>
                      <w:lang w:eastAsia="zh-CN"/>
                    </w:rPr>
                    <w:t>类</w:t>
                  </w:r>
                </w:p>
              </w:tc>
            </w:tr>
          </w:tbl>
          <w:p w14:paraId="2D6760B5">
            <w:pPr>
              <w:pStyle w:val="20"/>
              <w:spacing w:line="360" w:lineRule="auto"/>
              <w:ind w:firstLine="472" w:firstLineChars="200"/>
              <w:rPr>
                <w:rFonts w:ascii="Times New Roman" w:hAnsi="Times New Roman" w:eastAsia="Times New Roman" w:cs="Times New Roman"/>
                <w:b/>
                <w:bCs/>
                <w:color w:val="auto"/>
                <w:spacing w:val="-2"/>
                <w:lang w:eastAsia="zh-CN"/>
              </w:rPr>
            </w:pPr>
            <w:r>
              <w:rPr>
                <w:rFonts w:hint="eastAsia" w:ascii="Times New Roman" w:hAnsi="Times New Roman" w:eastAsia="Times New Roman" w:cs="Times New Roman"/>
                <w:b/>
                <w:bCs/>
                <w:color w:val="auto"/>
                <w:spacing w:val="-2"/>
                <w:lang w:eastAsia="zh-CN"/>
              </w:rPr>
              <w:t>4、固体废物</w:t>
            </w:r>
          </w:p>
          <w:p w14:paraId="6A11829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（1）固体废物产生环节、产生量及处置方式</w:t>
            </w:r>
          </w:p>
          <w:p w14:paraId="0C44119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本项目产生的固体废物主要为一般固体废物和生活垃圾。</w:t>
            </w:r>
          </w:p>
          <w:p w14:paraId="6AB45889">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1）一般固体废物</w:t>
            </w:r>
          </w:p>
          <w:p w14:paraId="3B8024CD">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拌合料废渣</w:t>
            </w:r>
            <w:r>
              <w:rPr>
                <w:rFonts w:ascii="Times New Roman" w:hAnsi="Times New Roman"/>
                <w:color w:val="auto"/>
                <w:spacing w:val="-2"/>
                <w:lang w:eastAsia="zh-CN"/>
              </w:rPr>
              <w:t>：根据企业提供资料，</w:t>
            </w:r>
            <w:r>
              <w:rPr>
                <w:rFonts w:hint="eastAsia" w:ascii="Times New Roman" w:hAnsi="Times New Roman"/>
                <w:color w:val="auto"/>
                <w:spacing w:val="-2"/>
                <w:lang w:eastAsia="zh-CN"/>
              </w:rPr>
              <w:t>拌合料废渣</w:t>
            </w:r>
            <w:r>
              <w:rPr>
                <w:rFonts w:ascii="Times New Roman" w:hAnsi="Times New Roman"/>
                <w:color w:val="auto"/>
                <w:spacing w:val="-2"/>
                <w:lang w:eastAsia="zh-CN"/>
              </w:rPr>
              <w:t>产生量约为216.2t/a，全部用于生产，不外排。</w:t>
            </w:r>
          </w:p>
          <w:p w14:paraId="7667F6C9">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水泥筒仓除尘器收集的粉尘：布袋除尘器收集的粉尘量为</w:t>
            </w:r>
            <w:r>
              <w:rPr>
                <w:rFonts w:hint="eastAsia" w:ascii="Times New Roman" w:hAnsi="Times New Roman"/>
                <w:color w:val="auto"/>
                <w:spacing w:val="-2"/>
                <w:lang w:eastAsia="zh-CN"/>
              </w:rPr>
              <w:t>0.9553</w:t>
            </w:r>
            <w:r>
              <w:rPr>
                <w:rFonts w:ascii="Times New Roman" w:hAnsi="Times New Roman"/>
                <w:color w:val="auto"/>
                <w:spacing w:val="-2"/>
                <w:lang w:eastAsia="zh-CN"/>
              </w:rPr>
              <w:t>t/a，全部回用于生产，不外排。</w:t>
            </w:r>
          </w:p>
          <w:p w14:paraId="25554483">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搅拌粉尘：上料搅拌</w:t>
            </w:r>
            <w:r>
              <w:rPr>
                <w:rFonts w:ascii="Times New Roman" w:hAnsi="Times New Roman"/>
                <w:color w:val="auto"/>
                <w:spacing w:val="-2"/>
                <w:lang w:eastAsia="zh-CN"/>
              </w:rPr>
              <w:t>布袋除尘器收集的粉尘量为</w:t>
            </w:r>
            <w:r>
              <w:rPr>
                <w:rFonts w:hint="eastAsia" w:ascii="Times New Roman" w:hAnsi="Times New Roman"/>
                <w:color w:val="auto"/>
                <w:spacing w:val="-2"/>
                <w:lang w:eastAsia="zh-CN"/>
              </w:rPr>
              <w:t>7.0997</w:t>
            </w:r>
            <w:r>
              <w:rPr>
                <w:rFonts w:ascii="Times New Roman" w:hAnsi="Times New Roman"/>
                <w:color w:val="auto"/>
                <w:spacing w:val="-2"/>
                <w:lang w:eastAsia="zh-CN"/>
              </w:rPr>
              <w:t>t/a，全部回用于生产，不外排。</w:t>
            </w:r>
          </w:p>
          <w:p w14:paraId="1DF66A51">
            <w:pPr>
              <w:pStyle w:val="20"/>
              <w:spacing w:line="360" w:lineRule="auto"/>
              <w:ind w:firstLine="472" w:firstLineChars="200"/>
              <w:rPr>
                <w:rFonts w:hint="default" w:ascii="Times New Roman" w:hAnsi="Times New Roman"/>
                <w:color w:val="auto"/>
                <w:spacing w:val="-2"/>
                <w:lang w:val="en-US" w:eastAsia="zh-CN"/>
              </w:rPr>
            </w:pPr>
            <w:r>
              <w:rPr>
                <w:rFonts w:ascii="Times New Roman" w:hAnsi="Times New Roman"/>
                <w:color w:val="auto"/>
                <w:spacing w:val="-2"/>
                <w:lang w:eastAsia="zh-CN"/>
              </w:rPr>
              <w:t>沉淀池底泥：本项目设有沉淀池，沉淀池产生的底泥均为</w:t>
            </w:r>
            <w:r>
              <w:rPr>
                <w:rFonts w:hint="eastAsia" w:ascii="Times New Roman" w:hAnsi="Times New Roman"/>
                <w:color w:val="auto"/>
                <w:spacing w:val="-2"/>
                <w:lang w:eastAsia="zh-CN"/>
              </w:rPr>
              <w:t>拌合</w:t>
            </w:r>
            <w:r>
              <w:rPr>
                <w:rFonts w:ascii="Times New Roman" w:hAnsi="Times New Roman"/>
                <w:color w:val="auto"/>
                <w:spacing w:val="-2"/>
                <w:lang w:eastAsia="zh-CN"/>
              </w:rPr>
              <w:t>料，产生量约0.86t/a，全部清掏回用于生产。</w:t>
            </w:r>
          </w:p>
          <w:p w14:paraId="0FCC91EC">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损坏的模具：根据业主提供，生产透水砖时会有变形、破损的模具，产生量约0.7t/a，全部外售给物资回收公司。</w:t>
            </w:r>
          </w:p>
          <w:p w14:paraId="516FD08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包装袋：本项目静压式透水砖生产线所用</w:t>
            </w:r>
            <w:r>
              <w:rPr>
                <w:rFonts w:hint="eastAsia" w:ascii="Times New Roman" w:hAnsi="Times New Roman"/>
                <w:color w:val="auto"/>
                <w:spacing w:val="-2"/>
                <w:lang w:val="en-US" w:eastAsia="zh-CN"/>
              </w:rPr>
              <w:t>白</w:t>
            </w:r>
            <w:r>
              <w:rPr>
                <w:rFonts w:ascii="Times New Roman" w:hAnsi="Times New Roman"/>
                <w:color w:val="auto"/>
                <w:spacing w:val="-2"/>
                <w:lang w:eastAsia="zh-CN"/>
              </w:rPr>
              <w:t>水泥及颜料均为袋装，约产生包装袋34092个，按每个包装袋20g计，本项目产生废包装袋约0.68t/a，全部外售给物资回收公司。</w:t>
            </w:r>
          </w:p>
          <w:p w14:paraId="0F4B41FD">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边角料和不合格产品：本项目产生的边角料及不合格产品按原料的2.5%计算，产生约1859t/a，全部回用于生产，不外排。</w:t>
            </w:r>
          </w:p>
          <w:p w14:paraId="6A86FE4D">
            <w:pPr>
              <w:pStyle w:val="20"/>
              <w:spacing w:line="360" w:lineRule="auto"/>
              <w:ind w:firstLine="472" w:firstLineChars="200"/>
              <w:rPr>
                <w:rFonts w:ascii="Times New Roman" w:hAnsi="Times New Roman"/>
                <w:color w:val="FF0000"/>
                <w:spacing w:val="-2"/>
                <w:lang w:eastAsia="zh-CN"/>
              </w:rPr>
            </w:pPr>
            <w:r>
              <w:rPr>
                <w:rFonts w:hint="eastAsia" w:ascii="Times New Roman" w:hAnsi="Times New Roman"/>
                <w:color w:val="auto"/>
                <w:spacing w:val="-2"/>
                <w:lang w:eastAsia="zh-CN"/>
              </w:rPr>
              <w:t>危险废物：项目机械检修过程中会产生一定的废机油（</w:t>
            </w:r>
            <w:r>
              <w:rPr>
                <w:rFonts w:hint="eastAsia" w:ascii="Times New Roman" w:hAnsi="Times New Roman"/>
                <w:color w:val="auto"/>
                <w:spacing w:val="-2"/>
                <w:lang w:val="en-US" w:eastAsia="zh-CN"/>
              </w:rPr>
              <w:t>HW08 900-214-08</w:t>
            </w:r>
            <w:r>
              <w:rPr>
                <w:rFonts w:hint="eastAsia" w:ascii="Times New Roman" w:hAnsi="Times New Roman"/>
                <w:color w:val="auto"/>
                <w:spacing w:val="-2"/>
                <w:lang w:eastAsia="zh-CN"/>
              </w:rPr>
              <w:t>）、</w:t>
            </w:r>
            <w:r>
              <w:rPr>
                <w:rFonts w:hint="eastAsia" w:ascii="Times New Roman" w:hAnsi="Times New Roman"/>
                <w:color w:val="auto"/>
                <w:spacing w:val="-2"/>
                <w:lang w:val="en-US" w:eastAsia="zh-CN"/>
              </w:rPr>
              <w:t>废油桶</w:t>
            </w:r>
            <w:r>
              <w:rPr>
                <w:rFonts w:hint="eastAsia" w:ascii="Times New Roman" w:hAnsi="Times New Roman"/>
                <w:color w:val="auto"/>
                <w:spacing w:val="-2"/>
                <w:lang w:eastAsia="zh-CN"/>
              </w:rPr>
              <w:t>（</w:t>
            </w:r>
            <w:r>
              <w:rPr>
                <w:rFonts w:hint="eastAsia" w:ascii="Times New Roman" w:hAnsi="Times New Roman"/>
                <w:color w:val="auto"/>
                <w:spacing w:val="-2"/>
                <w:lang w:val="en-US" w:eastAsia="zh-CN"/>
              </w:rPr>
              <w:t>HW08 900-249-08</w:t>
            </w:r>
            <w:r>
              <w:rPr>
                <w:rFonts w:hint="eastAsia" w:ascii="Times New Roman" w:hAnsi="Times New Roman"/>
                <w:color w:val="auto"/>
                <w:spacing w:val="-2"/>
                <w:lang w:eastAsia="zh-CN"/>
              </w:rPr>
              <w:t>），依据类比项目平均每年检修约产生0.1t/a，废机油收集于带标志的废油桶中暂</w:t>
            </w:r>
            <w:r>
              <w:rPr>
                <w:rFonts w:hint="eastAsia" w:ascii="Times New Roman" w:hAnsi="Times New Roman"/>
                <w:color w:val="auto"/>
                <w:spacing w:val="-2"/>
                <w:lang w:val="en-US" w:eastAsia="zh-CN"/>
              </w:rPr>
              <w:t>存</w:t>
            </w:r>
            <w:r>
              <w:rPr>
                <w:rFonts w:hint="eastAsia" w:ascii="Times New Roman" w:hAnsi="Times New Roman"/>
                <w:color w:val="auto"/>
                <w:spacing w:val="-2"/>
                <w:lang w:eastAsia="zh-CN"/>
              </w:rPr>
              <w:t>在危废暂存间，定期由有资质的单位进行处置。</w:t>
            </w:r>
          </w:p>
          <w:p w14:paraId="57BD080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2）生活垃圾</w:t>
            </w:r>
          </w:p>
          <w:p w14:paraId="0D01CD6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项目员工共15人，按每人每天产生0.5kg生活垃圾计，则产生量约为1.575t/a，生活垃圾集中收集后交由</w:t>
            </w:r>
            <w:r>
              <w:rPr>
                <w:rFonts w:hint="eastAsia" w:ascii="Times New Roman" w:hAnsi="Times New Roman"/>
                <w:color w:val="auto"/>
                <w:spacing w:val="-2"/>
                <w:lang w:eastAsia="zh-CN"/>
              </w:rPr>
              <w:t>乡镇</w:t>
            </w:r>
            <w:r>
              <w:rPr>
                <w:rFonts w:ascii="Times New Roman" w:hAnsi="Times New Roman"/>
                <w:color w:val="auto"/>
                <w:spacing w:val="-2"/>
                <w:lang w:eastAsia="zh-CN"/>
              </w:rPr>
              <w:t>环卫部门统一处理。</w:t>
            </w:r>
          </w:p>
          <w:p w14:paraId="2812B05B">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本项目固体废物产生情况见表</w:t>
            </w:r>
            <w:r>
              <w:rPr>
                <w:rFonts w:hint="eastAsia" w:ascii="Times New Roman" w:hAnsi="Times New Roman"/>
                <w:color w:val="auto"/>
                <w:spacing w:val="-2"/>
                <w:lang w:eastAsia="zh-CN"/>
              </w:rPr>
              <w:t>4-11</w:t>
            </w:r>
            <w:r>
              <w:rPr>
                <w:rFonts w:ascii="Times New Roman" w:hAnsi="Times New Roman"/>
                <w:color w:val="auto"/>
                <w:spacing w:val="-2"/>
                <w:lang w:eastAsia="zh-CN"/>
              </w:rPr>
              <w:t>。</w:t>
            </w:r>
          </w:p>
          <w:p w14:paraId="1C80BA9C">
            <w:pPr>
              <w:pStyle w:val="20"/>
              <w:spacing w:line="360" w:lineRule="auto"/>
              <w:ind w:firstLine="414" w:firstLineChars="200"/>
              <w:jc w:val="center"/>
              <w:rPr>
                <w:color w:val="auto"/>
                <w:spacing w:val="-6"/>
                <w:lang w:eastAsia="zh-CN"/>
              </w:rPr>
            </w:pPr>
            <w:r>
              <w:rPr>
                <w:b/>
                <w:bCs/>
                <w:color w:val="auto"/>
                <w:spacing w:val="-2"/>
                <w:sz w:val="21"/>
                <w:szCs w:val="21"/>
                <w:lang w:eastAsia="zh-CN"/>
              </w:rPr>
              <w:t>表</w:t>
            </w:r>
            <w:r>
              <w:rPr>
                <w:rFonts w:hint="eastAsia" w:ascii="Times New Roman" w:hAnsi="Times New Roman" w:cs="Times New Roman"/>
                <w:b/>
                <w:bCs/>
                <w:color w:val="auto"/>
                <w:spacing w:val="-2"/>
                <w:sz w:val="21"/>
                <w:szCs w:val="21"/>
                <w:lang w:eastAsia="zh-CN"/>
              </w:rPr>
              <w:t>4-11</w:t>
            </w:r>
            <w:r>
              <w:rPr>
                <w:b/>
                <w:bCs/>
                <w:color w:val="auto"/>
                <w:spacing w:val="-2"/>
                <w:sz w:val="21"/>
                <w:szCs w:val="21"/>
                <w:lang w:eastAsia="zh-CN"/>
              </w:rPr>
              <w:t>固体废物产生量核算一览表</w:t>
            </w:r>
          </w:p>
          <w:tbl>
            <w:tblPr>
              <w:tblStyle w:val="13"/>
              <w:tblW w:w="4899" w:type="pct"/>
              <w:jc w:val="center"/>
              <w:tblLayout w:type="fixed"/>
              <w:tblCellMar>
                <w:top w:w="0" w:type="dxa"/>
                <w:left w:w="108" w:type="dxa"/>
                <w:bottom w:w="0" w:type="dxa"/>
                <w:right w:w="108" w:type="dxa"/>
              </w:tblCellMar>
            </w:tblPr>
            <w:tblGrid>
              <w:gridCol w:w="853"/>
              <w:gridCol w:w="959"/>
              <w:gridCol w:w="910"/>
              <w:gridCol w:w="1143"/>
              <w:gridCol w:w="791"/>
              <w:gridCol w:w="905"/>
              <w:gridCol w:w="677"/>
              <w:gridCol w:w="948"/>
              <w:gridCol w:w="983"/>
            </w:tblGrid>
            <w:tr w14:paraId="4647480A">
              <w:tblPrEx>
                <w:tblCellMar>
                  <w:top w:w="0" w:type="dxa"/>
                  <w:left w:w="108" w:type="dxa"/>
                  <w:bottom w:w="0" w:type="dxa"/>
                  <w:right w:w="108" w:type="dxa"/>
                </w:tblCellMar>
              </w:tblPrEx>
              <w:trPr>
                <w:trHeight w:val="23" w:hRule="atLeast"/>
                <w:jc w:val="center"/>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B058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工序/生产线</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0C87D">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装置</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A714">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固体废物名称</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0C78C">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固废属性</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8B10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产生情况</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EB71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处置措施</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193E">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最终去向</w:t>
                  </w:r>
                </w:p>
              </w:tc>
            </w:tr>
            <w:tr w14:paraId="5E0DD7C8">
              <w:tblPrEx>
                <w:tblCellMar>
                  <w:top w:w="0" w:type="dxa"/>
                  <w:left w:w="108" w:type="dxa"/>
                  <w:bottom w:w="0" w:type="dxa"/>
                  <w:right w:w="108" w:type="dxa"/>
                </w:tblCellMar>
              </w:tblPrEx>
              <w:trPr>
                <w:trHeight w:val="23" w:hRule="atLeast"/>
                <w:jc w:val="center"/>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3144">
                  <w:pPr>
                    <w:jc w:val="center"/>
                    <w:rPr>
                      <w:rFonts w:ascii="Times New Roman" w:hAnsi="Times New Roman" w:eastAsia="宋体" w:cs="宋体"/>
                      <w:color w:val="auto"/>
                      <w:szCs w:val="32"/>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B0F0">
                  <w:pPr>
                    <w:jc w:val="center"/>
                    <w:rPr>
                      <w:rFonts w:ascii="Times New Roman" w:hAnsi="Times New Roman" w:eastAsia="宋体" w:cs="宋体"/>
                      <w:color w:val="auto"/>
                      <w:szCs w:val="32"/>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CF7D">
                  <w:pPr>
                    <w:jc w:val="center"/>
                    <w:rPr>
                      <w:rFonts w:ascii="Times New Roman" w:hAnsi="Times New Roman" w:eastAsia="宋体" w:cs="宋体"/>
                      <w:color w:val="auto"/>
                      <w:szCs w:val="32"/>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D8C6">
                  <w:pPr>
                    <w:jc w:val="center"/>
                    <w:rPr>
                      <w:rFonts w:ascii="Times New Roman" w:hAnsi="Times New Roman" w:eastAsia="宋体" w:cs="宋体"/>
                      <w:color w:val="auto"/>
                      <w:szCs w:val="32"/>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A98">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核算方法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F8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产生量</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B4D">
                  <w:pPr>
                    <w:jc w:val="center"/>
                    <w:textAlignment w:val="top"/>
                    <w:rPr>
                      <w:rFonts w:ascii="Times New Roman" w:hAnsi="Times New Roman" w:eastAsia="宋体" w:cs="宋体"/>
                      <w:color w:val="auto"/>
                      <w:szCs w:val="32"/>
                    </w:rPr>
                  </w:pPr>
                  <w:r>
                    <w:rPr>
                      <w:rFonts w:ascii="Times New Roman" w:hAnsi="Times New Roman" w:eastAsia="宋体" w:cs="宋体"/>
                      <w:color w:val="auto"/>
                      <w:szCs w:val="32"/>
                      <w:lang w:eastAsia="zh-CN" w:bidi="ar"/>
                    </w:rPr>
                    <w:t>工艺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0A8">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处置量</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4173">
                  <w:pPr>
                    <w:jc w:val="center"/>
                    <w:rPr>
                      <w:rFonts w:ascii="Times New Roman" w:hAnsi="Times New Roman" w:eastAsia="宋体" w:cs="宋体"/>
                      <w:color w:val="auto"/>
                      <w:szCs w:val="32"/>
                    </w:rPr>
                  </w:pPr>
                </w:p>
              </w:tc>
            </w:tr>
            <w:tr w14:paraId="3678AE0C">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6D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生产工序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B0F">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搅拌机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5998">
                  <w:pPr>
                    <w:jc w:val="center"/>
                    <w:textAlignment w:val="center"/>
                    <w:rPr>
                      <w:rFonts w:ascii="Times New Roman" w:hAnsi="Times New Roman" w:eastAsia="宋体" w:cs="宋体"/>
                      <w:color w:val="auto"/>
                      <w:szCs w:val="32"/>
                    </w:rPr>
                  </w:pPr>
                  <w:r>
                    <w:rPr>
                      <w:rFonts w:hint="eastAsia" w:ascii="Times New Roman" w:hAnsi="Times New Roman" w:eastAsia="宋体" w:cs="宋体"/>
                      <w:color w:val="auto"/>
                      <w:szCs w:val="32"/>
                      <w:lang w:eastAsia="zh-CN" w:bidi="ar"/>
                    </w:rPr>
                    <w:t>拌合料废渣</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50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7A0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8FE">
                  <w:pPr>
                    <w:jc w:val="center"/>
                    <w:textAlignment w:val="top"/>
                    <w:rPr>
                      <w:rFonts w:ascii="Times New Roman" w:hAnsi="Times New Roman" w:eastAsia="宋体" w:cs="宋体"/>
                      <w:color w:val="auto"/>
                      <w:szCs w:val="32"/>
                    </w:rPr>
                  </w:pPr>
                  <w:r>
                    <w:rPr>
                      <w:rFonts w:ascii="Times New Roman" w:hAnsi="Times New Roman" w:eastAsia="宋体" w:cs="宋体"/>
                      <w:color w:val="auto"/>
                      <w:szCs w:val="32"/>
                      <w:lang w:eastAsia="zh-CN" w:bidi="ar"/>
                    </w:rPr>
                    <w:t>216.2t/a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A038">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08D0">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216.2t/a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2E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r>
            <w:tr w14:paraId="2764B3BC">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61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除尘工序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EFB">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布袋除尘器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FA3F">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粉尘</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F9D9">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43C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3AD">
                  <w:pPr>
                    <w:jc w:val="center"/>
                    <w:textAlignment w:val="center"/>
                    <w:rPr>
                      <w:rFonts w:ascii="Times New Roman" w:hAnsi="Times New Roman" w:eastAsia="宋体" w:cs="宋体"/>
                      <w:color w:val="auto"/>
                      <w:szCs w:val="32"/>
                    </w:rPr>
                  </w:pPr>
                  <w:r>
                    <w:rPr>
                      <w:rFonts w:hint="eastAsia" w:ascii="Times New Roman" w:hAnsi="Times New Roman" w:eastAsia="宋体" w:cs="宋体"/>
                      <w:color w:val="auto"/>
                      <w:szCs w:val="32"/>
                      <w:lang w:eastAsia="zh-CN" w:bidi="ar"/>
                    </w:rPr>
                    <w:t>8.055</w:t>
                  </w:r>
                  <w:r>
                    <w:rPr>
                      <w:rFonts w:ascii="Times New Roman" w:hAnsi="Times New Roman" w:eastAsia="宋体" w:cs="宋体"/>
                      <w:color w:val="auto"/>
                      <w:szCs w:val="32"/>
                      <w:lang w:eastAsia="zh-CN" w:bidi="ar"/>
                    </w:rPr>
                    <w:t>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FD1">
                  <w:pPr>
                    <w:jc w:val="center"/>
                    <w:textAlignment w:val="top"/>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EDA">
                  <w:pPr>
                    <w:jc w:val="center"/>
                    <w:textAlignment w:val="center"/>
                    <w:rPr>
                      <w:rFonts w:ascii="Times New Roman" w:hAnsi="Times New Roman" w:eastAsia="宋体" w:cs="宋体"/>
                      <w:color w:val="auto"/>
                      <w:szCs w:val="32"/>
                    </w:rPr>
                  </w:pPr>
                  <w:r>
                    <w:rPr>
                      <w:rFonts w:hint="eastAsia" w:ascii="Times New Roman" w:hAnsi="Times New Roman" w:eastAsia="宋体" w:cs="宋体"/>
                      <w:color w:val="auto"/>
                      <w:szCs w:val="32"/>
                      <w:lang w:eastAsia="zh-CN" w:bidi="ar"/>
                    </w:rPr>
                    <w:t>8.055</w:t>
                  </w:r>
                  <w:r>
                    <w:rPr>
                      <w:rFonts w:ascii="Times New Roman" w:hAnsi="Times New Roman" w:eastAsia="宋体" w:cs="宋体"/>
                      <w:color w:val="auto"/>
                      <w:szCs w:val="32"/>
                      <w:lang w:eastAsia="zh-CN" w:bidi="ar"/>
                    </w:rPr>
                    <w:t>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85E">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r>
            <w:tr w14:paraId="7EC4136F">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161D">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打磨工序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5F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沉淀池</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3D1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底泥</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67EE">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D955">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8754">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0.86t/a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E54">
                  <w:pPr>
                    <w:jc w:val="center"/>
                    <w:textAlignment w:val="top"/>
                    <w:rPr>
                      <w:rFonts w:ascii="Times New Roman" w:hAnsi="Times New Roman" w:eastAsia="宋体" w:cs="宋体"/>
                      <w:color w:val="auto"/>
                      <w:szCs w:val="32"/>
                    </w:rPr>
                  </w:pPr>
                  <w:r>
                    <w:rPr>
                      <w:rStyle w:val="27"/>
                      <w:rFonts w:ascii="Times New Roman" w:hAnsi="Times New Roman"/>
                      <w:color w:val="auto"/>
                      <w:sz w:val="21"/>
                      <w:lang w:eastAsia="zh-CN" w:bidi="ar"/>
                    </w:rPr>
                    <w:t>回用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B5C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0.86t/a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B6F">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r>
            <w:tr w14:paraId="264B2B0A">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0C3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浇筑工序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91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一体式成型机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A6C4">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损坏的模具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61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113">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969">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0.7t/a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08C">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外售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520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0.7t/a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06A4">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物资回收公司</w:t>
                  </w:r>
                </w:p>
              </w:tc>
            </w:tr>
            <w:tr w14:paraId="3CDBE5EF">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9E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上料工序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2C1D">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原辅料</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9D2">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包装袋</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FC4C">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C9C">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AAD">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0.68t/a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F89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外售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BFD5">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0.68t/a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599F">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物资回收公司</w:t>
                  </w:r>
                </w:p>
              </w:tc>
            </w:tr>
            <w:tr w14:paraId="5BDD82E9">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ABF9">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成型工序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7D4">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成型机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73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边角料、不合格产</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品</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591">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一般工业固体废物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903">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系数法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CA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1859t/a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9E6">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60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1859t/a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AF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回用</w:t>
                  </w:r>
                </w:p>
              </w:tc>
            </w:tr>
            <w:tr w14:paraId="7AF47A87">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BD9">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员工生活</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8180">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5B55">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生活垃圾</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3A5">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生活垃圾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0E4A">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系数法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147">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1.575t/</w:t>
                  </w:r>
                  <w:r>
                    <w:rPr>
                      <w:rFonts w:ascii="Times New Roman" w:hAnsi="Times New Roman" w:eastAsia="宋体" w:cs="宋体"/>
                      <w:color w:val="auto"/>
                      <w:szCs w:val="32"/>
                      <w:lang w:eastAsia="zh-CN" w:bidi="ar"/>
                    </w:rPr>
                    <w:br w:type="textWrapping"/>
                  </w:r>
                  <w:r>
                    <w:rPr>
                      <w:rFonts w:ascii="Times New Roman" w:hAnsi="Times New Roman" w:eastAsia="宋体" w:cs="宋体"/>
                      <w:color w:val="auto"/>
                      <w:szCs w:val="32"/>
                      <w:lang w:eastAsia="zh-CN" w:bidi="ar"/>
                    </w:rPr>
                    <w: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54F">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委托处理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27C">
                  <w:pPr>
                    <w:jc w:val="center"/>
                    <w:textAlignment w:val="center"/>
                    <w:rPr>
                      <w:rFonts w:ascii="Times New Roman" w:hAnsi="Times New Roman" w:eastAsia="宋体" w:cs="宋体"/>
                      <w:color w:val="auto"/>
                      <w:szCs w:val="32"/>
                    </w:rPr>
                  </w:pPr>
                  <w:r>
                    <w:rPr>
                      <w:rFonts w:ascii="Times New Roman" w:hAnsi="Times New Roman" w:eastAsia="宋体" w:cs="宋体"/>
                      <w:color w:val="auto"/>
                      <w:szCs w:val="32"/>
                      <w:lang w:eastAsia="zh-CN" w:bidi="ar"/>
                    </w:rPr>
                    <w:t>1.575t/a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CCB8">
                  <w:pPr>
                    <w:jc w:val="center"/>
                    <w:textAlignment w:val="center"/>
                    <w:rPr>
                      <w:rFonts w:ascii="Times New Roman" w:hAnsi="Times New Roman" w:eastAsia="宋体" w:cs="宋体"/>
                      <w:color w:val="auto"/>
                      <w:szCs w:val="32"/>
                      <w:lang w:eastAsia="zh-CN"/>
                    </w:rPr>
                  </w:pPr>
                  <w:r>
                    <w:rPr>
                      <w:rFonts w:ascii="Times New Roman" w:hAnsi="Times New Roman" w:eastAsia="宋体" w:cs="宋体"/>
                      <w:color w:val="auto"/>
                      <w:szCs w:val="32"/>
                      <w:lang w:eastAsia="zh-CN" w:bidi="ar"/>
                    </w:rPr>
                    <w:t>交由</w:t>
                  </w:r>
                  <w:r>
                    <w:rPr>
                      <w:rFonts w:hint="eastAsia" w:ascii="Times New Roman" w:hAnsi="Times New Roman" w:eastAsia="宋体" w:cs="宋体"/>
                      <w:color w:val="auto"/>
                      <w:szCs w:val="32"/>
                      <w:lang w:eastAsia="zh-CN" w:bidi="ar"/>
                    </w:rPr>
                    <w:t>乡镇</w:t>
                  </w:r>
                  <w:r>
                    <w:rPr>
                      <w:rFonts w:ascii="Times New Roman" w:hAnsi="Times New Roman" w:eastAsia="宋体" w:cs="宋体"/>
                      <w:color w:val="auto"/>
                      <w:szCs w:val="32"/>
                      <w:lang w:eastAsia="zh-CN" w:bidi="ar"/>
                    </w:rPr>
                    <w:t>环卫部门统一处理</w:t>
                  </w:r>
                </w:p>
              </w:tc>
            </w:tr>
            <w:tr w14:paraId="332B9A13">
              <w:tblPrEx>
                <w:tblCellMar>
                  <w:top w:w="0" w:type="dxa"/>
                  <w:left w:w="108" w:type="dxa"/>
                  <w:bottom w:w="0" w:type="dxa"/>
                  <w:right w:w="108" w:type="dxa"/>
                </w:tblCellMar>
              </w:tblPrEx>
              <w:trPr>
                <w:trHeight w:val="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AFF">
                  <w:pPr>
                    <w:pStyle w:val="31"/>
                    <w:spacing w:line="240" w:lineRule="auto"/>
                    <w:ind w:firstLine="0" w:firstLineChars="0"/>
                    <w:jc w:val="center"/>
                    <w:rPr>
                      <w:rFonts w:ascii="Times New Roman" w:hAnsi="Times New Roman" w:eastAsia="宋体" w:cs="宋体"/>
                      <w:color w:val="auto"/>
                      <w:sz w:val="21"/>
                      <w:szCs w:val="32"/>
                      <w:lang w:eastAsia="zh-CN" w:bidi="ar"/>
                    </w:rPr>
                  </w:pPr>
                  <w:r>
                    <w:rPr>
                      <w:rFonts w:hint="eastAsia" w:ascii="Times New Roman" w:hAnsi="Times New Roman" w:eastAsia="宋体"/>
                      <w:color w:val="auto"/>
                      <w:sz w:val="21"/>
                      <w:lang w:eastAsia="zh-CN"/>
                    </w:rPr>
                    <w:t>设备检修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5AA8">
                  <w:pPr>
                    <w:pStyle w:val="31"/>
                    <w:spacing w:line="240" w:lineRule="auto"/>
                    <w:ind w:firstLine="0" w:firstLineChars="0"/>
                    <w:jc w:val="center"/>
                    <w:rPr>
                      <w:rFonts w:ascii="Times New Roman" w:hAnsi="Times New Roman" w:eastAsia="宋体" w:cs="宋体"/>
                      <w:color w:val="auto"/>
                      <w:sz w:val="21"/>
                      <w:szCs w:val="32"/>
                      <w:lang w:eastAsia="zh-CN" w:bidi="ar"/>
                    </w:rPr>
                  </w:pPr>
                  <w:r>
                    <w:rPr>
                      <w:rFonts w:hint="eastAsia" w:ascii="Times New Roman" w:hAnsi="Times New Roman" w:eastAsia="宋体"/>
                      <w:color w:val="auto"/>
                      <w:sz w:val="21"/>
                      <w:lang w:eastAsia="zh-CN"/>
                    </w:rPr>
                    <w:t>设备检修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7EED">
                  <w:pPr>
                    <w:pStyle w:val="31"/>
                    <w:spacing w:line="240" w:lineRule="auto"/>
                    <w:ind w:firstLine="0" w:firstLineChars="0"/>
                    <w:jc w:val="center"/>
                    <w:rPr>
                      <w:rFonts w:hint="default" w:ascii="Times New Roman" w:hAnsi="Times New Roman" w:eastAsia="宋体" w:cs="宋体"/>
                      <w:color w:val="auto"/>
                      <w:sz w:val="21"/>
                      <w:szCs w:val="32"/>
                      <w:lang w:val="en-US" w:eastAsia="zh-CN" w:bidi="ar"/>
                    </w:rPr>
                  </w:pPr>
                  <w:r>
                    <w:rPr>
                      <w:rFonts w:ascii="Times New Roman" w:hAnsi="Times New Roman" w:eastAsia="宋体"/>
                      <w:color w:val="auto"/>
                      <w:sz w:val="21"/>
                    </w:rPr>
                    <w:t>废机油</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废油桶</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9E6">
                  <w:pPr>
                    <w:pStyle w:val="31"/>
                    <w:spacing w:line="240" w:lineRule="auto"/>
                    <w:ind w:firstLine="0" w:firstLineChars="0"/>
                    <w:jc w:val="center"/>
                    <w:rPr>
                      <w:rFonts w:ascii="Times New Roman" w:hAnsi="Times New Roman" w:eastAsia="宋体" w:cs="宋体"/>
                      <w:color w:val="auto"/>
                      <w:sz w:val="21"/>
                      <w:szCs w:val="32"/>
                      <w:lang w:eastAsia="zh-CN" w:bidi="ar"/>
                    </w:rPr>
                  </w:pPr>
                  <w:r>
                    <w:rPr>
                      <w:rFonts w:ascii="Times New Roman" w:hAnsi="Times New Roman" w:eastAsia="宋体"/>
                      <w:color w:val="auto"/>
                      <w:sz w:val="21"/>
                    </w:rPr>
                    <w:t>危险废物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F2E3">
                  <w:pPr>
                    <w:jc w:val="center"/>
                    <w:rPr>
                      <w:rFonts w:ascii="Times New Roman" w:hAnsi="Times New Roman" w:eastAsia="宋体" w:cs="宋体"/>
                      <w:color w:val="auto"/>
                      <w:szCs w:val="32"/>
                      <w:lang w:eastAsia="zh-CN" w:bidi="ar"/>
                    </w:rPr>
                  </w:pPr>
                  <w:r>
                    <w:rPr>
                      <w:rFonts w:ascii="Times New Roman" w:hAnsi="Times New Roman" w:eastAsia="宋体"/>
                      <w:color w:val="auto"/>
                    </w:rPr>
                    <w:t>经验法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C6D7">
                  <w:pPr>
                    <w:jc w:val="center"/>
                    <w:rPr>
                      <w:rFonts w:ascii="Times New Roman" w:hAnsi="Times New Roman" w:eastAsia="宋体" w:cs="宋体"/>
                      <w:color w:val="auto"/>
                      <w:szCs w:val="32"/>
                      <w:lang w:eastAsia="zh-CN" w:bidi="ar"/>
                    </w:rPr>
                  </w:pPr>
                  <w:r>
                    <w:rPr>
                      <w:rFonts w:hint="eastAsia" w:ascii="Times New Roman" w:hAnsi="Times New Roman" w:eastAsia="宋体"/>
                      <w:color w:val="auto"/>
                      <w:lang w:eastAsia="zh-CN"/>
                    </w:rPr>
                    <w:t>0.1t/a</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60B3">
                  <w:pPr>
                    <w:jc w:val="center"/>
                    <w:rPr>
                      <w:rFonts w:ascii="Times New Roman" w:hAnsi="Times New Roman" w:eastAsia="宋体"/>
                      <w:color w:val="auto"/>
                    </w:rPr>
                  </w:pPr>
                  <w:r>
                    <w:rPr>
                      <w:rFonts w:ascii="Times New Roman" w:hAnsi="Times New Roman" w:eastAsia="宋体"/>
                      <w:color w:val="auto"/>
                    </w:rPr>
                    <w:t>委托</w:t>
                  </w:r>
                </w:p>
                <w:p w14:paraId="03A94538">
                  <w:pPr>
                    <w:jc w:val="center"/>
                    <w:rPr>
                      <w:rFonts w:ascii="Times New Roman" w:hAnsi="Times New Roman" w:eastAsia="宋体" w:cs="宋体"/>
                      <w:color w:val="auto"/>
                      <w:szCs w:val="32"/>
                      <w:lang w:eastAsia="zh-CN" w:bidi="ar"/>
                    </w:rPr>
                  </w:pPr>
                  <w:r>
                    <w:rPr>
                      <w:rFonts w:ascii="Times New Roman" w:hAnsi="Times New Roman" w:eastAsia="宋体"/>
                      <w:color w:val="auto"/>
                    </w:rPr>
                    <w:t>处理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AEB">
                  <w:pPr>
                    <w:jc w:val="center"/>
                    <w:rPr>
                      <w:rFonts w:ascii="Times New Roman" w:hAnsi="Times New Roman" w:eastAsia="宋体" w:cs="宋体"/>
                      <w:color w:val="auto"/>
                      <w:szCs w:val="32"/>
                      <w:lang w:eastAsia="zh-CN" w:bidi="ar"/>
                    </w:rPr>
                  </w:pPr>
                  <w:r>
                    <w:rPr>
                      <w:rFonts w:hint="eastAsia" w:ascii="Times New Roman" w:hAnsi="Times New Roman" w:eastAsia="宋体"/>
                      <w:color w:val="auto"/>
                      <w:lang w:eastAsia="zh-CN"/>
                    </w:rPr>
                    <w:t>0.1t/a</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D06">
                  <w:pPr>
                    <w:jc w:val="center"/>
                    <w:rPr>
                      <w:rFonts w:ascii="Times New Roman" w:hAnsi="Times New Roman" w:eastAsia="宋体" w:cs="宋体"/>
                      <w:color w:val="auto"/>
                      <w:szCs w:val="32"/>
                      <w:lang w:eastAsia="zh-CN" w:bidi="ar"/>
                    </w:rPr>
                  </w:pPr>
                  <w:r>
                    <w:rPr>
                      <w:rFonts w:hint="eastAsia" w:ascii="Times New Roman" w:hAnsi="Times New Roman" w:eastAsia="宋体"/>
                      <w:color w:val="auto"/>
                      <w:lang w:eastAsia="zh-CN"/>
                    </w:rPr>
                    <w:t>暂存于危废暂存间定期由有资质单位进行处置</w:t>
                  </w:r>
                </w:p>
              </w:tc>
            </w:tr>
          </w:tbl>
          <w:p w14:paraId="61758873">
            <w:pPr>
              <w:pStyle w:val="20"/>
              <w:spacing w:line="360" w:lineRule="auto"/>
              <w:ind w:firstLine="468" w:firstLineChars="200"/>
              <w:rPr>
                <w:color w:val="auto"/>
                <w:lang w:eastAsia="zh-CN"/>
              </w:rPr>
            </w:pPr>
            <w:r>
              <w:rPr>
                <w:color w:val="auto"/>
                <w:spacing w:val="-3"/>
                <w:lang w:eastAsia="zh-CN"/>
              </w:rPr>
              <w:t>（</w:t>
            </w:r>
            <w:r>
              <w:rPr>
                <w:rFonts w:ascii="Times New Roman" w:hAnsi="Times New Roman" w:eastAsia="Times New Roman" w:cs="Times New Roman"/>
                <w:color w:val="auto"/>
                <w:spacing w:val="-3"/>
                <w:lang w:eastAsia="zh-CN"/>
              </w:rPr>
              <w:t>2</w:t>
            </w:r>
            <w:r>
              <w:rPr>
                <w:color w:val="auto"/>
                <w:spacing w:val="-3"/>
                <w:lang w:eastAsia="zh-CN"/>
              </w:rPr>
              <w:t>）固体废物排放信息</w:t>
            </w:r>
          </w:p>
          <w:p w14:paraId="36C20AED">
            <w:pPr>
              <w:pStyle w:val="20"/>
              <w:spacing w:line="360" w:lineRule="auto"/>
              <w:ind w:firstLine="472" w:firstLineChars="200"/>
              <w:rPr>
                <w:color w:val="auto"/>
                <w:lang w:eastAsia="zh-CN"/>
              </w:rPr>
            </w:pPr>
            <w:r>
              <w:rPr>
                <w:color w:val="auto"/>
                <w:spacing w:val="-2"/>
                <w:lang w:eastAsia="zh-CN"/>
              </w:rPr>
              <w:t>本项目固体废物排放信息见表</w:t>
            </w:r>
            <w:r>
              <w:rPr>
                <w:rFonts w:hint="eastAsia" w:ascii="Times New Roman" w:hAnsi="Times New Roman" w:cs="Times New Roman"/>
                <w:color w:val="auto"/>
                <w:spacing w:val="-2"/>
                <w:lang w:eastAsia="zh-CN"/>
              </w:rPr>
              <w:t>4-12</w:t>
            </w:r>
            <w:r>
              <w:rPr>
                <w:color w:val="auto"/>
                <w:spacing w:val="-2"/>
                <w:lang w:eastAsia="zh-CN"/>
              </w:rPr>
              <w:t>。</w:t>
            </w:r>
          </w:p>
          <w:p w14:paraId="3AA6F7D3">
            <w:pPr>
              <w:spacing w:line="360" w:lineRule="auto"/>
              <w:ind w:firstLine="404" w:firstLineChars="200"/>
              <w:jc w:val="center"/>
              <w:rPr>
                <w:b/>
                <w:bCs/>
                <w:color w:val="auto"/>
                <w:spacing w:val="-4"/>
                <w:lang w:eastAsia="zh-CN"/>
              </w:rPr>
            </w:pPr>
            <w:r>
              <w:rPr>
                <w:b/>
                <w:bCs/>
                <w:color w:val="auto"/>
                <w:spacing w:val="-4"/>
                <w:lang w:eastAsia="zh-CN"/>
              </w:rPr>
              <w:t>表</w:t>
            </w:r>
            <w:r>
              <w:rPr>
                <w:rFonts w:hint="eastAsia" w:ascii="Times New Roman" w:hAnsi="Times New Roman" w:eastAsia="宋体" w:cs="Times New Roman"/>
                <w:b/>
                <w:bCs/>
                <w:color w:val="auto"/>
                <w:spacing w:val="-4"/>
                <w:lang w:eastAsia="zh-CN"/>
              </w:rPr>
              <w:t>4-12</w:t>
            </w:r>
            <w:r>
              <w:rPr>
                <w:b/>
                <w:bCs/>
                <w:color w:val="auto"/>
                <w:spacing w:val="-4"/>
                <w:lang w:eastAsia="zh-CN"/>
              </w:rPr>
              <w:t>固体废物排放信息一览表</w:t>
            </w:r>
          </w:p>
          <w:tbl>
            <w:tblPr>
              <w:tblStyle w:val="13"/>
              <w:tblW w:w="4899" w:type="pct"/>
              <w:jc w:val="center"/>
              <w:tblLayout w:type="fixed"/>
              <w:tblCellMar>
                <w:top w:w="0" w:type="dxa"/>
                <w:left w:w="108" w:type="dxa"/>
                <w:bottom w:w="0" w:type="dxa"/>
                <w:right w:w="108" w:type="dxa"/>
              </w:tblCellMar>
            </w:tblPr>
            <w:tblGrid>
              <w:gridCol w:w="308"/>
              <w:gridCol w:w="576"/>
              <w:gridCol w:w="457"/>
              <w:gridCol w:w="586"/>
              <w:gridCol w:w="457"/>
              <w:gridCol w:w="691"/>
              <w:gridCol w:w="457"/>
              <w:gridCol w:w="691"/>
              <w:gridCol w:w="696"/>
              <w:gridCol w:w="676"/>
              <w:gridCol w:w="586"/>
              <w:gridCol w:w="656"/>
              <w:gridCol w:w="691"/>
              <w:gridCol w:w="644"/>
            </w:tblGrid>
            <w:tr w14:paraId="6052A7FE">
              <w:tblPrEx>
                <w:tblCellMar>
                  <w:top w:w="0" w:type="dxa"/>
                  <w:left w:w="108" w:type="dxa"/>
                  <w:bottom w:w="0" w:type="dxa"/>
                  <w:right w:w="108" w:type="dxa"/>
                </w:tblCellMar>
              </w:tblPrEx>
              <w:trPr>
                <w:trHeight w:val="23" w:hRule="atLeast"/>
                <w:jc w:val="center"/>
              </w:trPr>
              <w:tc>
                <w:tcPr>
                  <w:tcW w:w="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6103A">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序号</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9890">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固体废物来源</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53BFF">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固体废物名称</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278D">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固体废物种类</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F9ED">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固体废物描述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620A9">
                  <w:pPr>
                    <w:jc w:val="center"/>
                    <w:textAlignment w:val="center"/>
                    <w:rPr>
                      <w:rFonts w:ascii="Times New Roman" w:hAnsi="Times New Roman" w:eastAsia="宋体" w:cs="宋体"/>
                      <w:color w:val="auto"/>
                      <w:szCs w:val="26"/>
                      <w:lang w:eastAsia="zh-CN"/>
                    </w:rPr>
                  </w:pPr>
                  <w:r>
                    <w:rPr>
                      <w:rFonts w:ascii="Times New Roman" w:hAnsi="Times New Roman" w:eastAsia="宋体" w:cs="宋体"/>
                      <w:color w:val="auto"/>
                      <w:szCs w:val="26"/>
                      <w:lang w:eastAsia="zh-CN" w:bidi="ar"/>
                    </w:rPr>
                    <w:t>固体废物产生量</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95ABA">
                  <w:pP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处理方式</w:t>
                  </w:r>
                </w:p>
              </w:tc>
              <w:tc>
                <w:tcPr>
                  <w:tcW w:w="3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C556E">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处理去向</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79004">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备注</w:t>
                  </w:r>
                </w:p>
              </w:tc>
            </w:tr>
            <w:tr w14:paraId="767DFDEF">
              <w:tblPrEx>
                <w:tblCellMar>
                  <w:top w:w="0" w:type="dxa"/>
                  <w:left w:w="108" w:type="dxa"/>
                  <w:bottom w:w="0" w:type="dxa"/>
                  <w:right w:w="108" w:type="dxa"/>
                </w:tblCellMar>
              </w:tblPrEx>
              <w:trPr>
                <w:trHeight w:val="23" w:hRule="atLeast"/>
                <w:jc w:val="center"/>
              </w:trPr>
              <w:tc>
                <w:tcPr>
                  <w:tcW w:w="30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0B300">
                  <w:pPr>
                    <w:jc w:val="center"/>
                    <w:rPr>
                      <w:rFonts w:ascii="Times New Roman" w:hAnsi="Times New Roman" w:eastAsia="宋体" w:cs="宋体"/>
                      <w:color w:val="auto"/>
                      <w:szCs w:val="26"/>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C6D9">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10B4">
                  <w:pPr>
                    <w:jc w:val="center"/>
                    <w:rPr>
                      <w:rFonts w:ascii="Times New Roman" w:hAnsi="Times New Roman" w:eastAsia="宋体" w:cs="宋体"/>
                      <w:color w:val="auto"/>
                      <w:szCs w:val="26"/>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377A">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4B5D">
                  <w:pPr>
                    <w:jc w:val="center"/>
                    <w:rPr>
                      <w:rFonts w:ascii="Times New Roman" w:hAnsi="Times New Roman" w:eastAsia="宋体" w:cs="宋体"/>
                      <w:color w:val="auto"/>
                      <w:szCs w:val="26"/>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2ADB">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6D669">
                  <w:pPr>
                    <w:rPr>
                      <w:rFonts w:ascii="Times New Roman" w:hAnsi="Times New Roman" w:eastAsia="宋体" w:cs="宋体"/>
                      <w:color w:val="auto"/>
                      <w:szCs w:val="26"/>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49C7">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自行贮存量</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54B9A">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自行利用</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E692D">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自行处置</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1584">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转移量</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9892B">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排放量</w:t>
                  </w:r>
                  <w:r>
                    <w:rPr>
                      <w:rFonts w:hint="eastAsia" w:ascii="Times New Roman" w:hAnsi="Times New Roman" w:eastAsia="宋体" w:cs="宋体"/>
                      <w:color w:val="auto"/>
                      <w:szCs w:val="26"/>
                      <w:lang w:eastAsia="zh-CN" w:bidi="ar"/>
                    </w:rPr>
                    <w:t>（</w:t>
                  </w:r>
                  <w:r>
                    <w:rPr>
                      <w:rFonts w:ascii="Times New Roman" w:hAnsi="Times New Roman" w:eastAsia="宋体" w:cs="宋体"/>
                      <w:color w:val="auto"/>
                      <w:szCs w:val="26"/>
                      <w:lang w:eastAsia="zh-CN" w:bidi="ar"/>
                    </w:rPr>
                    <w:t>t/a</w:t>
                  </w:r>
                  <w:r>
                    <w:rPr>
                      <w:rFonts w:hint="eastAsia" w:ascii="Times New Roman" w:hAnsi="Times New Roman" w:eastAsia="宋体" w:cs="宋体"/>
                      <w:color w:val="auto"/>
                      <w:szCs w:val="26"/>
                      <w:lang w:eastAsia="zh-CN" w:bidi="ar"/>
                    </w:rPr>
                    <w:t>）</w:t>
                  </w: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E6E6">
                  <w:pPr>
                    <w:jc w:val="center"/>
                    <w:rPr>
                      <w:rFonts w:ascii="Times New Roman" w:hAnsi="Times New Roman" w:eastAsia="宋体" w:cs="宋体"/>
                      <w:color w:val="auto"/>
                      <w:szCs w:val="26"/>
                    </w:rPr>
                  </w:pPr>
                </w:p>
              </w:tc>
            </w:tr>
            <w:tr w14:paraId="52B17479">
              <w:tblPrEx>
                <w:tblCellMar>
                  <w:top w:w="0" w:type="dxa"/>
                  <w:left w:w="108" w:type="dxa"/>
                  <w:bottom w:w="0" w:type="dxa"/>
                  <w:right w:w="108" w:type="dxa"/>
                </w:tblCellMar>
              </w:tblPrEx>
              <w:trPr>
                <w:trHeight w:val="23" w:hRule="atLeast"/>
                <w:jc w:val="center"/>
              </w:trPr>
              <w:tc>
                <w:tcPr>
                  <w:tcW w:w="30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FA63E">
                  <w:pPr>
                    <w:jc w:val="center"/>
                    <w:rPr>
                      <w:rFonts w:ascii="Times New Roman" w:hAnsi="Times New Roman" w:eastAsia="宋体" w:cs="宋体"/>
                      <w:color w:val="auto"/>
                      <w:szCs w:val="26"/>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049A">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5396">
                  <w:pPr>
                    <w:jc w:val="center"/>
                    <w:rPr>
                      <w:rFonts w:ascii="Times New Roman" w:hAnsi="Times New Roman" w:eastAsia="宋体" w:cs="宋体"/>
                      <w:color w:val="auto"/>
                      <w:szCs w:val="26"/>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A31A">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131F">
                  <w:pPr>
                    <w:jc w:val="center"/>
                    <w:rPr>
                      <w:rFonts w:ascii="Times New Roman" w:hAnsi="Times New Roman" w:eastAsia="宋体" w:cs="宋体"/>
                      <w:color w:val="auto"/>
                      <w:szCs w:val="26"/>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1DEC">
                  <w:pPr>
                    <w:jc w:val="center"/>
                    <w:rPr>
                      <w:rFonts w:ascii="Times New Roman" w:hAnsi="Times New Roman" w:eastAsia="宋体" w:cs="宋体"/>
                      <w:color w:val="auto"/>
                      <w:szCs w:val="26"/>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B958B2">
                  <w:pPr>
                    <w:rPr>
                      <w:rFonts w:ascii="Times New Roman" w:hAnsi="Times New Roman" w:eastAsia="宋体" w:cs="宋体"/>
                      <w:color w:val="auto"/>
                      <w:szCs w:val="26"/>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F94E">
                  <w:pPr>
                    <w:jc w:val="center"/>
                    <w:rPr>
                      <w:rFonts w:ascii="Times New Roman" w:hAnsi="Times New Roman" w:eastAsia="宋体" w:cs="宋体"/>
                      <w:color w:val="auto"/>
                      <w:szCs w:val="26"/>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8F2B">
                  <w:pPr>
                    <w:jc w:val="center"/>
                    <w:rPr>
                      <w:rFonts w:ascii="Times New Roman" w:hAnsi="Times New Roman" w:eastAsia="宋体" w:cs="宋体"/>
                      <w:color w:val="auto"/>
                      <w:szCs w:val="26"/>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31AD">
                  <w:pPr>
                    <w:jc w:val="center"/>
                    <w:rPr>
                      <w:rFonts w:ascii="Times New Roman" w:hAnsi="Times New Roman" w:eastAsia="宋体" w:cs="宋体"/>
                      <w:color w:val="auto"/>
                      <w:szCs w:val="2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4452">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委托利用量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141">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委托处置量</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9AD1">
                  <w:pPr>
                    <w:jc w:val="center"/>
                    <w:rPr>
                      <w:rFonts w:ascii="Times New Roman" w:hAnsi="Times New Roman" w:eastAsia="宋体" w:cs="宋体"/>
                      <w:color w:val="auto"/>
                      <w:szCs w:val="26"/>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069">
                  <w:pPr>
                    <w:jc w:val="center"/>
                    <w:rPr>
                      <w:rFonts w:ascii="Times New Roman" w:hAnsi="Times New Roman" w:eastAsia="宋体" w:cs="宋体"/>
                      <w:color w:val="auto"/>
                      <w:szCs w:val="26"/>
                    </w:rPr>
                  </w:pPr>
                </w:p>
              </w:tc>
            </w:tr>
            <w:tr w14:paraId="4575F787">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054">
                  <w:pPr>
                    <w:jc w:val="right"/>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BA9">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生产</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工序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407F">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搅拌机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986">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一般</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工业</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固体</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DFE7">
                  <w:pPr>
                    <w:jc w:val="center"/>
                    <w:textAlignment w:val="center"/>
                    <w:rPr>
                      <w:rFonts w:ascii="Times New Roman" w:hAnsi="Times New Roman" w:eastAsia="宋体" w:cs="宋体"/>
                      <w:color w:val="auto"/>
                      <w:szCs w:val="26"/>
                    </w:rPr>
                  </w:pPr>
                  <w:r>
                    <w:rPr>
                      <w:rFonts w:hint="eastAsia" w:ascii="Times New Roman" w:hAnsi="Times New Roman" w:eastAsia="宋体" w:cs="宋体"/>
                      <w:color w:val="auto"/>
                      <w:szCs w:val="26"/>
                      <w:lang w:eastAsia="zh-CN" w:bidi="ar"/>
                    </w:rPr>
                    <w:t>拌合料废渣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52F5">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216.2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B045">
                  <w:pP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回用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90D">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DAF">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216.2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47E0">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3336">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FEBC">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E4B">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9C7">
                  <w:pPr>
                    <w:jc w:val="center"/>
                    <w:textAlignment w:val="center"/>
                    <w:rPr>
                      <w:rFonts w:ascii="Times New Roman" w:hAnsi="Times New Roman" w:eastAsia="宋体" w:cs="宋体"/>
                      <w:color w:val="auto"/>
                      <w:szCs w:val="26"/>
                    </w:rPr>
                  </w:pPr>
                  <w:r>
                    <w:rPr>
                      <w:rFonts w:ascii="Times New Roman" w:hAnsi="Times New Roman" w:eastAsia="宋体" w:cs="宋体"/>
                      <w:color w:val="auto"/>
                      <w:szCs w:val="26"/>
                      <w:lang w:eastAsia="zh-CN" w:bidi="ar"/>
                    </w:rPr>
                    <w:t>收集</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后回</w:t>
                  </w:r>
                  <w:r>
                    <w:rPr>
                      <w:rFonts w:ascii="Times New Roman" w:hAnsi="Times New Roman" w:eastAsia="宋体" w:cs="宋体"/>
                      <w:color w:val="auto"/>
                      <w:szCs w:val="26"/>
                      <w:lang w:eastAsia="zh-CN" w:bidi="ar"/>
                    </w:rPr>
                    <w:br w:type="textWrapping"/>
                  </w:r>
                  <w:r>
                    <w:rPr>
                      <w:rFonts w:ascii="Times New Roman" w:hAnsi="Times New Roman" w:eastAsia="宋体" w:cs="宋体"/>
                      <w:color w:val="auto"/>
                      <w:szCs w:val="26"/>
                      <w:lang w:eastAsia="zh-CN" w:bidi="ar"/>
                    </w:rPr>
                    <w:t>用</w:t>
                  </w:r>
                </w:p>
              </w:tc>
            </w:tr>
            <w:tr w14:paraId="37F9F1E3">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00AC">
                  <w:pPr>
                    <w:jc w:val="right"/>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48E">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除尘</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0913">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布袋除尘器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79B1">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一般</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工业</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固体</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C19">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粉尘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EFC4">
                  <w:pPr>
                    <w:jc w:val="center"/>
                    <w:textAlignment w:val="center"/>
                    <w:rPr>
                      <w:rFonts w:ascii="Times New Roman" w:hAnsi="Times New Roman" w:eastAsia="宋体" w:cs="宋体"/>
                      <w:color w:val="auto"/>
                      <w:szCs w:val="26"/>
                      <w:lang w:eastAsia="zh-CN" w:bidi="ar"/>
                    </w:rPr>
                  </w:pPr>
                  <w:r>
                    <w:rPr>
                      <w:rFonts w:hint="eastAsia" w:ascii="Times New Roman" w:hAnsi="Times New Roman" w:eastAsia="宋体" w:cs="宋体"/>
                      <w:color w:val="auto"/>
                      <w:szCs w:val="28"/>
                      <w:lang w:eastAsia="zh-CN" w:bidi="ar"/>
                    </w:rPr>
                    <w:t>8.055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FC4">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回用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4FC">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243">
                  <w:pPr>
                    <w:jc w:val="center"/>
                    <w:textAlignment w:val="center"/>
                    <w:rPr>
                      <w:rFonts w:ascii="Times New Roman" w:hAnsi="Times New Roman" w:eastAsia="宋体" w:cs="宋体"/>
                      <w:color w:val="auto"/>
                      <w:szCs w:val="26"/>
                      <w:lang w:eastAsia="zh-CN" w:bidi="ar"/>
                    </w:rPr>
                  </w:pPr>
                  <w:r>
                    <w:rPr>
                      <w:rFonts w:hint="eastAsia" w:ascii="Times New Roman" w:hAnsi="Times New Roman" w:eastAsia="宋体" w:cs="宋体"/>
                      <w:color w:val="auto"/>
                      <w:szCs w:val="28"/>
                      <w:lang w:eastAsia="zh-CN" w:bidi="ar"/>
                    </w:rPr>
                    <w:t>8.055</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502">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A642">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A64">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D822">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822">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收集</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后回</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用</w:t>
                  </w:r>
                </w:p>
              </w:tc>
            </w:tr>
            <w:tr w14:paraId="22C92345">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9B4">
                  <w:pPr>
                    <w:jc w:val="right"/>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10A4">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浇筑</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工序</w:t>
                  </w:r>
                </w:p>
              </w:tc>
              <w:tc>
                <w:tcPr>
                  <w:tcW w:w="456" w:type="dxa"/>
                  <w:tcBorders>
                    <w:top w:val="single" w:color="000000" w:sz="4" w:space="0"/>
                    <w:left w:val="single" w:color="000000" w:sz="4" w:space="0"/>
                    <w:bottom w:val="single" w:color="000000" w:sz="4" w:space="0"/>
                    <w:right w:val="single" w:color="000000" w:sz="4" w:space="0"/>
                  </w:tcBorders>
                  <w:shd w:val="clear" w:color="auto" w:fill="auto"/>
                </w:tcPr>
                <w:p w14:paraId="4041AF43">
                  <w:pPr>
                    <w:jc w:val="center"/>
                    <w:textAlignment w:val="top"/>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一体式成型机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E5ED">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一般</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工业</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固体</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F37E">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损坏的模具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103A">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0.7</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9816">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委托处置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D320">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751">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948">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FC55">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43E0">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0.7</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5F7">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0.7</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2119">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外售</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物资</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回收</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公司</w:t>
                  </w:r>
                </w:p>
              </w:tc>
            </w:tr>
            <w:tr w14:paraId="2FC58E1B">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5471">
                  <w:pPr>
                    <w:jc w:val="right"/>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995">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上料</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B57">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原辅料</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F72">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一般</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工业</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固体</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739">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包装袋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1E25">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0.68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ABA">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委托处置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8077">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7336">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E72F">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775C">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39B">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0.68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730">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0.68</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9BFB">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外售</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物资</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回收</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公司</w:t>
                  </w:r>
                </w:p>
              </w:tc>
            </w:tr>
            <w:tr w14:paraId="6A937A5A">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E36">
                  <w:pPr>
                    <w:jc w:val="right"/>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270">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成型</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357">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成型机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79F">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一般</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工业</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固体</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7539">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边角料、不合格</w:t>
                  </w:r>
                  <w:r>
                    <w:rPr>
                      <w:rStyle w:val="28"/>
                      <w:rFonts w:hint="eastAsia" w:ascii="Times New Roman" w:hAnsi="Times New Roman"/>
                      <w:color w:val="auto"/>
                      <w:sz w:val="21"/>
                      <w:lang w:eastAsia="zh-CN" w:bidi="ar"/>
                    </w:rPr>
                    <w:t>产品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409E">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1859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4EB">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回用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AB4F">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9C63">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1859</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9A8">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D724">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847">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1859</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53F">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1859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F74">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收集</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后回</w:t>
                  </w:r>
                  <w:r>
                    <w:rPr>
                      <w:rStyle w:val="28"/>
                      <w:rFonts w:ascii="Times New Roman" w:hAnsi="Times New Roman"/>
                      <w:color w:val="auto"/>
                      <w:sz w:val="21"/>
                      <w:lang w:eastAsia="zh-CN" w:bidi="ar"/>
                    </w:rPr>
                    <w:br w:type="textWrapping"/>
                  </w:r>
                  <w:r>
                    <w:rPr>
                      <w:rFonts w:ascii="Times New Roman" w:hAnsi="Times New Roman" w:eastAsia="宋体" w:cs="宋体"/>
                      <w:color w:val="auto"/>
                      <w:szCs w:val="28"/>
                      <w:lang w:eastAsia="zh-CN" w:bidi="ar"/>
                    </w:rPr>
                    <w:t>用</w:t>
                  </w:r>
                </w:p>
              </w:tc>
            </w:tr>
            <w:tr w14:paraId="52B09B5C">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030">
                  <w:pPr>
                    <w:jc w:val="right"/>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882">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生活</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垃圾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2159">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生活垃圾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9325">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生活</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垃圾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5931">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生活垃圾</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2C6">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1.575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9D38">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委托处置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10A">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A9B">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C483">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EBC">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15AF">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1.575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7D1">
                  <w:pPr>
                    <w:jc w:val="center"/>
                    <w:textAlignment w:val="center"/>
                    <w:rPr>
                      <w:rFonts w:ascii="Times New Roman" w:hAnsi="Times New Roman" w:eastAsia="宋体" w:cs="宋体"/>
                      <w:color w:val="auto"/>
                      <w:szCs w:val="26"/>
                      <w:lang w:eastAsia="zh-CN" w:bidi="ar"/>
                    </w:rPr>
                  </w:pPr>
                  <w:r>
                    <w:rPr>
                      <w:rFonts w:ascii="Times New Roman" w:hAnsi="Times New Roman" w:eastAsia="宋体" w:cs="宋体"/>
                      <w:color w:val="auto"/>
                      <w:szCs w:val="28"/>
                      <w:lang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67A">
                  <w:pPr>
                    <w:jc w:val="center"/>
                    <w:textAlignment w:val="center"/>
                    <w:rPr>
                      <w:rFonts w:ascii="Times New Roman" w:hAnsi="Times New Roman" w:eastAsia="宋体" w:cs="宋体"/>
                      <w:color w:val="auto"/>
                      <w:szCs w:val="26"/>
                      <w:lang w:eastAsia="zh-CN" w:bidi="ar"/>
                    </w:rPr>
                  </w:pPr>
                  <w:r>
                    <w:rPr>
                      <w:rStyle w:val="28"/>
                      <w:rFonts w:ascii="Times New Roman" w:hAnsi="Times New Roman"/>
                      <w:color w:val="auto"/>
                      <w:sz w:val="21"/>
                      <w:lang w:eastAsia="zh-CN" w:bidi="ar"/>
                    </w:rPr>
                    <w:t>交由</w:t>
                  </w:r>
                  <w:r>
                    <w:rPr>
                      <w:rStyle w:val="28"/>
                      <w:rFonts w:ascii="Times New Roman" w:hAnsi="Times New Roman"/>
                      <w:color w:val="auto"/>
                      <w:sz w:val="21"/>
                      <w:lang w:eastAsia="zh-CN" w:bidi="ar"/>
                    </w:rPr>
                    <w:br w:type="textWrapping"/>
                  </w:r>
                  <w:r>
                    <w:rPr>
                      <w:rStyle w:val="28"/>
                      <w:rFonts w:hint="eastAsia" w:ascii="Times New Roman" w:hAnsi="Times New Roman"/>
                      <w:color w:val="auto"/>
                      <w:sz w:val="21"/>
                      <w:lang w:eastAsia="zh-CN" w:bidi="ar"/>
                    </w:rPr>
                    <w:t>乡镇</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环卫</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部门</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统一</w:t>
                  </w:r>
                  <w:r>
                    <w:rPr>
                      <w:rStyle w:val="28"/>
                      <w:rFonts w:ascii="Times New Roman" w:hAnsi="Times New Roman"/>
                      <w:color w:val="auto"/>
                      <w:sz w:val="21"/>
                      <w:lang w:eastAsia="zh-CN" w:bidi="ar"/>
                    </w:rPr>
                    <w:br w:type="textWrapping"/>
                  </w:r>
                  <w:r>
                    <w:rPr>
                      <w:rStyle w:val="28"/>
                      <w:rFonts w:ascii="Times New Roman" w:hAnsi="Times New Roman"/>
                      <w:color w:val="auto"/>
                      <w:sz w:val="21"/>
                      <w:lang w:eastAsia="zh-CN" w:bidi="ar"/>
                    </w:rPr>
                    <w:t>处理</w:t>
                  </w:r>
                </w:p>
              </w:tc>
            </w:tr>
            <w:tr w14:paraId="2EC7443B">
              <w:tblPrEx>
                <w:tblCellMar>
                  <w:top w:w="0" w:type="dxa"/>
                  <w:left w:w="108" w:type="dxa"/>
                  <w:bottom w:w="0" w:type="dxa"/>
                  <w:right w:w="108" w:type="dxa"/>
                </w:tblCellMar>
              </w:tblPrEx>
              <w:trPr>
                <w:trHeight w:val="23" w:hRule="atLeast"/>
                <w:jc w:val="center"/>
              </w:trPr>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A8DA">
                  <w:pPr>
                    <w:pStyle w:val="31"/>
                    <w:spacing w:line="240" w:lineRule="auto"/>
                    <w:ind w:firstLine="0" w:firstLineChars="0"/>
                    <w:jc w:val="center"/>
                    <w:rPr>
                      <w:rFonts w:ascii="Times New Roman" w:hAnsi="Times New Roman" w:eastAsia="宋体" w:cs="宋体"/>
                      <w:color w:val="auto"/>
                      <w:sz w:val="21"/>
                      <w:szCs w:val="28"/>
                      <w:lang w:eastAsia="zh-CN" w:bidi="ar"/>
                    </w:rPr>
                  </w:pPr>
                  <w:r>
                    <w:rPr>
                      <w:rFonts w:hint="eastAsia" w:ascii="Times New Roman" w:hAnsi="Times New Roman" w:eastAsia="宋体"/>
                      <w:color w:val="auto"/>
                      <w:sz w:val="21"/>
                      <w:lang w:eastAsia="zh-CN"/>
                    </w:rPr>
                    <w:t>设备检修</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F256">
                  <w:pPr>
                    <w:pStyle w:val="31"/>
                    <w:spacing w:line="240" w:lineRule="auto"/>
                    <w:ind w:firstLine="0" w:firstLineChars="0"/>
                    <w:jc w:val="center"/>
                    <w:rPr>
                      <w:rStyle w:val="28"/>
                      <w:rFonts w:ascii="Times New Roman" w:hAnsi="Times New Roman"/>
                      <w:color w:val="auto"/>
                      <w:sz w:val="21"/>
                      <w:lang w:eastAsia="zh-CN" w:bidi="ar"/>
                    </w:rPr>
                  </w:pPr>
                  <w:r>
                    <w:rPr>
                      <w:rFonts w:hint="eastAsia" w:ascii="Times New Roman" w:hAnsi="Times New Roman" w:eastAsia="宋体"/>
                      <w:color w:val="auto"/>
                      <w:sz w:val="21"/>
                      <w:lang w:eastAsia="zh-CN"/>
                    </w:rPr>
                    <w:t>设备检修</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79B">
                  <w:pPr>
                    <w:pStyle w:val="31"/>
                    <w:spacing w:line="240" w:lineRule="auto"/>
                    <w:ind w:firstLine="0" w:firstLineChars="0"/>
                    <w:jc w:val="center"/>
                    <w:rPr>
                      <w:rStyle w:val="28"/>
                      <w:rFonts w:hint="default" w:ascii="Times New Roman" w:hAnsi="Times New Roman" w:eastAsia="宋体"/>
                      <w:color w:val="auto"/>
                      <w:sz w:val="21"/>
                      <w:lang w:val="en-US" w:eastAsia="zh-CN" w:bidi="ar"/>
                    </w:rPr>
                  </w:pPr>
                  <w:r>
                    <w:rPr>
                      <w:rFonts w:ascii="Times New Roman" w:hAnsi="Times New Roman" w:eastAsia="宋体"/>
                      <w:color w:val="auto"/>
                      <w:sz w:val="21"/>
                    </w:rPr>
                    <w:t>废机油</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废油桶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74B0">
                  <w:pPr>
                    <w:pStyle w:val="31"/>
                    <w:spacing w:line="240" w:lineRule="auto"/>
                    <w:ind w:firstLine="0" w:firstLineChars="0"/>
                    <w:jc w:val="center"/>
                    <w:rPr>
                      <w:rStyle w:val="28"/>
                      <w:rFonts w:ascii="Times New Roman" w:hAnsi="Times New Roman"/>
                      <w:color w:val="auto"/>
                      <w:sz w:val="21"/>
                      <w:lang w:eastAsia="zh-CN" w:bidi="ar"/>
                    </w:rPr>
                  </w:pPr>
                  <w:r>
                    <w:rPr>
                      <w:rFonts w:ascii="Times New Roman" w:hAnsi="Times New Roman" w:eastAsia="宋体"/>
                      <w:color w:val="auto"/>
                      <w:sz w:val="21"/>
                    </w:rPr>
                    <w:t>危险废物</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2EE">
                  <w:pPr>
                    <w:jc w:val="center"/>
                    <w:rPr>
                      <w:rFonts w:hint="default" w:ascii="Times New Roman" w:hAnsi="Times New Roman" w:eastAsia="宋体" w:cs="宋体"/>
                      <w:color w:val="auto"/>
                      <w:szCs w:val="28"/>
                      <w:lang w:val="en-US" w:eastAsia="zh-CN" w:bidi="ar"/>
                    </w:rPr>
                  </w:pPr>
                  <w:r>
                    <w:rPr>
                      <w:rFonts w:ascii="Times New Roman" w:hAnsi="Times New Roman" w:eastAsia="宋体"/>
                      <w:color w:val="auto"/>
                    </w:rPr>
                    <w:t>废机油</w:t>
                  </w: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废油桶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C5F6">
                  <w:pPr>
                    <w:jc w:val="center"/>
                    <w:rPr>
                      <w:rFonts w:ascii="Times New Roman" w:hAnsi="Times New Roman" w:eastAsia="宋体" w:cs="宋体"/>
                      <w:color w:val="auto"/>
                      <w:szCs w:val="28"/>
                      <w:lang w:eastAsia="zh-CN" w:bidi="ar"/>
                    </w:rPr>
                  </w:pPr>
                  <w:r>
                    <w:rPr>
                      <w:rFonts w:hint="eastAsia" w:ascii="Times New Roman" w:hAnsi="Times New Roman" w:eastAsia="宋体"/>
                      <w:color w:val="auto"/>
                      <w:lang w:eastAsia="zh-CN"/>
                    </w:rPr>
                    <w:t>0.1t/a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ED53">
                  <w:pPr>
                    <w:jc w:val="center"/>
                    <w:rPr>
                      <w:rFonts w:ascii="Times New Roman" w:hAnsi="Times New Roman" w:eastAsia="宋体"/>
                      <w:color w:val="auto"/>
                    </w:rPr>
                  </w:pPr>
                  <w:r>
                    <w:rPr>
                      <w:rFonts w:ascii="Times New Roman" w:hAnsi="Times New Roman" w:eastAsia="宋体"/>
                      <w:color w:val="auto"/>
                    </w:rPr>
                    <w:t>委托</w:t>
                  </w:r>
                </w:p>
                <w:p w14:paraId="2C31EA19">
                  <w:pPr>
                    <w:jc w:val="center"/>
                    <w:rPr>
                      <w:rStyle w:val="28"/>
                      <w:rFonts w:ascii="Times New Roman" w:hAnsi="Times New Roman"/>
                      <w:color w:val="auto"/>
                      <w:sz w:val="21"/>
                      <w:lang w:eastAsia="zh-CN" w:bidi="ar"/>
                    </w:rPr>
                  </w:pPr>
                  <w:r>
                    <w:rPr>
                      <w:rFonts w:ascii="Times New Roman" w:hAnsi="Times New Roman" w:eastAsia="宋体"/>
                      <w:color w:val="auto"/>
                    </w:rPr>
                    <w:t>处理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C0D">
                  <w:pPr>
                    <w:jc w:val="center"/>
                    <w:rPr>
                      <w:rFonts w:ascii="Times New Roman" w:hAnsi="Times New Roman" w:eastAsia="宋体" w:cs="宋体"/>
                      <w:color w:val="auto"/>
                      <w:szCs w:val="28"/>
                      <w:lang w:eastAsia="zh-CN" w:bidi="ar"/>
                    </w:rPr>
                  </w:pPr>
                  <w:r>
                    <w:rPr>
                      <w:rFonts w:hint="eastAsia" w:ascii="Times New Roman" w:hAnsi="Times New Roman" w:eastAsia="宋体"/>
                      <w:color w:val="auto"/>
                      <w:lang w:eastAsia="zh-CN"/>
                    </w:rPr>
                    <w:t>0.1t/a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71F">
                  <w:pPr>
                    <w:jc w:val="center"/>
                    <w:rPr>
                      <w:rFonts w:ascii="Times New Roman" w:hAnsi="Times New Roman" w:eastAsia="宋体" w:cs="宋体"/>
                      <w:color w:val="auto"/>
                      <w:szCs w:val="28"/>
                      <w:lang w:eastAsia="zh-CN" w:bidi="ar"/>
                    </w:rPr>
                  </w:pPr>
                  <w:r>
                    <w:rPr>
                      <w:rFonts w:hint="eastAsia" w:ascii="Times New Roman" w:hAnsi="Times New Roman" w:eastAsia="宋体" w:cs="宋体"/>
                      <w:color w:val="auto"/>
                      <w:szCs w:val="28"/>
                      <w:lang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146">
                  <w:pPr>
                    <w:jc w:val="center"/>
                    <w:textAlignment w:val="center"/>
                    <w:rPr>
                      <w:rFonts w:ascii="Times New Roman" w:hAnsi="Times New Roman" w:eastAsia="宋体" w:cs="宋体"/>
                      <w:color w:val="auto"/>
                      <w:szCs w:val="28"/>
                      <w:lang w:eastAsia="zh-CN" w:bidi="ar"/>
                    </w:rPr>
                  </w:pPr>
                  <w:r>
                    <w:rPr>
                      <w:rFonts w:ascii="Times New Roman" w:hAnsi="Times New Roman" w:eastAsia="宋体" w:cs="宋体"/>
                      <w:color w:val="auto"/>
                      <w:szCs w:val="28"/>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6B9">
                  <w:pPr>
                    <w:jc w:val="center"/>
                    <w:textAlignment w:val="center"/>
                    <w:rPr>
                      <w:rFonts w:ascii="Times New Roman" w:hAnsi="Times New Roman" w:eastAsia="宋体" w:cs="宋体"/>
                      <w:color w:val="auto"/>
                      <w:szCs w:val="28"/>
                      <w:lang w:eastAsia="zh-CN" w:bidi="ar"/>
                    </w:rPr>
                  </w:pPr>
                  <w:r>
                    <w:rPr>
                      <w:rFonts w:ascii="Times New Roman" w:hAnsi="Times New Roman" w:eastAsia="宋体" w:cs="宋体"/>
                      <w:color w:val="auto"/>
                      <w:szCs w:val="28"/>
                      <w:lang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E823">
                  <w:pPr>
                    <w:jc w:val="center"/>
                    <w:textAlignment w:val="center"/>
                    <w:rPr>
                      <w:rFonts w:ascii="Times New Roman" w:hAnsi="Times New Roman" w:eastAsia="宋体" w:cs="宋体"/>
                      <w:color w:val="auto"/>
                      <w:szCs w:val="28"/>
                      <w:lang w:eastAsia="zh-CN" w:bidi="ar"/>
                    </w:rPr>
                  </w:pPr>
                  <w:r>
                    <w:rPr>
                      <w:rFonts w:hint="eastAsia" w:ascii="Times New Roman" w:hAnsi="Times New Roman" w:eastAsia="宋体"/>
                      <w:color w:val="auto"/>
                      <w:lang w:eastAsia="zh-CN"/>
                    </w:rPr>
                    <w:t>0.1t/a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F366">
                  <w:pPr>
                    <w:pStyle w:val="31"/>
                    <w:spacing w:line="240" w:lineRule="auto"/>
                    <w:ind w:firstLine="0" w:firstLineChars="0"/>
                    <w:jc w:val="center"/>
                    <w:rPr>
                      <w:rFonts w:ascii="Times New Roman" w:hAnsi="Times New Roman" w:eastAsia="宋体" w:cs="宋体"/>
                      <w:color w:val="auto"/>
                      <w:sz w:val="21"/>
                      <w:szCs w:val="28"/>
                      <w:lang w:eastAsia="zh-CN" w:bidi="ar"/>
                    </w:rPr>
                  </w:pPr>
                  <w:r>
                    <w:rPr>
                      <w:rFonts w:hint="eastAsia" w:ascii="Times New Roman" w:hAnsi="Times New Roman" w:eastAsia="宋体"/>
                      <w:color w:val="auto"/>
                      <w:sz w:val="21"/>
                      <w:lang w:eastAsia="zh-CN"/>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81C5">
                  <w:pPr>
                    <w:jc w:val="center"/>
                    <w:rPr>
                      <w:rFonts w:ascii="Times New Roman" w:hAnsi="Times New Roman" w:eastAsia="宋体"/>
                      <w:color w:val="auto"/>
                      <w:lang w:eastAsia="zh-CN"/>
                    </w:rPr>
                  </w:pPr>
                  <w:r>
                    <w:rPr>
                      <w:rFonts w:hint="eastAsia" w:ascii="Times New Roman" w:hAnsi="Times New Roman" w:eastAsia="宋体"/>
                      <w:color w:val="auto"/>
                      <w:lang w:eastAsia="zh-CN"/>
                    </w:rPr>
                    <w:t>暂存于危废暂存间定期由有资质单位进行处置</w:t>
                  </w:r>
                </w:p>
              </w:tc>
            </w:tr>
          </w:tbl>
          <w:p w14:paraId="44A3A3D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（3）固体废物防治措施及环境管理要求</w:t>
            </w:r>
          </w:p>
          <w:p w14:paraId="691BF8E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1）一般工业固体废物</w:t>
            </w:r>
          </w:p>
          <w:p w14:paraId="17E2D6A5">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本项目产生的布袋除尘器收集的粉尘返回生产工序；搅拌料废渣、边角料及不合格产品全部收集经破碎后，作为骨料返回配料工序</w:t>
            </w:r>
            <w:r>
              <w:rPr>
                <w:rFonts w:ascii="Times New Roman" w:hAnsi="Times New Roman"/>
                <w:color w:val="auto"/>
                <w:spacing w:val="-2"/>
                <w:lang w:eastAsia="zh-CN"/>
              </w:rPr>
              <w:t>，废包装袋及破损的模具外售给物资回收公司。</w:t>
            </w:r>
          </w:p>
          <w:p w14:paraId="73D8E88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①要按照《一般工业固体废物贮存和填埋污染控制标准》（GB18599-2020）的要求设置暂存场所。</w:t>
            </w:r>
          </w:p>
          <w:p w14:paraId="76483E0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②贮存、处置场的设置必须与将要堆放的一般工业固体废物的类别相一致。</w:t>
            </w:r>
          </w:p>
          <w:p w14:paraId="0CB20906">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③不得露天堆放，防止雨水进入产生二次污染。</w:t>
            </w:r>
          </w:p>
          <w:p w14:paraId="420E4DA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④单位须针对此对员工进行培训，加强安全及防止污染的意识，培训通过后方可上岗，对于固体废弃物的收集、运输要实施专人专职管理制度并建立好档案。</w:t>
            </w:r>
          </w:p>
          <w:p w14:paraId="6F91AABC">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生活垃圾</w:t>
            </w:r>
          </w:p>
          <w:p w14:paraId="25D9533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本项目生活垃圾集中收集后运至垃圾船内由</w:t>
            </w:r>
            <w:r>
              <w:rPr>
                <w:rFonts w:hint="eastAsia" w:ascii="Times New Roman" w:hAnsi="Times New Roman"/>
                <w:color w:val="auto"/>
                <w:spacing w:val="-2"/>
                <w:lang w:eastAsia="zh-CN"/>
              </w:rPr>
              <w:t>乡镇</w:t>
            </w:r>
            <w:r>
              <w:rPr>
                <w:rFonts w:ascii="Times New Roman" w:hAnsi="Times New Roman"/>
                <w:color w:val="auto"/>
                <w:spacing w:val="-2"/>
                <w:lang w:eastAsia="zh-CN"/>
              </w:rPr>
              <w:t>环卫部门统一处理。生活垃圾收集后，应做到垃圾袋装化、存放封闭化，做到日产日清；垃圾收集点应做好隔离措施，及时清运、消毒。</w:t>
            </w:r>
          </w:p>
          <w:p w14:paraId="1FBC6000">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w:t>
            </w:r>
            <w:r>
              <w:rPr>
                <w:rFonts w:hint="eastAsia" w:ascii="Times New Roman" w:hAnsi="Times New Roman"/>
                <w:color w:val="auto"/>
                <w:spacing w:val="-2"/>
                <w:lang w:eastAsia="zh-CN"/>
              </w:rPr>
              <w:t>4</w:t>
            </w:r>
            <w:r>
              <w:rPr>
                <w:rFonts w:ascii="Times New Roman" w:hAnsi="Times New Roman"/>
                <w:color w:val="auto"/>
                <w:spacing w:val="-2"/>
                <w:lang w:eastAsia="zh-CN"/>
              </w:rPr>
              <w:t>）危险废物</w:t>
            </w:r>
          </w:p>
          <w:p w14:paraId="16A0C871">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危险废物的管理应严格按照《中华人民共和国固体废物污染环境防治法》中有关危险废物的管理条款执行。危险废物贮存应按《危险废物贮存污染控制标准》（GB18597-20</w:t>
            </w:r>
            <w:r>
              <w:rPr>
                <w:rFonts w:hint="eastAsia" w:ascii="Times New Roman" w:hAnsi="Times New Roman"/>
                <w:color w:val="auto"/>
                <w:spacing w:val="-2"/>
                <w:lang w:eastAsia="zh-CN"/>
              </w:rPr>
              <w:t>23</w:t>
            </w:r>
            <w:r>
              <w:rPr>
                <w:rFonts w:ascii="Times New Roman" w:hAnsi="Times New Roman"/>
                <w:color w:val="auto"/>
                <w:spacing w:val="-2"/>
                <w:lang w:eastAsia="zh-CN"/>
              </w:rPr>
              <w:t>）的有关规定执行。</w:t>
            </w:r>
          </w:p>
          <w:p w14:paraId="5864D12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w:t>
            </w:r>
            <w:r>
              <w:rPr>
                <w:rFonts w:hint="eastAsia" w:ascii="Times New Roman" w:hAnsi="Times New Roman"/>
                <w:color w:val="auto"/>
                <w:spacing w:val="-2"/>
                <w:lang w:eastAsia="zh-CN"/>
              </w:rPr>
              <w:t>危废暂存间</w:t>
            </w:r>
            <w:r>
              <w:rPr>
                <w:rFonts w:ascii="Times New Roman" w:hAnsi="Times New Roman"/>
                <w:color w:val="auto"/>
                <w:spacing w:val="-2"/>
                <w:lang w:eastAsia="zh-CN"/>
              </w:rPr>
              <w:t>应根据危险废物的形态、物理化学性质、包装形式和污染物迁移途径，采取必要的防风、防晒、防雨、防漏、防渗、防腐以及其他环境污染防治措施，不应露天堆放</w:t>
            </w:r>
            <w:r>
              <w:rPr>
                <w:rFonts w:hint="eastAsia" w:ascii="Times New Roman" w:hAnsi="Times New Roman"/>
                <w:color w:val="auto"/>
                <w:spacing w:val="-2"/>
                <w:lang w:eastAsia="zh-CN"/>
              </w:rPr>
              <w:t>废机油</w:t>
            </w:r>
            <w:r>
              <w:rPr>
                <w:rFonts w:ascii="Times New Roman" w:hAnsi="Times New Roman"/>
                <w:color w:val="auto"/>
                <w:spacing w:val="-2"/>
                <w:lang w:eastAsia="zh-CN"/>
              </w:rPr>
              <w:t>。</w:t>
            </w:r>
          </w:p>
          <w:p w14:paraId="01B84D59">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②危废暂存间地面、墙面裙脚、堵截泄漏的围堰、接触危险废物的隔板和墙体等应采用坚固的材料建造，表面无裂缝。</w:t>
            </w:r>
          </w:p>
          <w:p w14:paraId="1A2D789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③危废暂存间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ascii="Times New Roman" w:hAnsi="Times New Roman"/>
                <w:color w:val="auto"/>
                <w:spacing w:val="-2"/>
                <w:vertAlign w:val="superscript"/>
                <w:lang w:eastAsia="zh-CN"/>
              </w:rPr>
              <w:t>-7</w:t>
            </w:r>
            <w:r>
              <w:rPr>
                <w:rFonts w:ascii="Times New Roman" w:hAnsi="Times New Roman"/>
                <w:color w:val="auto"/>
                <w:spacing w:val="-2"/>
                <w:lang w:eastAsia="zh-CN"/>
              </w:rPr>
              <w:t>cm/s），或至少2mm厚高密度聚乙烯膜等人工防渗材料（渗透系数不大于10</w:t>
            </w:r>
            <w:r>
              <w:rPr>
                <w:rFonts w:ascii="Times New Roman" w:hAnsi="Times New Roman"/>
                <w:color w:val="auto"/>
                <w:spacing w:val="-2"/>
                <w:vertAlign w:val="superscript"/>
                <w:lang w:eastAsia="zh-CN"/>
              </w:rPr>
              <w:t>-10</w:t>
            </w:r>
            <w:r>
              <w:rPr>
                <w:rFonts w:ascii="Times New Roman" w:hAnsi="Times New Roman"/>
                <w:color w:val="auto"/>
                <w:spacing w:val="-2"/>
                <w:lang w:eastAsia="zh-CN"/>
              </w:rPr>
              <w:t>cm/s），或其他防渗性能等效的材料。</w:t>
            </w:r>
          </w:p>
          <w:p w14:paraId="1A5456EA">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④危废暂存间</w:t>
            </w:r>
            <w:r>
              <w:rPr>
                <w:rFonts w:hint="eastAsia" w:ascii="Times New Roman" w:hAnsi="Times New Roman"/>
                <w:color w:val="auto"/>
                <w:spacing w:val="-2"/>
                <w:lang w:eastAsia="zh-CN"/>
              </w:rPr>
              <w:t>应采取</w:t>
            </w:r>
            <w:r>
              <w:rPr>
                <w:rFonts w:ascii="Times New Roman" w:hAnsi="Times New Roman"/>
                <w:color w:val="auto"/>
                <w:spacing w:val="-2"/>
                <w:lang w:eastAsia="zh-CN"/>
              </w:rPr>
              <w:t>技术和管理措施防止无关人员进入。</w:t>
            </w:r>
          </w:p>
          <w:p w14:paraId="66AB1DAA">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⑤应定期检查危险废物的贮存状况，及时清理贮存设施地面，更换破损泄漏的危险废物贮存容器和包装物，保证堆存危险废物的防雨、防风、防扬尘等设施功能完好。</w:t>
            </w:r>
          </w:p>
          <w:p w14:paraId="2914FAA4">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⑥</w:t>
            </w:r>
            <w:r>
              <w:rPr>
                <w:rFonts w:ascii="Times New Roman" w:hAnsi="Times New Roman"/>
                <w:color w:val="auto"/>
                <w:spacing w:val="-2"/>
                <w:lang w:eastAsia="zh-CN"/>
              </w:rPr>
              <w:t>运营期加强管理，定期对危废暂存容器进行检查，确保暂存过程中不因容器变形被腐蚀等因素造成危废泄露。</w:t>
            </w:r>
          </w:p>
          <w:p w14:paraId="50CE7353">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⑦</w:t>
            </w:r>
            <w:r>
              <w:rPr>
                <w:rFonts w:ascii="Times New Roman" w:hAnsi="Times New Roman"/>
                <w:color w:val="auto"/>
                <w:spacing w:val="-2"/>
                <w:lang w:eastAsia="zh-CN"/>
              </w:rPr>
              <w:t>严格按照《危险废物标志牌式样》标准对项目区危险废物环境管理的相关设施、场所识别标志和危险废物识别标志样式（形状、颜色、图案）和内容准确标识完整。对暂存</w:t>
            </w:r>
            <w:r>
              <w:rPr>
                <w:rFonts w:hint="eastAsia" w:ascii="Times New Roman" w:hAnsi="Times New Roman"/>
                <w:color w:val="auto"/>
                <w:spacing w:val="-2"/>
                <w:lang w:eastAsia="zh-CN"/>
              </w:rPr>
              <w:t>间</w:t>
            </w:r>
            <w:r>
              <w:rPr>
                <w:rFonts w:ascii="Times New Roman" w:hAnsi="Times New Roman"/>
                <w:color w:val="auto"/>
                <w:spacing w:val="-2"/>
                <w:lang w:eastAsia="zh-CN"/>
              </w:rPr>
              <w:t>进行分区划线，分类贮存。按照《危废台账模板》格式，如实和规范记录各类危废贮存情况。认真填写名称、种类、数量、来源、出入库时间、去向、交接人签字等内容。</w:t>
            </w:r>
          </w:p>
          <w:p w14:paraId="44875E10">
            <w:pPr>
              <w:pStyle w:val="20"/>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⑧</w:t>
            </w:r>
            <w:r>
              <w:rPr>
                <w:rFonts w:ascii="Times New Roman" w:hAnsi="Times New Roman"/>
                <w:color w:val="auto"/>
                <w:spacing w:val="-2"/>
                <w:lang w:eastAsia="zh-CN"/>
              </w:rPr>
              <w:t>运营期产生的危险废物应严格按照《危险废物转移管理办法》（生态环境部公安部交通运输</w:t>
            </w:r>
            <w:r>
              <w:rPr>
                <w:rFonts w:hint="eastAsia" w:ascii="Times New Roman" w:hAnsi="Times New Roman"/>
                <w:color w:val="auto"/>
                <w:spacing w:val="-2"/>
                <w:lang w:eastAsia="zh-CN"/>
              </w:rPr>
              <w:t>部</w:t>
            </w:r>
            <w:r>
              <w:rPr>
                <w:rFonts w:ascii="Times New Roman" w:hAnsi="Times New Roman"/>
                <w:color w:val="auto"/>
                <w:spacing w:val="-2"/>
                <w:lang w:eastAsia="zh-CN"/>
              </w:rPr>
              <w:t>令第23号）进行转移、处置。</w:t>
            </w:r>
          </w:p>
          <w:p w14:paraId="1436B493">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本项目建设一座建筑面积为</w:t>
            </w:r>
            <w:r>
              <w:rPr>
                <w:rFonts w:hint="eastAsia" w:ascii="Times New Roman" w:hAnsi="Times New Roman"/>
                <w:color w:val="auto"/>
                <w:spacing w:val="-2"/>
                <w:lang w:eastAsia="zh-CN"/>
              </w:rPr>
              <w:t>3</w:t>
            </w:r>
            <w:r>
              <w:rPr>
                <w:rFonts w:ascii="Times New Roman" w:hAnsi="Times New Roman"/>
                <w:color w:val="auto"/>
                <w:spacing w:val="-2"/>
                <w:lang w:eastAsia="zh-CN"/>
              </w:rPr>
              <w:t>m</w:t>
            </w:r>
            <w:r>
              <w:rPr>
                <w:rFonts w:ascii="Times New Roman" w:hAnsi="Times New Roman"/>
                <w:color w:val="auto"/>
                <w:spacing w:val="-2"/>
                <w:vertAlign w:val="superscript"/>
                <w:lang w:eastAsia="zh-CN"/>
              </w:rPr>
              <w:t>2</w:t>
            </w:r>
            <w:r>
              <w:rPr>
                <w:rFonts w:ascii="Times New Roman" w:hAnsi="Times New Roman"/>
                <w:color w:val="auto"/>
                <w:spacing w:val="-2"/>
                <w:lang w:eastAsia="zh-CN"/>
              </w:rPr>
              <w:t>的危废暂存间，项目所在区域不属于地震、泥石流等地质灾害频发带，也不存在洪水淹没的情况，</w:t>
            </w:r>
            <w:r>
              <w:rPr>
                <w:rFonts w:hint="eastAsia" w:ascii="Times New Roman" w:hAnsi="Times New Roman"/>
                <w:color w:val="auto"/>
                <w:spacing w:val="-2"/>
                <w:lang w:eastAsia="zh-CN"/>
              </w:rPr>
              <w:t>周边无地表水体</w:t>
            </w:r>
            <w:r>
              <w:rPr>
                <w:rFonts w:ascii="Times New Roman" w:hAnsi="Times New Roman"/>
                <w:color w:val="auto"/>
                <w:spacing w:val="-2"/>
                <w:lang w:eastAsia="zh-CN"/>
              </w:rPr>
              <w:t>，因此危废暂存间的选址合理。</w:t>
            </w:r>
          </w:p>
          <w:p w14:paraId="7AE5FC18">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危险废物采用专用容器密封后分区贮存和运输，包装桶加盖密封贮存和运输。危废在运输过程中使用专业危废运输车辆进行运输，运输过程采取跑冒滴漏防治措施，本项目危险废物外运处置过程中，发生散落概率极低。在加强管理的情况下，危废发生散落、泄漏事故的概率极小，对周围环境影响较小。通过上述方法妥善处置后，本项目产生的固废对周围环境影响较小。</w:t>
            </w:r>
          </w:p>
          <w:p w14:paraId="0E0BF1DB">
            <w:pPr>
              <w:pStyle w:val="20"/>
              <w:spacing w:line="360" w:lineRule="auto"/>
              <w:ind w:firstLine="472" w:firstLineChars="200"/>
              <w:rPr>
                <w:rFonts w:ascii="Times New Roman" w:hAnsi="Times New Roman" w:eastAsia="Times New Roman" w:cs="Times New Roman"/>
                <w:b/>
                <w:bCs/>
                <w:color w:val="auto"/>
                <w:spacing w:val="-2"/>
                <w:lang w:eastAsia="zh-CN"/>
              </w:rPr>
            </w:pPr>
            <w:r>
              <w:rPr>
                <w:rFonts w:hint="eastAsia" w:ascii="Times New Roman" w:hAnsi="Times New Roman" w:eastAsia="Times New Roman" w:cs="Times New Roman"/>
                <w:b/>
                <w:bCs/>
                <w:color w:val="auto"/>
                <w:spacing w:val="-2"/>
                <w:lang w:eastAsia="zh-CN"/>
              </w:rPr>
              <w:t>5、地下水、土壤</w:t>
            </w:r>
          </w:p>
          <w:p w14:paraId="30ED80BF">
            <w:pPr>
              <w:pStyle w:val="20"/>
              <w:spacing w:line="360" w:lineRule="auto"/>
              <w:ind w:firstLine="472" w:firstLineChars="200"/>
              <w:rPr>
                <w:rFonts w:ascii="Times New Roman" w:hAnsi="Times New Roman"/>
                <w:color w:val="auto"/>
                <w:spacing w:val="-2"/>
              </w:rPr>
            </w:pPr>
            <w:r>
              <w:rPr>
                <w:rFonts w:ascii="Times New Roman" w:hAnsi="Times New Roman"/>
                <w:color w:val="auto"/>
                <w:spacing w:val="-2"/>
              </w:rPr>
              <w:t>（1）地下水</w:t>
            </w:r>
          </w:p>
          <w:p w14:paraId="694D31AB">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①污染途径分析</w:t>
            </w:r>
          </w:p>
          <w:p w14:paraId="15FA94B1">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污染物对地下水的影响主要是废水和固废等通过垂直渗透进入包气带，包气带即地表与潜水面之间的地带，是地下含水层的天然保护层，使地表污染物质进入含水层的垂直过渡带。</w:t>
            </w:r>
          </w:p>
          <w:p w14:paraId="538CBA90">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本项目生产过程中搅拌机清洗</w:t>
            </w:r>
            <w:r>
              <w:rPr>
                <w:rFonts w:hint="eastAsia" w:ascii="Times New Roman" w:hAnsi="Times New Roman"/>
                <w:color w:val="auto"/>
                <w:spacing w:val="-2"/>
                <w:lang w:eastAsia="zh-CN"/>
              </w:rPr>
              <w:t>、</w:t>
            </w:r>
            <w:r>
              <w:rPr>
                <w:rFonts w:hint="eastAsia" w:ascii="Times New Roman" w:hAnsi="Times New Roman"/>
                <w:color w:val="auto"/>
                <w:spacing w:val="-2"/>
                <w:lang w:val="en-US" w:eastAsia="zh-CN"/>
              </w:rPr>
              <w:t>运输车辆清洗</w:t>
            </w:r>
            <w:r>
              <w:rPr>
                <w:rFonts w:ascii="Times New Roman" w:hAnsi="Times New Roman"/>
                <w:color w:val="auto"/>
                <w:spacing w:val="-2"/>
                <w:lang w:eastAsia="zh-CN"/>
              </w:rPr>
              <w:t>用水量很少，临时储存于桶内，用泵抽取回用于生产和搅拌用水一起进入产品；水磨拉丝机用水全部经沉淀池沉淀后回用，不外排。生活污水排入</w:t>
            </w:r>
            <w:r>
              <w:rPr>
                <w:rFonts w:hint="eastAsia" w:ascii="Times New Roman" w:hAnsi="Times New Roman"/>
                <w:color w:val="auto"/>
                <w:spacing w:val="-2"/>
                <w:lang w:eastAsia="zh-CN"/>
              </w:rPr>
              <w:t>乡镇</w:t>
            </w:r>
            <w:r>
              <w:rPr>
                <w:rFonts w:ascii="Times New Roman" w:hAnsi="Times New Roman"/>
                <w:color w:val="auto"/>
                <w:spacing w:val="-2"/>
                <w:lang w:eastAsia="zh-CN"/>
              </w:rPr>
              <w:t>污水管网。</w:t>
            </w:r>
          </w:p>
          <w:p w14:paraId="50C4F80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本项目产生的固体废物分为一般工业固体废物和生活垃圾。一般工业固体废物中</w:t>
            </w:r>
            <w:r>
              <w:rPr>
                <w:rFonts w:hint="eastAsia" w:ascii="Times New Roman" w:hAnsi="Times New Roman"/>
                <w:color w:val="auto"/>
                <w:spacing w:val="-2"/>
                <w:lang w:eastAsia="zh-CN"/>
              </w:rPr>
              <w:t>拌合料废渣</w:t>
            </w:r>
            <w:r>
              <w:rPr>
                <w:rFonts w:ascii="Times New Roman" w:hAnsi="Times New Roman"/>
                <w:color w:val="auto"/>
                <w:spacing w:val="-2"/>
                <w:lang w:eastAsia="zh-CN"/>
              </w:rPr>
              <w:t>，沉淀池底泥、布袋除尘器收集的粉尘、边角料及不合格</w:t>
            </w:r>
            <w:r>
              <w:rPr>
                <w:rFonts w:hint="eastAsia" w:ascii="Times New Roman" w:hAnsi="Times New Roman"/>
                <w:color w:val="auto"/>
                <w:spacing w:val="-2"/>
                <w:lang w:eastAsia="zh-CN"/>
              </w:rPr>
              <w:t>产品</w:t>
            </w:r>
            <w:r>
              <w:rPr>
                <w:rFonts w:ascii="Times New Roman" w:hAnsi="Times New Roman"/>
                <w:color w:val="auto"/>
                <w:spacing w:val="-2"/>
                <w:lang w:eastAsia="zh-CN"/>
              </w:rPr>
              <w:t>全部回用于生产，损坏的模具、包装袋全部外售给物资回收公司，进行综合利用；生活垃圾放入垃圾桶，委托环卫部门进行清运处理。本项目所有固体废物均得到有效处理，对周围环境影响较小。</w:t>
            </w:r>
          </w:p>
          <w:p w14:paraId="06C1EB3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综上所述，本项目对地下水产生影响的可能性很小。</w:t>
            </w:r>
          </w:p>
          <w:p w14:paraId="542932E2">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②防控措施</w:t>
            </w:r>
          </w:p>
          <w:p w14:paraId="55DBADA1">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项目沉淀池和水磨拉丝机生产区为重点防渗区，要求进行防渗处理，地面基础防渗和构筑物防渗等级达到渗透系数≤1.0×10</w:t>
            </w:r>
            <w:r>
              <w:rPr>
                <w:rFonts w:hint="eastAsia" w:ascii="Times New Roman" w:hAnsi="Times New Roman"/>
                <w:color w:val="auto"/>
                <w:spacing w:val="-2"/>
                <w:vertAlign w:val="superscript"/>
                <w:lang w:eastAsia="zh-CN"/>
              </w:rPr>
              <w:t>-</w:t>
            </w:r>
            <w:r>
              <w:rPr>
                <w:rFonts w:ascii="Times New Roman" w:hAnsi="Times New Roman"/>
                <w:color w:val="auto"/>
                <w:spacing w:val="-2"/>
                <w:vertAlign w:val="superscript"/>
                <w:lang w:eastAsia="zh-CN"/>
              </w:rPr>
              <w:t>10</w:t>
            </w:r>
            <w:r>
              <w:rPr>
                <w:rFonts w:ascii="Times New Roman" w:hAnsi="Times New Roman"/>
                <w:color w:val="auto"/>
                <w:spacing w:val="-2"/>
                <w:lang w:eastAsia="zh-CN"/>
              </w:rPr>
              <w:t>cm/s，相当于不小于6m厚的粘土防护层。</w:t>
            </w:r>
          </w:p>
          <w:p w14:paraId="6949D200">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经采取上述措施后，本项目运营对区域地下水周围环境的影响较小。</w:t>
            </w:r>
          </w:p>
          <w:p w14:paraId="76D2D586">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②防控措施</w:t>
            </w:r>
          </w:p>
          <w:p w14:paraId="5042FBE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根据《环境影响评价技术导则地下水环境》</w:t>
            </w:r>
            <w:r>
              <w:rPr>
                <w:rFonts w:hint="eastAsia" w:ascii="Times New Roman" w:hAnsi="Times New Roman"/>
                <w:color w:val="auto"/>
                <w:spacing w:val="-2"/>
                <w:lang w:eastAsia="zh-CN"/>
              </w:rPr>
              <w:t>（</w:t>
            </w:r>
            <w:r>
              <w:rPr>
                <w:rFonts w:ascii="Times New Roman" w:hAnsi="Times New Roman"/>
                <w:color w:val="auto"/>
                <w:spacing w:val="-2"/>
                <w:lang w:eastAsia="zh-CN"/>
              </w:rPr>
              <w:t>HJ610-2016</w:t>
            </w:r>
            <w:r>
              <w:rPr>
                <w:rFonts w:hint="eastAsia" w:ascii="Times New Roman" w:hAnsi="Times New Roman"/>
                <w:color w:val="auto"/>
                <w:spacing w:val="-2"/>
                <w:lang w:eastAsia="zh-CN"/>
              </w:rPr>
              <w:t>）</w:t>
            </w:r>
            <w:r>
              <w:rPr>
                <w:rFonts w:ascii="Times New Roman" w:hAnsi="Times New Roman"/>
                <w:color w:val="auto"/>
                <w:spacing w:val="-2"/>
                <w:lang w:eastAsia="zh-CN"/>
              </w:rPr>
              <w:t>要求，将地下水污染防渗分区分为三个级别：重点防渗区、一般防渗区、简单防渗区，防渗分区判定如下。</w:t>
            </w:r>
          </w:p>
          <w:p w14:paraId="38539697">
            <w:pPr>
              <w:widowControl w:val="0"/>
              <w:kinsoku/>
              <w:autoSpaceDE/>
              <w:autoSpaceDN/>
              <w:adjustRightInd/>
              <w:snapToGrid/>
              <w:spacing w:line="360" w:lineRule="auto"/>
              <w:jc w:val="center"/>
              <w:textAlignment w:val="auto"/>
              <w:rPr>
                <w:rFonts w:ascii="Times New Roman" w:hAnsi="Times New Roman" w:eastAsia="宋体"/>
                <w:b/>
                <w:bCs/>
                <w:color w:val="auto"/>
                <w:lang w:eastAsia="zh-CN"/>
              </w:rPr>
            </w:pPr>
            <w:r>
              <w:rPr>
                <w:rFonts w:ascii="Times New Roman" w:hAnsi="Times New Roman" w:eastAsia="宋体" w:cs="黑体"/>
                <w:b/>
                <w:bCs/>
                <w:color w:val="auto"/>
                <w:lang w:eastAsia="zh-CN"/>
              </w:rPr>
              <w:t>表</w:t>
            </w:r>
            <w:r>
              <w:rPr>
                <w:rFonts w:hint="eastAsia" w:ascii="Times New Roman" w:hAnsi="Times New Roman" w:eastAsia="宋体" w:cs="Times New Roman"/>
                <w:b/>
                <w:bCs/>
                <w:color w:val="auto"/>
                <w:lang w:eastAsia="zh-CN"/>
              </w:rPr>
              <w:t>4-13</w:t>
            </w:r>
            <w:r>
              <w:rPr>
                <w:rFonts w:ascii="Times New Roman" w:hAnsi="Times New Roman" w:eastAsia="宋体" w:cs="黑体"/>
                <w:b/>
                <w:bCs/>
                <w:color w:val="auto"/>
                <w:lang w:eastAsia="zh-CN"/>
              </w:rPr>
              <w:t>污染控制难易程度分级参照表</w:t>
            </w:r>
          </w:p>
          <w:tbl>
            <w:tblPr>
              <w:tblStyle w:val="1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4"/>
              <w:gridCol w:w="6395"/>
            </w:tblGrid>
            <w:tr w14:paraId="2D72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1081" w:type="pct"/>
                  <w:tcBorders>
                    <w:tl2br w:val="nil"/>
                    <w:tr2bl w:val="nil"/>
                  </w:tcBorders>
                  <w:vAlign w:val="center"/>
                </w:tcPr>
                <w:p w14:paraId="7236A3E9">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污染控制难易程度</w:t>
                  </w:r>
                </w:p>
              </w:tc>
              <w:tc>
                <w:tcPr>
                  <w:tcW w:w="3918" w:type="pct"/>
                  <w:tcBorders>
                    <w:tl2br w:val="nil"/>
                    <w:tr2bl w:val="nil"/>
                  </w:tcBorders>
                  <w:vAlign w:val="center"/>
                </w:tcPr>
                <w:p w14:paraId="7A701962">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污染物类型</w:t>
                  </w:r>
                </w:p>
              </w:tc>
            </w:tr>
            <w:tr w14:paraId="360D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081" w:type="pct"/>
                  <w:tcBorders>
                    <w:tl2br w:val="nil"/>
                    <w:tr2bl w:val="nil"/>
                  </w:tcBorders>
                  <w:vAlign w:val="center"/>
                </w:tcPr>
                <w:p w14:paraId="4A5DAA90">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难</w:t>
                  </w:r>
                </w:p>
              </w:tc>
              <w:tc>
                <w:tcPr>
                  <w:tcW w:w="3918" w:type="pct"/>
                  <w:tcBorders>
                    <w:tl2br w:val="nil"/>
                    <w:tr2bl w:val="nil"/>
                  </w:tcBorders>
                  <w:vAlign w:val="center"/>
                </w:tcPr>
                <w:p w14:paraId="60277A83">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对地下水环境有污染的物料或污染物泄漏后，不能及时发现和处理</w:t>
                  </w:r>
                </w:p>
              </w:tc>
            </w:tr>
            <w:tr w14:paraId="1AC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081" w:type="pct"/>
                  <w:tcBorders>
                    <w:tl2br w:val="nil"/>
                    <w:tr2bl w:val="nil"/>
                  </w:tcBorders>
                  <w:vAlign w:val="center"/>
                </w:tcPr>
                <w:p w14:paraId="01FD5731">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易</w:t>
                  </w:r>
                </w:p>
              </w:tc>
              <w:tc>
                <w:tcPr>
                  <w:tcW w:w="3918" w:type="pct"/>
                  <w:tcBorders>
                    <w:tl2br w:val="nil"/>
                    <w:tr2bl w:val="nil"/>
                  </w:tcBorders>
                  <w:vAlign w:val="center"/>
                </w:tcPr>
                <w:p w14:paraId="0B567A94">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对地下水环境有污染的物料或污染物泄漏后，可及时发现和处理</w:t>
                  </w:r>
                </w:p>
              </w:tc>
            </w:tr>
          </w:tbl>
          <w:p w14:paraId="736ACFD7">
            <w:pPr>
              <w:widowControl w:val="0"/>
              <w:kinsoku/>
              <w:autoSpaceDE/>
              <w:autoSpaceDN/>
              <w:adjustRightInd/>
              <w:snapToGrid/>
              <w:spacing w:line="360" w:lineRule="auto"/>
              <w:jc w:val="center"/>
              <w:textAlignment w:val="auto"/>
              <w:rPr>
                <w:rFonts w:ascii="Times New Roman" w:hAnsi="Times New Roman" w:eastAsia="宋体"/>
                <w:b/>
                <w:bCs/>
                <w:color w:val="auto"/>
                <w:lang w:eastAsia="zh-CN"/>
              </w:rPr>
            </w:pPr>
            <w:r>
              <w:rPr>
                <w:rFonts w:ascii="Times New Roman" w:hAnsi="Times New Roman" w:eastAsia="宋体" w:cs="黑体"/>
                <w:b/>
                <w:bCs/>
                <w:color w:val="auto"/>
                <w:lang w:eastAsia="zh-CN"/>
              </w:rPr>
              <w:t>表</w:t>
            </w:r>
            <w:r>
              <w:rPr>
                <w:rFonts w:hint="eastAsia" w:ascii="Times New Roman" w:hAnsi="Times New Roman" w:eastAsia="宋体" w:cs="Times New Roman"/>
                <w:b/>
                <w:bCs/>
                <w:color w:val="auto"/>
                <w:lang w:eastAsia="zh-CN"/>
              </w:rPr>
              <w:t>4-14</w:t>
            </w:r>
            <w:r>
              <w:rPr>
                <w:rFonts w:ascii="Times New Roman" w:hAnsi="Times New Roman" w:eastAsia="宋体" w:cs="黑体"/>
                <w:b/>
                <w:bCs/>
                <w:color w:val="auto"/>
                <w:lang w:eastAsia="zh-CN"/>
              </w:rPr>
              <w:t>天然包气带防污性能分级参照表</w:t>
            </w:r>
          </w:p>
          <w:tbl>
            <w:tblPr>
              <w:tblStyle w:val="1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
              <w:gridCol w:w="7860"/>
            </w:tblGrid>
            <w:tr w14:paraId="0532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83" w:type="pct"/>
                  <w:tcBorders>
                    <w:tl2br w:val="nil"/>
                    <w:tr2bl w:val="nil"/>
                  </w:tcBorders>
                  <w:vAlign w:val="center"/>
                </w:tcPr>
                <w:p w14:paraId="4BCE80AE">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分级</w:t>
                  </w:r>
                </w:p>
              </w:tc>
              <w:tc>
                <w:tcPr>
                  <w:tcW w:w="4816" w:type="pct"/>
                  <w:tcBorders>
                    <w:tl2br w:val="nil"/>
                    <w:tr2bl w:val="nil"/>
                  </w:tcBorders>
                  <w:vAlign w:val="center"/>
                </w:tcPr>
                <w:p w14:paraId="76D2C8B6">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包气带岩土的渗透性能</w:t>
                  </w:r>
                </w:p>
              </w:tc>
            </w:tr>
            <w:tr w14:paraId="235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83" w:type="pct"/>
                  <w:tcBorders>
                    <w:tl2br w:val="nil"/>
                    <w:tr2bl w:val="nil"/>
                  </w:tcBorders>
                  <w:vAlign w:val="center"/>
                </w:tcPr>
                <w:p w14:paraId="3C52D117">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强</w:t>
                  </w:r>
                </w:p>
              </w:tc>
              <w:tc>
                <w:tcPr>
                  <w:tcW w:w="4816" w:type="pct"/>
                  <w:tcBorders>
                    <w:tl2br w:val="nil"/>
                    <w:tr2bl w:val="nil"/>
                  </w:tcBorders>
                  <w:vAlign w:val="center"/>
                </w:tcPr>
                <w:p w14:paraId="1C581F87">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岩</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土</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层单层厚度</w:t>
                  </w:r>
                  <w:r>
                    <w:rPr>
                      <w:rFonts w:ascii="Times New Roman" w:hAnsi="Times New Roman" w:eastAsia="宋体" w:cs="Times New Roman"/>
                      <w:color w:val="auto"/>
                      <w:lang w:eastAsia="zh-CN"/>
                    </w:rPr>
                    <w:t>Mb≥1.0m</w:t>
                  </w:r>
                  <w:r>
                    <w:rPr>
                      <w:rFonts w:ascii="Times New Roman" w:hAnsi="Times New Roman" w:eastAsia="宋体" w:cs="宋体"/>
                      <w:color w:val="auto"/>
                      <w:lang w:eastAsia="zh-CN"/>
                    </w:rPr>
                    <w:t>，渗透系数</w:t>
                  </w:r>
                  <w:r>
                    <w:rPr>
                      <w:rFonts w:ascii="Times New Roman" w:hAnsi="Times New Roman" w:eastAsia="宋体" w:cs="Times New Roman"/>
                      <w:color w:val="auto"/>
                      <w:lang w:eastAsia="zh-CN"/>
                    </w:rPr>
                    <w:t>K≤1X10</w:t>
                  </w:r>
                  <w:r>
                    <w:rPr>
                      <w:rFonts w:ascii="Times New Roman" w:hAnsi="Times New Roman" w:eastAsia="宋体" w:cs="Times New Roman"/>
                      <w:color w:val="auto"/>
                      <w:szCs w:val="14"/>
                      <w:vertAlign w:val="superscript"/>
                      <w:lang w:eastAsia="zh-CN"/>
                    </w:rPr>
                    <w:t>-6</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，且分布连续、稳定</w:t>
                  </w:r>
                </w:p>
              </w:tc>
            </w:tr>
            <w:tr w14:paraId="0E7A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83" w:type="pct"/>
                  <w:tcBorders>
                    <w:tl2br w:val="nil"/>
                    <w:tr2bl w:val="nil"/>
                  </w:tcBorders>
                  <w:vAlign w:val="center"/>
                </w:tcPr>
                <w:p w14:paraId="0F629207">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中</w:t>
                  </w:r>
                </w:p>
              </w:tc>
              <w:tc>
                <w:tcPr>
                  <w:tcW w:w="4816" w:type="pct"/>
                  <w:tcBorders>
                    <w:tl2br w:val="nil"/>
                    <w:tr2bl w:val="nil"/>
                  </w:tcBorders>
                  <w:vAlign w:val="center"/>
                </w:tcPr>
                <w:p w14:paraId="5EE1E9F4">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岩</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土</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层单层厚度</w:t>
                  </w:r>
                  <w:r>
                    <w:rPr>
                      <w:rFonts w:ascii="Times New Roman" w:hAnsi="Times New Roman" w:eastAsia="宋体" w:cs="Times New Roman"/>
                      <w:color w:val="auto"/>
                      <w:lang w:eastAsia="zh-CN"/>
                    </w:rPr>
                    <w:t>0.5m≤Mb</w:t>
                  </w:r>
                  <w:r>
                    <w:rPr>
                      <w:rFonts w:ascii="Times New Roman" w:hAnsi="Times New Roman" w:eastAsia="宋体" w:cs="宋体"/>
                      <w:color w:val="auto"/>
                      <w:lang w:eastAsia="zh-CN"/>
                    </w:rPr>
                    <w:t>＜</w:t>
                  </w:r>
                  <w:r>
                    <w:rPr>
                      <w:rFonts w:ascii="Times New Roman" w:hAnsi="Times New Roman" w:eastAsia="宋体" w:cs="Times New Roman"/>
                      <w:color w:val="auto"/>
                      <w:lang w:eastAsia="zh-CN"/>
                    </w:rPr>
                    <w:t>1.0m</w:t>
                  </w:r>
                  <w:r>
                    <w:rPr>
                      <w:rFonts w:ascii="Times New Roman" w:hAnsi="Times New Roman" w:eastAsia="宋体" w:cs="宋体"/>
                      <w:color w:val="auto"/>
                      <w:lang w:eastAsia="zh-CN"/>
                    </w:rPr>
                    <w:t>，渗透系数</w:t>
                  </w:r>
                  <w:r>
                    <w:rPr>
                      <w:rFonts w:ascii="Times New Roman" w:hAnsi="Times New Roman" w:eastAsia="宋体" w:cs="Times New Roman"/>
                      <w:color w:val="auto"/>
                      <w:lang w:eastAsia="zh-CN"/>
                    </w:rPr>
                    <w:t>K≤1×10</w:t>
                  </w:r>
                  <w:r>
                    <w:rPr>
                      <w:rFonts w:ascii="Times New Roman" w:hAnsi="Times New Roman" w:eastAsia="宋体" w:cs="Times New Roman"/>
                      <w:color w:val="auto"/>
                      <w:szCs w:val="14"/>
                      <w:vertAlign w:val="superscript"/>
                      <w:lang w:eastAsia="zh-CN"/>
                    </w:rPr>
                    <w:t>-6</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，且分布连续、稳定岩</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土</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层单层厚度</w:t>
                  </w:r>
                  <w:r>
                    <w:rPr>
                      <w:rFonts w:ascii="Times New Roman" w:hAnsi="Times New Roman" w:eastAsia="宋体" w:cs="Times New Roman"/>
                      <w:color w:val="auto"/>
                      <w:lang w:eastAsia="zh-CN"/>
                    </w:rPr>
                    <w:t>Mb≥1.0m</w:t>
                  </w:r>
                  <w:r>
                    <w:rPr>
                      <w:rFonts w:ascii="Times New Roman" w:hAnsi="Times New Roman" w:eastAsia="宋体" w:cs="宋体"/>
                      <w:color w:val="auto"/>
                      <w:lang w:eastAsia="zh-CN"/>
                    </w:rPr>
                    <w:t>，渗透系数</w:t>
                  </w:r>
                  <w:r>
                    <w:rPr>
                      <w:rFonts w:ascii="Times New Roman" w:hAnsi="Times New Roman" w:eastAsia="宋体" w:cs="Times New Roman"/>
                      <w:color w:val="auto"/>
                      <w:lang w:eastAsia="zh-CN"/>
                    </w:rPr>
                    <w:t>1×10</w:t>
                  </w:r>
                  <w:r>
                    <w:rPr>
                      <w:rFonts w:ascii="Times New Roman" w:hAnsi="Times New Roman" w:eastAsia="宋体" w:cs="Times New Roman"/>
                      <w:color w:val="auto"/>
                      <w:szCs w:val="14"/>
                      <w:vertAlign w:val="superscript"/>
                      <w:lang w:eastAsia="zh-CN"/>
                    </w:rPr>
                    <w:t>-6</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w:t>
                  </w:r>
                  <w:r>
                    <w:rPr>
                      <w:rFonts w:ascii="Times New Roman" w:hAnsi="Times New Roman" w:eastAsia="宋体" w:cs="Times New Roman"/>
                      <w:color w:val="auto"/>
                      <w:lang w:eastAsia="zh-CN"/>
                    </w:rPr>
                    <w:t>K≤1×10</w:t>
                  </w:r>
                  <w:r>
                    <w:rPr>
                      <w:rFonts w:ascii="Times New Roman" w:hAnsi="Times New Roman" w:eastAsia="宋体" w:cs="Times New Roman"/>
                      <w:color w:val="auto"/>
                      <w:szCs w:val="14"/>
                      <w:vertAlign w:val="superscript"/>
                      <w:lang w:eastAsia="zh-CN"/>
                    </w:rPr>
                    <w:t>-4</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，且分布连续、稳定</w:t>
                  </w:r>
                </w:p>
              </w:tc>
            </w:tr>
            <w:tr w14:paraId="288A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83" w:type="pct"/>
                  <w:tcBorders>
                    <w:tl2br w:val="nil"/>
                    <w:tr2bl w:val="nil"/>
                  </w:tcBorders>
                  <w:vAlign w:val="center"/>
                </w:tcPr>
                <w:p w14:paraId="61F39728">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弱</w:t>
                  </w:r>
                </w:p>
              </w:tc>
              <w:tc>
                <w:tcPr>
                  <w:tcW w:w="4816" w:type="pct"/>
                  <w:tcBorders>
                    <w:tl2br w:val="nil"/>
                    <w:tr2bl w:val="nil"/>
                  </w:tcBorders>
                  <w:vAlign w:val="center"/>
                </w:tcPr>
                <w:p w14:paraId="5904705D">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岩</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土</w:t>
                  </w:r>
                  <w:r>
                    <w:rPr>
                      <w:rFonts w:hint="eastAsia" w:ascii="Times New Roman" w:hAnsi="Times New Roman" w:eastAsia="宋体" w:cs="宋体"/>
                      <w:color w:val="auto"/>
                      <w:lang w:eastAsia="zh-CN"/>
                    </w:rPr>
                    <w:t>）</w:t>
                  </w:r>
                  <w:r>
                    <w:rPr>
                      <w:rFonts w:ascii="Times New Roman" w:hAnsi="Times New Roman" w:eastAsia="宋体" w:cs="宋体"/>
                      <w:color w:val="auto"/>
                      <w:lang w:eastAsia="zh-CN"/>
                    </w:rPr>
                    <w:t>层不满足上述</w:t>
                  </w:r>
                  <w:r>
                    <w:rPr>
                      <w:rFonts w:hint="eastAsia" w:ascii="Times New Roman" w:hAnsi="Times New Roman" w:eastAsia="宋体" w:cs="Times New Roman"/>
                      <w:color w:val="auto"/>
                      <w:lang w:eastAsia="zh-CN"/>
                    </w:rPr>
                    <w:t>”</w:t>
                  </w:r>
                  <w:r>
                    <w:rPr>
                      <w:rFonts w:ascii="Times New Roman" w:hAnsi="Times New Roman" w:eastAsia="宋体" w:cs="宋体"/>
                      <w:color w:val="auto"/>
                      <w:lang w:eastAsia="zh-CN"/>
                    </w:rPr>
                    <w:t>强</w:t>
                  </w:r>
                  <w:r>
                    <w:rPr>
                      <w:rFonts w:hint="eastAsia" w:ascii="Times New Roman" w:hAnsi="Times New Roman" w:eastAsia="宋体" w:cs="Times New Roman"/>
                      <w:color w:val="auto"/>
                      <w:lang w:eastAsia="zh-CN"/>
                    </w:rPr>
                    <w:t>”</w:t>
                  </w:r>
                  <w:r>
                    <w:rPr>
                      <w:rFonts w:ascii="Times New Roman" w:hAnsi="Times New Roman" w:eastAsia="宋体" w:cs="宋体"/>
                      <w:color w:val="auto"/>
                      <w:lang w:eastAsia="zh-CN"/>
                    </w:rPr>
                    <w:t>和</w:t>
                  </w:r>
                  <w:r>
                    <w:rPr>
                      <w:rFonts w:hint="eastAsia" w:ascii="Times New Roman" w:hAnsi="Times New Roman" w:eastAsia="宋体" w:cs="Times New Roman"/>
                      <w:color w:val="auto"/>
                      <w:lang w:eastAsia="zh-CN"/>
                    </w:rPr>
                    <w:t>”</w:t>
                  </w:r>
                  <w:r>
                    <w:rPr>
                      <w:rFonts w:ascii="Times New Roman" w:hAnsi="Times New Roman" w:eastAsia="宋体" w:cs="宋体"/>
                      <w:color w:val="auto"/>
                      <w:lang w:eastAsia="zh-CN"/>
                    </w:rPr>
                    <w:t>中</w:t>
                  </w:r>
                  <w:r>
                    <w:rPr>
                      <w:rFonts w:hint="eastAsia" w:ascii="Times New Roman" w:hAnsi="Times New Roman" w:eastAsia="宋体" w:cs="Times New Roman"/>
                      <w:color w:val="auto"/>
                      <w:lang w:eastAsia="zh-CN"/>
                    </w:rPr>
                    <w:t>”</w:t>
                  </w:r>
                  <w:r>
                    <w:rPr>
                      <w:rFonts w:ascii="Times New Roman" w:hAnsi="Times New Roman" w:eastAsia="宋体" w:cs="宋体"/>
                      <w:color w:val="auto"/>
                      <w:lang w:eastAsia="zh-CN"/>
                    </w:rPr>
                    <w:t>条件</w:t>
                  </w:r>
                </w:p>
              </w:tc>
            </w:tr>
          </w:tbl>
          <w:p w14:paraId="044C5D1C">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r>
              <w:rPr>
                <w:rFonts w:ascii="Times New Roman" w:hAnsi="Times New Roman" w:eastAsia="宋体" w:cs="黑体"/>
                <w:b/>
                <w:bCs/>
                <w:color w:val="auto"/>
                <w:lang w:eastAsia="zh-CN"/>
              </w:rPr>
              <w:t>表</w:t>
            </w:r>
            <w:r>
              <w:rPr>
                <w:rFonts w:hint="eastAsia" w:ascii="Times New Roman" w:hAnsi="Times New Roman" w:eastAsia="宋体" w:cs="Times New Roman"/>
                <w:b/>
                <w:bCs/>
                <w:color w:val="auto"/>
                <w:lang w:eastAsia="zh-CN"/>
              </w:rPr>
              <w:t>4-15</w:t>
            </w:r>
            <w:r>
              <w:rPr>
                <w:rFonts w:ascii="Times New Roman" w:hAnsi="Times New Roman" w:eastAsia="宋体" w:cs="黑体"/>
                <w:b/>
                <w:bCs/>
                <w:color w:val="auto"/>
                <w:lang w:eastAsia="zh-CN"/>
              </w:rPr>
              <w:t>地下水污染防渗分区参照表</w:t>
            </w:r>
          </w:p>
          <w:tbl>
            <w:tblPr>
              <w:tblStyle w:val="1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227"/>
              <w:gridCol w:w="1098"/>
              <w:gridCol w:w="1808"/>
              <w:gridCol w:w="3313"/>
            </w:tblGrid>
            <w:tr w14:paraId="54EC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437" w:type="pct"/>
                  <w:tcBorders>
                    <w:tl2br w:val="nil"/>
                    <w:tr2bl w:val="nil"/>
                  </w:tcBorders>
                  <w:vAlign w:val="center"/>
                </w:tcPr>
                <w:p w14:paraId="224662A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防渗分区</w:t>
                  </w:r>
                </w:p>
              </w:tc>
              <w:tc>
                <w:tcPr>
                  <w:tcW w:w="751" w:type="pct"/>
                  <w:tcBorders>
                    <w:tl2br w:val="nil"/>
                    <w:tr2bl w:val="nil"/>
                  </w:tcBorders>
                  <w:vAlign w:val="center"/>
                </w:tcPr>
                <w:p w14:paraId="5D639F6B">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天然包气带防污性能</w:t>
                  </w:r>
                </w:p>
              </w:tc>
              <w:tc>
                <w:tcPr>
                  <w:tcW w:w="673" w:type="pct"/>
                  <w:tcBorders>
                    <w:tl2br w:val="nil"/>
                    <w:tr2bl w:val="nil"/>
                  </w:tcBorders>
                  <w:vAlign w:val="center"/>
                </w:tcPr>
                <w:p w14:paraId="1A89865A">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污染控制难易程度</w:t>
                  </w:r>
                </w:p>
              </w:tc>
              <w:tc>
                <w:tcPr>
                  <w:tcW w:w="1108" w:type="pct"/>
                  <w:tcBorders>
                    <w:tl2br w:val="nil"/>
                    <w:tr2bl w:val="nil"/>
                  </w:tcBorders>
                  <w:vAlign w:val="center"/>
                </w:tcPr>
                <w:p w14:paraId="57D8F5CD">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污染物类型</w:t>
                  </w:r>
                </w:p>
              </w:tc>
              <w:tc>
                <w:tcPr>
                  <w:tcW w:w="2029" w:type="pct"/>
                  <w:tcBorders>
                    <w:tl2br w:val="nil"/>
                    <w:tr2bl w:val="nil"/>
                  </w:tcBorders>
                  <w:vAlign w:val="center"/>
                </w:tcPr>
                <w:p w14:paraId="2A58778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防渗技术要求</w:t>
                  </w:r>
                </w:p>
              </w:tc>
            </w:tr>
            <w:tr w14:paraId="63E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37" w:type="pct"/>
                  <w:vMerge w:val="restart"/>
                  <w:tcBorders>
                    <w:tl2br w:val="nil"/>
                    <w:tr2bl w:val="nil"/>
                  </w:tcBorders>
                  <w:vAlign w:val="center"/>
                </w:tcPr>
                <w:p w14:paraId="486100D3">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重点防渗区</w:t>
                  </w:r>
                </w:p>
              </w:tc>
              <w:tc>
                <w:tcPr>
                  <w:tcW w:w="751" w:type="pct"/>
                  <w:tcBorders>
                    <w:tl2br w:val="nil"/>
                    <w:tr2bl w:val="nil"/>
                  </w:tcBorders>
                  <w:vAlign w:val="center"/>
                </w:tcPr>
                <w:p w14:paraId="778E7665">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弱</w:t>
                  </w:r>
                </w:p>
              </w:tc>
              <w:tc>
                <w:tcPr>
                  <w:tcW w:w="673" w:type="pct"/>
                  <w:tcBorders>
                    <w:tl2br w:val="nil"/>
                    <w:tr2bl w:val="nil"/>
                  </w:tcBorders>
                  <w:vAlign w:val="center"/>
                </w:tcPr>
                <w:p w14:paraId="74CCB78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难</w:t>
                  </w:r>
                </w:p>
              </w:tc>
              <w:tc>
                <w:tcPr>
                  <w:tcW w:w="1108" w:type="pct"/>
                  <w:vMerge w:val="restart"/>
                  <w:tcBorders>
                    <w:tl2br w:val="nil"/>
                    <w:tr2bl w:val="nil"/>
                  </w:tcBorders>
                  <w:vAlign w:val="center"/>
                </w:tcPr>
                <w:p w14:paraId="02D71EE1">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重金属、持久性有机物污染物</w:t>
                  </w:r>
                </w:p>
              </w:tc>
              <w:tc>
                <w:tcPr>
                  <w:tcW w:w="2029" w:type="pct"/>
                  <w:vMerge w:val="restart"/>
                  <w:tcBorders>
                    <w:tl2br w:val="nil"/>
                    <w:tr2bl w:val="nil"/>
                  </w:tcBorders>
                  <w:vAlign w:val="center"/>
                </w:tcPr>
                <w:p w14:paraId="047793F5">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等效黏土防渗层</w:t>
                  </w:r>
                  <w:r>
                    <w:rPr>
                      <w:rFonts w:ascii="Times New Roman" w:hAnsi="Times New Roman" w:eastAsia="宋体" w:cs="Times New Roman"/>
                      <w:color w:val="auto"/>
                      <w:lang w:eastAsia="zh-CN"/>
                    </w:rPr>
                    <w:t>Mb≥6.0m</w:t>
                  </w:r>
                  <w:r>
                    <w:rPr>
                      <w:rFonts w:ascii="Times New Roman" w:hAnsi="Times New Roman" w:eastAsia="宋体" w:cs="宋体"/>
                      <w:color w:val="auto"/>
                      <w:lang w:eastAsia="zh-CN"/>
                    </w:rPr>
                    <w:t>，</w:t>
                  </w:r>
                  <w:r>
                    <w:rPr>
                      <w:rFonts w:ascii="Times New Roman" w:hAnsi="Times New Roman" w:eastAsia="宋体" w:cs="Times New Roman"/>
                      <w:color w:val="auto"/>
                      <w:lang w:eastAsia="zh-CN"/>
                    </w:rPr>
                    <w:t>K&lt;1×10</w:t>
                  </w:r>
                  <w:r>
                    <w:rPr>
                      <w:rFonts w:ascii="Times New Roman" w:hAnsi="Times New Roman" w:eastAsia="宋体" w:cs="Times New Roman"/>
                      <w:color w:val="auto"/>
                      <w:szCs w:val="14"/>
                      <w:vertAlign w:val="superscript"/>
                      <w:lang w:eastAsia="zh-CN"/>
                    </w:rPr>
                    <w:t>-7</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，或参照</w:t>
                  </w:r>
                </w:p>
                <w:p w14:paraId="657D977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Times New Roman"/>
                      <w:color w:val="auto"/>
                    </w:rPr>
                    <w:t>GB18598</w:t>
                  </w:r>
                  <w:r>
                    <w:rPr>
                      <w:rFonts w:ascii="Times New Roman" w:hAnsi="Times New Roman" w:eastAsia="宋体" w:cs="宋体"/>
                      <w:color w:val="auto"/>
                    </w:rPr>
                    <w:t>执行</w:t>
                  </w:r>
                </w:p>
              </w:tc>
            </w:tr>
            <w:tr w14:paraId="19CB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37" w:type="pct"/>
                  <w:vMerge w:val="continue"/>
                  <w:tcBorders>
                    <w:tl2br w:val="nil"/>
                    <w:tr2bl w:val="nil"/>
                  </w:tcBorders>
                  <w:vAlign w:val="center"/>
                </w:tcPr>
                <w:p w14:paraId="0D270388">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751" w:type="pct"/>
                  <w:tcBorders>
                    <w:tl2br w:val="nil"/>
                    <w:tr2bl w:val="nil"/>
                  </w:tcBorders>
                  <w:vAlign w:val="center"/>
                </w:tcPr>
                <w:p w14:paraId="1C63DBBB">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中</w:t>
                  </w:r>
                  <w:r>
                    <w:rPr>
                      <w:rFonts w:ascii="Times New Roman" w:hAnsi="Times New Roman" w:eastAsia="宋体" w:cs="Times New Roman"/>
                      <w:color w:val="auto"/>
                    </w:rPr>
                    <w:t>-</w:t>
                  </w:r>
                  <w:r>
                    <w:rPr>
                      <w:rFonts w:ascii="Times New Roman" w:hAnsi="Times New Roman" w:eastAsia="宋体" w:cs="宋体"/>
                      <w:color w:val="auto"/>
                    </w:rPr>
                    <w:t>强</w:t>
                  </w:r>
                </w:p>
              </w:tc>
              <w:tc>
                <w:tcPr>
                  <w:tcW w:w="673" w:type="pct"/>
                  <w:tcBorders>
                    <w:tl2br w:val="nil"/>
                    <w:tr2bl w:val="nil"/>
                  </w:tcBorders>
                  <w:vAlign w:val="center"/>
                </w:tcPr>
                <w:p w14:paraId="7CEA9B38">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难</w:t>
                  </w:r>
                </w:p>
              </w:tc>
              <w:tc>
                <w:tcPr>
                  <w:tcW w:w="1108" w:type="pct"/>
                  <w:vMerge w:val="continue"/>
                  <w:tcBorders>
                    <w:tl2br w:val="nil"/>
                    <w:tr2bl w:val="nil"/>
                  </w:tcBorders>
                  <w:vAlign w:val="center"/>
                </w:tcPr>
                <w:p w14:paraId="0B2E93D0">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2029" w:type="pct"/>
                  <w:vMerge w:val="continue"/>
                  <w:tcBorders>
                    <w:tl2br w:val="nil"/>
                    <w:tr2bl w:val="nil"/>
                  </w:tcBorders>
                  <w:vAlign w:val="center"/>
                </w:tcPr>
                <w:p w14:paraId="02646658">
                  <w:pPr>
                    <w:widowControl w:val="0"/>
                    <w:kinsoku/>
                    <w:autoSpaceDE/>
                    <w:autoSpaceDN/>
                    <w:adjustRightInd/>
                    <w:snapToGrid/>
                    <w:spacing w:line="360" w:lineRule="auto"/>
                    <w:jc w:val="center"/>
                    <w:textAlignment w:val="auto"/>
                    <w:rPr>
                      <w:rFonts w:ascii="Times New Roman" w:hAnsi="Times New Roman" w:eastAsia="宋体"/>
                      <w:color w:val="auto"/>
                    </w:rPr>
                  </w:pPr>
                </w:p>
              </w:tc>
            </w:tr>
            <w:tr w14:paraId="7A49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37" w:type="pct"/>
                  <w:vMerge w:val="continue"/>
                  <w:tcBorders>
                    <w:tl2br w:val="nil"/>
                    <w:tr2bl w:val="nil"/>
                  </w:tcBorders>
                  <w:vAlign w:val="center"/>
                </w:tcPr>
                <w:p w14:paraId="279CB26F">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751" w:type="pct"/>
                  <w:tcBorders>
                    <w:tl2br w:val="nil"/>
                    <w:tr2bl w:val="nil"/>
                  </w:tcBorders>
                  <w:vAlign w:val="center"/>
                </w:tcPr>
                <w:p w14:paraId="741C4865">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弱</w:t>
                  </w:r>
                </w:p>
              </w:tc>
              <w:tc>
                <w:tcPr>
                  <w:tcW w:w="673" w:type="pct"/>
                  <w:tcBorders>
                    <w:tl2br w:val="nil"/>
                    <w:tr2bl w:val="nil"/>
                  </w:tcBorders>
                  <w:vAlign w:val="center"/>
                </w:tcPr>
                <w:p w14:paraId="1786667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易</w:t>
                  </w:r>
                </w:p>
              </w:tc>
              <w:tc>
                <w:tcPr>
                  <w:tcW w:w="1108" w:type="pct"/>
                  <w:vMerge w:val="continue"/>
                  <w:tcBorders>
                    <w:tl2br w:val="nil"/>
                    <w:tr2bl w:val="nil"/>
                  </w:tcBorders>
                  <w:vAlign w:val="center"/>
                </w:tcPr>
                <w:p w14:paraId="09ABE1C4">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2029" w:type="pct"/>
                  <w:vMerge w:val="continue"/>
                  <w:tcBorders>
                    <w:tl2br w:val="nil"/>
                    <w:tr2bl w:val="nil"/>
                  </w:tcBorders>
                  <w:vAlign w:val="center"/>
                </w:tcPr>
                <w:p w14:paraId="66DD0195">
                  <w:pPr>
                    <w:widowControl w:val="0"/>
                    <w:kinsoku/>
                    <w:autoSpaceDE/>
                    <w:autoSpaceDN/>
                    <w:adjustRightInd/>
                    <w:snapToGrid/>
                    <w:spacing w:line="360" w:lineRule="auto"/>
                    <w:jc w:val="center"/>
                    <w:textAlignment w:val="auto"/>
                    <w:rPr>
                      <w:rFonts w:ascii="Times New Roman" w:hAnsi="Times New Roman" w:eastAsia="宋体"/>
                      <w:color w:val="auto"/>
                    </w:rPr>
                  </w:pPr>
                </w:p>
              </w:tc>
            </w:tr>
            <w:tr w14:paraId="4CC2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437" w:type="pct"/>
                  <w:vMerge w:val="restart"/>
                  <w:tcBorders>
                    <w:tl2br w:val="nil"/>
                    <w:tr2bl w:val="nil"/>
                  </w:tcBorders>
                  <w:vAlign w:val="center"/>
                </w:tcPr>
                <w:p w14:paraId="3D7D0D00">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一般防渗区</w:t>
                  </w:r>
                </w:p>
              </w:tc>
              <w:tc>
                <w:tcPr>
                  <w:tcW w:w="751" w:type="pct"/>
                  <w:tcBorders>
                    <w:tl2br w:val="nil"/>
                    <w:tr2bl w:val="nil"/>
                  </w:tcBorders>
                  <w:vAlign w:val="center"/>
                </w:tcPr>
                <w:p w14:paraId="0FC2A565">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弱</w:t>
                  </w:r>
                </w:p>
              </w:tc>
              <w:tc>
                <w:tcPr>
                  <w:tcW w:w="673" w:type="pct"/>
                  <w:tcBorders>
                    <w:tl2br w:val="nil"/>
                    <w:tr2bl w:val="nil"/>
                  </w:tcBorders>
                  <w:vAlign w:val="center"/>
                </w:tcPr>
                <w:p w14:paraId="78BAAE5C">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易</w:t>
                  </w:r>
                  <w:r>
                    <w:rPr>
                      <w:rFonts w:ascii="Times New Roman" w:hAnsi="Times New Roman" w:eastAsia="宋体" w:cs="Times New Roman"/>
                      <w:color w:val="auto"/>
                    </w:rPr>
                    <w:t>-</w:t>
                  </w:r>
                  <w:r>
                    <w:rPr>
                      <w:rFonts w:ascii="Times New Roman" w:hAnsi="Times New Roman" w:eastAsia="宋体" w:cs="宋体"/>
                      <w:color w:val="auto"/>
                    </w:rPr>
                    <w:t>难</w:t>
                  </w:r>
                </w:p>
              </w:tc>
              <w:tc>
                <w:tcPr>
                  <w:tcW w:w="1108" w:type="pct"/>
                  <w:vMerge w:val="restart"/>
                  <w:tcBorders>
                    <w:tl2br w:val="nil"/>
                    <w:tr2bl w:val="nil"/>
                  </w:tcBorders>
                  <w:vAlign w:val="center"/>
                </w:tcPr>
                <w:p w14:paraId="23DC947A">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其他类型</w:t>
                  </w:r>
                </w:p>
              </w:tc>
              <w:tc>
                <w:tcPr>
                  <w:tcW w:w="2029" w:type="pct"/>
                  <w:vMerge w:val="restart"/>
                  <w:tcBorders>
                    <w:tl2br w:val="nil"/>
                    <w:tr2bl w:val="nil"/>
                  </w:tcBorders>
                  <w:vAlign w:val="center"/>
                </w:tcPr>
                <w:p w14:paraId="5EBCAB22">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等效黏土防渗层</w:t>
                  </w:r>
                  <w:r>
                    <w:rPr>
                      <w:rFonts w:ascii="Times New Roman" w:hAnsi="Times New Roman" w:eastAsia="宋体" w:cs="Times New Roman"/>
                      <w:color w:val="auto"/>
                      <w:lang w:eastAsia="zh-CN"/>
                    </w:rPr>
                    <w:t>Mb&gt;1.5m</w:t>
                  </w:r>
                  <w:r>
                    <w:rPr>
                      <w:rFonts w:ascii="Times New Roman" w:hAnsi="Times New Roman" w:eastAsia="宋体" w:cs="宋体"/>
                      <w:color w:val="auto"/>
                      <w:lang w:eastAsia="zh-CN"/>
                    </w:rPr>
                    <w:t>，</w:t>
                  </w:r>
                  <w:r>
                    <w:rPr>
                      <w:rFonts w:ascii="Times New Roman" w:hAnsi="Times New Roman" w:eastAsia="宋体" w:cs="Times New Roman"/>
                      <w:color w:val="auto"/>
                      <w:lang w:eastAsia="zh-CN"/>
                    </w:rPr>
                    <w:t>K&lt;1×10</w:t>
                  </w:r>
                  <w:r>
                    <w:rPr>
                      <w:rFonts w:ascii="Times New Roman" w:hAnsi="Times New Roman" w:eastAsia="宋体" w:cs="Times New Roman"/>
                      <w:color w:val="auto"/>
                      <w:szCs w:val="14"/>
                      <w:vertAlign w:val="superscript"/>
                      <w:lang w:eastAsia="zh-CN"/>
                    </w:rPr>
                    <w:t>-7</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，或参照</w:t>
                  </w:r>
                </w:p>
                <w:p w14:paraId="04CAE1A1">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Times New Roman"/>
                      <w:color w:val="auto"/>
                    </w:rPr>
                    <w:t>GB16889</w:t>
                  </w:r>
                  <w:r>
                    <w:rPr>
                      <w:rFonts w:ascii="Times New Roman" w:hAnsi="Times New Roman" w:eastAsia="宋体" w:cs="宋体"/>
                      <w:color w:val="auto"/>
                    </w:rPr>
                    <w:t>执行</w:t>
                  </w:r>
                </w:p>
              </w:tc>
            </w:tr>
            <w:tr w14:paraId="0F5E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37" w:type="pct"/>
                  <w:vMerge w:val="continue"/>
                  <w:tcBorders>
                    <w:tl2br w:val="nil"/>
                    <w:tr2bl w:val="nil"/>
                  </w:tcBorders>
                  <w:vAlign w:val="center"/>
                </w:tcPr>
                <w:p w14:paraId="193E2352">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751" w:type="pct"/>
                  <w:tcBorders>
                    <w:tl2br w:val="nil"/>
                    <w:tr2bl w:val="nil"/>
                  </w:tcBorders>
                  <w:vAlign w:val="center"/>
                </w:tcPr>
                <w:p w14:paraId="4C7FC066">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中</w:t>
                  </w:r>
                  <w:r>
                    <w:rPr>
                      <w:rFonts w:ascii="Times New Roman" w:hAnsi="Times New Roman" w:eastAsia="宋体" w:cs="Times New Roman"/>
                      <w:color w:val="auto"/>
                    </w:rPr>
                    <w:t>-</w:t>
                  </w:r>
                  <w:r>
                    <w:rPr>
                      <w:rFonts w:ascii="Times New Roman" w:hAnsi="Times New Roman" w:eastAsia="宋体" w:cs="宋体"/>
                      <w:color w:val="auto"/>
                    </w:rPr>
                    <w:t>强</w:t>
                  </w:r>
                </w:p>
              </w:tc>
              <w:tc>
                <w:tcPr>
                  <w:tcW w:w="673" w:type="pct"/>
                  <w:tcBorders>
                    <w:tl2br w:val="nil"/>
                    <w:tr2bl w:val="nil"/>
                  </w:tcBorders>
                  <w:vAlign w:val="center"/>
                </w:tcPr>
                <w:p w14:paraId="2DC90A9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难</w:t>
                  </w:r>
                </w:p>
              </w:tc>
              <w:tc>
                <w:tcPr>
                  <w:tcW w:w="1108" w:type="pct"/>
                  <w:vMerge w:val="continue"/>
                  <w:tcBorders>
                    <w:tl2br w:val="nil"/>
                    <w:tr2bl w:val="nil"/>
                  </w:tcBorders>
                  <w:vAlign w:val="center"/>
                </w:tcPr>
                <w:p w14:paraId="01B66DE5">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2029" w:type="pct"/>
                  <w:vMerge w:val="continue"/>
                  <w:tcBorders>
                    <w:tl2br w:val="nil"/>
                    <w:tr2bl w:val="nil"/>
                  </w:tcBorders>
                  <w:vAlign w:val="center"/>
                </w:tcPr>
                <w:p w14:paraId="59B429F6">
                  <w:pPr>
                    <w:widowControl w:val="0"/>
                    <w:kinsoku/>
                    <w:autoSpaceDE/>
                    <w:autoSpaceDN/>
                    <w:adjustRightInd/>
                    <w:snapToGrid/>
                    <w:spacing w:line="360" w:lineRule="auto"/>
                    <w:jc w:val="center"/>
                    <w:textAlignment w:val="auto"/>
                    <w:rPr>
                      <w:rFonts w:ascii="Times New Roman" w:hAnsi="Times New Roman" w:eastAsia="宋体"/>
                      <w:color w:val="auto"/>
                    </w:rPr>
                  </w:pPr>
                </w:p>
              </w:tc>
            </w:tr>
            <w:tr w14:paraId="445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37" w:type="pct"/>
                  <w:vMerge w:val="continue"/>
                  <w:tcBorders>
                    <w:tl2br w:val="nil"/>
                    <w:tr2bl w:val="nil"/>
                  </w:tcBorders>
                  <w:vAlign w:val="center"/>
                </w:tcPr>
                <w:p w14:paraId="72BDACEB">
                  <w:pPr>
                    <w:widowControl w:val="0"/>
                    <w:kinsoku/>
                    <w:autoSpaceDE/>
                    <w:autoSpaceDN/>
                    <w:adjustRightInd/>
                    <w:snapToGrid/>
                    <w:spacing w:line="360" w:lineRule="auto"/>
                    <w:jc w:val="center"/>
                    <w:textAlignment w:val="auto"/>
                    <w:rPr>
                      <w:rFonts w:ascii="Times New Roman" w:hAnsi="Times New Roman" w:eastAsia="宋体"/>
                      <w:color w:val="auto"/>
                    </w:rPr>
                  </w:pPr>
                </w:p>
              </w:tc>
              <w:tc>
                <w:tcPr>
                  <w:tcW w:w="751" w:type="pct"/>
                  <w:tcBorders>
                    <w:tl2br w:val="nil"/>
                    <w:tr2bl w:val="nil"/>
                  </w:tcBorders>
                  <w:vAlign w:val="center"/>
                </w:tcPr>
                <w:p w14:paraId="06887D4D">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中</w:t>
                  </w:r>
                </w:p>
              </w:tc>
              <w:tc>
                <w:tcPr>
                  <w:tcW w:w="673" w:type="pct"/>
                  <w:tcBorders>
                    <w:tl2br w:val="nil"/>
                    <w:tr2bl w:val="nil"/>
                  </w:tcBorders>
                  <w:vAlign w:val="center"/>
                </w:tcPr>
                <w:p w14:paraId="4A10799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易</w:t>
                  </w:r>
                </w:p>
              </w:tc>
              <w:tc>
                <w:tcPr>
                  <w:tcW w:w="1108" w:type="pct"/>
                  <w:vMerge w:val="restart"/>
                  <w:tcBorders>
                    <w:tl2br w:val="nil"/>
                    <w:tr2bl w:val="nil"/>
                  </w:tcBorders>
                  <w:vAlign w:val="center"/>
                </w:tcPr>
                <w:p w14:paraId="2D6777A8">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重金属、持久性有机物污染物</w:t>
                  </w:r>
                </w:p>
              </w:tc>
              <w:tc>
                <w:tcPr>
                  <w:tcW w:w="2029" w:type="pct"/>
                  <w:vMerge w:val="continue"/>
                  <w:tcBorders>
                    <w:tl2br w:val="nil"/>
                    <w:tr2bl w:val="nil"/>
                  </w:tcBorders>
                  <w:vAlign w:val="center"/>
                </w:tcPr>
                <w:p w14:paraId="37A3BEFF">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p>
              </w:tc>
            </w:tr>
            <w:tr w14:paraId="23F4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37" w:type="pct"/>
                  <w:vMerge w:val="continue"/>
                  <w:tcBorders>
                    <w:tl2br w:val="nil"/>
                    <w:tr2bl w:val="nil"/>
                  </w:tcBorders>
                  <w:vAlign w:val="center"/>
                </w:tcPr>
                <w:p w14:paraId="04C63C69">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p>
              </w:tc>
              <w:tc>
                <w:tcPr>
                  <w:tcW w:w="751" w:type="pct"/>
                  <w:tcBorders>
                    <w:tl2br w:val="nil"/>
                    <w:tr2bl w:val="nil"/>
                  </w:tcBorders>
                  <w:vAlign w:val="center"/>
                </w:tcPr>
                <w:p w14:paraId="2C2218EE">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强</w:t>
                  </w:r>
                </w:p>
              </w:tc>
              <w:tc>
                <w:tcPr>
                  <w:tcW w:w="673" w:type="pct"/>
                  <w:tcBorders>
                    <w:tl2br w:val="nil"/>
                    <w:tr2bl w:val="nil"/>
                  </w:tcBorders>
                  <w:vAlign w:val="center"/>
                </w:tcPr>
                <w:p w14:paraId="0B2D0E8A">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易</w:t>
                  </w:r>
                </w:p>
              </w:tc>
              <w:tc>
                <w:tcPr>
                  <w:tcW w:w="1108" w:type="pct"/>
                  <w:vMerge w:val="continue"/>
                  <w:tcBorders>
                    <w:tl2br w:val="nil"/>
                    <w:tr2bl w:val="nil"/>
                  </w:tcBorders>
                  <w:vAlign w:val="center"/>
                </w:tcPr>
                <w:p w14:paraId="1FB73DB0">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p>
              </w:tc>
              <w:tc>
                <w:tcPr>
                  <w:tcW w:w="2029" w:type="pct"/>
                  <w:vMerge w:val="continue"/>
                  <w:tcBorders>
                    <w:tl2br w:val="nil"/>
                    <w:tr2bl w:val="nil"/>
                  </w:tcBorders>
                  <w:vAlign w:val="center"/>
                </w:tcPr>
                <w:p w14:paraId="0D16E0D9">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p>
              </w:tc>
            </w:tr>
            <w:tr w14:paraId="598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437" w:type="pct"/>
                  <w:tcBorders>
                    <w:tl2br w:val="nil"/>
                    <w:tr2bl w:val="nil"/>
                  </w:tcBorders>
                  <w:vAlign w:val="center"/>
                </w:tcPr>
                <w:p w14:paraId="0DCB3E49">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简单防渗区</w:t>
                  </w:r>
                </w:p>
              </w:tc>
              <w:tc>
                <w:tcPr>
                  <w:tcW w:w="751" w:type="pct"/>
                  <w:tcBorders>
                    <w:tl2br w:val="nil"/>
                    <w:tr2bl w:val="nil"/>
                  </w:tcBorders>
                  <w:vAlign w:val="center"/>
                </w:tcPr>
                <w:p w14:paraId="7D9B6436">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中</w:t>
                  </w:r>
                  <w:r>
                    <w:rPr>
                      <w:rFonts w:ascii="Times New Roman" w:hAnsi="Times New Roman" w:eastAsia="宋体" w:cs="Times New Roman"/>
                      <w:color w:val="auto"/>
                      <w:lang w:eastAsia="zh-CN"/>
                    </w:rPr>
                    <w:t>-</w:t>
                  </w:r>
                  <w:r>
                    <w:rPr>
                      <w:rFonts w:ascii="Times New Roman" w:hAnsi="Times New Roman" w:eastAsia="宋体" w:cs="宋体"/>
                      <w:color w:val="auto"/>
                      <w:lang w:eastAsia="zh-CN"/>
                    </w:rPr>
                    <w:t>强</w:t>
                  </w:r>
                </w:p>
              </w:tc>
              <w:tc>
                <w:tcPr>
                  <w:tcW w:w="673" w:type="pct"/>
                  <w:tcBorders>
                    <w:tl2br w:val="nil"/>
                    <w:tr2bl w:val="nil"/>
                  </w:tcBorders>
                  <w:vAlign w:val="center"/>
                </w:tcPr>
                <w:p w14:paraId="52251968">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易</w:t>
                  </w:r>
                </w:p>
              </w:tc>
              <w:tc>
                <w:tcPr>
                  <w:tcW w:w="1108" w:type="pct"/>
                  <w:tcBorders>
                    <w:tl2br w:val="nil"/>
                    <w:tr2bl w:val="nil"/>
                  </w:tcBorders>
                  <w:vAlign w:val="center"/>
                </w:tcPr>
                <w:p w14:paraId="527C7C3D">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其他类型</w:t>
                  </w:r>
                </w:p>
              </w:tc>
              <w:tc>
                <w:tcPr>
                  <w:tcW w:w="2029" w:type="pct"/>
                  <w:tcBorders>
                    <w:tl2br w:val="nil"/>
                    <w:tr2bl w:val="nil"/>
                  </w:tcBorders>
                  <w:vAlign w:val="center"/>
                </w:tcPr>
                <w:p w14:paraId="071BEA88">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一般地面硬化</w:t>
                  </w:r>
                </w:p>
              </w:tc>
            </w:tr>
          </w:tbl>
          <w:p w14:paraId="76FE65FD">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结合项目特点，项目拟建工程防渗工程分为一般防渗区和简单防渗区、重点防渗区，分区防渗要求见表</w:t>
            </w:r>
            <w:r>
              <w:rPr>
                <w:rFonts w:hint="eastAsia" w:ascii="Times New Roman" w:hAnsi="Times New Roman"/>
                <w:color w:val="auto"/>
                <w:spacing w:val="-2"/>
                <w:lang w:eastAsia="zh-CN"/>
              </w:rPr>
              <w:t>4-16</w:t>
            </w:r>
            <w:r>
              <w:rPr>
                <w:rFonts w:ascii="Times New Roman" w:hAnsi="Times New Roman"/>
                <w:color w:val="auto"/>
                <w:spacing w:val="-2"/>
                <w:lang w:eastAsia="zh-CN"/>
              </w:rPr>
              <w:t>。</w:t>
            </w:r>
          </w:p>
          <w:p w14:paraId="0D4165A6">
            <w:pPr>
              <w:widowControl w:val="0"/>
              <w:kinsoku/>
              <w:autoSpaceDE/>
              <w:autoSpaceDN/>
              <w:adjustRightInd/>
              <w:snapToGrid/>
              <w:spacing w:line="360" w:lineRule="auto"/>
              <w:jc w:val="center"/>
              <w:textAlignment w:val="auto"/>
              <w:rPr>
                <w:rFonts w:ascii="Times New Roman" w:hAnsi="Times New Roman" w:eastAsia="宋体" w:cs="黑体"/>
                <w:b/>
                <w:bCs/>
                <w:color w:val="auto"/>
                <w:lang w:eastAsia="zh-CN"/>
              </w:rPr>
            </w:pPr>
            <w:r>
              <w:rPr>
                <w:rFonts w:hint="eastAsia" w:ascii="Times New Roman" w:hAnsi="Times New Roman" w:eastAsia="宋体" w:cs="黑体"/>
                <w:b/>
                <w:bCs/>
                <w:color w:val="auto"/>
                <w:lang w:eastAsia="zh-CN"/>
              </w:rPr>
              <w:t>4-16</w:t>
            </w:r>
            <w:r>
              <w:rPr>
                <w:rFonts w:ascii="Times New Roman" w:hAnsi="Times New Roman" w:eastAsia="宋体" w:cs="黑体"/>
                <w:b/>
                <w:bCs/>
                <w:color w:val="auto"/>
                <w:lang w:eastAsia="zh-CN"/>
              </w:rPr>
              <w:t>拟建项目分区防渗要求表</w:t>
            </w:r>
          </w:p>
          <w:tbl>
            <w:tblPr>
              <w:tblStyle w:val="1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7"/>
              <w:gridCol w:w="2017"/>
              <w:gridCol w:w="4325"/>
            </w:tblGrid>
            <w:tr w14:paraId="5324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113" w:type="pct"/>
                  <w:tcBorders>
                    <w:tl2br w:val="nil"/>
                    <w:tr2bl w:val="nil"/>
                  </w:tcBorders>
                  <w:vAlign w:val="center"/>
                </w:tcPr>
                <w:p w14:paraId="4E6819CF">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主要环节</w:t>
                  </w:r>
                </w:p>
              </w:tc>
              <w:tc>
                <w:tcPr>
                  <w:tcW w:w="1235" w:type="pct"/>
                  <w:tcBorders>
                    <w:tl2br w:val="nil"/>
                    <w:tr2bl w:val="nil"/>
                  </w:tcBorders>
                  <w:vAlign w:val="center"/>
                </w:tcPr>
                <w:p w14:paraId="5E0BF7C6">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防渗级别</w:t>
                  </w:r>
                </w:p>
              </w:tc>
              <w:tc>
                <w:tcPr>
                  <w:tcW w:w="2650" w:type="pct"/>
                  <w:tcBorders>
                    <w:tl2br w:val="nil"/>
                    <w:tr2bl w:val="nil"/>
                  </w:tcBorders>
                  <w:vAlign w:val="center"/>
                </w:tcPr>
                <w:p w14:paraId="6BF58FA4">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防渗要求</w:t>
                  </w:r>
                </w:p>
              </w:tc>
            </w:tr>
            <w:tr w14:paraId="33B8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2" w:hRule="atLeast"/>
                <w:jc w:val="center"/>
              </w:trPr>
              <w:tc>
                <w:tcPr>
                  <w:tcW w:w="1113" w:type="pct"/>
                  <w:tcBorders>
                    <w:tl2br w:val="nil"/>
                    <w:tr2bl w:val="nil"/>
                  </w:tcBorders>
                  <w:vAlign w:val="center"/>
                </w:tcPr>
                <w:p w14:paraId="6776C4B1">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hint="eastAsia" w:ascii="Times New Roman" w:hAnsi="Times New Roman" w:eastAsia="宋体" w:cs="宋体"/>
                      <w:color w:val="auto"/>
                      <w:lang w:eastAsia="zh-CN"/>
                    </w:rPr>
                    <w:t>危废暂存间、地埋一体化污水处理设施</w:t>
                  </w:r>
                </w:p>
              </w:tc>
              <w:tc>
                <w:tcPr>
                  <w:tcW w:w="1235" w:type="pct"/>
                  <w:tcBorders>
                    <w:tl2br w:val="nil"/>
                    <w:tr2bl w:val="nil"/>
                  </w:tcBorders>
                  <w:vAlign w:val="center"/>
                </w:tcPr>
                <w:p w14:paraId="3843FC06">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重点防渗区</w:t>
                  </w:r>
                </w:p>
              </w:tc>
              <w:tc>
                <w:tcPr>
                  <w:tcW w:w="2650" w:type="pct"/>
                  <w:tcBorders>
                    <w:tl2br w:val="nil"/>
                    <w:tr2bl w:val="nil"/>
                  </w:tcBorders>
                  <w:vAlign w:val="center"/>
                </w:tcPr>
                <w:p w14:paraId="78DD4E08">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①各单元防渗工程的设计使用年限不低于构筑物的设计使用年限。</w:t>
                  </w:r>
                </w:p>
                <w:p w14:paraId="600B58F2">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②防渗性能不低于</w:t>
                  </w:r>
                  <w:r>
                    <w:rPr>
                      <w:rFonts w:ascii="Times New Roman" w:hAnsi="Times New Roman" w:eastAsia="宋体" w:cs="Times New Roman"/>
                      <w:color w:val="auto"/>
                      <w:lang w:eastAsia="zh-CN"/>
                    </w:rPr>
                    <w:t>6.0m</w:t>
                  </w:r>
                  <w:r>
                    <w:rPr>
                      <w:rFonts w:ascii="Times New Roman" w:hAnsi="Times New Roman" w:eastAsia="宋体" w:cs="宋体"/>
                      <w:color w:val="auto"/>
                      <w:lang w:eastAsia="zh-CN"/>
                    </w:rPr>
                    <w:t>厚，渗透系数为</w:t>
                  </w:r>
                  <w:r>
                    <w:rPr>
                      <w:rFonts w:ascii="Times New Roman" w:hAnsi="Times New Roman" w:eastAsia="宋体" w:cs="Times New Roman"/>
                      <w:color w:val="auto"/>
                      <w:lang w:eastAsia="zh-CN"/>
                    </w:rPr>
                    <w:t>1.0</w:t>
                  </w:r>
                  <w:r>
                    <w:rPr>
                      <w:rFonts w:ascii="Times New Roman" w:hAnsi="Times New Roman" w:eastAsia="宋体" w:cs="宋体"/>
                      <w:color w:val="auto"/>
                      <w:lang w:eastAsia="zh-CN"/>
                    </w:rPr>
                    <w:t>×</w:t>
                  </w:r>
                  <w:r>
                    <w:rPr>
                      <w:rFonts w:ascii="Times New Roman" w:hAnsi="Times New Roman" w:eastAsia="宋体" w:cs="Times New Roman"/>
                      <w:color w:val="auto"/>
                      <w:lang w:eastAsia="zh-CN"/>
                    </w:rPr>
                    <w:t>10</w:t>
                  </w:r>
                  <w:r>
                    <w:rPr>
                      <w:rFonts w:ascii="Times New Roman" w:hAnsi="Times New Roman" w:eastAsia="宋体" w:cs="Times New Roman"/>
                      <w:color w:val="auto"/>
                      <w:szCs w:val="14"/>
                      <w:vertAlign w:val="superscript"/>
                      <w:lang w:eastAsia="zh-CN"/>
                    </w:rPr>
                    <w:t>-7</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的黏土层的防渗性能。</w:t>
                  </w:r>
                </w:p>
                <w:p w14:paraId="3B81329F">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③地面防渗方案可采用混凝土防渗、</w:t>
                  </w:r>
                  <w:r>
                    <w:rPr>
                      <w:rFonts w:ascii="Times New Roman" w:hAnsi="Times New Roman" w:eastAsia="宋体" w:cs="Times New Roman"/>
                      <w:color w:val="auto"/>
                      <w:lang w:eastAsia="zh-CN"/>
                    </w:rPr>
                    <w:t>HDPE</w:t>
                  </w:r>
                  <w:r>
                    <w:rPr>
                      <w:rFonts w:ascii="Times New Roman" w:hAnsi="Times New Roman" w:eastAsia="宋体" w:cs="宋体"/>
                      <w:color w:val="auto"/>
                      <w:lang w:eastAsia="zh-CN"/>
                    </w:rPr>
                    <w:t>膜防渗和钠基膨润土防水毯防渗层，防渗性能满足②要求。</w:t>
                  </w:r>
                </w:p>
              </w:tc>
            </w:tr>
            <w:tr w14:paraId="2284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113" w:type="pct"/>
                  <w:tcBorders>
                    <w:tl2br w:val="nil"/>
                    <w:tr2bl w:val="nil"/>
                  </w:tcBorders>
                  <w:vAlign w:val="center"/>
                </w:tcPr>
                <w:p w14:paraId="65F507DF">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hint="eastAsia" w:ascii="Times New Roman" w:hAnsi="Times New Roman" w:eastAsia="宋体" w:cs="宋体"/>
                      <w:color w:val="auto"/>
                      <w:lang w:eastAsia="zh-CN"/>
                    </w:rPr>
                    <w:t>沉淀池</w:t>
                  </w:r>
                </w:p>
              </w:tc>
              <w:tc>
                <w:tcPr>
                  <w:tcW w:w="1235" w:type="pct"/>
                  <w:tcBorders>
                    <w:tl2br w:val="nil"/>
                    <w:tr2bl w:val="nil"/>
                  </w:tcBorders>
                  <w:vAlign w:val="center"/>
                </w:tcPr>
                <w:p w14:paraId="39458230">
                  <w:pPr>
                    <w:widowControl w:val="0"/>
                    <w:kinsoku/>
                    <w:autoSpaceDE/>
                    <w:autoSpaceDN/>
                    <w:adjustRightInd/>
                    <w:snapToGrid/>
                    <w:spacing w:line="360" w:lineRule="auto"/>
                    <w:jc w:val="center"/>
                    <w:textAlignment w:val="auto"/>
                    <w:rPr>
                      <w:rFonts w:ascii="Times New Roman" w:hAnsi="Times New Roman" w:eastAsia="宋体" w:cs="宋体"/>
                      <w:color w:val="auto"/>
                    </w:rPr>
                  </w:pPr>
                  <w:r>
                    <w:rPr>
                      <w:rFonts w:ascii="Times New Roman" w:hAnsi="Times New Roman" w:eastAsia="宋体" w:cs="宋体"/>
                      <w:color w:val="auto"/>
                    </w:rPr>
                    <w:t>一般防渗区</w:t>
                  </w:r>
                </w:p>
              </w:tc>
              <w:tc>
                <w:tcPr>
                  <w:tcW w:w="2650" w:type="pct"/>
                  <w:tcBorders>
                    <w:tl2br w:val="nil"/>
                    <w:tr2bl w:val="nil"/>
                  </w:tcBorders>
                  <w:vAlign w:val="center"/>
                </w:tcPr>
                <w:p w14:paraId="5932A9F4">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防渗性能不低于</w:t>
                  </w:r>
                  <w:r>
                    <w:rPr>
                      <w:rFonts w:ascii="Times New Roman" w:hAnsi="Times New Roman" w:eastAsia="宋体" w:cs="Times New Roman"/>
                      <w:color w:val="auto"/>
                      <w:lang w:eastAsia="zh-CN"/>
                    </w:rPr>
                    <w:t>1.5m</w:t>
                  </w:r>
                  <w:r>
                    <w:rPr>
                      <w:rFonts w:ascii="Times New Roman" w:hAnsi="Times New Roman" w:eastAsia="宋体" w:cs="宋体"/>
                      <w:color w:val="auto"/>
                      <w:lang w:eastAsia="zh-CN"/>
                    </w:rPr>
                    <w:t>厚，渗透系数为</w:t>
                  </w:r>
                  <w:r>
                    <w:rPr>
                      <w:rFonts w:ascii="Times New Roman" w:hAnsi="Times New Roman" w:eastAsia="宋体" w:cs="Times New Roman"/>
                      <w:color w:val="auto"/>
                      <w:lang w:eastAsia="zh-CN"/>
                    </w:rPr>
                    <w:t>1.0</w:t>
                  </w:r>
                  <w:r>
                    <w:rPr>
                      <w:rFonts w:ascii="Times New Roman" w:hAnsi="Times New Roman" w:eastAsia="宋体" w:cs="宋体"/>
                      <w:color w:val="auto"/>
                      <w:lang w:eastAsia="zh-CN"/>
                    </w:rPr>
                    <w:t>×</w:t>
                  </w:r>
                  <w:r>
                    <w:rPr>
                      <w:rFonts w:ascii="Times New Roman" w:hAnsi="Times New Roman" w:eastAsia="宋体" w:cs="Times New Roman"/>
                      <w:color w:val="auto"/>
                      <w:lang w:eastAsia="zh-CN"/>
                    </w:rPr>
                    <w:t>10</w:t>
                  </w:r>
                  <w:r>
                    <w:rPr>
                      <w:rFonts w:ascii="Times New Roman" w:hAnsi="Times New Roman" w:eastAsia="宋体" w:cs="Times New Roman"/>
                      <w:color w:val="auto"/>
                      <w:szCs w:val="14"/>
                      <w:vertAlign w:val="superscript"/>
                      <w:lang w:eastAsia="zh-CN"/>
                    </w:rPr>
                    <w:t>-7</w:t>
                  </w:r>
                  <w:r>
                    <w:rPr>
                      <w:rFonts w:ascii="Times New Roman" w:hAnsi="Times New Roman" w:eastAsia="宋体" w:cs="Times New Roman"/>
                      <w:color w:val="auto"/>
                      <w:lang w:eastAsia="zh-CN"/>
                    </w:rPr>
                    <w:t>cm/s</w:t>
                  </w:r>
                  <w:r>
                    <w:rPr>
                      <w:rFonts w:ascii="Times New Roman" w:hAnsi="Times New Roman" w:eastAsia="宋体" w:cs="宋体"/>
                      <w:color w:val="auto"/>
                      <w:lang w:eastAsia="zh-CN"/>
                    </w:rPr>
                    <w:t>的黏土层的防渗性能。一般防渗区</w:t>
                  </w:r>
                </w:p>
              </w:tc>
            </w:tr>
            <w:tr w14:paraId="4B26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13" w:type="pct"/>
                  <w:tcBorders>
                    <w:tl2br w:val="nil"/>
                    <w:tr2bl w:val="nil"/>
                  </w:tcBorders>
                  <w:vAlign w:val="center"/>
                </w:tcPr>
                <w:p w14:paraId="1290FE62">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办公室</w:t>
                  </w:r>
                </w:p>
              </w:tc>
              <w:tc>
                <w:tcPr>
                  <w:tcW w:w="1235" w:type="pct"/>
                  <w:tcBorders>
                    <w:tl2br w:val="nil"/>
                    <w:tr2bl w:val="nil"/>
                  </w:tcBorders>
                  <w:vAlign w:val="center"/>
                </w:tcPr>
                <w:p w14:paraId="43C14345">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简单防渗区</w:t>
                  </w:r>
                </w:p>
              </w:tc>
              <w:tc>
                <w:tcPr>
                  <w:tcW w:w="2650" w:type="pct"/>
                  <w:vMerge w:val="restart"/>
                  <w:tcBorders>
                    <w:tl2br w:val="nil"/>
                    <w:tr2bl w:val="nil"/>
                  </w:tcBorders>
                  <w:vAlign w:val="center"/>
                </w:tcPr>
                <w:p w14:paraId="1976A1AA">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一般地面硬化</w:t>
                  </w:r>
                </w:p>
              </w:tc>
            </w:tr>
            <w:tr w14:paraId="5205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113" w:type="pct"/>
                  <w:tcBorders>
                    <w:tl2br w:val="nil"/>
                    <w:tr2bl w:val="nil"/>
                  </w:tcBorders>
                  <w:vAlign w:val="center"/>
                </w:tcPr>
                <w:p w14:paraId="4FDB47EA">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hint="eastAsia" w:ascii="Times New Roman" w:hAnsi="Times New Roman" w:eastAsia="宋体" w:cs="宋体"/>
                      <w:color w:val="auto"/>
                      <w:lang w:eastAsia="zh-CN"/>
                    </w:rPr>
                    <w:t>厂区及道路</w:t>
                  </w:r>
                </w:p>
              </w:tc>
              <w:tc>
                <w:tcPr>
                  <w:tcW w:w="1235" w:type="pct"/>
                  <w:tcBorders>
                    <w:tl2br w:val="nil"/>
                    <w:tr2bl w:val="nil"/>
                  </w:tcBorders>
                  <w:vAlign w:val="center"/>
                </w:tcPr>
                <w:p w14:paraId="5BF96A90">
                  <w:pPr>
                    <w:widowControl w:val="0"/>
                    <w:kinsoku/>
                    <w:autoSpaceDE/>
                    <w:autoSpaceDN/>
                    <w:adjustRightInd/>
                    <w:snapToGrid/>
                    <w:spacing w:line="360" w:lineRule="auto"/>
                    <w:jc w:val="center"/>
                    <w:textAlignment w:val="auto"/>
                    <w:rPr>
                      <w:rFonts w:ascii="Times New Roman" w:hAnsi="Times New Roman" w:eastAsia="宋体" w:cs="宋体"/>
                      <w:color w:val="auto"/>
                      <w:lang w:eastAsia="zh-CN"/>
                    </w:rPr>
                  </w:pPr>
                  <w:r>
                    <w:rPr>
                      <w:rFonts w:ascii="Times New Roman" w:hAnsi="Times New Roman" w:eastAsia="宋体" w:cs="宋体"/>
                      <w:color w:val="auto"/>
                      <w:lang w:eastAsia="zh-CN"/>
                    </w:rPr>
                    <w:t>简单防渗区</w:t>
                  </w:r>
                </w:p>
              </w:tc>
              <w:tc>
                <w:tcPr>
                  <w:tcW w:w="2650" w:type="pct"/>
                  <w:vMerge w:val="continue"/>
                  <w:tcBorders>
                    <w:tl2br w:val="nil"/>
                    <w:tr2bl w:val="nil"/>
                  </w:tcBorders>
                  <w:vAlign w:val="center"/>
                </w:tcPr>
                <w:p w14:paraId="5706C7A6">
                  <w:pPr>
                    <w:widowControl w:val="0"/>
                    <w:kinsoku/>
                    <w:autoSpaceDE/>
                    <w:autoSpaceDN/>
                    <w:adjustRightInd/>
                    <w:snapToGrid/>
                    <w:spacing w:line="360" w:lineRule="auto"/>
                    <w:jc w:val="center"/>
                    <w:textAlignment w:val="auto"/>
                    <w:rPr>
                      <w:rFonts w:ascii="Times New Roman" w:hAnsi="Times New Roman" w:eastAsia="宋体"/>
                      <w:color w:val="auto"/>
                      <w:lang w:eastAsia="zh-CN"/>
                    </w:rPr>
                  </w:pPr>
                </w:p>
              </w:tc>
            </w:tr>
          </w:tbl>
          <w:p w14:paraId="27CF41B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I、重点防渗区防渗措施</w:t>
            </w:r>
          </w:p>
          <w:p w14:paraId="34662FB7">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w:t>
            </w:r>
            <w:r>
              <w:rPr>
                <w:rFonts w:hint="eastAsia" w:ascii="Times New Roman" w:hAnsi="Times New Roman"/>
                <w:color w:val="auto"/>
                <w:spacing w:val="-2"/>
                <w:lang w:eastAsia="zh-CN"/>
              </w:rPr>
              <w:t>危废暂存间和地埋一体化污水处理设</w:t>
            </w:r>
            <w:r>
              <w:rPr>
                <w:rFonts w:ascii="Times New Roman" w:hAnsi="Times New Roman"/>
                <w:color w:val="auto"/>
                <w:spacing w:val="-2"/>
                <w:lang w:eastAsia="zh-CN"/>
              </w:rPr>
              <w:t>在施工图设计及施工阶段对基础层进行防渗处理，采用符合要求的天然基础层或人工合成衬里材料</w:t>
            </w:r>
            <w:r>
              <w:rPr>
                <w:rFonts w:hint="eastAsia" w:ascii="Times New Roman" w:hAnsi="Times New Roman"/>
                <w:color w:val="auto"/>
                <w:spacing w:val="-2"/>
                <w:lang w:eastAsia="zh-CN"/>
              </w:rPr>
              <w:t>（</w:t>
            </w:r>
            <w:r>
              <w:rPr>
                <w:rFonts w:ascii="Times New Roman" w:hAnsi="Times New Roman"/>
                <w:color w:val="auto"/>
                <w:spacing w:val="-2"/>
                <w:lang w:eastAsia="zh-CN"/>
              </w:rPr>
              <w:t>HDPE膜</w:t>
            </w:r>
            <w:r>
              <w:rPr>
                <w:rFonts w:hint="eastAsia" w:ascii="Times New Roman" w:hAnsi="Times New Roman"/>
                <w:color w:val="auto"/>
                <w:spacing w:val="-2"/>
                <w:lang w:eastAsia="zh-CN"/>
              </w:rPr>
              <w:t>）</w:t>
            </w:r>
            <w:r>
              <w:rPr>
                <w:rFonts w:ascii="Times New Roman" w:hAnsi="Times New Roman"/>
                <w:color w:val="auto"/>
                <w:spacing w:val="-2"/>
                <w:lang w:eastAsia="zh-CN"/>
              </w:rPr>
              <w:t>，具体要求依据《危险废物填埋污染控制标准》</w:t>
            </w:r>
            <w:r>
              <w:rPr>
                <w:rFonts w:hint="eastAsia" w:ascii="Times New Roman" w:hAnsi="Times New Roman"/>
                <w:color w:val="auto"/>
                <w:spacing w:val="-2"/>
                <w:lang w:eastAsia="zh-CN"/>
              </w:rPr>
              <w:t>（</w:t>
            </w:r>
            <w:r>
              <w:rPr>
                <w:rFonts w:ascii="Times New Roman" w:hAnsi="Times New Roman"/>
                <w:color w:val="auto"/>
                <w:spacing w:val="-2"/>
                <w:lang w:eastAsia="zh-CN"/>
              </w:rPr>
              <w:t>GB18598-2001</w:t>
            </w:r>
            <w:r>
              <w:rPr>
                <w:rFonts w:hint="eastAsia" w:ascii="Times New Roman" w:hAnsi="Times New Roman"/>
                <w:color w:val="auto"/>
                <w:spacing w:val="-2"/>
                <w:lang w:eastAsia="zh-CN"/>
              </w:rPr>
              <w:t>）实施</w:t>
            </w:r>
            <w:r>
              <w:rPr>
                <w:rFonts w:ascii="Times New Roman" w:hAnsi="Times New Roman"/>
                <w:color w:val="auto"/>
                <w:spacing w:val="-2"/>
                <w:lang w:eastAsia="zh-CN"/>
              </w:rPr>
              <w:t>。防渗层防渗性能不能低于6m厚，渗透系数≤10</w:t>
            </w:r>
            <w:r>
              <w:rPr>
                <w:rFonts w:ascii="Times New Roman" w:hAnsi="Times New Roman"/>
                <w:color w:val="auto"/>
                <w:spacing w:val="-2"/>
                <w:vertAlign w:val="superscript"/>
                <w:lang w:eastAsia="zh-CN"/>
              </w:rPr>
              <w:t>-7</w:t>
            </w:r>
            <w:r>
              <w:rPr>
                <w:rFonts w:ascii="Times New Roman" w:hAnsi="Times New Roman"/>
                <w:color w:val="auto"/>
                <w:spacing w:val="-2"/>
                <w:lang w:eastAsia="zh-CN"/>
              </w:rPr>
              <w:t>cm/s的防渗性能，防止渗滤液泄漏污染地下水。</w:t>
            </w:r>
          </w:p>
          <w:p w14:paraId="095B4493">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II、一般防渗区</w:t>
            </w:r>
          </w:p>
          <w:p w14:paraId="1920FD4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w:t>
            </w:r>
            <w:r>
              <w:rPr>
                <w:rFonts w:hint="eastAsia" w:ascii="Times New Roman" w:hAnsi="Times New Roman"/>
                <w:color w:val="auto"/>
                <w:spacing w:val="-2"/>
                <w:lang w:eastAsia="zh-CN"/>
              </w:rPr>
              <w:t>沉淀池</w:t>
            </w:r>
            <w:r>
              <w:rPr>
                <w:rFonts w:ascii="Times New Roman" w:hAnsi="Times New Roman"/>
                <w:color w:val="auto"/>
                <w:spacing w:val="-2"/>
                <w:lang w:eastAsia="zh-CN"/>
              </w:rPr>
              <w:t>在施工图设计及施工阶段对基础层进行防渗处理，具体要求依据《一般工业固体废物贮存和填埋污染控制标准》</w:t>
            </w:r>
            <w:r>
              <w:rPr>
                <w:rFonts w:hint="eastAsia" w:ascii="Times New Roman" w:hAnsi="Times New Roman"/>
                <w:color w:val="auto"/>
                <w:spacing w:val="-2"/>
                <w:lang w:eastAsia="zh-CN"/>
              </w:rPr>
              <w:t>（</w:t>
            </w:r>
            <w:r>
              <w:rPr>
                <w:rFonts w:ascii="Times New Roman" w:hAnsi="Times New Roman"/>
                <w:color w:val="auto"/>
                <w:spacing w:val="-2"/>
                <w:lang w:eastAsia="zh-CN"/>
              </w:rPr>
              <w:t>GB18599-2020</w:t>
            </w:r>
            <w:r>
              <w:rPr>
                <w:rFonts w:hint="eastAsia" w:ascii="Times New Roman" w:hAnsi="Times New Roman"/>
                <w:color w:val="auto"/>
                <w:spacing w:val="-2"/>
                <w:lang w:eastAsia="zh-CN"/>
              </w:rPr>
              <w:t>）实施</w:t>
            </w:r>
            <w:r>
              <w:rPr>
                <w:rFonts w:ascii="Times New Roman" w:hAnsi="Times New Roman"/>
                <w:color w:val="auto"/>
                <w:spacing w:val="-2"/>
                <w:lang w:eastAsia="zh-CN"/>
              </w:rPr>
              <w:t>。构筑物除需做基础防渗处理外，应根据生产过程中接触到的物料腐蚀性情况根据要求采取相应的防腐蚀处理措施。采取防渗措施后的基础层等效黏土防渗层Mb≥1.5m，k≤10</w:t>
            </w:r>
            <w:r>
              <w:rPr>
                <w:rFonts w:ascii="Times New Roman" w:hAnsi="Times New Roman"/>
                <w:color w:val="auto"/>
                <w:spacing w:val="-2"/>
                <w:vertAlign w:val="superscript"/>
                <w:lang w:eastAsia="zh-CN"/>
              </w:rPr>
              <w:t>-7</w:t>
            </w:r>
            <w:r>
              <w:rPr>
                <w:rFonts w:ascii="Times New Roman" w:hAnsi="Times New Roman"/>
                <w:color w:val="auto"/>
                <w:spacing w:val="-2"/>
                <w:lang w:eastAsia="zh-CN"/>
              </w:rPr>
              <w:t>cm/s。</w:t>
            </w:r>
          </w:p>
          <w:p w14:paraId="4DCCECE2">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III、简单防渗区</w:t>
            </w:r>
          </w:p>
          <w:p w14:paraId="6E9F2CAC">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简单防渗区采用水泥硬化防渗。厂区其他地面除绿化用地外均采取灰土铺底，再在上层铺10</w:t>
            </w:r>
            <w:r>
              <w:rPr>
                <w:rFonts w:hint="eastAsia" w:ascii="Times New Roman" w:hAnsi="Times New Roman"/>
                <w:color w:val="auto"/>
                <w:spacing w:val="-2"/>
                <w:lang w:eastAsia="zh-CN"/>
              </w:rPr>
              <w:t>～</w:t>
            </w:r>
            <w:r>
              <w:rPr>
                <w:rFonts w:ascii="Times New Roman" w:hAnsi="Times New Roman"/>
                <w:color w:val="auto"/>
                <w:spacing w:val="-2"/>
                <w:lang w:eastAsia="zh-CN"/>
              </w:rPr>
              <w:t>15cm的混凝土进行硬化。</w:t>
            </w:r>
          </w:p>
          <w:p w14:paraId="34314F0E">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（2）土壤防控措施</w:t>
            </w:r>
          </w:p>
          <w:p w14:paraId="00CC355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根据工程特点和当地的实际情况，按照“源头控制、分区防治、污染监控”的污染防治总体原则，本工程将从污染物的产生、入渗、扩散采取全方位的控制措施。</w:t>
            </w:r>
          </w:p>
          <w:p w14:paraId="46BA6F69">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源头控制：本项目原料仓库全封闭，原料仓库内地面进行硬化处理，并洒水抑尘；水泥筒仓自带风机、除尘器，除尘效率为99.7%；搅拌加工车间和搅拌机需在三面围挡，顶部设有彩钢棚的条件下作业。</w:t>
            </w:r>
          </w:p>
          <w:p w14:paraId="09480BE6">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分区防渗：结合项目工艺特点，将水磨拉丝机及沉淀池区域作为重点防渗区，按要求做好防渗。</w:t>
            </w:r>
          </w:p>
          <w:p w14:paraId="35798256">
            <w:pPr>
              <w:pStyle w:val="20"/>
              <w:spacing w:line="360" w:lineRule="auto"/>
              <w:ind w:firstLine="472" w:firstLineChars="200"/>
              <w:rPr>
                <w:rFonts w:hint="eastAsia" w:ascii="Times New Roman" w:hAnsi="Times New Roman"/>
                <w:color w:val="auto"/>
                <w:spacing w:val="-2"/>
                <w:lang w:eastAsia="zh-CN"/>
              </w:rPr>
            </w:pPr>
            <w:r>
              <w:rPr>
                <w:rFonts w:ascii="Times New Roman" w:hAnsi="Times New Roman"/>
                <w:color w:val="auto"/>
                <w:spacing w:val="-2"/>
                <w:lang w:eastAsia="zh-CN"/>
              </w:rPr>
              <w:t>末端治理：主要包括厂区防渗措施和泄漏污染物收集措施，防止洒落地面的污染物渗入地下，同时对渗入地下的污染物及时收集，从而防止污染土壤。</w:t>
            </w:r>
          </w:p>
          <w:p w14:paraId="55AD7A01">
            <w:pPr>
              <w:pStyle w:val="20"/>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6</w:t>
            </w:r>
            <w:r>
              <w:rPr>
                <w:rFonts w:hint="eastAsia" w:ascii="Times New Roman" w:hAnsi="Times New Roman" w:cs="Times New Roman"/>
                <w:b/>
                <w:bCs/>
                <w:color w:val="auto"/>
                <w:spacing w:val="-2"/>
                <w:lang w:eastAsia="zh-CN"/>
              </w:rPr>
              <w:t>、生态</w:t>
            </w:r>
          </w:p>
          <w:p w14:paraId="19CE5BCF">
            <w:pPr>
              <w:pStyle w:val="20"/>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根据《建设项目环境影响报告表编制技术指南（污染影响类）</w:t>
            </w:r>
            <w:r>
              <w:rPr>
                <w:rFonts w:hint="eastAsia" w:ascii="Times New Roman" w:hAnsi="Times New Roman"/>
                <w:color w:val="auto"/>
                <w:spacing w:val="-2"/>
                <w:lang w:eastAsia="zh-CN"/>
              </w:rPr>
              <w:t>（试行）》</w:t>
            </w:r>
            <w:r>
              <w:rPr>
                <w:rFonts w:ascii="Times New Roman" w:hAnsi="Times New Roman"/>
                <w:color w:val="auto"/>
                <w:spacing w:val="-2"/>
                <w:lang w:eastAsia="zh-CN"/>
              </w:rPr>
              <w:t>，产业园区外，建设项目新增用地且用地范围内还有生态环境保护目标的，应明确保护措施，本项目位于</w:t>
            </w:r>
            <w:r>
              <w:rPr>
                <w:rFonts w:hint="eastAsia" w:ascii="Times New Roman" w:hAnsi="Times New Roman"/>
                <w:color w:val="auto"/>
                <w:spacing w:val="-2"/>
                <w:lang w:eastAsia="zh-CN"/>
              </w:rPr>
              <w:t>吉木萨尔县庆阳湖乡二工梁村</w:t>
            </w:r>
            <w:r>
              <w:rPr>
                <w:rFonts w:ascii="Times New Roman" w:hAnsi="Times New Roman"/>
                <w:color w:val="auto"/>
                <w:spacing w:val="-2"/>
                <w:lang w:eastAsia="zh-CN"/>
              </w:rPr>
              <w:t>，项目区不新增建设用地且周边无生态环境保护目标。</w:t>
            </w:r>
          </w:p>
          <w:p w14:paraId="4F582AA0">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、环境风险</w:t>
            </w:r>
          </w:p>
          <w:p w14:paraId="24FFB610">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.1环境风险识别</w:t>
            </w:r>
          </w:p>
          <w:p w14:paraId="6B5F1D9D">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次评价根据《建设项目环境风险评价技术导则》（HJ/T169-2018）的要求，对项目的生产装置、储运系统、公用工程系统等生产和辅助设施进行了风险识别，对使用和存储的原辅材料及能源的特性也进行了风险识别。</w:t>
            </w:r>
          </w:p>
          <w:p w14:paraId="13C152D6">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根据《建设项目环境风险评价技术导则》（HJ169-2018）</w:t>
            </w:r>
            <w:r>
              <w:rPr>
                <w:rFonts w:hint="eastAsia" w:ascii="Times New Roman" w:hAnsi="Times New Roman"/>
                <w:color w:val="auto"/>
                <w:spacing w:val="-2"/>
                <w:lang w:eastAsia="zh-CN"/>
              </w:rPr>
              <w:t>相关的规定和要求可知，项目废机油属于环境风险物质，</w:t>
            </w:r>
          </w:p>
          <w:p w14:paraId="16D801B0">
            <w:pPr>
              <w:widowControl w:val="0"/>
              <w:kinsoku/>
              <w:overflowPunct w:val="0"/>
              <w:autoSpaceDE/>
              <w:autoSpaceDN/>
              <w:jc w:val="center"/>
              <w:textAlignment w:val="auto"/>
              <w:rPr>
                <w:rFonts w:ascii="Times New Roman" w:hAnsi="Times New Roman" w:eastAsia="宋体"/>
                <w:b/>
                <w:bCs/>
                <w:color w:val="auto"/>
                <w:lang w:val="zh-CN" w:eastAsia="zh-CN"/>
              </w:rPr>
            </w:pPr>
            <w:r>
              <w:rPr>
                <w:rFonts w:ascii="Times New Roman" w:hAnsi="Times New Roman" w:eastAsia="宋体"/>
                <w:b/>
                <w:bCs/>
                <w:color w:val="auto"/>
                <w:lang w:val="zh-CN" w:eastAsia="zh-CN"/>
              </w:rPr>
              <w:t>表</w:t>
            </w:r>
            <w:r>
              <w:rPr>
                <w:rFonts w:hint="eastAsia" w:ascii="Times New Roman" w:hAnsi="Times New Roman" w:eastAsia="宋体"/>
                <w:b/>
                <w:bCs/>
                <w:color w:val="auto"/>
                <w:lang w:eastAsia="zh-CN"/>
              </w:rPr>
              <w:t>4-17</w:t>
            </w:r>
            <w:r>
              <w:rPr>
                <w:rFonts w:ascii="Times New Roman" w:hAnsi="Times New Roman" w:eastAsia="宋体"/>
                <w:b/>
                <w:bCs/>
                <w:color w:val="auto"/>
                <w:lang w:val="zh-CN" w:eastAsia="zh-CN"/>
              </w:rPr>
              <w:t>项目风险物质分布及风险值表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179"/>
              <w:gridCol w:w="1766"/>
              <w:gridCol w:w="2059"/>
              <w:gridCol w:w="1179"/>
              <w:gridCol w:w="1254"/>
            </w:tblGrid>
            <w:tr w14:paraId="0D5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3F833417">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序号</w:t>
                  </w:r>
                </w:p>
              </w:tc>
              <w:tc>
                <w:tcPr>
                  <w:tcW w:w="708" w:type="pct"/>
                  <w:vAlign w:val="center"/>
                </w:tcPr>
                <w:p w14:paraId="01174A09">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物质</w:t>
                  </w:r>
                </w:p>
              </w:tc>
              <w:tc>
                <w:tcPr>
                  <w:tcW w:w="1060" w:type="pct"/>
                  <w:vAlign w:val="center"/>
                </w:tcPr>
                <w:p w14:paraId="24C0C167">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储存位置</w:t>
                  </w:r>
                </w:p>
              </w:tc>
              <w:tc>
                <w:tcPr>
                  <w:tcW w:w="1236" w:type="pct"/>
                  <w:vAlign w:val="center"/>
                </w:tcPr>
                <w:p w14:paraId="5AF4FA21">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最大存储数量</w:t>
                  </w:r>
                </w:p>
              </w:tc>
              <w:tc>
                <w:tcPr>
                  <w:tcW w:w="708" w:type="pct"/>
                  <w:vAlign w:val="center"/>
                </w:tcPr>
                <w:p w14:paraId="564AF48C">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临界量</w:t>
                  </w:r>
                </w:p>
              </w:tc>
              <w:tc>
                <w:tcPr>
                  <w:tcW w:w="753" w:type="pct"/>
                  <w:vAlign w:val="center"/>
                </w:tcPr>
                <w:p w14:paraId="3447EC40">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eastAsia="zh-CN"/>
                    </w:rPr>
                    <w:t>Q</w:t>
                  </w:r>
                  <w:r>
                    <w:rPr>
                      <w:rFonts w:ascii="Times New Roman" w:hAnsi="Times New Roman" w:eastAsia="宋体"/>
                      <w:color w:val="auto"/>
                      <w:lang w:val="zh-CN" w:eastAsia="zh-CN"/>
                    </w:rPr>
                    <w:t>值</w:t>
                  </w:r>
                </w:p>
              </w:tc>
            </w:tr>
            <w:tr w14:paraId="07AD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088F2A1C">
                  <w:pPr>
                    <w:widowControl w:val="0"/>
                    <w:kinsoku/>
                    <w:autoSpaceDE/>
                    <w:autoSpaceDN/>
                    <w:adjustRightInd/>
                    <w:snapToGrid/>
                    <w:jc w:val="center"/>
                    <w:textAlignment w:val="auto"/>
                    <w:rPr>
                      <w:rFonts w:ascii="Times New Roman" w:hAnsi="Times New Roman" w:eastAsia="宋体"/>
                      <w:color w:val="auto"/>
                      <w:lang w:eastAsia="zh-CN"/>
                    </w:rPr>
                  </w:pPr>
                  <w:r>
                    <w:rPr>
                      <w:rFonts w:ascii="Times New Roman" w:hAnsi="Times New Roman" w:eastAsia="宋体"/>
                      <w:color w:val="auto"/>
                      <w:lang w:eastAsia="zh-CN"/>
                    </w:rPr>
                    <w:t>1</w:t>
                  </w:r>
                </w:p>
              </w:tc>
              <w:tc>
                <w:tcPr>
                  <w:tcW w:w="708" w:type="pct"/>
                  <w:vAlign w:val="center"/>
                </w:tcPr>
                <w:p w14:paraId="503D1E36">
                  <w:pPr>
                    <w:widowControl w:val="0"/>
                    <w:kinsoku/>
                    <w:autoSpaceDE/>
                    <w:autoSpaceDN/>
                    <w:adjustRightInd/>
                    <w:snapToGrid/>
                    <w:jc w:val="center"/>
                    <w:textAlignment w:val="auto"/>
                    <w:rPr>
                      <w:rFonts w:ascii="Times New Roman" w:hAnsi="Times New Roman" w:eastAsia="宋体"/>
                      <w:color w:val="auto"/>
                      <w:lang w:val="zh-CN" w:eastAsia="zh-CN"/>
                    </w:rPr>
                  </w:pPr>
                  <w:r>
                    <w:rPr>
                      <w:rFonts w:hint="eastAsia" w:ascii="Times New Roman" w:hAnsi="Times New Roman" w:eastAsia="宋体"/>
                      <w:color w:val="auto"/>
                      <w:lang w:val="zh-CN" w:eastAsia="zh-CN"/>
                    </w:rPr>
                    <w:t>废机油</w:t>
                  </w:r>
                </w:p>
              </w:tc>
              <w:tc>
                <w:tcPr>
                  <w:tcW w:w="1060" w:type="pct"/>
                  <w:vAlign w:val="center"/>
                </w:tcPr>
                <w:p w14:paraId="6517E17B">
                  <w:pPr>
                    <w:widowControl w:val="0"/>
                    <w:kinsoku/>
                    <w:autoSpaceDE/>
                    <w:autoSpaceDN/>
                    <w:adjustRightInd/>
                    <w:snapToGrid/>
                    <w:jc w:val="center"/>
                    <w:textAlignment w:val="auto"/>
                    <w:rPr>
                      <w:rFonts w:ascii="Times New Roman" w:hAnsi="Times New Roman" w:eastAsia="宋体"/>
                      <w:color w:val="auto"/>
                      <w:lang w:val="zh-CN" w:eastAsia="zh-CN"/>
                    </w:rPr>
                  </w:pPr>
                  <w:r>
                    <w:rPr>
                      <w:rFonts w:hint="eastAsia" w:ascii="Times New Roman" w:hAnsi="Times New Roman" w:eastAsia="宋体"/>
                      <w:color w:val="auto"/>
                      <w:lang w:val="zh-CN" w:eastAsia="zh-CN"/>
                    </w:rPr>
                    <w:t>危废暂存间</w:t>
                  </w:r>
                </w:p>
              </w:tc>
              <w:tc>
                <w:tcPr>
                  <w:tcW w:w="1236" w:type="pct"/>
                  <w:vAlign w:val="center"/>
                </w:tcPr>
                <w:p w14:paraId="1320132D">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0.1t</w:t>
                  </w:r>
                </w:p>
              </w:tc>
              <w:tc>
                <w:tcPr>
                  <w:tcW w:w="708" w:type="pct"/>
                  <w:vAlign w:val="center"/>
                </w:tcPr>
                <w:p w14:paraId="5C2D7247">
                  <w:pPr>
                    <w:widowControl w:val="0"/>
                    <w:kinsoku/>
                    <w:autoSpaceDE/>
                    <w:autoSpaceDN/>
                    <w:adjustRightInd/>
                    <w:snapToGrid/>
                    <w:jc w:val="center"/>
                    <w:textAlignment w:val="auto"/>
                    <w:rPr>
                      <w:rFonts w:ascii="Times New Roman" w:hAnsi="Times New Roman" w:eastAsia="宋体"/>
                      <w:color w:val="auto"/>
                      <w:lang w:eastAsia="zh-CN"/>
                    </w:rPr>
                  </w:pPr>
                  <w:r>
                    <w:rPr>
                      <w:rFonts w:ascii="Times New Roman" w:hAnsi="Times New Roman" w:eastAsia="宋体"/>
                      <w:color w:val="auto"/>
                      <w:lang w:eastAsia="zh-CN"/>
                    </w:rPr>
                    <w:t>2500t</w:t>
                  </w:r>
                </w:p>
              </w:tc>
              <w:tc>
                <w:tcPr>
                  <w:tcW w:w="753" w:type="pct"/>
                  <w:vAlign w:val="center"/>
                </w:tcPr>
                <w:p w14:paraId="0D048A5E">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0.00004</w:t>
                  </w:r>
                </w:p>
              </w:tc>
            </w:tr>
            <w:tr w14:paraId="43BE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2" w:type="pct"/>
                  <w:vAlign w:val="center"/>
                </w:tcPr>
                <w:p w14:paraId="3811BFD7">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2</w:t>
                  </w:r>
                </w:p>
              </w:tc>
              <w:tc>
                <w:tcPr>
                  <w:tcW w:w="708" w:type="pct"/>
                  <w:vAlign w:val="center"/>
                </w:tcPr>
                <w:p w14:paraId="24C9F0E5">
                  <w:pPr>
                    <w:widowControl w:val="0"/>
                    <w:kinsoku/>
                    <w:autoSpaceDE/>
                    <w:autoSpaceDN/>
                    <w:adjustRightInd/>
                    <w:snapToGrid/>
                    <w:jc w:val="center"/>
                    <w:textAlignment w:val="auto"/>
                    <w:rPr>
                      <w:rFonts w:ascii="Times New Roman" w:hAnsi="Times New Roman" w:eastAsia="宋体"/>
                      <w:color w:val="auto"/>
                      <w:lang w:val="zh-CN" w:eastAsia="zh-CN"/>
                    </w:rPr>
                  </w:pPr>
                  <w:r>
                    <w:rPr>
                      <w:rFonts w:ascii="Times New Roman" w:hAnsi="Times New Roman" w:eastAsia="宋体"/>
                      <w:color w:val="auto"/>
                      <w:lang w:val="zh-CN" w:eastAsia="zh-CN"/>
                    </w:rPr>
                    <w:t>合计</w:t>
                  </w:r>
                </w:p>
              </w:tc>
              <w:tc>
                <w:tcPr>
                  <w:tcW w:w="1060" w:type="pct"/>
                  <w:vAlign w:val="center"/>
                </w:tcPr>
                <w:p w14:paraId="6C44DB03">
                  <w:pPr>
                    <w:widowControl w:val="0"/>
                    <w:kinsoku/>
                    <w:autoSpaceDE/>
                    <w:autoSpaceDN/>
                    <w:adjustRightInd/>
                    <w:snapToGrid/>
                    <w:jc w:val="center"/>
                    <w:textAlignment w:val="auto"/>
                    <w:rPr>
                      <w:rFonts w:ascii="Times New Roman" w:hAnsi="Times New Roman" w:eastAsia="宋体"/>
                      <w:color w:val="auto"/>
                      <w:lang w:val="zh-CN" w:eastAsia="zh-CN"/>
                    </w:rPr>
                  </w:pPr>
                </w:p>
              </w:tc>
              <w:tc>
                <w:tcPr>
                  <w:tcW w:w="1236" w:type="pct"/>
                  <w:vAlign w:val="center"/>
                </w:tcPr>
                <w:p w14:paraId="4D7AB19F">
                  <w:pPr>
                    <w:widowControl w:val="0"/>
                    <w:kinsoku/>
                    <w:autoSpaceDE/>
                    <w:autoSpaceDN/>
                    <w:adjustRightInd/>
                    <w:snapToGrid/>
                    <w:jc w:val="center"/>
                    <w:textAlignment w:val="auto"/>
                    <w:rPr>
                      <w:rFonts w:ascii="Times New Roman" w:hAnsi="Times New Roman" w:eastAsia="宋体"/>
                      <w:color w:val="auto"/>
                      <w:lang w:eastAsia="zh-CN"/>
                    </w:rPr>
                  </w:pPr>
                </w:p>
              </w:tc>
              <w:tc>
                <w:tcPr>
                  <w:tcW w:w="708" w:type="pct"/>
                  <w:vAlign w:val="center"/>
                </w:tcPr>
                <w:p w14:paraId="42E06598">
                  <w:pPr>
                    <w:widowControl w:val="0"/>
                    <w:kinsoku/>
                    <w:autoSpaceDE/>
                    <w:autoSpaceDN/>
                    <w:adjustRightInd/>
                    <w:snapToGrid/>
                    <w:jc w:val="center"/>
                    <w:textAlignment w:val="auto"/>
                    <w:rPr>
                      <w:rFonts w:ascii="Times New Roman" w:hAnsi="Times New Roman" w:eastAsia="宋体"/>
                      <w:color w:val="auto"/>
                      <w:lang w:eastAsia="zh-CN"/>
                    </w:rPr>
                  </w:pPr>
                </w:p>
              </w:tc>
              <w:tc>
                <w:tcPr>
                  <w:tcW w:w="753" w:type="pct"/>
                  <w:vAlign w:val="center"/>
                </w:tcPr>
                <w:p w14:paraId="7F8E8D1D">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0.00004</w:t>
                  </w:r>
                </w:p>
              </w:tc>
            </w:tr>
          </w:tbl>
          <w:p w14:paraId="1293CC22">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经计算，项目全厂危险物质数量与临界量比值（Q）=</w:t>
            </w:r>
            <w:r>
              <w:rPr>
                <w:rFonts w:hint="eastAsia" w:ascii="Times New Roman" w:hAnsi="Times New Roman"/>
                <w:color w:val="auto"/>
                <w:spacing w:val="-2"/>
                <w:lang w:eastAsia="zh-CN"/>
              </w:rPr>
              <w:t>0.00004</w:t>
            </w:r>
            <w:r>
              <w:rPr>
                <w:rFonts w:ascii="Times New Roman" w:hAnsi="Times New Roman"/>
                <w:color w:val="auto"/>
                <w:spacing w:val="-2"/>
                <w:lang w:eastAsia="zh-CN"/>
              </w:rPr>
              <w:t>&lt;1。根据《建设项目环境风险评价技术导则》（HJ169-2018）附录C“风险物质数量及工艺系统危险性（P）分级”中C.1.1规定：当Q&lt;1时，项目风险潜势为I。本项目的环境风险评价可开展简要分析。</w:t>
            </w:r>
          </w:p>
          <w:p w14:paraId="2D4982B8">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.2危险物质和风险源可能影响途径</w:t>
            </w:r>
          </w:p>
          <w:p w14:paraId="43066AC9">
            <w:pPr>
              <w:widowControl w:val="0"/>
              <w:kinsoku/>
              <w:autoSpaceDE/>
              <w:autoSpaceDN/>
              <w:adjustRightInd/>
              <w:snapToGrid/>
              <w:jc w:val="center"/>
              <w:textAlignment w:val="auto"/>
              <w:rPr>
                <w:rFonts w:ascii="Times New Roman" w:hAnsi="Times New Roman" w:eastAsia="宋体"/>
                <w:b/>
                <w:bCs/>
                <w:color w:val="auto"/>
                <w:lang w:eastAsia="zh-CN"/>
              </w:rPr>
            </w:pPr>
            <w:r>
              <w:rPr>
                <w:rFonts w:ascii="Times New Roman" w:hAnsi="Times New Roman" w:eastAsia="宋体"/>
                <w:b/>
                <w:bCs/>
                <w:color w:val="auto"/>
                <w:lang w:eastAsia="zh-CN"/>
              </w:rPr>
              <w:t>表</w:t>
            </w:r>
            <w:r>
              <w:rPr>
                <w:rFonts w:hint="eastAsia" w:ascii="Times New Roman" w:hAnsi="Times New Roman" w:eastAsia="宋体"/>
                <w:b/>
                <w:bCs/>
                <w:color w:val="auto"/>
                <w:lang w:eastAsia="zh-CN"/>
              </w:rPr>
              <w:t>4-18</w:t>
            </w:r>
            <w:r>
              <w:rPr>
                <w:rFonts w:ascii="Times New Roman" w:hAnsi="Times New Roman" w:eastAsia="宋体"/>
                <w:b/>
                <w:bCs/>
                <w:color w:val="auto"/>
                <w:lang w:eastAsia="zh-CN"/>
              </w:rPr>
              <w:t>运行过程风险识别一览表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801"/>
              <w:gridCol w:w="676"/>
              <w:gridCol w:w="926"/>
              <w:gridCol w:w="3135"/>
              <w:gridCol w:w="1386"/>
            </w:tblGrid>
            <w:tr w14:paraId="2386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Align w:val="center"/>
                </w:tcPr>
                <w:p w14:paraId="68D2D902">
                  <w:pPr>
                    <w:widowControl w:val="0"/>
                    <w:kinsoku/>
                    <w:autoSpaceDE/>
                    <w:autoSpaceDN/>
                    <w:adjustRightInd/>
                    <w:snapToGrid/>
                    <w:jc w:val="center"/>
                    <w:textAlignment w:val="auto"/>
                    <w:rPr>
                      <w:rFonts w:ascii="Times New Roman" w:hAnsi="Times New Roman" w:eastAsia="宋体"/>
                      <w:color w:val="auto"/>
                    </w:rPr>
                  </w:pPr>
                  <w:r>
                    <w:rPr>
                      <w:rFonts w:ascii="Times New Roman" w:hAnsi="Times New Roman" w:eastAsia="宋体"/>
                      <w:color w:val="auto"/>
                    </w:rPr>
                    <w:t>序号</w:t>
                  </w:r>
                </w:p>
              </w:tc>
              <w:tc>
                <w:tcPr>
                  <w:tcW w:w="1801" w:type="dxa"/>
                  <w:vAlign w:val="center"/>
                </w:tcPr>
                <w:p w14:paraId="1536D1C4">
                  <w:pPr>
                    <w:widowControl w:val="0"/>
                    <w:kinsoku/>
                    <w:autoSpaceDE/>
                    <w:autoSpaceDN/>
                    <w:adjustRightInd/>
                    <w:snapToGrid/>
                    <w:jc w:val="center"/>
                    <w:textAlignment w:val="auto"/>
                    <w:rPr>
                      <w:rFonts w:ascii="Times New Roman" w:hAnsi="Times New Roman" w:eastAsia="宋体"/>
                      <w:color w:val="auto"/>
                    </w:rPr>
                  </w:pPr>
                  <w:r>
                    <w:rPr>
                      <w:rFonts w:ascii="Times New Roman" w:hAnsi="Times New Roman" w:eastAsia="宋体"/>
                      <w:color w:val="auto"/>
                    </w:rPr>
                    <w:t>环境风险类型</w:t>
                  </w:r>
                </w:p>
              </w:tc>
              <w:tc>
                <w:tcPr>
                  <w:tcW w:w="676" w:type="dxa"/>
                  <w:vAlign w:val="center"/>
                </w:tcPr>
                <w:p w14:paraId="43E04B4A">
                  <w:pPr>
                    <w:widowControl w:val="0"/>
                    <w:kinsoku/>
                    <w:autoSpaceDE/>
                    <w:autoSpaceDN/>
                    <w:adjustRightInd/>
                    <w:snapToGrid/>
                    <w:jc w:val="center"/>
                    <w:textAlignment w:val="auto"/>
                    <w:rPr>
                      <w:rFonts w:ascii="Times New Roman" w:hAnsi="Times New Roman" w:eastAsia="宋体"/>
                      <w:color w:val="auto"/>
                      <w:lang w:val="zh-CN"/>
                    </w:rPr>
                  </w:pPr>
                  <w:r>
                    <w:rPr>
                      <w:rFonts w:ascii="Times New Roman" w:hAnsi="Times New Roman" w:eastAsia="宋体"/>
                      <w:color w:val="auto"/>
                    </w:rPr>
                    <w:t>风险源</w:t>
                  </w:r>
                </w:p>
              </w:tc>
              <w:tc>
                <w:tcPr>
                  <w:tcW w:w="926" w:type="dxa"/>
                  <w:vAlign w:val="center"/>
                </w:tcPr>
                <w:p w14:paraId="42DE29FC">
                  <w:pPr>
                    <w:widowControl w:val="0"/>
                    <w:kinsoku/>
                    <w:autoSpaceDE/>
                    <w:autoSpaceDN/>
                    <w:adjustRightInd/>
                    <w:snapToGrid/>
                    <w:jc w:val="center"/>
                    <w:textAlignment w:val="auto"/>
                    <w:rPr>
                      <w:rFonts w:ascii="Times New Roman" w:hAnsi="Times New Roman" w:eastAsia="宋体"/>
                      <w:color w:val="auto"/>
                      <w:lang w:val="zh-CN"/>
                    </w:rPr>
                  </w:pPr>
                  <w:r>
                    <w:rPr>
                      <w:rFonts w:ascii="Times New Roman" w:hAnsi="Times New Roman" w:eastAsia="宋体"/>
                      <w:color w:val="auto"/>
                    </w:rPr>
                    <w:t>危险单元</w:t>
                  </w:r>
                </w:p>
              </w:tc>
              <w:tc>
                <w:tcPr>
                  <w:tcW w:w="3135" w:type="dxa"/>
                  <w:vAlign w:val="center"/>
                </w:tcPr>
                <w:p w14:paraId="709E745F">
                  <w:pPr>
                    <w:widowControl w:val="0"/>
                    <w:kinsoku/>
                    <w:autoSpaceDE/>
                    <w:autoSpaceDN/>
                    <w:adjustRightInd/>
                    <w:snapToGrid/>
                    <w:jc w:val="center"/>
                    <w:textAlignment w:val="auto"/>
                    <w:rPr>
                      <w:rFonts w:ascii="Times New Roman" w:hAnsi="Times New Roman" w:eastAsia="宋体"/>
                      <w:color w:val="auto"/>
                    </w:rPr>
                  </w:pPr>
                  <w:r>
                    <w:rPr>
                      <w:rFonts w:ascii="Times New Roman" w:hAnsi="Times New Roman" w:eastAsia="宋体"/>
                      <w:color w:val="auto"/>
                    </w:rPr>
                    <w:t>危险物质</w:t>
                  </w:r>
                </w:p>
              </w:tc>
              <w:tc>
                <w:tcPr>
                  <w:tcW w:w="1386" w:type="dxa"/>
                  <w:vAlign w:val="center"/>
                </w:tcPr>
                <w:p w14:paraId="198F7799">
                  <w:pPr>
                    <w:widowControl w:val="0"/>
                    <w:kinsoku/>
                    <w:autoSpaceDE/>
                    <w:autoSpaceDN/>
                    <w:adjustRightInd/>
                    <w:snapToGrid/>
                    <w:jc w:val="center"/>
                    <w:textAlignment w:val="auto"/>
                    <w:rPr>
                      <w:rFonts w:ascii="Times New Roman" w:hAnsi="Times New Roman" w:eastAsia="宋体"/>
                      <w:color w:val="auto"/>
                    </w:rPr>
                  </w:pPr>
                  <w:r>
                    <w:rPr>
                      <w:rFonts w:ascii="Times New Roman" w:hAnsi="Times New Roman" w:eastAsia="宋体"/>
                      <w:color w:val="auto"/>
                    </w:rPr>
                    <w:t>环境影响途径</w:t>
                  </w:r>
                </w:p>
              </w:tc>
            </w:tr>
            <w:tr w14:paraId="7EC2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shd w:val="clear" w:color="auto" w:fill="auto"/>
                  <w:vAlign w:val="center"/>
                </w:tcPr>
                <w:p w14:paraId="3301A2F9">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1</w:t>
                  </w:r>
                </w:p>
              </w:tc>
              <w:tc>
                <w:tcPr>
                  <w:tcW w:w="1801" w:type="dxa"/>
                  <w:shd w:val="clear" w:color="auto" w:fill="auto"/>
                  <w:vAlign w:val="center"/>
                </w:tcPr>
                <w:p w14:paraId="3787DB26">
                  <w:pPr>
                    <w:widowControl w:val="0"/>
                    <w:kinsoku/>
                    <w:autoSpaceDE/>
                    <w:autoSpaceDN/>
                    <w:adjustRightInd/>
                    <w:snapToGrid/>
                    <w:jc w:val="center"/>
                    <w:textAlignment w:val="auto"/>
                    <w:rPr>
                      <w:rFonts w:ascii="Times New Roman" w:hAnsi="Times New Roman" w:eastAsia="宋体"/>
                      <w:color w:val="auto"/>
                      <w:lang w:val="zh-CN" w:eastAsia="zh-CN"/>
                    </w:rPr>
                  </w:pPr>
                  <w:r>
                    <w:rPr>
                      <w:rFonts w:hint="eastAsia" w:ascii="Times New Roman" w:hAnsi="Times New Roman" w:eastAsia="宋体"/>
                      <w:color w:val="auto"/>
                      <w:lang w:val="zh-CN" w:eastAsia="zh-CN"/>
                    </w:rPr>
                    <w:t>废机油发生泄漏或引发火灾</w:t>
                  </w:r>
                </w:p>
              </w:tc>
              <w:tc>
                <w:tcPr>
                  <w:tcW w:w="676" w:type="dxa"/>
                  <w:shd w:val="clear" w:color="auto" w:fill="FFFFFF"/>
                  <w:vAlign w:val="center"/>
                </w:tcPr>
                <w:p w14:paraId="00A3B3D9">
                  <w:pPr>
                    <w:widowControl w:val="0"/>
                    <w:kinsoku/>
                    <w:autoSpaceDE/>
                    <w:autoSpaceDN/>
                    <w:adjustRightInd/>
                    <w:snapToGrid/>
                    <w:jc w:val="center"/>
                    <w:textAlignment w:val="auto"/>
                    <w:rPr>
                      <w:rFonts w:ascii="Times New Roman" w:hAnsi="Times New Roman" w:eastAsia="宋体"/>
                      <w:color w:val="auto"/>
                    </w:rPr>
                  </w:pPr>
                  <w:r>
                    <w:rPr>
                      <w:rFonts w:hint="eastAsia" w:ascii="Times New Roman" w:hAnsi="Times New Roman" w:eastAsia="宋体"/>
                      <w:color w:val="auto"/>
                    </w:rPr>
                    <w:t>废机油</w:t>
                  </w:r>
                </w:p>
              </w:tc>
              <w:tc>
                <w:tcPr>
                  <w:tcW w:w="926" w:type="dxa"/>
                  <w:shd w:val="clear" w:color="auto" w:fill="FFFFFF"/>
                  <w:vAlign w:val="center"/>
                </w:tcPr>
                <w:p w14:paraId="301D2DC4">
                  <w:pPr>
                    <w:widowControl w:val="0"/>
                    <w:kinsoku/>
                    <w:autoSpaceDE/>
                    <w:autoSpaceDN/>
                    <w:adjustRightInd/>
                    <w:snapToGrid/>
                    <w:jc w:val="center"/>
                    <w:textAlignment w:val="auto"/>
                    <w:rPr>
                      <w:rFonts w:ascii="Times New Roman" w:hAnsi="Times New Roman" w:eastAsia="宋体"/>
                      <w:color w:val="auto"/>
                    </w:rPr>
                  </w:pPr>
                  <w:r>
                    <w:rPr>
                      <w:rFonts w:hint="eastAsia" w:ascii="Times New Roman" w:hAnsi="Times New Roman" w:eastAsia="宋体"/>
                      <w:color w:val="auto"/>
                    </w:rPr>
                    <w:t>危废暂存间</w:t>
                  </w:r>
                </w:p>
              </w:tc>
              <w:tc>
                <w:tcPr>
                  <w:tcW w:w="3135" w:type="dxa"/>
                  <w:vAlign w:val="center"/>
                </w:tcPr>
                <w:p w14:paraId="45B7004D">
                  <w:pPr>
                    <w:widowControl w:val="0"/>
                    <w:kinsoku/>
                    <w:autoSpaceDE/>
                    <w:autoSpaceDN/>
                    <w:adjustRightInd/>
                    <w:snapToGrid/>
                    <w:jc w:val="center"/>
                    <w:textAlignment w:val="auto"/>
                    <w:rPr>
                      <w:rFonts w:ascii="Times New Roman" w:hAnsi="Times New Roman" w:eastAsia="宋体"/>
                      <w:color w:val="auto"/>
                      <w:lang w:eastAsia="zh-CN"/>
                    </w:rPr>
                  </w:pPr>
                  <w:r>
                    <w:rPr>
                      <w:rFonts w:hint="eastAsia" w:ascii="Times New Roman" w:hAnsi="Times New Roman" w:eastAsia="宋体"/>
                      <w:color w:val="auto"/>
                      <w:lang w:eastAsia="zh-CN"/>
                    </w:rPr>
                    <w:t>发生泄漏污染地下水和土壤，或引发火灾污染大气</w:t>
                  </w:r>
                </w:p>
              </w:tc>
              <w:tc>
                <w:tcPr>
                  <w:tcW w:w="1386" w:type="dxa"/>
                  <w:vAlign w:val="center"/>
                </w:tcPr>
                <w:p w14:paraId="0DAF9BB7">
                  <w:pPr>
                    <w:widowControl w:val="0"/>
                    <w:kinsoku/>
                    <w:autoSpaceDE/>
                    <w:autoSpaceDN/>
                    <w:adjustRightInd/>
                    <w:snapToGrid/>
                    <w:jc w:val="center"/>
                    <w:textAlignment w:val="auto"/>
                    <w:rPr>
                      <w:rFonts w:ascii="Times New Roman" w:hAnsi="Times New Roman" w:eastAsia="宋体"/>
                      <w:color w:val="auto"/>
                      <w:lang w:eastAsia="zh-CN"/>
                    </w:rPr>
                  </w:pPr>
                  <w:r>
                    <w:rPr>
                      <w:rFonts w:ascii="Times New Roman" w:hAnsi="Times New Roman" w:eastAsia="宋体"/>
                      <w:color w:val="auto"/>
                      <w:lang w:eastAsia="zh-CN"/>
                    </w:rPr>
                    <w:t>随大气</w:t>
                  </w:r>
                  <w:r>
                    <w:rPr>
                      <w:rFonts w:hint="eastAsia" w:ascii="Times New Roman" w:hAnsi="Times New Roman" w:eastAsia="宋体"/>
                      <w:color w:val="auto"/>
                      <w:lang w:eastAsia="zh-CN"/>
                    </w:rPr>
                    <w:t>、土壤</w:t>
                  </w:r>
                  <w:r>
                    <w:rPr>
                      <w:rFonts w:ascii="Times New Roman" w:hAnsi="Times New Roman" w:eastAsia="宋体"/>
                      <w:color w:val="auto"/>
                      <w:lang w:eastAsia="zh-CN"/>
                    </w:rPr>
                    <w:t>扩散</w:t>
                  </w:r>
                </w:p>
              </w:tc>
            </w:tr>
          </w:tbl>
          <w:p w14:paraId="06EC37CE">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.3环境风险及防范措施</w:t>
            </w:r>
          </w:p>
          <w:p w14:paraId="17E71F3D">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（1）环境风险分析</w:t>
            </w:r>
          </w:p>
          <w:p w14:paraId="25A1921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①</w:t>
            </w:r>
            <w:r>
              <w:rPr>
                <w:rFonts w:ascii="Times New Roman" w:hAnsi="Times New Roman"/>
                <w:color w:val="auto"/>
                <w:spacing w:val="-2"/>
                <w:lang w:eastAsia="zh-CN"/>
              </w:rPr>
              <w:t>废机油泄漏事故</w:t>
            </w:r>
          </w:p>
          <w:p w14:paraId="3B9868FA">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项目生产过程中涉及的危险品有废机油，当储存容器发生破损造成泄漏。油品一旦发生泄露，不仅造成场地人员伤亡和设备设施的毁坏，还会严重威胁周围环境。废机油泄露进入环境，对河流、土壤、生物造成污染。这种污染一般范围广、面积较大、后果较为严重，达到自然环境的完全恢复需相当长的时间。对地表水的影响也是不能轻视的，地表水一旦遭到油品的污染，水生生物会遭受破坏，人畜根本无法饮用；同时也有可能污染土壤和地下水，污染的土壤不仅会造成植物的死亡，而且土壤层吸附的油品还会随着下渗补充到地下水，这样尽管污染源得到及时控制，但这种污染</w:t>
            </w:r>
            <w:r>
              <w:rPr>
                <w:rFonts w:hint="eastAsia" w:ascii="Times New Roman" w:hAnsi="Times New Roman"/>
                <w:color w:val="auto"/>
                <w:spacing w:val="-2"/>
                <w:lang w:eastAsia="zh-CN"/>
              </w:rPr>
              <w:t>仅靠</w:t>
            </w:r>
            <w:r>
              <w:rPr>
                <w:rFonts w:ascii="Times New Roman" w:hAnsi="Times New Roman"/>
                <w:color w:val="auto"/>
                <w:spacing w:val="-2"/>
                <w:lang w:eastAsia="zh-CN"/>
              </w:rPr>
              <w:t>地表雨水入渗的冲刷，含水层的自净降解将是一个长期的过程，达到地下水的完全恢复需要几十年甚至上百年的时间。</w:t>
            </w:r>
          </w:p>
          <w:p w14:paraId="24B389C9">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w:t>
            </w:r>
            <w:r>
              <w:rPr>
                <w:rFonts w:ascii="Times New Roman" w:hAnsi="Times New Roman"/>
                <w:color w:val="auto"/>
                <w:spacing w:val="-2"/>
                <w:lang w:eastAsia="zh-CN"/>
              </w:rPr>
              <w:t>危废暂存间管理风险</w:t>
            </w:r>
          </w:p>
          <w:p w14:paraId="6897FFF5">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危废暂存间防渗层破损或破裂，且在收集和转运过程中若管理不当，容易导致危险废物渗漏和洒落至地面，并可能进入地表及地下水体，对土壤和水环境造成污染。</w:t>
            </w:r>
          </w:p>
          <w:p w14:paraId="7B8D96D9">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w:t>
            </w:r>
            <w:r>
              <w:rPr>
                <w:rFonts w:hint="eastAsia" w:ascii="Times New Roman" w:hAnsi="Times New Roman"/>
                <w:color w:val="auto"/>
                <w:spacing w:val="-2"/>
                <w:lang w:eastAsia="zh-CN"/>
              </w:rPr>
              <w:t>2</w:t>
            </w:r>
            <w:r>
              <w:rPr>
                <w:rFonts w:ascii="Times New Roman" w:hAnsi="Times New Roman"/>
                <w:color w:val="auto"/>
                <w:spacing w:val="-2"/>
                <w:lang w:eastAsia="zh-CN"/>
              </w:rPr>
              <w:t>）火灾的风险防范措施</w:t>
            </w:r>
          </w:p>
          <w:p w14:paraId="672F4860">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①本项目总图布置符合《工业企业总平面设计规范》（GB50187-2012）、《建筑设计防火规范》（GB50016-2006）等有关规定，满足生产工艺要求，保证工艺流程顺畅，管线短捷，有利生产和便于管理；</w:t>
            </w:r>
          </w:p>
          <w:p w14:paraId="1B161A0C">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②厂内配置灭火器，其配置数量、型号满足《建筑灭火器配置设计规范》（GB040-2005）的要求；</w:t>
            </w:r>
          </w:p>
          <w:p w14:paraId="09D5DADC">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③加强职工的专业技能培训，专人负责环保设施设备的日常维护管理，保障设备的正常运行；</w:t>
            </w:r>
          </w:p>
          <w:p w14:paraId="3A9B86BF">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④加强</w:t>
            </w:r>
            <w:r>
              <w:rPr>
                <w:rFonts w:ascii="Times New Roman" w:hAnsi="Times New Roman"/>
                <w:color w:val="auto"/>
                <w:spacing w:val="-2"/>
                <w:lang w:eastAsia="zh-CN"/>
              </w:rPr>
              <w:t>车间日常管理工作，对车间原料及产品情况组织日常安全检查，及时掌握生产情况，有效预防生产过程事故的发生。加强生产车间职工的个人防护；</w:t>
            </w:r>
          </w:p>
          <w:p w14:paraId="159E1A40">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w:t>
            </w:r>
            <w:r>
              <w:rPr>
                <w:rFonts w:hint="eastAsia" w:ascii="Times New Roman" w:hAnsi="Times New Roman"/>
                <w:color w:val="auto"/>
                <w:spacing w:val="-2"/>
                <w:lang w:eastAsia="zh-CN"/>
              </w:rPr>
              <w:t>3</w:t>
            </w:r>
            <w:r>
              <w:rPr>
                <w:rFonts w:ascii="Times New Roman" w:hAnsi="Times New Roman"/>
                <w:color w:val="auto"/>
                <w:spacing w:val="-2"/>
                <w:lang w:eastAsia="zh-CN"/>
              </w:rPr>
              <w:t>）危险废物防范措施</w:t>
            </w:r>
          </w:p>
          <w:p w14:paraId="54E05ED1">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①产生及收集防范措施</w:t>
            </w:r>
          </w:p>
          <w:p w14:paraId="37F50158">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加强废机油的收集和仓储管理工作。设置专人负责废机油的收集和管理，严格按照相关要求，做好废机油的收集</w:t>
            </w:r>
            <w:r>
              <w:rPr>
                <w:rFonts w:hint="eastAsia" w:ascii="Times New Roman" w:hAnsi="Times New Roman"/>
                <w:color w:val="auto"/>
                <w:spacing w:val="-2"/>
                <w:lang w:eastAsia="zh-CN"/>
              </w:rPr>
              <w:t>、暂存</w:t>
            </w:r>
            <w:r>
              <w:rPr>
                <w:rFonts w:ascii="Times New Roman" w:hAnsi="Times New Roman"/>
                <w:color w:val="auto"/>
                <w:spacing w:val="-2"/>
                <w:lang w:eastAsia="zh-CN"/>
              </w:rPr>
              <w:t>和转运的管理台账。用完好的储油桶收集废机油，</w:t>
            </w:r>
            <w:r>
              <w:rPr>
                <w:rFonts w:hint="eastAsia" w:ascii="Times New Roman" w:hAnsi="Times New Roman"/>
                <w:color w:val="auto"/>
                <w:spacing w:val="-2"/>
                <w:lang w:eastAsia="zh-CN"/>
              </w:rPr>
              <w:t>集中</w:t>
            </w:r>
            <w:r>
              <w:rPr>
                <w:rFonts w:ascii="Times New Roman" w:hAnsi="Times New Roman"/>
                <w:color w:val="auto"/>
                <w:spacing w:val="-2"/>
                <w:lang w:eastAsia="zh-CN"/>
              </w:rPr>
              <w:t>存储于危废暂存间内</w:t>
            </w:r>
            <w:r>
              <w:rPr>
                <w:rFonts w:hint="eastAsia" w:ascii="Times New Roman" w:hAnsi="Times New Roman"/>
                <w:color w:val="auto"/>
                <w:spacing w:val="-2"/>
                <w:lang w:eastAsia="zh-CN"/>
              </w:rPr>
              <w:t>，</w:t>
            </w:r>
            <w:r>
              <w:rPr>
                <w:rFonts w:ascii="Times New Roman" w:hAnsi="Times New Roman"/>
                <w:color w:val="auto"/>
                <w:spacing w:val="-2"/>
                <w:lang w:eastAsia="zh-CN"/>
              </w:rPr>
              <w:t>做好危废暂存间的防腐防渗等工作，从源头</w:t>
            </w:r>
            <w:r>
              <w:rPr>
                <w:rFonts w:hint="eastAsia" w:ascii="Times New Roman" w:hAnsi="Times New Roman"/>
                <w:color w:val="auto"/>
                <w:spacing w:val="-2"/>
                <w:lang w:eastAsia="zh-CN"/>
              </w:rPr>
              <w:t>上</w:t>
            </w:r>
            <w:r>
              <w:rPr>
                <w:rFonts w:ascii="Times New Roman" w:hAnsi="Times New Roman"/>
                <w:color w:val="auto"/>
                <w:spacing w:val="-2"/>
                <w:lang w:eastAsia="zh-CN"/>
              </w:rPr>
              <w:t>杜绝</w:t>
            </w:r>
            <w:r>
              <w:rPr>
                <w:rFonts w:hint="eastAsia" w:ascii="Times New Roman" w:hAnsi="Times New Roman"/>
                <w:color w:val="auto"/>
                <w:spacing w:val="-2"/>
                <w:lang w:eastAsia="zh-CN"/>
              </w:rPr>
              <w:t>因</w:t>
            </w:r>
            <w:r>
              <w:rPr>
                <w:rFonts w:ascii="Times New Roman" w:hAnsi="Times New Roman"/>
                <w:color w:val="auto"/>
                <w:spacing w:val="-2"/>
                <w:lang w:eastAsia="zh-CN"/>
              </w:rPr>
              <w:t>废机油的跑冒滴漏</w:t>
            </w:r>
            <w:r>
              <w:rPr>
                <w:rFonts w:hint="eastAsia" w:ascii="Times New Roman" w:hAnsi="Times New Roman"/>
                <w:color w:val="auto"/>
                <w:spacing w:val="-2"/>
                <w:lang w:eastAsia="zh-CN"/>
              </w:rPr>
              <w:t>而污染地下水和土壤环境</w:t>
            </w:r>
            <w:r>
              <w:rPr>
                <w:rFonts w:ascii="Times New Roman" w:hAnsi="Times New Roman"/>
                <w:color w:val="auto"/>
                <w:spacing w:val="-2"/>
                <w:lang w:eastAsia="zh-CN"/>
              </w:rPr>
              <w:t>的风险；危险废物分类收集后暂存于危废暂存间内。</w:t>
            </w:r>
          </w:p>
          <w:p w14:paraId="0687D59F">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②运输过程中防范措施</w:t>
            </w:r>
          </w:p>
          <w:p w14:paraId="043B6CFF">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本项目运输过程中</w:t>
            </w:r>
            <w:r>
              <w:rPr>
                <w:rFonts w:hint="eastAsia" w:ascii="Times New Roman" w:hAnsi="Times New Roman"/>
                <w:color w:val="auto"/>
                <w:spacing w:val="-2"/>
                <w:lang w:eastAsia="zh-CN"/>
              </w:rPr>
              <w:t>废机油</w:t>
            </w:r>
            <w:r>
              <w:rPr>
                <w:rFonts w:ascii="Times New Roman" w:hAnsi="Times New Roman"/>
                <w:color w:val="auto"/>
                <w:spacing w:val="-2"/>
                <w:lang w:eastAsia="zh-CN"/>
              </w:rPr>
              <w:t>采用</w:t>
            </w:r>
            <w:r>
              <w:rPr>
                <w:rFonts w:hint="eastAsia" w:ascii="Times New Roman" w:hAnsi="Times New Roman"/>
                <w:color w:val="auto"/>
                <w:spacing w:val="-2"/>
                <w:lang w:eastAsia="zh-CN"/>
              </w:rPr>
              <w:t>封闭桶进行存储</w:t>
            </w:r>
            <w:r>
              <w:rPr>
                <w:rFonts w:ascii="Times New Roman" w:hAnsi="Times New Roman"/>
                <w:color w:val="auto"/>
                <w:spacing w:val="-2"/>
                <w:lang w:eastAsia="zh-CN"/>
              </w:rPr>
              <w:t>，</w:t>
            </w:r>
            <w:r>
              <w:rPr>
                <w:rFonts w:hint="eastAsia" w:ascii="Times New Roman" w:hAnsi="Times New Roman"/>
                <w:color w:val="auto"/>
                <w:spacing w:val="-2"/>
                <w:lang w:eastAsia="zh-CN"/>
              </w:rPr>
              <w:t>统一存储于</w:t>
            </w:r>
            <w:r>
              <w:rPr>
                <w:rFonts w:ascii="Times New Roman" w:hAnsi="Times New Roman"/>
                <w:color w:val="auto"/>
                <w:spacing w:val="-2"/>
                <w:lang w:eastAsia="zh-CN"/>
              </w:rPr>
              <w:t>厂内</w:t>
            </w:r>
            <w:r>
              <w:rPr>
                <w:rFonts w:hint="eastAsia" w:ascii="Times New Roman" w:hAnsi="Times New Roman"/>
                <w:color w:val="auto"/>
                <w:spacing w:val="-2"/>
                <w:lang w:eastAsia="zh-CN"/>
              </w:rPr>
              <w:t>危废暂存间内</w:t>
            </w:r>
            <w:r>
              <w:rPr>
                <w:rFonts w:ascii="Times New Roman" w:hAnsi="Times New Roman"/>
                <w:color w:val="auto"/>
                <w:spacing w:val="-2"/>
                <w:lang w:eastAsia="zh-CN"/>
              </w:rPr>
              <w:t>，厂外运输由有资质单位负责。正常情况下，运输过程中不会对沿线环境造成影响；但在发生事故的情况下，因</w:t>
            </w:r>
            <w:r>
              <w:rPr>
                <w:rFonts w:hint="eastAsia" w:ascii="Times New Roman" w:hAnsi="Times New Roman"/>
                <w:color w:val="auto"/>
                <w:spacing w:val="-2"/>
                <w:lang w:eastAsia="zh-CN"/>
              </w:rPr>
              <w:t>废机油桶</w:t>
            </w:r>
            <w:r>
              <w:rPr>
                <w:rFonts w:ascii="Times New Roman" w:hAnsi="Times New Roman"/>
                <w:color w:val="auto"/>
                <w:spacing w:val="-2"/>
                <w:lang w:eastAsia="zh-CN"/>
              </w:rPr>
              <w:t>泄漏，可能会对沿线的环境及敏感点造成不同程度的影响。因此，为了最大程度减轻对运输沿线的影响，运输过程中需采取以下防治措施：</w:t>
            </w:r>
          </w:p>
          <w:p w14:paraId="1AD66066">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a、严格按照危废转运的要求委托有资质单位负责运输。</w:t>
            </w:r>
          </w:p>
          <w:p w14:paraId="735A447F">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b、制定固定运输线路，转运路线的总体原则为：转运车辆运输途中</w:t>
            </w:r>
            <w:r>
              <w:rPr>
                <w:rFonts w:hint="eastAsia" w:ascii="Times New Roman" w:hAnsi="Times New Roman"/>
                <w:color w:val="auto"/>
                <w:spacing w:val="-2"/>
                <w:lang w:eastAsia="zh-CN"/>
              </w:rPr>
              <w:t>应</w:t>
            </w:r>
            <w:r>
              <w:rPr>
                <w:rFonts w:ascii="Times New Roman" w:hAnsi="Times New Roman"/>
                <w:color w:val="auto"/>
                <w:spacing w:val="-2"/>
                <w:lang w:eastAsia="zh-CN"/>
              </w:rPr>
              <w:t>避开医院、学校和居民区等人口密集区，避开饮用水水源保护区、自然保护区等敏感区域。</w:t>
            </w:r>
          </w:p>
          <w:p w14:paraId="21089815">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c、制定运输过程风险防范应急预案，一旦发生事故，立即开展应急防范工作，将可能造成的影响降至最小。本项目涉及的危险废物主要为</w:t>
            </w:r>
            <w:r>
              <w:rPr>
                <w:rFonts w:hint="eastAsia" w:ascii="Times New Roman" w:hAnsi="Times New Roman"/>
                <w:color w:val="auto"/>
                <w:spacing w:val="-2"/>
                <w:lang w:eastAsia="zh-CN"/>
              </w:rPr>
              <w:t>废机油</w:t>
            </w:r>
            <w:r>
              <w:rPr>
                <w:rFonts w:ascii="Times New Roman" w:hAnsi="Times New Roman"/>
                <w:color w:val="auto"/>
                <w:spacing w:val="-2"/>
                <w:lang w:eastAsia="zh-CN"/>
              </w:rPr>
              <w:t>，如果</w:t>
            </w:r>
            <w:r>
              <w:rPr>
                <w:rFonts w:hint="eastAsia" w:ascii="Times New Roman" w:hAnsi="Times New Roman"/>
                <w:color w:val="auto"/>
                <w:spacing w:val="-2"/>
                <w:lang w:eastAsia="zh-CN"/>
              </w:rPr>
              <w:t>废机油的</w:t>
            </w:r>
            <w:r>
              <w:rPr>
                <w:rFonts w:ascii="Times New Roman" w:hAnsi="Times New Roman"/>
                <w:color w:val="auto"/>
                <w:spacing w:val="-2"/>
                <w:lang w:eastAsia="zh-CN"/>
              </w:rPr>
              <w:t>储存和运输过程中操作不当、防渗材料破裂、贮存容器破损，都将导致</w:t>
            </w:r>
            <w:r>
              <w:rPr>
                <w:rFonts w:hint="eastAsia" w:ascii="Times New Roman" w:hAnsi="Times New Roman"/>
                <w:color w:val="auto"/>
                <w:spacing w:val="-2"/>
                <w:lang w:eastAsia="zh-CN"/>
              </w:rPr>
              <w:t>废机油</w:t>
            </w:r>
            <w:r>
              <w:rPr>
                <w:rFonts w:ascii="Times New Roman" w:hAnsi="Times New Roman"/>
                <w:color w:val="auto"/>
                <w:spacing w:val="-2"/>
                <w:lang w:eastAsia="zh-CN"/>
              </w:rPr>
              <w:t>的泄漏，带来严重的土壤、地下水等环境污染。</w:t>
            </w:r>
          </w:p>
          <w:p w14:paraId="1B6C51AC">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③危废暂存场风险防范措施如下：</w:t>
            </w:r>
          </w:p>
          <w:p w14:paraId="00096085">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a、危险废物暂存场所必须严格按照国家标准和规范进行设置，必须设置防渗、防漏、防腐、防雨等防范措施。</w:t>
            </w:r>
          </w:p>
          <w:p w14:paraId="4FC445F9">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b、危险废物暂存场所设置了便于危险废物泄漏的收集处理的设施。</w:t>
            </w:r>
          </w:p>
          <w:p w14:paraId="2610E67F">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c.</w:t>
            </w:r>
            <w:r>
              <w:rPr>
                <w:rFonts w:ascii="Times New Roman" w:hAnsi="Times New Roman"/>
                <w:color w:val="auto"/>
                <w:spacing w:val="-2"/>
                <w:lang w:eastAsia="zh-CN"/>
              </w:rPr>
              <w:t>在暂存场所内，各危险废物种类必须分类储存，并设置相应的标签，标明危废的来源，具体的成分，主要成分的性质和泄漏、火灾等处置方式，不得混合储存，各储存分区之间必须设置相应的防护距离，防止发生连锁反应。</w:t>
            </w:r>
          </w:p>
          <w:p w14:paraId="009658B1">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④危废处置措施</w:t>
            </w:r>
          </w:p>
          <w:p w14:paraId="5E9F161C">
            <w:pPr>
              <w:pStyle w:val="20"/>
              <w:kinsoku/>
              <w:spacing w:line="360" w:lineRule="auto"/>
              <w:ind w:firstLine="472" w:firstLineChars="200"/>
              <w:rPr>
                <w:rFonts w:ascii="Times New Roman" w:hAnsi="Times New Roman"/>
                <w:color w:val="auto"/>
                <w:spacing w:val="-2"/>
                <w:lang w:eastAsia="zh-CN"/>
              </w:rPr>
            </w:pPr>
            <w:r>
              <w:rPr>
                <w:rFonts w:ascii="Times New Roman" w:hAnsi="Times New Roman"/>
                <w:color w:val="auto"/>
                <w:spacing w:val="-2"/>
                <w:lang w:eastAsia="zh-CN"/>
              </w:rPr>
              <w:t>本项目危废产生后，收集后暂存于危废暂存间内，委托有资质的单位定期进行</w:t>
            </w:r>
            <w:r>
              <w:rPr>
                <w:rFonts w:hint="eastAsia" w:ascii="Times New Roman" w:hAnsi="Times New Roman"/>
                <w:color w:val="auto"/>
                <w:spacing w:val="-2"/>
                <w:lang w:eastAsia="zh-CN"/>
              </w:rPr>
              <w:t>清运和处置</w:t>
            </w:r>
            <w:r>
              <w:rPr>
                <w:rFonts w:ascii="Times New Roman" w:hAnsi="Times New Roman"/>
                <w:color w:val="auto"/>
                <w:spacing w:val="-2"/>
                <w:lang w:eastAsia="zh-CN"/>
              </w:rPr>
              <w:t>。经采取上述措施后，本项目危险废物收集、贮存、运输、利用、处置各环节对环境影响较小，环境风险可接受</w:t>
            </w:r>
            <w:r>
              <w:rPr>
                <w:rFonts w:hint="eastAsia" w:ascii="Times New Roman" w:hAnsi="Times New Roman"/>
                <w:color w:val="auto"/>
                <w:spacing w:val="-2"/>
                <w:lang w:eastAsia="zh-CN"/>
              </w:rPr>
              <w:t>。</w:t>
            </w:r>
          </w:p>
          <w:p w14:paraId="27C3477D">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.4环境风险应急措施</w:t>
            </w:r>
          </w:p>
          <w:p w14:paraId="6C697AB8">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（1）应急预案</w:t>
            </w:r>
          </w:p>
          <w:p w14:paraId="3B116AC0">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建设单位应按国家、地方及行业相关规范要求，制定环境风险应急预案，并在发现风险时立刻启动应急预案，采取应急措施阻止风险的蔓延。应急预案的内容和要求见下表。</w:t>
            </w:r>
          </w:p>
          <w:p w14:paraId="6BBE919A">
            <w:pPr>
              <w:widowControl w:val="0"/>
              <w:kinsoku/>
              <w:autoSpaceDE/>
              <w:autoSpaceDN/>
              <w:adjustRightInd/>
              <w:snapToGrid/>
              <w:spacing w:line="360" w:lineRule="auto"/>
              <w:jc w:val="center"/>
              <w:textAlignment w:val="auto"/>
              <w:rPr>
                <w:rFonts w:ascii="Times New Roman" w:hAnsi="Times New Roman" w:eastAsia="宋体" w:cs="Times New Roman"/>
                <w:b/>
                <w:color w:val="auto"/>
                <w:kern w:val="2"/>
                <w:szCs w:val="32"/>
                <w:lang w:eastAsia="zh-CN"/>
              </w:rPr>
            </w:pPr>
            <w:r>
              <w:rPr>
                <w:rFonts w:hint="eastAsia" w:ascii="Times New Roman" w:hAnsi="Times New Roman" w:eastAsia="宋体" w:cs="Times New Roman"/>
                <w:b/>
                <w:color w:val="auto"/>
                <w:kern w:val="2"/>
                <w:szCs w:val="32"/>
                <w:lang w:eastAsia="zh-CN"/>
              </w:rPr>
              <w:t>表4-19应急预案内容一览表</w:t>
            </w:r>
          </w:p>
          <w:tbl>
            <w:tblPr>
              <w:tblStyle w:val="1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5349"/>
            </w:tblGrid>
            <w:tr w14:paraId="0355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73D1BBC5">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项目</w:t>
                  </w:r>
                </w:p>
              </w:tc>
              <w:tc>
                <w:tcPr>
                  <w:tcW w:w="3278" w:type="pct"/>
                  <w:vAlign w:val="center"/>
                </w:tcPr>
                <w:p w14:paraId="7F4A33B3">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内容及要求</w:t>
                  </w:r>
                </w:p>
              </w:tc>
            </w:tr>
            <w:tr w14:paraId="0839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6D8BC1B6">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应急计划区</w:t>
                  </w:r>
                </w:p>
              </w:tc>
              <w:tc>
                <w:tcPr>
                  <w:tcW w:w="3278" w:type="pct"/>
                  <w:vAlign w:val="center"/>
                </w:tcPr>
                <w:p w14:paraId="2011B288">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危险目标：环境保护目标，项目区周围地表水和区域地下水，项目区下游耕地、土壤等</w:t>
                  </w:r>
                </w:p>
              </w:tc>
            </w:tr>
            <w:tr w14:paraId="7B2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58CEBAEC">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应急组织机构、人员</w:t>
                  </w:r>
                </w:p>
              </w:tc>
              <w:tc>
                <w:tcPr>
                  <w:tcW w:w="3278" w:type="pct"/>
                  <w:vAlign w:val="center"/>
                </w:tcPr>
                <w:p w14:paraId="7B58256B">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建设单位、地区应急组织机构人员</w:t>
                  </w:r>
                </w:p>
              </w:tc>
            </w:tr>
            <w:tr w14:paraId="0CF9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57957564">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预案分级响应条件</w:t>
                  </w:r>
                </w:p>
              </w:tc>
              <w:tc>
                <w:tcPr>
                  <w:tcW w:w="3278" w:type="pct"/>
                  <w:vAlign w:val="center"/>
                </w:tcPr>
                <w:p w14:paraId="57F2C4C2">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规定预案的级别及分级响应程序</w:t>
                  </w:r>
                </w:p>
              </w:tc>
            </w:tr>
            <w:tr w14:paraId="4021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768170E3">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应急救援保障</w:t>
                  </w:r>
                </w:p>
              </w:tc>
              <w:tc>
                <w:tcPr>
                  <w:tcW w:w="3278" w:type="pct"/>
                  <w:vAlign w:val="center"/>
                </w:tcPr>
                <w:p w14:paraId="7989551F">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应急设施，设备与器材等</w:t>
                  </w:r>
                </w:p>
              </w:tc>
            </w:tr>
            <w:tr w14:paraId="61DF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722" w:type="pct"/>
                  <w:vAlign w:val="center"/>
                </w:tcPr>
                <w:p w14:paraId="7733D359">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报警、通讯联络方式</w:t>
                  </w:r>
                </w:p>
              </w:tc>
              <w:tc>
                <w:tcPr>
                  <w:tcW w:w="3278" w:type="pct"/>
                  <w:vAlign w:val="center"/>
                </w:tcPr>
                <w:p w14:paraId="43BC1595">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规定应急状态下的报警通讯方式、通知方式和交通保障、管制</w:t>
                  </w:r>
                </w:p>
              </w:tc>
            </w:tr>
            <w:tr w14:paraId="4D3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485D9A4A">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应急环境监测、抢险、救援及控制措施</w:t>
                  </w:r>
                </w:p>
              </w:tc>
              <w:tc>
                <w:tcPr>
                  <w:tcW w:w="3278" w:type="pct"/>
                  <w:vAlign w:val="center"/>
                </w:tcPr>
                <w:p w14:paraId="0F45F707">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由专业队伍负责对事故现场进行侦察监测，对事故性质、参数与后果进行评估，为指挥部门提供决策依据。</w:t>
                  </w:r>
                </w:p>
              </w:tc>
            </w:tr>
            <w:tr w14:paraId="4CE1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4BCE0116">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应急检测、防护措施、清除泄漏措施和器材</w:t>
                  </w:r>
                </w:p>
              </w:tc>
              <w:tc>
                <w:tcPr>
                  <w:tcW w:w="3278" w:type="pct"/>
                  <w:vAlign w:val="center"/>
                </w:tcPr>
                <w:p w14:paraId="491E8BBF">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事故现场、邻近区域、控制防火区域，控制和消除污染措施及相应设备</w:t>
                  </w:r>
                </w:p>
              </w:tc>
            </w:tr>
            <w:tr w14:paraId="24B9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74D2EDAE">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人员紧急撤离、疏散，应急剂量控制、撤离组织计划</w:t>
                  </w:r>
                </w:p>
              </w:tc>
              <w:tc>
                <w:tcPr>
                  <w:tcW w:w="3278" w:type="pct"/>
                  <w:vAlign w:val="center"/>
                </w:tcPr>
                <w:p w14:paraId="6BCC7A5D">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事故现场、受事故影响的区域人员及公众对毒物应急计量控制规定，撤离组织计划及救护</w:t>
                  </w:r>
                </w:p>
              </w:tc>
            </w:tr>
            <w:tr w14:paraId="76A7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771F6997">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事故应急救援关闭程序与恢复措施</w:t>
                  </w:r>
                </w:p>
              </w:tc>
              <w:tc>
                <w:tcPr>
                  <w:tcW w:w="3278" w:type="pct"/>
                  <w:vAlign w:val="center"/>
                </w:tcPr>
                <w:p w14:paraId="5AF44FE8">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规定应急状态终止程序事故现场善后处理，恢复措施邻近区域解除事故警戒及善后恢复措施</w:t>
                  </w:r>
                </w:p>
              </w:tc>
            </w:tr>
            <w:tr w14:paraId="435B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0A756710">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应急培训计划</w:t>
                  </w:r>
                </w:p>
              </w:tc>
              <w:tc>
                <w:tcPr>
                  <w:tcW w:w="3278" w:type="pct"/>
                  <w:vAlign w:val="center"/>
                </w:tcPr>
                <w:p w14:paraId="482C076A">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应急计划制定后，平时安排人员培训与演练</w:t>
                  </w:r>
                </w:p>
              </w:tc>
            </w:tr>
            <w:tr w14:paraId="03E0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2" w:type="pct"/>
                  <w:vAlign w:val="center"/>
                </w:tcPr>
                <w:p w14:paraId="46DF9E17">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公众教育和信息</w:t>
                  </w:r>
                </w:p>
              </w:tc>
              <w:tc>
                <w:tcPr>
                  <w:tcW w:w="3278" w:type="pct"/>
                  <w:vAlign w:val="center"/>
                </w:tcPr>
                <w:p w14:paraId="7F432A0B">
                  <w:pPr>
                    <w:widowControl w:val="0"/>
                    <w:kinsoku/>
                    <w:autoSpaceDE/>
                    <w:autoSpaceDN/>
                    <w:adjustRightInd/>
                    <w:snapToGrid/>
                    <w:spacing w:line="360" w:lineRule="auto"/>
                    <w:jc w:val="center"/>
                    <w:textAlignment w:val="auto"/>
                    <w:rPr>
                      <w:rFonts w:ascii="Times New Roman" w:hAnsi="Times New Roman" w:eastAsia="宋体" w:cs="Times New Roman"/>
                      <w:color w:val="auto"/>
                      <w:kern w:val="2"/>
                      <w:szCs w:val="32"/>
                      <w:lang w:eastAsia="zh-CN"/>
                    </w:rPr>
                  </w:pPr>
                  <w:r>
                    <w:rPr>
                      <w:rFonts w:hint="eastAsia" w:ascii="Times New Roman" w:hAnsi="Times New Roman" w:eastAsia="宋体" w:cs="Times New Roman"/>
                      <w:color w:val="auto"/>
                      <w:kern w:val="2"/>
                      <w:szCs w:val="32"/>
                      <w:lang w:eastAsia="zh-CN"/>
                    </w:rPr>
                    <w:t>对邻近地区开展公众教育、培训和发布有关信息</w:t>
                  </w:r>
                </w:p>
              </w:tc>
            </w:tr>
          </w:tbl>
          <w:p w14:paraId="79904C29">
            <w:pPr>
              <w:pStyle w:val="17"/>
              <w:rPr>
                <w:color w:val="auto"/>
              </w:rPr>
            </w:pPr>
          </w:p>
          <w:p w14:paraId="1227E4A6">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（2）应急措施</w:t>
            </w:r>
          </w:p>
          <w:p w14:paraId="67EAC7AC">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①发生环境风险事故时，应及时报告，报告内容为：事故发生的地点、时间、事故类型（火灾、爆炸、泄漏）、周边情况，是否发生人员伤亡等情况。</w:t>
            </w:r>
          </w:p>
          <w:p w14:paraId="1C9FD3CC">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②当班抢险作业人员迅速查明原因，切断事故地点（部位）与外部环境联系。</w:t>
            </w:r>
          </w:p>
          <w:p w14:paraId="2DD6D390">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③若发生火灾的，如火势不大，用现场配备的灭火器灭火。如火势太大，无法控制，应及时报警，并组织现场人员撤离到事故现场上风向的安全区域，调度员视情况可安排整理工序暂停生产。</w:t>
            </w:r>
          </w:p>
          <w:p w14:paraId="35D12DCE">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④在发生泄漏时，及时报警，立即停止附近的动火作业。将泄漏物料收集在储存点围堰范围之内，使用临时抽吸系统尽快收集，并组织现场人员撤离到事故现场上风向的未污染区域，并用沙包堵住项目周边排水沟，防止物料排入周边地表水体。</w:t>
            </w:r>
          </w:p>
          <w:p w14:paraId="2A3D1D72">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⑤项目区内发生火灾爆炸事故启动相关消防应急措施时，同时启动应急预案的火灾爆炸事故环境应急措施。</w:t>
            </w:r>
          </w:p>
          <w:p w14:paraId="3DEBC61B">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⑥现场人员发现有中毒人员应立即通知应急小组成员，并应先用湿毛巾捂住口鼻抢救中毒人员。</w:t>
            </w:r>
          </w:p>
          <w:p w14:paraId="62107F16">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⑦对造成水污染事故的，应急监测小组需测量流速，估算污染物转移、扩散速率。迅速联合当地环境监察人员对事故周围环境（居民住宅区、地形）和人员反应做初步调查。</w:t>
            </w:r>
          </w:p>
          <w:p w14:paraId="7542FD40">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⑧应急处理小组根据污染监测数据和现场调查，向应急现场指挥组提出污染警戒区域（划定禁止取水区域或居住区域）的建议。应急现场指挥组向应急领导组报告后发布警报决定。</w:t>
            </w:r>
          </w:p>
          <w:p w14:paraId="1D36F1F8">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⑨应急小组要对污染状况进行跟踪调查，根据监测数据和其他有关数据编制分析图表，预测污染影响范围，及时调整对策。每24小时向应急现场指挥组报告一次污染事故处理动态和下一步对策（续报），直至突发事件消失。</w:t>
            </w:r>
          </w:p>
          <w:p w14:paraId="5C017EFF">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7</w:t>
            </w:r>
            <w:r>
              <w:rPr>
                <w:rFonts w:hint="eastAsia" w:ascii="Times New Roman" w:hAnsi="Times New Roman" w:cs="Times New Roman"/>
                <w:b/>
                <w:bCs/>
                <w:color w:val="auto"/>
                <w:spacing w:val="-2"/>
                <w:lang w:eastAsia="zh-CN"/>
              </w:rPr>
              <w:t>.5环境风险分析结论</w:t>
            </w:r>
          </w:p>
          <w:p w14:paraId="4AA6573D">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建设单位在做好风险管理和防范措施的前提下，可将风险事件影响控制在最低限度，对区域造成的影响可控制在局部范围内。</w:t>
            </w:r>
          </w:p>
          <w:p w14:paraId="74479F79">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8</w:t>
            </w:r>
            <w:r>
              <w:rPr>
                <w:rFonts w:hint="eastAsia" w:ascii="Times New Roman" w:hAnsi="Times New Roman" w:cs="Times New Roman"/>
                <w:b/>
                <w:bCs/>
                <w:color w:val="auto"/>
                <w:spacing w:val="-2"/>
                <w:lang w:eastAsia="zh-CN"/>
              </w:rPr>
              <w:t>、排污口规范化管理</w:t>
            </w:r>
          </w:p>
          <w:p w14:paraId="28A1DB7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根据国家环境保护总局环发〔1999〕24号文件的规定，一切新建、扩建、改建的排污单位必须在建设污染治理设施的同时建设规范化排污口，作为落实环境保护“三同时”制度的必要组成和项目验收内容之一。本环评对项目排污口提出以下措施：</w:t>
            </w:r>
          </w:p>
          <w:p w14:paraId="6A8E5E68">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（1）废气排放口</w:t>
            </w:r>
          </w:p>
          <w:p w14:paraId="1D8DDD1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在热风炉烟道进出口设置采样口，采样口的设置应符合《污染源监测技术规范》的要求，安装环境图形标志。</w:t>
            </w:r>
          </w:p>
          <w:p w14:paraId="62D3FEE6">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（2）排污口标识</w:t>
            </w:r>
          </w:p>
          <w:p w14:paraId="181BF1BA">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项目应完成废气排放源、噪声排放源的规范化建设，其投资纳入项目总投资中，同时各项污染源排放口应设置专项图标，执行《环境保护图形标志-排放口（源）》（GB15562-1995），详见下表。</w:t>
            </w:r>
          </w:p>
          <w:p w14:paraId="3A1EDA20">
            <w:pPr>
              <w:widowControl w:val="0"/>
              <w:kinsoku/>
              <w:autoSpaceDE/>
              <w:autoSpaceDN/>
              <w:adjustRightInd/>
              <w:snapToGrid/>
              <w:jc w:val="center"/>
              <w:textAlignment w:val="auto"/>
              <w:rPr>
                <w:rFonts w:ascii="Times New Roman" w:hAnsi="Times New Roman" w:eastAsia="宋体"/>
                <w:b/>
                <w:color w:val="auto"/>
                <w:lang w:eastAsia="zh-CN"/>
              </w:rPr>
            </w:pPr>
            <w:r>
              <w:rPr>
                <w:rFonts w:ascii="Times New Roman" w:hAnsi="Times New Roman" w:eastAsia="宋体"/>
                <w:b/>
                <w:color w:val="auto"/>
                <w:lang w:eastAsia="zh-CN"/>
              </w:rPr>
              <w:t>表</w:t>
            </w:r>
            <w:r>
              <w:rPr>
                <w:rFonts w:hint="eastAsia" w:ascii="Times New Roman" w:hAnsi="Times New Roman" w:eastAsia="宋体"/>
                <w:b/>
                <w:color w:val="auto"/>
                <w:lang w:eastAsia="zh-CN"/>
              </w:rPr>
              <w:t>4-20</w:t>
            </w:r>
            <w:r>
              <w:rPr>
                <w:rFonts w:ascii="Times New Roman" w:hAnsi="Times New Roman" w:eastAsia="宋体"/>
                <w:b/>
                <w:color w:val="auto"/>
                <w:lang w:eastAsia="zh-CN"/>
              </w:rPr>
              <w:t>各排污口（源）标志牌设置示意图表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548"/>
              <w:gridCol w:w="1513"/>
              <w:gridCol w:w="1513"/>
              <w:gridCol w:w="1754"/>
              <w:gridCol w:w="1617"/>
            </w:tblGrid>
            <w:tr w14:paraId="5DA8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14:paraId="29C7D096">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名称</w:t>
                  </w:r>
                </w:p>
              </w:tc>
              <w:tc>
                <w:tcPr>
                  <w:tcW w:w="1548" w:type="dxa"/>
                  <w:vAlign w:val="center"/>
                </w:tcPr>
                <w:p w14:paraId="37CBC063">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废气排放口</w:t>
                  </w:r>
                </w:p>
              </w:tc>
              <w:tc>
                <w:tcPr>
                  <w:tcW w:w="1513" w:type="dxa"/>
                  <w:vAlign w:val="center"/>
                </w:tcPr>
                <w:p w14:paraId="386A8CB6">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废水排放口</w:t>
                  </w:r>
                </w:p>
              </w:tc>
              <w:tc>
                <w:tcPr>
                  <w:tcW w:w="1513" w:type="dxa"/>
                  <w:vAlign w:val="center"/>
                </w:tcPr>
                <w:p w14:paraId="5ABFCCC9">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噪声排放源</w:t>
                  </w:r>
                </w:p>
              </w:tc>
              <w:tc>
                <w:tcPr>
                  <w:tcW w:w="1754" w:type="dxa"/>
                  <w:vAlign w:val="center"/>
                </w:tcPr>
                <w:p w14:paraId="1A2C29AB">
                  <w:pPr>
                    <w:widowControl w:val="0"/>
                    <w:kinsoku/>
                    <w:autoSpaceDE/>
                    <w:autoSpaceDN/>
                    <w:spacing w:line="360" w:lineRule="auto"/>
                    <w:jc w:val="center"/>
                    <w:textAlignment w:val="auto"/>
                    <w:rPr>
                      <w:rFonts w:ascii="Times New Roman" w:hAnsi="Times New Roman" w:eastAsia="宋体"/>
                      <w:color w:val="auto"/>
                    </w:rPr>
                  </w:pPr>
                  <w:r>
                    <w:rPr>
                      <w:rFonts w:ascii="Times New Roman" w:hAnsi="Times New Roman" w:eastAsia="宋体"/>
                      <w:color w:val="auto"/>
                    </w:rPr>
                    <w:t>一般工业固体废物</w:t>
                  </w:r>
                </w:p>
              </w:tc>
              <w:tc>
                <w:tcPr>
                  <w:tcW w:w="1617" w:type="dxa"/>
                  <w:vAlign w:val="center"/>
                </w:tcPr>
                <w:p w14:paraId="2AD08506">
                  <w:pPr>
                    <w:widowControl w:val="0"/>
                    <w:kinsoku/>
                    <w:autoSpaceDE/>
                    <w:autoSpaceDN/>
                    <w:spacing w:line="360" w:lineRule="auto"/>
                    <w:jc w:val="center"/>
                    <w:textAlignment w:val="auto"/>
                    <w:rPr>
                      <w:rFonts w:ascii="Times New Roman" w:hAnsi="Times New Roman" w:eastAsia="宋体"/>
                      <w:color w:val="auto"/>
                    </w:rPr>
                  </w:pPr>
                  <w:r>
                    <w:rPr>
                      <w:rFonts w:ascii="Times New Roman" w:hAnsi="Times New Roman" w:eastAsia="宋体"/>
                      <w:color w:val="auto"/>
                    </w:rPr>
                    <w:t>危险废物</w:t>
                  </w:r>
                </w:p>
              </w:tc>
            </w:tr>
            <w:tr w14:paraId="0001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14:paraId="02D52DBE">
                  <w:pPr>
                    <w:pStyle w:val="32"/>
                    <w:widowControl w:val="0"/>
                    <w:kinsoku/>
                    <w:autoSpaceDE/>
                    <w:autoSpaceDN/>
                    <w:spacing w:beforeLines="0" w:afterLines="0" w:line="360" w:lineRule="auto"/>
                    <w:textAlignment w:val="auto"/>
                    <w:rPr>
                      <w:rFonts w:ascii="Times New Roman" w:hAnsi="Times New Roman" w:eastAsia="宋体"/>
                      <w:color w:val="auto"/>
                      <w:kern w:val="2"/>
                      <w:szCs w:val="21"/>
                      <w:lang w:eastAsia="zh-Hans"/>
                    </w:rPr>
                  </w:pPr>
                  <w:r>
                    <w:rPr>
                      <w:rFonts w:ascii="Times New Roman" w:hAnsi="Times New Roman" w:eastAsia="宋体"/>
                      <w:color w:val="auto"/>
                      <w:kern w:val="2"/>
                      <w:szCs w:val="21"/>
                      <w:lang w:eastAsia="zh-Hans"/>
                    </w:rPr>
                    <w:t>提示图形</w:t>
                  </w:r>
                </w:p>
                <w:p w14:paraId="79B6B61E">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kern w:val="2"/>
                      <w:szCs w:val="21"/>
                      <w:lang w:eastAsia="zh-Hans"/>
                    </w:rPr>
                    <w:t>符号</w:t>
                  </w:r>
                </w:p>
              </w:tc>
              <w:tc>
                <w:tcPr>
                  <w:tcW w:w="1548" w:type="dxa"/>
                  <w:vAlign w:val="center"/>
                </w:tcPr>
                <w:p w14:paraId="76460A00">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szCs w:val="21"/>
                    </w:rPr>
                    <w:drawing>
                      <wp:inline distT="0" distB="0" distL="114300" distR="114300">
                        <wp:extent cx="720090" cy="720090"/>
                        <wp:effectExtent l="0" t="0" r="11430" b="1143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2"/>
                                <a:stretch>
                                  <a:fillRect/>
                                </a:stretch>
                              </pic:blipFill>
                              <pic:spPr>
                                <a:xfrm>
                                  <a:off x="0" y="0"/>
                                  <a:ext cx="720090" cy="720090"/>
                                </a:xfrm>
                                <a:prstGeom prst="rect">
                                  <a:avLst/>
                                </a:prstGeom>
                                <a:noFill/>
                                <a:ln>
                                  <a:noFill/>
                                </a:ln>
                              </pic:spPr>
                            </pic:pic>
                          </a:graphicData>
                        </a:graphic>
                      </wp:inline>
                    </w:drawing>
                  </w:r>
                </w:p>
              </w:tc>
              <w:tc>
                <w:tcPr>
                  <w:tcW w:w="1513" w:type="dxa"/>
                  <w:vAlign w:val="center"/>
                </w:tcPr>
                <w:p w14:paraId="58283A79">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szCs w:val="21"/>
                    </w:rPr>
                    <w:drawing>
                      <wp:inline distT="0" distB="0" distL="114300" distR="114300">
                        <wp:extent cx="720090" cy="720090"/>
                        <wp:effectExtent l="0" t="0" r="11430" b="1143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3"/>
                                <a:stretch>
                                  <a:fillRect/>
                                </a:stretch>
                              </pic:blipFill>
                              <pic:spPr>
                                <a:xfrm>
                                  <a:off x="0" y="0"/>
                                  <a:ext cx="720090" cy="720090"/>
                                </a:xfrm>
                                <a:prstGeom prst="rect">
                                  <a:avLst/>
                                </a:prstGeom>
                                <a:noFill/>
                                <a:ln>
                                  <a:noFill/>
                                </a:ln>
                              </pic:spPr>
                            </pic:pic>
                          </a:graphicData>
                        </a:graphic>
                      </wp:inline>
                    </w:drawing>
                  </w:r>
                </w:p>
              </w:tc>
              <w:tc>
                <w:tcPr>
                  <w:tcW w:w="1513" w:type="dxa"/>
                  <w:vAlign w:val="center"/>
                </w:tcPr>
                <w:p w14:paraId="616233A9">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szCs w:val="21"/>
                    </w:rPr>
                    <w:drawing>
                      <wp:inline distT="0" distB="0" distL="114300" distR="114300">
                        <wp:extent cx="720090" cy="720090"/>
                        <wp:effectExtent l="0" t="0" r="11430" b="1143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4"/>
                                <a:stretch>
                                  <a:fillRect/>
                                </a:stretch>
                              </pic:blipFill>
                              <pic:spPr>
                                <a:xfrm>
                                  <a:off x="0" y="0"/>
                                  <a:ext cx="720090" cy="720090"/>
                                </a:xfrm>
                                <a:prstGeom prst="rect">
                                  <a:avLst/>
                                </a:prstGeom>
                                <a:noFill/>
                                <a:ln>
                                  <a:noFill/>
                                </a:ln>
                              </pic:spPr>
                            </pic:pic>
                          </a:graphicData>
                        </a:graphic>
                      </wp:inline>
                    </w:drawing>
                  </w:r>
                </w:p>
              </w:tc>
              <w:tc>
                <w:tcPr>
                  <w:tcW w:w="1754" w:type="dxa"/>
                  <w:vAlign w:val="center"/>
                </w:tcPr>
                <w:p w14:paraId="18FBB25B">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szCs w:val="21"/>
                    </w:rPr>
                    <w:drawing>
                      <wp:inline distT="0" distB="0" distL="114300" distR="114300">
                        <wp:extent cx="720090" cy="720090"/>
                        <wp:effectExtent l="0" t="0" r="11430" b="1143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5"/>
                                <a:stretch>
                                  <a:fillRect/>
                                </a:stretch>
                              </pic:blipFill>
                              <pic:spPr>
                                <a:xfrm>
                                  <a:off x="0" y="0"/>
                                  <a:ext cx="720090" cy="720090"/>
                                </a:xfrm>
                                <a:prstGeom prst="rect">
                                  <a:avLst/>
                                </a:prstGeom>
                                <a:noFill/>
                                <a:ln>
                                  <a:noFill/>
                                </a:ln>
                              </pic:spPr>
                            </pic:pic>
                          </a:graphicData>
                        </a:graphic>
                      </wp:inline>
                    </w:drawing>
                  </w:r>
                </w:p>
              </w:tc>
              <w:tc>
                <w:tcPr>
                  <w:tcW w:w="1617" w:type="dxa"/>
                  <w:vAlign w:val="center"/>
                </w:tcPr>
                <w:p w14:paraId="6FDA3031">
                  <w:pPr>
                    <w:pStyle w:val="32"/>
                    <w:widowControl w:val="0"/>
                    <w:kinsoku/>
                    <w:autoSpaceDE/>
                    <w:autoSpaceDN/>
                    <w:spacing w:beforeLines="0" w:afterLines="0" w:line="360" w:lineRule="auto"/>
                    <w:textAlignment w:val="auto"/>
                    <w:rPr>
                      <w:rFonts w:ascii="Times New Roman" w:hAnsi="Times New Roman" w:eastAsia="宋体"/>
                      <w:color w:val="auto"/>
                      <w:szCs w:val="21"/>
                    </w:rPr>
                  </w:pPr>
                  <w:r>
                    <w:rPr>
                      <w:rFonts w:ascii="Times New Roman" w:hAnsi="Times New Roman" w:eastAsia="宋体"/>
                      <w:color w:val="auto"/>
                      <w:szCs w:val="21"/>
                    </w:rPr>
                    <w:drawing>
                      <wp:inline distT="0" distB="0" distL="114300" distR="114300">
                        <wp:extent cx="720090" cy="720090"/>
                        <wp:effectExtent l="0" t="0" r="11430" b="11430"/>
                        <wp:docPr id="23" name="图片 5"/>
                        <wp:cNvGraphicFramePr/>
                        <a:graphic xmlns:a="http://schemas.openxmlformats.org/drawingml/2006/main">
                          <a:graphicData uri="http://schemas.openxmlformats.org/drawingml/2006/picture">
                            <pic:pic xmlns:pic="http://schemas.openxmlformats.org/drawingml/2006/picture">
                              <pic:nvPicPr>
                                <pic:cNvPr id="23" name="图片 5"/>
                                <pic:cNvPicPr preferRelativeResize="0"/>
                              </pic:nvPicPr>
                              <pic:blipFill>
                                <a:blip r:embed="rId26"/>
                                <a:stretch>
                                  <a:fillRect/>
                                </a:stretch>
                              </pic:blipFill>
                              <pic:spPr>
                                <a:xfrm>
                                  <a:off x="0" y="0"/>
                                  <a:ext cx="720090" cy="720090"/>
                                </a:xfrm>
                                <a:prstGeom prst="rect">
                                  <a:avLst/>
                                </a:prstGeom>
                                <a:noFill/>
                                <a:ln>
                                  <a:noFill/>
                                </a:ln>
                              </pic:spPr>
                            </pic:pic>
                          </a:graphicData>
                        </a:graphic>
                      </wp:inline>
                    </w:drawing>
                  </w:r>
                </w:p>
              </w:tc>
            </w:tr>
            <w:tr w14:paraId="6762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14:paraId="7F808C30">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功能</w:t>
                  </w:r>
                </w:p>
              </w:tc>
              <w:tc>
                <w:tcPr>
                  <w:tcW w:w="1548" w:type="dxa"/>
                  <w:vAlign w:val="center"/>
                </w:tcPr>
                <w:p w14:paraId="0764FECD">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表示废气向大气环境排放</w:t>
                  </w:r>
                </w:p>
              </w:tc>
              <w:tc>
                <w:tcPr>
                  <w:tcW w:w="1513" w:type="dxa"/>
                  <w:vAlign w:val="center"/>
                </w:tcPr>
                <w:p w14:paraId="5A23B55A">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表示废水向水环境排放</w:t>
                  </w:r>
                </w:p>
              </w:tc>
              <w:tc>
                <w:tcPr>
                  <w:tcW w:w="1513" w:type="dxa"/>
                  <w:vAlign w:val="center"/>
                </w:tcPr>
                <w:p w14:paraId="7CCACA6D">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表示噪声向外环境排放</w:t>
                  </w:r>
                </w:p>
              </w:tc>
              <w:tc>
                <w:tcPr>
                  <w:tcW w:w="1754" w:type="dxa"/>
                  <w:vAlign w:val="center"/>
                </w:tcPr>
                <w:p w14:paraId="4023BE96">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表示</w:t>
                  </w:r>
                  <w:r>
                    <w:rPr>
                      <w:rFonts w:ascii="Times New Roman" w:hAnsi="Times New Roman" w:eastAsia="宋体"/>
                      <w:color w:val="auto"/>
                      <w:lang w:eastAsia="zh-CN"/>
                    </w:rPr>
                    <w:t>一般工业固体废物</w:t>
                  </w:r>
                  <w:r>
                    <w:rPr>
                      <w:rFonts w:ascii="Times New Roman" w:hAnsi="Times New Roman" w:eastAsia="宋体"/>
                      <w:color w:val="auto"/>
                      <w:lang w:eastAsia="zh-Hans"/>
                    </w:rPr>
                    <w:t>贮存、处置场所</w:t>
                  </w:r>
                </w:p>
              </w:tc>
              <w:tc>
                <w:tcPr>
                  <w:tcW w:w="1617" w:type="dxa"/>
                  <w:vAlign w:val="center"/>
                </w:tcPr>
                <w:p w14:paraId="15C41DF1">
                  <w:pPr>
                    <w:widowControl w:val="0"/>
                    <w:kinsoku/>
                    <w:autoSpaceDE/>
                    <w:autoSpaceDN/>
                    <w:spacing w:line="360" w:lineRule="auto"/>
                    <w:jc w:val="center"/>
                    <w:textAlignment w:val="auto"/>
                    <w:rPr>
                      <w:rFonts w:ascii="Times New Roman" w:hAnsi="Times New Roman" w:eastAsia="宋体"/>
                      <w:color w:val="auto"/>
                      <w:lang w:eastAsia="zh-Hans"/>
                    </w:rPr>
                  </w:pPr>
                  <w:r>
                    <w:rPr>
                      <w:rFonts w:ascii="Times New Roman" w:hAnsi="Times New Roman" w:eastAsia="宋体"/>
                      <w:color w:val="auto"/>
                      <w:lang w:eastAsia="zh-Hans"/>
                    </w:rPr>
                    <w:t>表示</w:t>
                  </w:r>
                  <w:r>
                    <w:rPr>
                      <w:rFonts w:ascii="Times New Roman" w:hAnsi="Times New Roman" w:eastAsia="宋体"/>
                      <w:color w:val="auto"/>
                      <w:lang w:eastAsia="zh-CN"/>
                    </w:rPr>
                    <w:t>危险废物</w:t>
                  </w:r>
                  <w:r>
                    <w:rPr>
                      <w:rFonts w:ascii="Times New Roman" w:hAnsi="Times New Roman" w:eastAsia="宋体"/>
                      <w:color w:val="auto"/>
                      <w:lang w:eastAsia="zh-Hans"/>
                    </w:rPr>
                    <w:t>贮存、处置场所</w:t>
                  </w:r>
                </w:p>
              </w:tc>
            </w:tr>
          </w:tbl>
          <w:p w14:paraId="2EDD3F73">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要求各排污口（源）提示标志形状采用正方形边框，背景颜色采用绿色，图形颜色采用白色，警告标志采用三角形边框，背景颜色采用黄色，图形颜色采用黑色，标志牌应设在与功能相应的醒目处，并保持清晰、完整。</w:t>
            </w:r>
          </w:p>
          <w:p w14:paraId="31443FD0">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（3）排污口管理</w:t>
            </w:r>
          </w:p>
          <w:p w14:paraId="28899762">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建设单位应在排污口设置标志牌，标志牌应注明污染物名称以警示周围群众，建设单位如实填写《中华人民共和国规范化排污口登记证》的有关内容，由生态环境主管部门签发排污许可证。建设单位应把有关排污情况及污染防治措施的运行情况建档管理，并报送生态环境主管部门备案。根据《建设项目环境风险评价技术导则》（HJ169-2018）、《关于切实加强风险防范严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p>
          <w:p w14:paraId="5A33EF09">
            <w:pPr>
              <w:pStyle w:val="20"/>
              <w:kinsoku/>
              <w:spacing w:line="360" w:lineRule="auto"/>
              <w:ind w:firstLine="474" w:firstLineChars="200"/>
              <w:rPr>
                <w:rFonts w:ascii="Times New Roman" w:hAnsi="Times New Roman" w:cs="Times New Roman"/>
                <w:b/>
                <w:bCs/>
                <w:color w:val="auto"/>
                <w:spacing w:val="-2"/>
                <w:lang w:eastAsia="zh-CN"/>
              </w:rPr>
            </w:pPr>
            <w:r>
              <w:rPr>
                <w:rFonts w:hint="eastAsia" w:ascii="Times New Roman" w:hAnsi="Times New Roman" w:cs="Times New Roman"/>
                <w:b/>
                <w:bCs/>
                <w:color w:val="auto"/>
                <w:spacing w:val="-2"/>
                <w:lang w:val="en-US" w:eastAsia="zh-CN"/>
              </w:rPr>
              <w:t>9</w:t>
            </w:r>
            <w:r>
              <w:rPr>
                <w:rFonts w:hint="eastAsia" w:ascii="Times New Roman" w:hAnsi="Times New Roman" w:cs="Times New Roman"/>
                <w:b/>
                <w:bCs/>
                <w:color w:val="auto"/>
                <w:spacing w:val="-2"/>
                <w:lang w:eastAsia="zh-CN"/>
              </w:rPr>
              <w:t>、电磁辐射</w:t>
            </w:r>
          </w:p>
          <w:p w14:paraId="1441E1B9">
            <w:pPr>
              <w:pStyle w:val="20"/>
              <w:kinsoku/>
              <w:spacing w:before="186" w:line="220" w:lineRule="auto"/>
              <w:ind w:left="590"/>
              <w:rPr>
                <w:rFonts w:ascii="Times New Roman" w:hAnsi="Times New Roman"/>
                <w:color w:val="auto"/>
                <w:spacing w:val="-12"/>
                <w:lang w:eastAsia="zh-CN"/>
              </w:rPr>
            </w:pPr>
            <w:r>
              <w:rPr>
                <w:rFonts w:ascii="Times New Roman" w:hAnsi="Times New Roman"/>
                <w:color w:val="auto"/>
                <w:spacing w:val="-12"/>
                <w:lang w:eastAsia="zh-CN"/>
              </w:rPr>
              <w:t>无。</w:t>
            </w:r>
          </w:p>
          <w:p w14:paraId="3D6115A0">
            <w:pPr>
              <w:pStyle w:val="20"/>
              <w:numPr>
                <w:ilvl w:val="0"/>
                <w:numId w:val="0"/>
              </w:numPr>
              <w:kinsoku/>
              <w:spacing w:line="360" w:lineRule="auto"/>
              <w:ind w:firstLine="474" w:firstLineChars="200"/>
              <w:rPr>
                <w:rFonts w:hint="default" w:ascii="Times New Roman" w:hAnsi="Times New Roman" w:cs="Times New Roman"/>
                <w:b/>
                <w:bCs/>
                <w:color w:val="auto"/>
                <w:spacing w:val="-2"/>
                <w:highlight w:val="red"/>
                <w:vertAlign w:val="baseline"/>
                <w:lang w:val="en-US" w:eastAsia="zh-CN"/>
              </w:rPr>
            </w:pPr>
            <w:r>
              <w:rPr>
                <w:rFonts w:hint="eastAsia" w:ascii="Times New Roman" w:hAnsi="Times New Roman" w:eastAsia="宋体" w:cs="Times New Roman"/>
                <w:b/>
                <w:bCs/>
                <w:snapToGrid w:val="0"/>
                <w:color w:val="auto"/>
                <w:spacing w:val="-2"/>
                <w:sz w:val="24"/>
                <w:szCs w:val="24"/>
                <w:lang w:val="en-US" w:eastAsia="zh-CN" w:bidi="ar-SA"/>
              </w:rPr>
              <w:t>1</w:t>
            </w:r>
            <w:r>
              <w:rPr>
                <w:rFonts w:hint="eastAsia" w:ascii="Times New Roman" w:hAnsi="Times New Roman" w:cs="Times New Roman"/>
                <w:b/>
                <w:bCs/>
                <w:snapToGrid w:val="0"/>
                <w:color w:val="auto"/>
                <w:spacing w:val="-2"/>
                <w:sz w:val="24"/>
                <w:szCs w:val="24"/>
                <w:lang w:val="en-US" w:eastAsia="zh-CN" w:bidi="ar-SA"/>
              </w:rPr>
              <w:t>0</w:t>
            </w:r>
            <w:r>
              <w:rPr>
                <w:rFonts w:hint="eastAsia" w:ascii="Times New Roman" w:hAnsi="Times New Roman" w:eastAsia="宋体" w:cs="Times New Roman"/>
                <w:b/>
                <w:bCs/>
                <w:snapToGrid w:val="0"/>
                <w:color w:val="auto"/>
                <w:spacing w:val="-2"/>
                <w:sz w:val="24"/>
                <w:szCs w:val="24"/>
                <w:lang w:val="en-US" w:eastAsia="zh-CN" w:bidi="ar-SA"/>
              </w:rPr>
              <w:t>、</w:t>
            </w:r>
            <w:r>
              <w:rPr>
                <w:rFonts w:hint="eastAsia" w:ascii="Times New Roman" w:hAnsi="Times New Roman" w:cs="Times New Roman"/>
                <w:b/>
                <w:bCs/>
                <w:snapToGrid w:val="0"/>
                <w:color w:val="auto"/>
                <w:spacing w:val="-2"/>
                <w:sz w:val="24"/>
                <w:szCs w:val="24"/>
                <w:lang w:val="en-US" w:eastAsia="zh-CN" w:bidi="ar-SA"/>
              </w:rPr>
              <w:t>污染防治措施一览表</w:t>
            </w:r>
          </w:p>
          <w:tbl>
            <w:tblPr>
              <w:tblStyle w:val="14"/>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343"/>
              <w:gridCol w:w="4782"/>
            </w:tblGrid>
            <w:tr w14:paraId="0494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6" w:type="dxa"/>
                  <w:gridSpan w:val="2"/>
                  <w:vAlign w:val="top"/>
                </w:tcPr>
                <w:p w14:paraId="60983165">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项目</w:t>
                  </w:r>
                </w:p>
              </w:tc>
              <w:tc>
                <w:tcPr>
                  <w:tcW w:w="4782" w:type="dxa"/>
                  <w:vAlign w:val="top"/>
                </w:tcPr>
                <w:p w14:paraId="6EFD0C33">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防治措施</w:t>
                  </w:r>
                </w:p>
              </w:tc>
            </w:tr>
            <w:tr w14:paraId="07E3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restart"/>
                  <w:vAlign w:val="top"/>
                </w:tcPr>
                <w:p w14:paraId="496724E8">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废气</w:t>
                  </w:r>
                </w:p>
              </w:tc>
              <w:tc>
                <w:tcPr>
                  <w:tcW w:w="2343" w:type="dxa"/>
                  <w:vAlign w:val="center"/>
                </w:tcPr>
                <w:p w14:paraId="535ADC65">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eastAsia="宋体" w:cs="宋体"/>
                      <w:color w:val="auto"/>
                      <w:lang w:eastAsia="zh-CN" w:bidi="ar"/>
                    </w:rPr>
                    <w:t>堆场粉尘</w:t>
                  </w:r>
                </w:p>
              </w:tc>
              <w:tc>
                <w:tcPr>
                  <w:tcW w:w="4782" w:type="dxa"/>
                  <w:vAlign w:val="center"/>
                </w:tcPr>
                <w:p w14:paraId="098612CA">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地面硬化、</w:t>
                  </w:r>
                  <w:r>
                    <w:rPr>
                      <w:rFonts w:hint="eastAsia" w:ascii="Times New Roman" w:hAnsi="Times New Roman" w:eastAsia="宋体" w:cs="宋体"/>
                      <w:color w:val="auto"/>
                      <w:lang w:val="en-US" w:eastAsia="zh-CN" w:bidi="ar"/>
                    </w:rPr>
                    <w:t>全封闭</w:t>
                  </w:r>
                  <w:r>
                    <w:rPr>
                      <w:rFonts w:hint="eastAsia" w:ascii="Times New Roman" w:hAnsi="Times New Roman" w:eastAsia="宋体" w:cs="宋体"/>
                      <w:color w:val="auto"/>
                      <w:lang w:eastAsia="zh-CN" w:bidi="ar"/>
                    </w:rPr>
                    <w:t>、洒水喷淋</w:t>
                  </w:r>
                </w:p>
              </w:tc>
            </w:tr>
            <w:tr w14:paraId="403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vAlign w:val="top"/>
                </w:tcPr>
                <w:p w14:paraId="0C19987A">
                  <w:pPr>
                    <w:pStyle w:val="20"/>
                    <w:widowControl w:val="0"/>
                    <w:numPr>
                      <w:ilvl w:val="0"/>
                      <w:numId w:val="0"/>
                    </w:numPr>
                    <w:kinsoku/>
                    <w:spacing w:line="360" w:lineRule="auto"/>
                    <w:jc w:val="both"/>
                    <w:rPr>
                      <w:rFonts w:hint="eastAsia" w:ascii="Times New Roman" w:hAnsi="Times New Roman" w:cs="Times New Roman"/>
                      <w:b/>
                      <w:bCs/>
                      <w:color w:val="auto"/>
                      <w:spacing w:val="-2"/>
                      <w:highlight w:val="red"/>
                      <w:vertAlign w:val="baseline"/>
                      <w:lang w:val="en-US" w:eastAsia="zh-CN"/>
                    </w:rPr>
                  </w:pPr>
                </w:p>
              </w:tc>
              <w:tc>
                <w:tcPr>
                  <w:tcW w:w="2343" w:type="dxa"/>
                  <w:vAlign w:val="center"/>
                </w:tcPr>
                <w:p w14:paraId="174DA696">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筒仓粉尘</w:t>
                  </w:r>
                </w:p>
              </w:tc>
              <w:tc>
                <w:tcPr>
                  <w:tcW w:w="4782" w:type="dxa"/>
                  <w:vAlign w:val="center"/>
                </w:tcPr>
                <w:p w14:paraId="71B6DBEE">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仓顶布袋除尘器</w:t>
                  </w:r>
                  <w:r>
                    <w:rPr>
                      <w:rFonts w:ascii="Times New Roman" w:hAnsi="Times New Roman" w:eastAsia="宋体" w:cs="Times New Roman"/>
                      <w:color w:val="auto"/>
                      <w:lang w:eastAsia="zh-CN" w:bidi="ar"/>
                    </w:rPr>
                    <w:t>1</w:t>
                  </w:r>
                  <w:r>
                    <w:rPr>
                      <w:rFonts w:hint="eastAsia" w:ascii="Times New Roman" w:hAnsi="Times New Roman" w:eastAsia="宋体" w:cs="宋体"/>
                      <w:color w:val="auto"/>
                      <w:lang w:eastAsia="zh-CN" w:bidi="ar"/>
                    </w:rPr>
                    <w:t>个</w:t>
                  </w:r>
                </w:p>
              </w:tc>
            </w:tr>
            <w:tr w14:paraId="508C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vAlign w:val="top"/>
                </w:tcPr>
                <w:p w14:paraId="5DA49877">
                  <w:pPr>
                    <w:pStyle w:val="20"/>
                    <w:widowControl w:val="0"/>
                    <w:numPr>
                      <w:ilvl w:val="0"/>
                      <w:numId w:val="0"/>
                    </w:numPr>
                    <w:kinsoku/>
                    <w:spacing w:line="360" w:lineRule="auto"/>
                    <w:jc w:val="both"/>
                    <w:rPr>
                      <w:rFonts w:hint="eastAsia" w:ascii="Times New Roman" w:hAnsi="Times New Roman" w:cs="Times New Roman"/>
                      <w:b/>
                      <w:bCs/>
                      <w:color w:val="auto"/>
                      <w:spacing w:val="-2"/>
                      <w:highlight w:val="red"/>
                      <w:vertAlign w:val="baseline"/>
                      <w:lang w:val="en-US" w:eastAsia="zh-CN"/>
                    </w:rPr>
                  </w:pPr>
                </w:p>
              </w:tc>
              <w:tc>
                <w:tcPr>
                  <w:tcW w:w="2343" w:type="dxa"/>
                  <w:vAlign w:val="center"/>
                </w:tcPr>
                <w:p w14:paraId="1B1309E2">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上料、搅拌粉尘</w:t>
                  </w:r>
                </w:p>
              </w:tc>
              <w:tc>
                <w:tcPr>
                  <w:tcW w:w="4782" w:type="dxa"/>
                  <w:vAlign w:val="center"/>
                </w:tcPr>
                <w:p w14:paraId="7F6AEC1D">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p>
              </w:tc>
            </w:tr>
            <w:tr w14:paraId="2222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523E7D68">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噪声</w:t>
                  </w:r>
                </w:p>
              </w:tc>
              <w:tc>
                <w:tcPr>
                  <w:tcW w:w="2343" w:type="dxa"/>
                  <w:vAlign w:val="center"/>
                </w:tcPr>
                <w:p w14:paraId="26647EEC">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机械噪声</w:t>
                  </w:r>
                </w:p>
              </w:tc>
              <w:tc>
                <w:tcPr>
                  <w:tcW w:w="4782" w:type="dxa"/>
                  <w:vAlign w:val="center"/>
                </w:tcPr>
                <w:p w14:paraId="2D8110BA">
                  <w:pPr>
                    <w:widowControl w:val="0"/>
                    <w:kinsoku/>
                    <w:jc w:val="center"/>
                    <w:textAlignment w:val="bottom"/>
                    <w:rPr>
                      <w:rFonts w:hint="eastAsia" w:ascii="Times New Roman" w:hAnsi="Times New Roman" w:cs="Times New Roman"/>
                      <w:b/>
                      <w:bCs/>
                      <w:color w:val="auto"/>
                      <w:spacing w:val="-2"/>
                      <w:highlight w:val="red"/>
                      <w:vertAlign w:val="baseline"/>
                      <w:lang w:val="en-US" w:eastAsia="zh-CN"/>
                    </w:rPr>
                  </w:pPr>
                  <w:r>
                    <w:rPr>
                      <w:rFonts w:hint="eastAsia" w:ascii="Times New Roman" w:hAnsi="Times New Roman" w:eastAsia="宋体" w:cs="宋体"/>
                      <w:color w:val="auto"/>
                      <w:lang w:eastAsia="zh-CN" w:bidi="ar"/>
                    </w:rPr>
                    <w:t>优化平面布置、选用低噪声设备、厂房隔声等</w:t>
                  </w:r>
                </w:p>
              </w:tc>
            </w:tr>
            <w:tr w14:paraId="6891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restart"/>
                  <w:vAlign w:val="top"/>
                </w:tcPr>
                <w:p w14:paraId="6F884097">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废水</w:t>
                  </w:r>
                </w:p>
              </w:tc>
              <w:tc>
                <w:tcPr>
                  <w:tcW w:w="2343" w:type="dxa"/>
                  <w:vAlign w:val="top"/>
                </w:tcPr>
                <w:p w14:paraId="028A80DA">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生活污水</w:t>
                  </w:r>
                </w:p>
              </w:tc>
              <w:tc>
                <w:tcPr>
                  <w:tcW w:w="4782" w:type="dxa"/>
                  <w:vAlign w:val="top"/>
                </w:tcPr>
                <w:p w14:paraId="14AE25C8">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生活污水排入农村污水管网，最终进入庆阳污水处理站处理</w:t>
                  </w:r>
                </w:p>
              </w:tc>
            </w:tr>
            <w:tr w14:paraId="18A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vAlign w:val="top"/>
                </w:tcPr>
                <w:p w14:paraId="6DC01976">
                  <w:pPr>
                    <w:pStyle w:val="20"/>
                    <w:widowControl w:val="0"/>
                    <w:numPr>
                      <w:ilvl w:val="0"/>
                      <w:numId w:val="0"/>
                    </w:numPr>
                    <w:kinsoku/>
                    <w:spacing w:line="360" w:lineRule="auto"/>
                    <w:jc w:val="both"/>
                    <w:rPr>
                      <w:rFonts w:hint="eastAsia" w:ascii="Times New Roman" w:hAnsi="Times New Roman" w:cs="Times New Roman"/>
                      <w:b/>
                      <w:bCs/>
                      <w:color w:val="auto"/>
                      <w:spacing w:val="-2"/>
                      <w:highlight w:val="red"/>
                      <w:vertAlign w:val="baseline"/>
                      <w:lang w:val="en-US" w:eastAsia="zh-CN"/>
                    </w:rPr>
                  </w:pPr>
                </w:p>
              </w:tc>
              <w:tc>
                <w:tcPr>
                  <w:tcW w:w="2343" w:type="dxa"/>
                  <w:vAlign w:val="top"/>
                </w:tcPr>
                <w:p w14:paraId="64955A5C">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生产废水</w:t>
                  </w:r>
                </w:p>
              </w:tc>
              <w:tc>
                <w:tcPr>
                  <w:tcW w:w="4782" w:type="dxa"/>
                  <w:vAlign w:val="top"/>
                </w:tcPr>
                <w:p w14:paraId="37B7786D">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经收集沉淀后后用于生产用水</w:t>
                  </w:r>
                </w:p>
              </w:tc>
            </w:tr>
            <w:tr w14:paraId="05AF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restart"/>
                  <w:vAlign w:val="center"/>
                </w:tcPr>
                <w:p w14:paraId="5C9C76E0">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固体废物</w:t>
                  </w:r>
                </w:p>
              </w:tc>
              <w:tc>
                <w:tcPr>
                  <w:tcW w:w="2343" w:type="dxa"/>
                  <w:vAlign w:val="center"/>
                </w:tcPr>
                <w:p w14:paraId="13AF3237">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一般固废</w:t>
                  </w:r>
                </w:p>
              </w:tc>
              <w:tc>
                <w:tcPr>
                  <w:tcW w:w="4782" w:type="dxa"/>
                  <w:vAlign w:val="top"/>
                </w:tcPr>
                <w:p w14:paraId="359463CA">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spacing w:val="-2"/>
                      <w:sz w:val="21"/>
                      <w:szCs w:val="21"/>
                      <w:lang w:eastAsia="zh-CN"/>
                    </w:rPr>
                    <w:t>拌合料废渣经破碎机破碎后返回工序，不合格产品及边角料全部返回生产工序，均不外排</w:t>
                  </w:r>
                </w:p>
              </w:tc>
            </w:tr>
            <w:tr w14:paraId="3A4E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vAlign w:val="center"/>
                </w:tcPr>
                <w:p w14:paraId="4D8D0165">
                  <w:pPr>
                    <w:widowControl w:val="0"/>
                    <w:kinsoku/>
                    <w:jc w:val="center"/>
                    <w:textAlignment w:val="bottom"/>
                    <w:rPr>
                      <w:rFonts w:hint="eastAsia" w:ascii="Times New Roman" w:hAnsi="Times New Roman" w:eastAsia="宋体" w:cs="宋体"/>
                      <w:color w:val="auto"/>
                      <w:lang w:val="en-US" w:eastAsia="zh-CN" w:bidi="ar"/>
                    </w:rPr>
                  </w:pPr>
                </w:p>
              </w:tc>
              <w:tc>
                <w:tcPr>
                  <w:tcW w:w="2343" w:type="dxa"/>
                  <w:vAlign w:val="center"/>
                </w:tcPr>
                <w:p w14:paraId="3500E8F2">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危险废物</w:t>
                  </w:r>
                </w:p>
              </w:tc>
              <w:tc>
                <w:tcPr>
                  <w:tcW w:w="4782" w:type="dxa"/>
                  <w:vAlign w:val="top"/>
                </w:tcPr>
                <w:p w14:paraId="614DD661">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color w:val="auto"/>
                      <w:spacing w:val="-2"/>
                      <w:sz w:val="21"/>
                      <w:szCs w:val="21"/>
                      <w:lang w:eastAsia="zh-CN"/>
                    </w:rPr>
                    <w:t>废机油、</w:t>
                  </w:r>
                  <w:r>
                    <w:rPr>
                      <w:rFonts w:hint="eastAsia" w:ascii="Times New Roman" w:hAnsi="Times New Roman"/>
                      <w:color w:val="auto"/>
                      <w:spacing w:val="-2"/>
                      <w:sz w:val="21"/>
                      <w:szCs w:val="21"/>
                      <w:lang w:val="en-US" w:eastAsia="zh-CN"/>
                    </w:rPr>
                    <w:t>废油桶</w:t>
                  </w:r>
                  <w:r>
                    <w:rPr>
                      <w:rFonts w:hint="eastAsia" w:ascii="Times New Roman" w:hAnsi="Times New Roman"/>
                      <w:spacing w:val="-2"/>
                      <w:sz w:val="21"/>
                      <w:szCs w:val="21"/>
                      <w:lang w:eastAsia="zh-CN"/>
                    </w:rPr>
                    <w:t>集中收集暂存于危废间内（3m</w:t>
                  </w:r>
                  <w:r>
                    <w:rPr>
                      <w:rFonts w:hint="eastAsia" w:ascii="Times New Roman" w:hAnsi="Times New Roman"/>
                      <w:spacing w:val="-2"/>
                      <w:sz w:val="21"/>
                      <w:szCs w:val="21"/>
                      <w:vertAlign w:val="superscript"/>
                      <w:lang w:eastAsia="zh-CN"/>
                    </w:rPr>
                    <w:t>2</w:t>
                  </w:r>
                  <w:r>
                    <w:rPr>
                      <w:rFonts w:hint="eastAsia" w:ascii="Times New Roman" w:hAnsi="Times New Roman"/>
                      <w:spacing w:val="-2"/>
                      <w:sz w:val="21"/>
                      <w:szCs w:val="21"/>
                      <w:lang w:eastAsia="zh-CN"/>
                    </w:rPr>
                    <w:t>），委托具有相关资质的单位进行清运处置</w:t>
                  </w:r>
                </w:p>
              </w:tc>
            </w:tr>
            <w:tr w14:paraId="0104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vAlign w:val="center"/>
                </w:tcPr>
                <w:p w14:paraId="0178ED61">
                  <w:pPr>
                    <w:widowControl w:val="0"/>
                    <w:kinsoku/>
                    <w:jc w:val="center"/>
                    <w:textAlignment w:val="bottom"/>
                    <w:rPr>
                      <w:rFonts w:hint="eastAsia" w:ascii="Times New Roman" w:hAnsi="Times New Roman" w:eastAsia="宋体" w:cs="宋体"/>
                      <w:color w:val="auto"/>
                      <w:lang w:val="en-US" w:eastAsia="zh-CN" w:bidi="ar"/>
                    </w:rPr>
                  </w:pPr>
                </w:p>
              </w:tc>
              <w:tc>
                <w:tcPr>
                  <w:tcW w:w="2343" w:type="dxa"/>
                  <w:vAlign w:val="center"/>
                </w:tcPr>
                <w:p w14:paraId="746553EF">
                  <w:pPr>
                    <w:widowControl w:val="0"/>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val="en-US" w:eastAsia="zh-CN" w:bidi="ar"/>
                    </w:rPr>
                    <w:t>生活垃圾</w:t>
                  </w:r>
                </w:p>
              </w:tc>
              <w:tc>
                <w:tcPr>
                  <w:tcW w:w="4782" w:type="dxa"/>
                  <w:vAlign w:val="top"/>
                </w:tcPr>
                <w:p w14:paraId="5D5014E5">
                  <w:pPr>
                    <w:widowControl w:val="0"/>
                    <w:kinsoku/>
                    <w:jc w:val="center"/>
                    <w:textAlignment w:val="bottom"/>
                    <w:rPr>
                      <w:rFonts w:hint="eastAsia" w:ascii="Times New Roman" w:hAnsi="Times New Roman" w:eastAsia="宋体" w:cs="宋体"/>
                      <w:color w:val="auto"/>
                      <w:lang w:val="en-US" w:eastAsia="zh-CN" w:bidi="ar"/>
                    </w:rPr>
                  </w:pPr>
                  <w:r>
                    <w:rPr>
                      <w:rFonts w:hint="eastAsia" w:ascii="Times New Roman" w:hAnsi="Times New Roman"/>
                      <w:spacing w:val="-2"/>
                      <w:sz w:val="21"/>
                      <w:szCs w:val="21"/>
                      <w:lang w:eastAsia="zh-CN"/>
                    </w:rPr>
                    <w:t>集中收集后交由环卫部门统一处理。</w:t>
                  </w:r>
                </w:p>
              </w:tc>
            </w:tr>
          </w:tbl>
          <w:p w14:paraId="07590DAD">
            <w:pPr>
              <w:pStyle w:val="20"/>
              <w:numPr>
                <w:ilvl w:val="0"/>
                <w:numId w:val="0"/>
              </w:numPr>
              <w:kinsoku/>
              <w:spacing w:line="360" w:lineRule="auto"/>
              <w:ind w:firstLine="474" w:firstLineChars="200"/>
              <w:rPr>
                <w:rFonts w:hint="eastAsia" w:ascii="Times New Roman" w:hAnsi="Times New Roman" w:eastAsia="宋体" w:cs="Times New Roman"/>
                <w:b/>
                <w:bCs/>
                <w:snapToGrid w:val="0"/>
                <w:color w:val="auto"/>
                <w:spacing w:val="-2"/>
                <w:sz w:val="24"/>
                <w:szCs w:val="24"/>
                <w:lang w:val="en-US" w:eastAsia="zh-CN" w:bidi="ar-SA"/>
              </w:rPr>
            </w:pPr>
            <w:r>
              <w:rPr>
                <w:rFonts w:hint="eastAsia" w:ascii="Times New Roman" w:hAnsi="Times New Roman" w:eastAsia="宋体" w:cs="Times New Roman"/>
                <w:b/>
                <w:bCs/>
                <w:snapToGrid w:val="0"/>
                <w:color w:val="auto"/>
                <w:spacing w:val="-2"/>
                <w:sz w:val="24"/>
                <w:szCs w:val="24"/>
                <w:lang w:val="en-US" w:eastAsia="zh-CN" w:bidi="ar-SA"/>
              </w:rPr>
              <w:t>1</w:t>
            </w:r>
            <w:r>
              <w:rPr>
                <w:rFonts w:hint="eastAsia" w:ascii="Times New Roman" w:hAnsi="Times New Roman" w:cs="Times New Roman"/>
                <w:b/>
                <w:bCs/>
                <w:snapToGrid w:val="0"/>
                <w:color w:val="auto"/>
                <w:spacing w:val="-2"/>
                <w:sz w:val="24"/>
                <w:szCs w:val="24"/>
                <w:lang w:val="en-US" w:eastAsia="zh-CN" w:bidi="ar-SA"/>
              </w:rPr>
              <w:t>1</w:t>
            </w:r>
            <w:r>
              <w:rPr>
                <w:rFonts w:hint="eastAsia" w:ascii="Times New Roman" w:hAnsi="Times New Roman" w:eastAsia="宋体" w:cs="Times New Roman"/>
                <w:b/>
                <w:bCs/>
                <w:snapToGrid w:val="0"/>
                <w:color w:val="auto"/>
                <w:spacing w:val="-2"/>
                <w:sz w:val="24"/>
                <w:szCs w:val="24"/>
                <w:lang w:val="en-US" w:eastAsia="zh-CN" w:bidi="ar-SA"/>
              </w:rPr>
              <w:t>、环保投资估算</w:t>
            </w:r>
          </w:p>
          <w:p w14:paraId="51F33E9F">
            <w:pPr>
              <w:pStyle w:val="20"/>
              <w:kinsoku/>
              <w:spacing w:line="360" w:lineRule="auto"/>
              <w:ind w:firstLine="472" w:firstLineChars="200"/>
              <w:rPr>
                <w:rFonts w:ascii="Times New Roman" w:hAnsi="Times New Roman"/>
                <w:color w:val="auto"/>
                <w:spacing w:val="-2"/>
                <w:lang w:eastAsia="zh-CN"/>
              </w:rPr>
            </w:pPr>
            <w:r>
              <w:rPr>
                <w:rFonts w:hint="eastAsia" w:ascii="Times New Roman" w:hAnsi="Times New Roman"/>
                <w:color w:val="auto"/>
                <w:spacing w:val="-2"/>
                <w:lang w:eastAsia="zh-CN"/>
              </w:rPr>
              <w:t>本项目总投资360万元，环保投资为</w:t>
            </w:r>
            <w:r>
              <w:rPr>
                <w:rFonts w:hint="eastAsia" w:ascii="Times New Roman" w:hAnsi="Times New Roman"/>
                <w:color w:val="auto"/>
                <w:spacing w:val="-2"/>
                <w:lang w:val="en-US" w:eastAsia="zh-CN"/>
              </w:rPr>
              <w:t>14.5</w:t>
            </w:r>
            <w:r>
              <w:rPr>
                <w:rFonts w:hint="eastAsia" w:ascii="Times New Roman" w:hAnsi="Times New Roman"/>
                <w:color w:val="auto"/>
                <w:spacing w:val="-2"/>
                <w:lang w:eastAsia="zh-CN"/>
              </w:rPr>
              <w:t>万元，占总投资的4.</w:t>
            </w:r>
            <w:r>
              <w:rPr>
                <w:rFonts w:hint="eastAsia" w:ascii="Times New Roman" w:hAnsi="Times New Roman"/>
                <w:color w:val="auto"/>
                <w:spacing w:val="-2"/>
                <w:lang w:val="en-US" w:eastAsia="zh-CN"/>
              </w:rPr>
              <w:t>03</w:t>
            </w:r>
            <w:r>
              <w:rPr>
                <w:rFonts w:hint="eastAsia" w:ascii="Times New Roman" w:hAnsi="Times New Roman"/>
                <w:color w:val="auto"/>
                <w:spacing w:val="-2"/>
                <w:lang w:eastAsia="zh-CN"/>
              </w:rPr>
              <w:t>%。环保投资明细见表4-21。</w:t>
            </w:r>
          </w:p>
          <w:p w14:paraId="07B0595A">
            <w:pPr>
              <w:pStyle w:val="20"/>
              <w:kinsoku/>
              <w:spacing w:before="2" w:line="343" w:lineRule="auto"/>
              <w:ind w:left="111" w:right="100" w:firstLine="480"/>
              <w:jc w:val="center"/>
              <w:rPr>
                <w:rFonts w:ascii="Times New Roman" w:hAnsi="Times New Roman"/>
                <w:b/>
                <w:bCs/>
                <w:color w:val="auto"/>
                <w:spacing w:val="-2"/>
                <w:sz w:val="21"/>
                <w:szCs w:val="21"/>
                <w:lang w:eastAsia="zh-CN"/>
              </w:rPr>
            </w:pPr>
            <w:r>
              <w:rPr>
                <w:rFonts w:ascii="Times New Roman" w:hAnsi="Times New Roman"/>
                <w:b/>
                <w:bCs/>
                <w:color w:val="auto"/>
                <w:spacing w:val="-2"/>
                <w:sz w:val="21"/>
                <w:szCs w:val="21"/>
                <w:lang w:eastAsia="zh-CN"/>
              </w:rPr>
              <w:t>表</w:t>
            </w:r>
            <w:r>
              <w:rPr>
                <w:rFonts w:hint="eastAsia" w:ascii="Times New Roman" w:hAnsi="Times New Roman" w:cs="Times New Roman"/>
                <w:b/>
                <w:bCs/>
                <w:color w:val="auto"/>
                <w:spacing w:val="-2"/>
                <w:sz w:val="21"/>
                <w:szCs w:val="21"/>
                <w:lang w:eastAsia="zh-CN"/>
              </w:rPr>
              <w:t>4-21</w:t>
            </w:r>
            <w:r>
              <w:rPr>
                <w:rFonts w:ascii="Times New Roman" w:hAnsi="Times New Roman"/>
                <w:b/>
                <w:bCs/>
                <w:color w:val="auto"/>
                <w:spacing w:val="-2"/>
                <w:sz w:val="21"/>
                <w:szCs w:val="21"/>
                <w:lang w:eastAsia="zh-CN"/>
              </w:rPr>
              <w:t>环境保护投资估算一览表</w:t>
            </w:r>
          </w:p>
          <w:tbl>
            <w:tblPr>
              <w:tblStyle w:val="13"/>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044"/>
              <w:gridCol w:w="2045"/>
              <w:gridCol w:w="2045"/>
            </w:tblGrid>
            <w:tr w14:paraId="38C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shd w:val="clear" w:color="auto" w:fill="auto"/>
                  <w:vAlign w:val="center"/>
                </w:tcPr>
                <w:p w14:paraId="59F1506E">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项目</w:t>
                  </w:r>
                </w:p>
              </w:tc>
              <w:tc>
                <w:tcPr>
                  <w:tcW w:w="2044" w:type="dxa"/>
                  <w:shd w:val="clear" w:color="auto" w:fill="auto"/>
                  <w:vAlign w:val="center"/>
                </w:tcPr>
                <w:p w14:paraId="5799C707">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污染控制类型</w:t>
                  </w:r>
                </w:p>
              </w:tc>
              <w:tc>
                <w:tcPr>
                  <w:tcW w:w="2045" w:type="dxa"/>
                  <w:shd w:val="clear" w:color="auto" w:fill="auto"/>
                  <w:vAlign w:val="center"/>
                </w:tcPr>
                <w:p w14:paraId="6FE5B371">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控制措施</w:t>
                  </w:r>
                </w:p>
              </w:tc>
              <w:tc>
                <w:tcPr>
                  <w:tcW w:w="2045" w:type="dxa"/>
                  <w:shd w:val="clear" w:color="auto" w:fill="auto"/>
                  <w:vAlign w:val="center"/>
                </w:tcPr>
                <w:p w14:paraId="5E1CA4C7">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投资（万元）</w:t>
                  </w:r>
                </w:p>
              </w:tc>
            </w:tr>
            <w:tr w14:paraId="6ECA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restart"/>
                  <w:shd w:val="clear" w:color="auto" w:fill="auto"/>
                  <w:vAlign w:val="center"/>
                </w:tcPr>
                <w:p w14:paraId="09D787EF">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废气</w:t>
                  </w:r>
                </w:p>
              </w:tc>
              <w:tc>
                <w:tcPr>
                  <w:tcW w:w="2044" w:type="dxa"/>
                  <w:shd w:val="clear" w:color="auto" w:fill="auto"/>
                  <w:vAlign w:val="center"/>
                </w:tcPr>
                <w:p w14:paraId="4B02526B">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堆场粉尘</w:t>
                  </w:r>
                </w:p>
              </w:tc>
              <w:tc>
                <w:tcPr>
                  <w:tcW w:w="2045" w:type="dxa"/>
                  <w:shd w:val="clear" w:color="auto" w:fill="auto"/>
                  <w:vAlign w:val="center"/>
                </w:tcPr>
                <w:p w14:paraId="22443BB1">
                  <w:pPr>
                    <w:kinsoku/>
                    <w:jc w:val="center"/>
                    <w:textAlignment w:val="bottom"/>
                    <w:rPr>
                      <w:rFonts w:ascii="Times New Roman" w:hAnsi="Times New Roman" w:eastAsia="宋体" w:cs="宋体"/>
                      <w:color w:val="auto"/>
                      <w:lang w:eastAsia="zh-CN"/>
                    </w:rPr>
                  </w:pPr>
                  <w:r>
                    <w:rPr>
                      <w:rFonts w:hint="eastAsia" w:ascii="Times New Roman" w:hAnsi="Times New Roman" w:eastAsia="宋体" w:cs="宋体"/>
                      <w:color w:val="auto"/>
                      <w:lang w:eastAsia="zh-CN" w:bidi="ar"/>
                    </w:rPr>
                    <w:t>地面硬化、</w:t>
                  </w:r>
                  <w:r>
                    <w:rPr>
                      <w:rFonts w:hint="eastAsia" w:ascii="Times New Roman" w:hAnsi="Times New Roman" w:eastAsia="宋体" w:cs="宋体"/>
                      <w:color w:val="auto"/>
                      <w:lang w:val="en-US" w:eastAsia="zh-CN" w:bidi="ar"/>
                    </w:rPr>
                    <w:t>全封闭</w:t>
                  </w:r>
                  <w:r>
                    <w:rPr>
                      <w:rFonts w:hint="eastAsia" w:ascii="Times New Roman" w:hAnsi="Times New Roman" w:eastAsia="宋体" w:cs="宋体"/>
                      <w:color w:val="auto"/>
                      <w:lang w:eastAsia="zh-CN" w:bidi="ar"/>
                    </w:rPr>
                    <w:t>、洒水喷淋</w:t>
                  </w:r>
                </w:p>
              </w:tc>
              <w:tc>
                <w:tcPr>
                  <w:tcW w:w="2045" w:type="dxa"/>
                  <w:shd w:val="clear" w:color="auto" w:fill="auto"/>
                  <w:vAlign w:val="center"/>
                </w:tcPr>
                <w:p w14:paraId="72F31CAA">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5</w:t>
                  </w:r>
                </w:p>
              </w:tc>
            </w:tr>
            <w:tr w14:paraId="783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continue"/>
                  <w:shd w:val="clear" w:color="auto" w:fill="auto"/>
                  <w:vAlign w:val="center"/>
                </w:tcPr>
                <w:p w14:paraId="323F43F7">
                  <w:pPr>
                    <w:kinsoku/>
                    <w:jc w:val="center"/>
                    <w:rPr>
                      <w:rFonts w:ascii="Times New Roman" w:hAnsi="Times New Roman" w:eastAsia="宋体"/>
                      <w:color w:val="auto"/>
                    </w:rPr>
                  </w:pPr>
                </w:p>
              </w:tc>
              <w:tc>
                <w:tcPr>
                  <w:tcW w:w="2044" w:type="dxa"/>
                  <w:shd w:val="clear" w:color="auto" w:fill="auto"/>
                  <w:vAlign w:val="center"/>
                </w:tcPr>
                <w:p w14:paraId="1BEC896C">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筒仓粉尘</w:t>
                  </w:r>
                </w:p>
              </w:tc>
              <w:tc>
                <w:tcPr>
                  <w:tcW w:w="2045" w:type="dxa"/>
                  <w:shd w:val="clear" w:color="auto" w:fill="auto"/>
                  <w:vAlign w:val="center"/>
                </w:tcPr>
                <w:p w14:paraId="0925EB45">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仓顶布袋除尘器</w:t>
                  </w:r>
                  <w:r>
                    <w:rPr>
                      <w:rFonts w:ascii="Times New Roman" w:hAnsi="Times New Roman" w:eastAsia="宋体" w:cs="Times New Roman"/>
                      <w:color w:val="auto"/>
                      <w:lang w:eastAsia="zh-CN" w:bidi="ar"/>
                    </w:rPr>
                    <w:t>1</w:t>
                  </w:r>
                  <w:r>
                    <w:rPr>
                      <w:rFonts w:hint="eastAsia" w:ascii="Times New Roman" w:hAnsi="Times New Roman" w:eastAsia="宋体" w:cs="宋体"/>
                      <w:color w:val="auto"/>
                      <w:lang w:eastAsia="zh-CN" w:bidi="ar"/>
                    </w:rPr>
                    <w:t>个</w:t>
                  </w:r>
                </w:p>
              </w:tc>
              <w:tc>
                <w:tcPr>
                  <w:tcW w:w="2045" w:type="dxa"/>
                  <w:shd w:val="clear" w:color="auto" w:fill="auto"/>
                  <w:vAlign w:val="center"/>
                </w:tcPr>
                <w:p w14:paraId="0166A51D">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2.4</w:t>
                  </w:r>
                </w:p>
              </w:tc>
            </w:tr>
            <w:tr w14:paraId="5567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continue"/>
                  <w:shd w:val="clear" w:color="auto" w:fill="auto"/>
                  <w:vAlign w:val="center"/>
                </w:tcPr>
                <w:p w14:paraId="0981100D">
                  <w:pPr>
                    <w:kinsoku/>
                    <w:jc w:val="center"/>
                    <w:rPr>
                      <w:rFonts w:ascii="Times New Roman" w:hAnsi="Times New Roman" w:eastAsia="宋体"/>
                      <w:color w:val="auto"/>
                    </w:rPr>
                  </w:pPr>
                </w:p>
              </w:tc>
              <w:tc>
                <w:tcPr>
                  <w:tcW w:w="2044" w:type="dxa"/>
                  <w:shd w:val="clear" w:color="auto" w:fill="auto"/>
                  <w:vAlign w:val="center"/>
                </w:tcPr>
                <w:p w14:paraId="73EC5BA1">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上料、搅拌粉尘</w:t>
                  </w:r>
                </w:p>
              </w:tc>
              <w:tc>
                <w:tcPr>
                  <w:tcW w:w="2045" w:type="dxa"/>
                  <w:shd w:val="clear" w:color="auto" w:fill="auto"/>
                  <w:vAlign w:val="center"/>
                </w:tcPr>
                <w:p w14:paraId="7D9D9382">
                  <w:pPr>
                    <w:kinsoku/>
                    <w:jc w:val="center"/>
                    <w:textAlignment w:val="bottom"/>
                    <w:rPr>
                      <w:rFonts w:ascii="Times New Roman" w:hAnsi="Times New Roman" w:eastAsia="宋体" w:cs="宋体"/>
                      <w:color w:val="auto"/>
                      <w:lang w:eastAsia="zh-CN"/>
                    </w:rPr>
                  </w:pPr>
                </w:p>
              </w:tc>
              <w:tc>
                <w:tcPr>
                  <w:tcW w:w="2045" w:type="dxa"/>
                  <w:shd w:val="clear" w:color="auto" w:fill="auto"/>
                  <w:vAlign w:val="center"/>
                </w:tcPr>
                <w:p w14:paraId="30AC687B">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1.5</w:t>
                  </w:r>
                </w:p>
              </w:tc>
            </w:tr>
            <w:tr w14:paraId="3737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shd w:val="clear" w:color="auto" w:fill="auto"/>
                  <w:vAlign w:val="center"/>
                </w:tcPr>
                <w:p w14:paraId="25DF64CA">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噪声</w:t>
                  </w:r>
                </w:p>
              </w:tc>
              <w:tc>
                <w:tcPr>
                  <w:tcW w:w="2044" w:type="dxa"/>
                  <w:shd w:val="clear" w:color="auto" w:fill="auto"/>
                  <w:vAlign w:val="center"/>
                </w:tcPr>
                <w:p w14:paraId="3B71D070">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机械噪声</w:t>
                  </w:r>
                </w:p>
              </w:tc>
              <w:tc>
                <w:tcPr>
                  <w:tcW w:w="2045" w:type="dxa"/>
                  <w:shd w:val="clear" w:color="auto" w:fill="auto"/>
                  <w:vAlign w:val="center"/>
                </w:tcPr>
                <w:p w14:paraId="30C2D815">
                  <w:pPr>
                    <w:kinsoku/>
                    <w:jc w:val="center"/>
                    <w:textAlignment w:val="bottom"/>
                    <w:rPr>
                      <w:rFonts w:ascii="Times New Roman" w:hAnsi="Times New Roman" w:eastAsia="宋体" w:cs="宋体"/>
                      <w:color w:val="auto"/>
                      <w:lang w:eastAsia="zh-CN"/>
                    </w:rPr>
                  </w:pPr>
                  <w:r>
                    <w:rPr>
                      <w:rFonts w:hint="eastAsia" w:ascii="Times New Roman" w:hAnsi="Times New Roman" w:eastAsia="宋体" w:cs="宋体"/>
                      <w:color w:val="auto"/>
                      <w:lang w:eastAsia="zh-CN" w:bidi="ar"/>
                    </w:rPr>
                    <w:t>优化平面布置、选用低噪声设备、厂房隔声等</w:t>
                  </w:r>
                </w:p>
              </w:tc>
              <w:tc>
                <w:tcPr>
                  <w:tcW w:w="2045" w:type="dxa"/>
                  <w:shd w:val="clear" w:color="auto" w:fill="auto"/>
                  <w:vAlign w:val="center"/>
                </w:tcPr>
                <w:p w14:paraId="58EA0AD2">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1</w:t>
                  </w:r>
                </w:p>
              </w:tc>
            </w:tr>
            <w:tr w14:paraId="02F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restart"/>
                  <w:shd w:val="clear" w:color="auto" w:fill="auto"/>
                  <w:vAlign w:val="center"/>
                </w:tcPr>
                <w:p w14:paraId="4B535CF5">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固体废物</w:t>
                  </w:r>
                </w:p>
              </w:tc>
              <w:tc>
                <w:tcPr>
                  <w:tcW w:w="2044" w:type="dxa"/>
                  <w:shd w:val="clear" w:color="auto" w:fill="auto"/>
                  <w:vAlign w:val="center"/>
                </w:tcPr>
                <w:p w14:paraId="0B96194B">
                  <w:pPr>
                    <w:kinsoku/>
                    <w:jc w:val="center"/>
                    <w:textAlignment w:val="bottom"/>
                    <w:rPr>
                      <w:rFonts w:ascii="Times New Roman" w:hAnsi="Times New Roman" w:eastAsia="宋体" w:cs="宋体"/>
                      <w:color w:val="auto"/>
                      <w:lang w:eastAsia="zh-CN" w:bidi="ar"/>
                    </w:rPr>
                  </w:pPr>
                  <w:r>
                    <w:rPr>
                      <w:rFonts w:hint="eastAsia" w:ascii="Times New Roman" w:hAnsi="Times New Roman" w:eastAsia="宋体" w:cs="宋体"/>
                      <w:color w:val="auto"/>
                      <w:lang w:eastAsia="zh-CN" w:bidi="ar"/>
                    </w:rPr>
                    <w:t>布袋除尘器收集的粉尘返回生产工序；拌合料渣、边角料及不合格产品全部收集经破碎后，作为骨料返回配料工序。</w:t>
                  </w:r>
                </w:p>
              </w:tc>
              <w:tc>
                <w:tcPr>
                  <w:tcW w:w="2045" w:type="dxa"/>
                  <w:shd w:val="clear" w:color="auto" w:fill="auto"/>
                  <w:vAlign w:val="center"/>
                </w:tcPr>
                <w:p w14:paraId="7FFFB00D">
                  <w:pPr>
                    <w:kinsoku/>
                    <w:jc w:val="center"/>
                    <w:textAlignment w:val="bottom"/>
                    <w:rPr>
                      <w:rFonts w:ascii="Times New Roman" w:hAnsi="Times New Roman" w:eastAsia="宋体" w:cs="宋体"/>
                      <w:color w:val="auto"/>
                      <w:lang w:eastAsia="zh-CN" w:bidi="ar"/>
                    </w:rPr>
                  </w:pPr>
                  <w:r>
                    <w:rPr>
                      <w:rFonts w:hint="eastAsia" w:ascii="Times New Roman" w:hAnsi="Times New Roman" w:eastAsia="宋体" w:cs="宋体"/>
                      <w:color w:val="auto"/>
                      <w:lang w:eastAsia="zh-CN" w:bidi="ar"/>
                    </w:rPr>
                    <w:t>回用于生产</w:t>
                  </w:r>
                </w:p>
              </w:tc>
              <w:tc>
                <w:tcPr>
                  <w:tcW w:w="2045" w:type="dxa"/>
                  <w:shd w:val="clear" w:color="auto" w:fill="auto"/>
                  <w:vAlign w:val="center"/>
                </w:tcPr>
                <w:p w14:paraId="1DBC9FC9">
                  <w:pPr>
                    <w:kinsoku/>
                    <w:jc w:val="center"/>
                    <w:textAlignment w:val="bottom"/>
                    <w:rPr>
                      <w:rFonts w:ascii="Times New Roman" w:hAnsi="Times New Roman" w:eastAsia="宋体" w:cs="宋体"/>
                      <w:color w:val="auto"/>
                      <w:lang w:eastAsia="zh-CN" w:bidi="ar"/>
                    </w:rPr>
                  </w:pPr>
                  <w:r>
                    <w:rPr>
                      <w:rFonts w:hint="eastAsia" w:ascii="Times New Roman" w:hAnsi="Times New Roman" w:eastAsia="宋体" w:cs="宋体"/>
                      <w:color w:val="auto"/>
                      <w:lang w:eastAsia="zh-CN" w:bidi="ar"/>
                    </w:rPr>
                    <w:t>1.5</w:t>
                  </w:r>
                </w:p>
              </w:tc>
            </w:tr>
            <w:tr w14:paraId="51AF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continue"/>
                  <w:shd w:val="clear" w:color="auto" w:fill="auto"/>
                  <w:vAlign w:val="center"/>
                </w:tcPr>
                <w:p w14:paraId="26FFF92C">
                  <w:pPr>
                    <w:kinsoku/>
                    <w:jc w:val="center"/>
                    <w:rPr>
                      <w:rFonts w:ascii="Times New Roman" w:hAnsi="Times New Roman" w:eastAsia="宋体"/>
                      <w:color w:val="auto"/>
                    </w:rPr>
                  </w:pPr>
                </w:p>
              </w:tc>
              <w:tc>
                <w:tcPr>
                  <w:tcW w:w="2044" w:type="dxa"/>
                  <w:shd w:val="clear" w:color="auto" w:fill="auto"/>
                  <w:vAlign w:val="center"/>
                </w:tcPr>
                <w:p w14:paraId="218C0A33">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破损模具、废包装袋</w:t>
                  </w:r>
                </w:p>
              </w:tc>
              <w:tc>
                <w:tcPr>
                  <w:tcW w:w="2045" w:type="dxa"/>
                  <w:shd w:val="clear" w:color="auto" w:fill="auto"/>
                  <w:vAlign w:val="center"/>
                </w:tcPr>
                <w:p w14:paraId="509C7861">
                  <w:pPr>
                    <w:kinsoku/>
                    <w:jc w:val="center"/>
                    <w:textAlignment w:val="bottom"/>
                    <w:rPr>
                      <w:rFonts w:ascii="Times New Roman" w:hAnsi="Times New Roman" w:eastAsia="宋体" w:cs="宋体"/>
                      <w:color w:val="auto"/>
                      <w:lang w:eastAsia="zh-CN"/>
                    </w:rPr>
                  </w:pPr>
                  <w:r>
                    <w:rPr>
                      <w:rFonts w:hint="eastAsia" w:ascii="Times New Roman" w:hAnsi="Times New Roman" w:eastAsia="宋体" w:cs="宋体"/>
                      <w:color w:val="auto"/>
                      <w:lang w:eastAsia="zh-CN" w:bidi="ar"/>
                    </w:rPr>
                    <w:t>设一般固废场所，临时储存，定期外购给物资回收公司</w:t>
                  </w:r>
                </w:p>
              </w:tc>
              <w:tc>
                <w:tcPr>
                  <w:tcW w:w="2045" w:type="dxa"/>
                  <w:shd w:val="clear" w:color="auto" w:fill="auto"/>
                  <w:vAlign w:val="center"/>
                </w:tcPr>
                <w:p w14:paraId="61EB7B8D">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0.6</w:t>
                  </w:r>
                </w:p>
              </w:tc>
            </w:tr>
            <w:tr w14:paraId="716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continue"/>
                  <w:shd w:val="clear" w:color="auto" w:fill="auto"/>
                  <w:vAlign w:val="center"/>
                </w:tcPr>
                <w:p w14:paraId="488560B5">
                  <w:pPr>
                    <w:kinsoku/>
                    <w:jc w:val="center"/>
                    <w:rPr>
                      <w:rFonts w:ascii="Times New Roman" w:hAnsi="Times New Roman" w:eastAsia="宋体"/>
                      <w:color w:val="auto"/>
                    </w:rPr>
                  </w:pPr>
                </w:p>
              </w:tc>
              <w:tc>
                <w:tcPr>
                  <w:tcW w:w="2044" w:type="dxa"/>
                  <w:shd w:val="clear" w:color="auto" w:fill="auto"/>
                  <w:vAlign w:val="center"/>
                </w:tcPr>
                <w:p w14:paraId="35DF937B">
                  <w:pPr>
                    <w:kinsoku/>
                    <w:jc w:val="center"/>
                    <w:textAlignment w:val="bottom"/>
                    <w:rPr>
                      <w:rFonts w:ascii="Times New Roman" w:hAnsi="Times New Roman" w:eastAsia="宋体" w:cs="宋体"/>
                      <w:color w:val="auto"/>
                    </w:rPr>
                  </w:pPr>
                  <w:r>
                    <w:rPr>
                      <w:rFonts w:hint="eastAsia" w:ascii="Times New Roman" w:hAnsi="Times New Roman" w:eastAsia="宋体" w:cs="宋体"/>
                      <w:color w:val="auto"/>
                      <w:lang w:eastAsia="zh-CN" w:bidi="ar"/>
                    </w:rPr>
                    <w:t>生活垃圾</w:t>
                  </w:r>
                </w:p>
              </w:tc>
              <w:tc>
                <w:tcPr>
                  <w:tcW w:w="2045" w:type="dxa"/>
                  <w:shd w:val="clear" w:color="auto" w:fill="auto"/>
                  <w:vAlign w:val="center"/>
                </w:tcPr>
                <w:p w14:paraId="5447CF22">
                  <w:pPr>
                    <w:kinsoku/>
                    <w:jc w:val="center"/>
                    <w:textAlignment w:val="bottom"/>
                    <w:rPr>
                      <w:rFonts w:ascii="Times New Roman" w:hAnsi="Times New Roman" w:eastAsia="宋体" w:cs="宋体"/>
                      <w:color w:val="auto"/>
                      <w:lang w:eastAsia="zh-CN"/>
                    </w:rPr>
                  </w:pPr>
                  <w:r>
                    <w:rPr>
                      <w:rFonts w:hint="eastAsia" w:ascii="Times New Roman" w:hAnsi="Times New Roman" w:eastAsia="宋体" w:cs="宋体"/>
                      <w:color w:val="auto"/>
                      <w:lang w:eastAsia="zh-CN" w:bidi="ar"/>
                    </w:rPr>
                    <w:t>交由环卫部门统一清运处理</w:t>
                  </w:r>
                </w:p>
              </w:tc>
              <w:tc>
                <w:tcPr>
                  <w:tcW w:w="2045" w:type="dxa"/>
                  <w:shd w:val="clear" w:color="auto" w:fill="auto"/>
                  <w:vAlign w:val="center"/>
                </w:tcPr>
                <w:p w14:paraId="0F40C8EB">
                  <w:pPr>
                    <w:kinsoku/>
                    <w:jc w:val="center"/>
                    <w:textAlignment w:val="bottom"/>
                    <w:rPr>
                      <w:rFonts w:ascii="Times New Roman" w:hAnsi="Times New Roman" w:eastAsia="宋体" w:cs="Times New Roman"/>
                      <w:color w:val="auto"/>
                    </w:rPr>
                  </w:pPr>
                  <w:r>
                    <w:rPr>
                      <w:rFonts w:ascii="Times New Roman" w:hAnsi="Times New Roman" w:eastAsia="宋体" w:cs="Times New Roman"/>
                      <w:color w:val="auto"/>
                      <w:lang w:eastAsia="zh-CN" w:bidi="ar"/>
                    </w:rPr>
                    <w:t>0.5</w:t>
                  </w:r>
                </w:p>
              </w:tc>
            </w:tr>
            <w:tr w14:paraId="7C0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vMerge w:val="continue"/>
                  <w:shd w:val="clear" w:color="auto" w:fill="auto"/>
                  <w:vAlign w:val="center"/>
                </w:tcPr>
                <w:p w14:paraId="369F3048">
                  <w:pPr>
                    <w:kinsoku/>
                    <w:jc w:val="center"/>
                    <w:rPr>
                      <w:rFonts w:ascii="Times New Roman" w:hAnsi="Times New Roman" w:eastAsia="宋体"/>
                      <w:color w:val="auto"/>
                    </w:rPr>
                  </w:pPr>
                </w:p>
              </w:tc>
              <w:tc>
                <w:tcPr>
                  <w:tcW w:w="2044" w:type="dxa"/>
                  <w:shd w:val="clear" w:color="auto" w:fill="auto"/>
                  <w:vAlign w:val="center"/>
                </w:tcPr>
                <w:p w14:paraId="040F4B11">
                  <w:pPr>
                    <w:kinsoku/>
                    <w:jc w:val="center"/>
                    <w:textAlignment w:val="bottom"/>
                    <w:rPr>
                      <w:rFonts w:hint="default" w:ascii="Times New Roman" w:hAnsi="Times New Roman" w:eastAsia="宋体" w:cs="宋体"/>
                      <w:color w:val="auto"/>
                      <w:lang w:val="en-US" w:eastAsia="zh-CN" w:bidi="ar"/>
                    </w:rPr>
                  </w:pPr>
                  <w:r>
                    <w:rPr>
                      <w:rFonts w:hint="eastAsia" w:ascii="Times New Roman" w:hAnsi="Times New Roman" w:eastAsia="宋体" w:cs="宋体"/>
                      <w:color w:val="auto"/>
                      <w:lang w:eastAsia="zh-CN" w:bidi="ar"/>
                    </w:rPr>
                    <w:t>废机油、</w:t>
                  </w:r>
                  <w:r>
                    <w:rPr>
                      <w:rFonts w:hint="eastAsia" w:ascii="Times New Roman" w:hAnsi="Times New Roman" w:eastAsia="宋体" w:cs="宋体"/>
                      <w:color w:val="auto"/>
                      <w:lang w:val="en-US" w:eastAsia="zh-CN" w:bidi="ar"/>
                    </w:rPr>
                    <w:t>废油桶</w:t>
                  </w:r>
                </w:p>
              </w:tc>
              <w:tc>
                <w:tcPr>
                  <w:tcW w:w="2045" w:type="dxa"/>
                  <w:shd w:val="clear" w:color="auto" w:fill="auto"/>
                  <w:vAlign w:val="center"/>
                </w:tcPr>
                <w:p w14:paraId="7E4FAEA6">
                  <w:pPr>
                    <w:kinsoku/>
                    <w:rPr>
                      <w:rFonts w:ascii="Times New Roman" w:hAnsi="Times New Roman" w:eastAsia="宋体" w:cs="宋体"/>
                      <w:color w:val="auto"/>
                      <w:lang w:eastAsia="zh-CN" w:bidi="ar"/>
                    </w:rPr>
                  </w:pPr>
                  <w:r>
                    <w:rPr>
                      <w:rFonts w:hint="eastAsia" w:ascii="Times New Roman" w:hAnsi="Times New Roman" w:eastAsia="宋体"/>
                      <w:color w:val="auto"/>
                      <w:lang w:eastAsia="zh-CN"/>
                    </w:rPr>
                    <w:t>暂存于危废暂存间，定期委托有资质单位进行处置</w:t>
                  </w:r>
                </w:p>
              </w:tc>
              <w:tc>
                <w:tcPr>
                  <w:tcW w:w="2045" w:type="dxa"/>
                  <w:shd w:val="clear" w:color="auto" w:fill="auto"/>
                  <w:vAlign w:val="center"/>
                </w:tcPr>
                <w:p w14:paraId="05ED9995">
                  <w:pPr>
                    <w:kinsoku/>
                    <w:jc w:val="center"/>
                    <w:rPr>
                      <w:rFonts w:ascii="Times New Roman" w:hAnsi="Times New Roman" w:eastAsia="宋体" w:cs="Times New Roman"/>
                      <w:color w:val="auto"/>
                      <w:lang w:eastAsia="zh-CN" w:bidi="ar"/>
                    </w:rPr>
                  </w:pPr>
                  <w:r>
                    <w:rPr>
                      <w:rFonts w:hint="eastAsia" w:ascii="Times New Roman" w:hAnsi="Times New Roman" w:eastAsia="宋体"/>
                      <w:color w:val="auto"/>
                      <w:lang w:eastAsia="zh-CN"/>
                    </w:rPr>
                    <w:t>2</w:t>
                  </w:r>
                </w:p>
              </w:tc>
            </w:tr>
            <w:tr w14:paraId="2A40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2" w:type="dxa"/>
                  <w:gridSpan w:val="3"/>
                  <w:shd w:val="clear" w:color="auto" w:fill="auto"/>
                  <w:vAlign w:val="center"/>
                </w:tcPr>
                <w:p w14:paraId="08E34C08">
                  <w:pPr>
                    <w:kinsoku/>
                    <w:jc w:val="center"/>
                    <w:textAlignment w:val="bottom"/>
                    <w:rPr>
                      <w:rFonts w:ascii="Times New Roman" w:hAnsi="Times New Roman" w:eastAsia="宋体" w:cs="宋体"/>
                      <w:color w:val="auto"/>
                      <w:lang w:eastAsia="zh-CN" w:bidi="ar"/>
                    </w:rPr>
                  </w:pPr>
                  <w:r>
                    <w:rPr>
                      <w:rFonts w:hint="eastAsia" w:ascii="Times New Roman" w:hAnsi="Times New Roman" w:eastAsia="宋体" w:cs="宋体"/>
                      <w:color w:val="auto"/>
                      <w:lang w:eastAsia="zh-CN" w:bidi="ar"/>
                    </w:rPr>
                    <w:t>合计</w:t>
                  </w:r>
                </w:p>
              </w:tc>
              <w:tc>
                <w:tcPr>
                  <w:tcW w:w="2045" w:type="dxa"/>
                  <w:shd w:val="clear" w:color="auto" w:fill="auto"/>
                  <w:vAlign w:val="center"/>
                </w:tcPr>
                <w:p w14:paraId="02BB0647">
                  <w:pPr>
                    <w:kinsoku/>
                    <w:jc w:val="center"/>
                    <w:textAlignment w:val="bottom"/>
                    <w:rPr>
                      <w:rFonts w:hint="default" w:ascii="Times New Roman" w:hAnsi="Times New Roman" w:eastAsia="宋体" w:cs="Times New Roman"/>
                      <w:color w:val="auto"/>
                      <w:lang w:val="en-US" w:eastAsia="zh-CN" w:bidi="ar"/>
                    </w:rPr>
                  </w:pPr>
                  <w:r>
                    <w:rPr>
                      <w:rFonts w:hint="eastAsia" w:ascii="Times New Roman" w:hAnsi="Times New Roman" w:eastAsia="宋体" w:cs="Times New Roman"/>
                      <w:color w:val="auto"/>
                      <w:lang w:val="en-US" w:eastAsia="zh-CN" w:bidi="ar"/>
                    </w:rPr>
                    <w:t>14.5</w:t>
                  </w:r>
                </w:p>
              </w:tc>
            </w:tr>
          </w:tbl>
          <w:p w14:paraId="30388716">
            <w:pPr>
              <w:pStyle w:val="20"/>
              <w:numPr>
                <w:ilvl w:val="0"/>
                <w:numId w:val="0"/>
              </w:numPr>
              <w:kinsoku/>
              <w:spacing w:line="360" w:lineRule="auto"/>
              <w:ind w:firstLine="474" w:firstLineChars="200"/>
              <w:rPr>
                <w:rFonts w:hint="eastAsia" w:ascii="Times New Roman" w:hAnsi="Times New Roman" w:eastAsia="宋体" w:cs="Times New Roman"/>
                <w:b/>
                <w:bCs/>
                <w:color w:val="auto"/>
                <w:spacing w:val="-2"/>
                <w:lang w:val="en-US" w:eastAsia="zh-CN"/>
              </w:rPr>
            </w:pPr>
            <w:r>
              <w:rPr>
                <w:rFonts w:hint="eastAsia" w:ascii="Times New Roman" w:hAnsi="Times New Roman" w:cs="Times New Roman"/>
                <w:b/>
                <w:bCs/>
                <w:snapToGrid w:val="0"/>
                <w:color w:val="auto"/>
                <w:spacing w:val="-2"/>
                <w:sz w:val="24"/>
                <w:szCs w:val="24"/>
                <w:lang w:val="en-US" w:eastAsia="zh-CN" w:bidi="ar-SA"/>
              </w:rPr>
              <w:t>12</w:t>
            </w:r>
            <w:r>
              <w:rPr>
                <w:rFonts w:hint="eastAsia" w:ascii="Times New Roman" w:hAnsi="Times New Roman" w:eastAsia="宋体" w:cs="Times New Roman"/>
                <w:b/>
                <w:bCs/>
                <w:snapToGrid w:val="0"/>
                <w:color w:val="auto"/>
                <w:spacing w:val="-2"/>
                <w:sz w:val="24"/>
                <w:szCs w:val="24"/>
                <w:lang w:val="en-US" w:eastAsia="zh-CN" w:bidi="ar-SA"/>
              </w:rPr>
              <w:t>、</w:t>
            </w:r>
            <w:r>
              <w:rPr>
                <w:rFonts w:hint="eastAsia" w:ascii="Times New Roman" w:hAnsi="Times New Roman" w:eastAsia="宋体" w:cs="Times New Roman"/>
                <w:b/>
                <w:bCs/>
                <w:color w:val="auto"/>
                <w:spacing w:val="-2"/>
                <w:lang w:val="en-US" w:eastAsia="zh-CN"/>
              </w:rPr>
              <w:t>竣工验收内容</w:t>
            </w:r>
          </w:p>
          <w:p w14:paraId="26E49572">
            <w:pPr>
              <w:pStyle w:val="20"/>
              <w:kinsoku/>
              <w:spacing w:line="360" w:lineRule="auto"/>
              <w:ind w:firstLine="472" w:firstLineChars="200"/>
              <w:rPr>
                <w:rFonts w:hint="default" w:ascii="Times New Roman" w:hAnsi="Times New Roman" w:eastAsia="宋体" w:cs="宋体"/>
                <w:color w:val="auto"/>
                <w:spacing w:val="-2"/>
                <w:lang w:val="en-US" w:eastAsia="zh-CN"/>
              </w:rPr>
            </w:pPr>
            <w:r>
              <w:rPr>
                <w:rFonts w:hint="eastAsia" w:ascii="Times New Roman" w:hAnsi="Times New Roman" w:eastAsia="宋体" w:cs="宋体"/>
                <w:color w:val="auto"/>
                <w:spacing w:val="-2"/>
                <w:lang w:val="en-US" w:eastAsia="zh-CN"/>
              </w:rPr>
              <w:t>本</w:t>
            </w:r>
            <w:r>
              <w:rPr>
                <w:rFonts w:hint="default" w:ascii="Times New Roman" w:hAnsi="Times New Roman" w:eastAsia="宋体" w:cs="宋体"/>
                <w:color w:val="auto"/>
                <w:spacing w:val="-2"/>
                <w:lang w:val="en-US" w:eastAsia="zh-CN"/>
              </w:rPr>
              <w:t>项目三同时竣工验收一览表见下表。</w:t>
            </w:r>
          </w:p>
          <w:p w14:paraId="626DB212">
            <w:pPr>
              <w:pStyle w:val="20"/>
              <w:kinsoku/>
              <w:spacing w:before="2" w:line="343" w:lineRule="auto"/>
              <w:ind w:left="111" w:right="100" w:firstLine="480"/>
              <w:jc w:val="center"/>
              <w:rPr>
                <w:rFonts w:hint="default" w:ascii="Times New Roman" w:hAnsi="Times New Roman" w:eastAsia="宋体" w:cs="宋体"/>
                <w:b/>
                <w:bCs/>
                <w:color w:val="auto"/>
                <w:spacing w:val="-2"/>
                <w:sz w:val="21"/>
                <w:szCs w:val="21"/>
                <w:lang w:val="en-US" w:eastAsia="zh-CN"/>
              </w:rPr>
            </w:pPr>
            <w:r>
              <w:rPr>
                <w:rFonts w:hint="eastAsia" w:ascii="Times New Roman" w:hAnsi="Times New Roman" w:eastAsia="宋体" w:cs="宋体"/>
                <w:b/>
                <w:bCs/>
                <w:color w:val="auto"/>
                <w:spacing w:val="-2"/>
                <w:sz w:val="21"/>
                <w:szCs w:val="21"/>
                <w:lang w:val="en-US" w:eastAsia="zh-CN"/>
              </w:rPr>
              <w:t>表4-22</w:t>
            </w:r>
            <w:r>
              <w:rPr>
                <w:rFonts w:hint="default" w:ascii="Times New Roman" w:hAnsi="Times New Roman" w:eastAsia="宋体" w:cs="宋体"/>
                <w:b/>
                <w:bCs/>
                <w:color w:val="auto"/>
                <w:spacing w:val="-2"/>
                <w:sz w:val="21"/>
                <w:szCs w:val="21"/>
                <w:lang w:val="en-US" w:eastAsia="zh-CN"/>
              </w:rPr>
              <w:t>三同时竣工验收一览表</w:t>
            </w:r>
          </w:p>
          <w:tbl>
            <w:tblPr>
              <w:tblStyle w:val="14"/>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37"/>
              <w:gridCol w:w="47"/>
              <w:gridCol w:w="991"/>
              <w:gridCol w:w="2076"/>
              <w:gridCol w:w="2059"/>
              <w:gridCol w:w="1234"/>
            </w:tblGrid>
            <w:tr w14:paraId="4CD5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noWrap w:val="0"/>
                  <w:vAlign w:val="center"/>
                </w:tcPr>
                <w:p w14:paraId="004542C6">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类别</w:t>
                  </w:r>
                </w:p>
              </w:tc>
              <w:tc>
                <w:tcPr>
                  <w:tcW w:w="664" w:type="pct"/>
                  <w:gridSpan w:val="2"/>
                  <w:noWrap w:val="0"/>
                  <w:vAlign w:val="center"/>
                </w:tcPr>
                <w:p w14:paraId="3744B701">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8"/>
                      <w:u w:val="none"/>
                      <w:lang w:val="en-US" w:eastAsia="zh-CN" w:bidi="ar"/>
                    </w:rPr>
                    <w:t>项目</w:t>
                  </w:r>
                </w:p>
              </w:tc>
              <w:tc>
                <w:tcPr>
                  <w:tcW w:w="607" w:type="pct"/>
                  <w:noWrap w:val="0"/>
                  <w:vAlign w:val="center"/>
                </w:tcPr>
                <w:p w14:paraId="27D7E2D3">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8"/>
                      <w:u w:val="none"/>
                      <w:lang w:val="en-US" w:eastAsia="zh-CN" w:bidi="ar"/>
                    </w:rPr>
                    <w:t>污染物</w:t>
                  </w:r>
                </w:p>
              </w:tc>
              <w:tc>
                <w:tcPr>
                  <w:tcW w:w="1272" w:type="pct"/>
                  <w:noWrap w:val="0"/>
                  <w:vAlign w:val="center"/>
                </w:tcPr>
                <w:p w14:paraId="6FA5B2DE">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8"/>
                      <w:u w:val="none"/>
                      <w:lang w:val="en-US" w:eastAsia="zh-CN" w:bidi="ar"/>
                    </w:rPr>
                    <w:t>措施</w:t>
                  </w:r>
                </w:p>
              </w:tc>
              <w:tc>
                <w:tcPr>
                  <w:tcW w:w="1261" w:type="pct"/>
                  <w:noWrap w:val="0"/>
                  <w:vAlign w:val="center"/>
                </w:tcPr>
                <w:p w14:paraId="7A401880">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8"/>
                      <w:u w:val="none"/>
                      <w:lang w:val="en-US" w:eastAsia="zh-CN" w:bidi="ar"/>
                    </w:rPr>
                    <w:t>预期效果</w:t>
                  </w:r>
                </w:p>
              </w:tc>
              <w:tc>
                <w:tcPr>
                  <w:tcW w:w="756" w:type="pct"/>
                  <w:noWrap w:val="0"/>
                  <w:vAlign w:val="center"/>
                </w:tcPr>
                <w:p w14:paraId="0780C468">
                  <w:pPr>
                    <w:keepNext w:val="0"/>
                    <w:keepLines w:val="0"/>
                    <w:widowControl/>
                    <w:suppressLineNumbers w:val="0"/>
                    <w:jc w:val="left"/>
                    <w:textAlignment w:val="center"/>
                    <w:rPr>
                      <w:rFonts w:ascii="Times New Roman" w:hAnsi="Times New Roman" w:eastAsia="宋体" w:cs="宋体"/>
                      <w:i w:val="0"/>
                      <w:iCs w:val="0"/>
                      <w:color w:val="auto"/>
                      <w:kern w:val="0"/>
                      <w:sz w:val="21"/>
                      <w:szCs w:val="28"/>
                      <w:u w:val="none"/>
                      <w:lang w:val="en-US" w:eastAsia="zh-CN" w:bidi="ar"/>
                    </w:rPr>
                  </w:pPr>
                  <w:r>
                    <w:rPr>
                      <w:rFonts w:ascii="Times New Roman" w:hAnsi="Times New Roman" w:eastAsia="宋体" w:cs="宋体"/>
                      <w:i w:val="0"/>
                      <w:iCs w:val="0"/>
                      <w:color w:val="auto"/>
                      <w:kern w:val="0"/>
                      <w:sz w:val="21"/>
                      <w:szCs w:val="28"/>
                      <w:u w:val="none"/>
                      <w:lang w:val="en-US" w:eastAsia="zh-CN" w:bidi="ar"/>
                    </w:rPr>
                    <w:t>验收及监测内容</w:t>
                  </w:r>
                </w:p>
              </w:tc>
            </w:tr>
            <w:tr w14:paraId="392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restart"/>
                  <w:noWrap w:val="0"/>
                  <w:vAlign w:val="top"/>
                </w:tcPr>
                <w:p w14:paraId="7818FEF3">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废气</w:t>
                  </w:r>
                </w:p>
              </w:tc>
              <w:tc>
                <w:tcPr>
                  <w:tcW w:w="664" w:type="pct"/>
                  <w:gridSpan w:val="2"/>
                  <w:noWrap w:val="0"/>
                  <w:vAlign w:val="center"/>
                </w:tcPr>
                <w:p w14:paraId="514940A2">
                  <w:pPr>
                    <w:pStyle w:val="20"/>
                    <w:widowControl w:val="0"/>
                    <w:spacing w:before="68" w:line="221" w:lineRule="auto"/>
                    <w:jc w:val="center"/>
                    <w:rPr>
                      <w:rFonts w:hint="default" w:ascii="Times New Roman" w:hAnsi="Times New Roman" w:eastAsia="宋体"/>
                      <w:color w:val="auto"/>
                      <w:sz w:val="21"/>
                      <w:vertAlign w:val="baseline"/>
                      <w:lang w:val="en-US" w:eastAsia="zh-CN"/>
                    </w:rPr>
                  </w:pPr>
                  <w:r>
                    <w:rPr>
                      <w:rFonts w:ascii="Times New Roman" w:hAnsi="Times New Roman" w:eastAsia="宋体"/>
                      <w:spacing w:val="-2"/>
                      <w:sz w:val="21"/>
                      <w:szCs w:val="21"/>
                    </w:rPr>
                    <w:t>堆场</w:t>
                  </w:r>
                </w:p>
              </w:tc>
              <w:tc>
                <w:tcPr>
                  <w:tcW w:w="607" w:type="pct"/>
                  <w:noWrap w:val="0"/>
                  <w:vAlign w:val="center"/>
                </w:tcPr>
                <w:p w14:paraId="7B4F8FBB">
                  <w:pPr>
                    <w:pStyle w:val="20"/>
                    <w:widowControl w:val="0"/>
                    <w:spacing w:before="68" w:line="221" w:lineRule="auto"/>
                    <w:jc w:val="center"/>
                    <w:rPr>
                      <w:rFonts w:hint="default" w:ascii="Times New Roman" w:hAnsi="Times New Roman" w:eastAsia="宋体"/>
                      <w:color w:val="auto"/>
                      <w:sz w:val="21"/>
                      <w:vertAlign w:val="baseline"/>
                      <w:lang w:val="en-US" w:eastAsia="zh-CN"/>
                    </w:rPr>
                  </w:pPr>
                  <w:r>
                    <w:rPr>
                      <w:rFonts w:ascii="Times New Roman" w:hAnsi="Times New Roman" w:eastAsia="宋体"/>
                      <w:spacing w:val="-1"/>
                      <w:sz w:val="21"/>
                      <w:szCs w:val="21"/>
                    </w:rPr>
                    <w:t>颗粒物</w:t>
                  </w:r>
                </w:p>
              </w:tc>
              <w:tc>
                <w:tcPr>
                  <w:tcW w:w="1272" w:type="pct"/>
                  <w:noWrap w:val="0"/>
                  <w:vAlign w:val="center"/>
                </w:tcPr>
                <w:p w14:paraId="4DD37ADB">
                  <w:pPr>
                    <w:pStyle w:val="20"/>
                    <w:widowControl w:val="0"/>
                    <w:spacing w:before="29"/>
                    <w:ind w:left="143" w:leftChars="0" w:right="133" w:rightChars="0"/>
                    <w:jc w:val="both"/>
                    <w:rPr>
                      <w:rFonts w:hint="default" w:ascii="Times New Roman" w:hAnsi="Times New Roman" w:eastAsia="宋体"/>
                      <w:color w:val="auto"/>
                      <w:sz w:val="21"/>
                      <w:vertAlign w:val="baseline"/>
                      <w:lang w:val="en-US" w:eastAsia="zh-CN"/>
                    </w:rPr>
                  </w:pPr>
                  <w:r>
                    <w:rPr>
                      <w:rFonts w:ascii="Times New Roman" w:hAnsi="Times New Roman" w:eastAsia="宋体"/>
                      <w:spacing w:val="-1"/>
                      <w:sz w:val="21"/>
                      <w:szCs w:val="21"/>
                      <w:lang w:eastAsia="zh-CN"/>
                    </w:rPr>
                    <w:t>地面硬化、</w:t>
                  </w:r>
                  <w:r>
                    <w:rPr>
                      <w:rFonts w:hint="eastAsia" w:ascii="Times New Roman" w:hAnsi="Times New Roman"/>
                      <w:spacing w:val="-1"/>
                      <w:sz w:val="21"/>
                      <w:szCs w:val="21"/>
                      <w:lang w:val="en-US" w:eastAsia="zh-CN"/>
                    </w:rPr>
                    <w:t>全封闭</w:t>
                  </w:r>
                  <w:r>
                    <w:rPr>
                      <w:rFonts w:ascii="Times New Roman" w:hAnsi="Times New Roman" w:eastAsia="宋体"/>
                      <w:spacing w:val="-3"/>
                      <w:sz w:val="21"/>
                      <w:szCs w:val="21"/>
                      <w:lang w:eastAsia="zh-CN"/>
                    </w:rPr>
                    <w:t>、</w:t>
                  </w:r>
                  <w:r>
                    <w:rPr>
                      <w:rFonts w:ascii="Times New Roman" w:hAnsi="Times New Roman" w:eastAsia="宋体"/>
                      <w:spacing w:val="-2"/>
                      <w:sz w:val="21"/>
                      <w:szCs w:val="21"/>
                      <w:lang w:eastAsia="zh-CN"/>
                    </w:rPr>
                    <w:t>洒水喷淋</w:t>
                  </w:r>
                </w:p>
              </w:tc>
              <w:tc>
                <w:tcPr>
                  <w:tcW w:w="1261" w:type="pct"/>
                  <w:noWrap w:val="0"/>
                  <w:vAlign w:val="center"/>
                </w:tcPr>
                <w:p w14:paraId="25B5CD89">
                  <w:pPr>
                    <w:pStyle w:val="20"/>
                    <w:widowControl w:val="0"/>
                    <w:spacing w:before="68" w:line="221" w:lineRule="auto"/>
                    <w:jc w:val="center"/>
                    <w:rPr>
                      <w:rFonts w:hint="default" w:ascii="Times New Roman" w:hAnsi="Times New Roman" w:eastAsia="宋体" w:cs="宋体"/>
                      <w:spacing w:val="-1"/>
                      <w:sz w:val="21"/>
                      <w:szCs w:val="21"/>
                      <w:lang w:val="en-US" w:eastAsia="zh-CN"/>
                    </w:rPr>
                  </w:pPr>
                  <w:r>
                    <w:rPr>
                      <w:rFonts w:hint="eastAsia" w:ascii="Times New Roman" w:hAnsi="Times New Roman" w:eastAsia="宋体" w:cs="宋体"/>
                      <w:spacing w:val="-1"/>
                      <w:sz w:val="21"/>
                      <w:szCs w:val="21"/>
                      <w:lang w:eastAsia="zh-CN"/>
                    </w:rPr>
                    <w:t>《水泥工业大气污染物排放标准》（</w:t>
                  </w:r>
                  <w:r>
                    <w:rPr>
                      <w:rFonts w:ascii="Times New Roman" w:hAnsi="Times New Roman" w:eastAsia="宋体" w:cs="宋体"/>
                      <w:spacing w:val="-1"/>
                      <w:sz w:val="21"/>
                      <w:szCs w:val="21"/>
                      <w:lang w:eastAsia="zh-CN"/>
                    </w:rPr>
                    <w:t>GB</w:t>
                  </w:r>
                  <w:r>
                    <w:rPr>
                      <w:rFonts w:hint="eastAsia" w:ascii="Times New Roman" w:hAnsi="Times New Roman" w:eastAsia="宋体" w:cs="宋体"/>
                      <w:spacing w:val="-1"/>
                      <w:sz w:val="21"/>
                      <w:szCs w:val="21"/>
                      <w:lang w:eastAsia="zh-CN"/>
                    </w:rPr>
                    <w:t>4915-2013）表3标准要求。</w:t>
                  </w:r>
                </w:p>
              </w:tc>
              <w:tc>
                <w:tcPr>
                  <w:tcW w:w="756" w:type="pct"/>
                  <w:vMerge w:val="restart"/>
                  <w:noWrap w:val="0"/>
                  <w:vAlign w:val="center"/>
                </w:tcPr>
                <w:p w14:paraId="162CFF76">
                  <w:pPr>
                    <w:keepNext w:val="0"/>
                    <w:keepLines w:val="0"/>
                    <w:widowControl/>
                    <w:suppressLineNumbers w:val="0"/>
                    <w:jc w:val="left"/>
                    <w:textAlignment w:val="center"/>
                    <w:rPr>
                      <w:rFonts w:hint="eastAsia"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8"/>
                      <w:u w:val="none"/>
                      <w:lang w:val="en-US" w:eastAsia="zh-CN" w:bidi="ar"/>
                    </w:rPr>
                    <w:t>排气筒设置情况，</w:t>
                  </w:r>
                  <w:r>
                    <w:rPr>
                      <w:rFonts w:hint="eastAsia" w:ascii="Times New Roman" w:hAnsi="Times New Roman" w:eastAsia="宋体" w:cs="宋体"/>
                      <w:i w:val="0"/>
                      <w:iCs w:val="0"/>
                      <w:color w:val="auto"/>
                      <w:kern w:val="0"/>
                      <w:sz w:val="21"/>
                      <w:szCs w:val="28"/>
                      <w:u w:val="none"/>
                      <w:lang w:val="en-US" w:eastAsia="zh-CN" w:bidi="ar"/>
                    </w:rPr>
                    <w:t>排气筒、厂界</w:t>
                  </w:r>
                  <w:r>
                    <w:rPr>
                      <w:rFonts w:hint="eastAsia" w:ascii="Times New Roman" w:hAnsi="Times New Roman" w:eastAsia="宋体" w:cs="宋体"/>
                      <w:color w:val="auto"/>
                      <w:kern w:val="0"/>
                      <w:sz w:val="21"/>
                      <w:szCs w:val="21"/>
                      <w:lang w:bidi="ar"/>
                    </w:rPr>
                    <w:t>颗粒物</w:t>
                  </w:r>
                  <w:r>
                    <w:rPr>
                      <w:rFonts w:hint="eastAsia" w:ascii="Times New Roman" w:hAnsi="Times New Roman" w:eastAsia="宋体" w:cs="宋体"/>
                      <w:color w:val="auto"/>
                      <w:kern w:val="0"/>
                      <w:sz w:val="21"/>
                      <w:szCs w:val="21"/>
                      <w:lang w:val="en-US" w:eastAsia="zh-CN" w:bidi="ar"/>
                    </w:rPr>
                    <w:t>监测</w:t>
                  </w:r>
                </w:p>
              </w:tc>
            </w:tr>
            <w:tr w14:paraId="589F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046FDCC1">
                  <w:pPr>
                    <w:pStyle w:val="17"/>
                    <w:tabs>
                      <w:tab w:val="left" w:pos="2760"/>
                    </w:tabs>
                    <w:rPr>
                      <w:rFonts w:hint="eastAsia" w:ascii="Times New Roman" w:hAnsi="Times New Roman" w:eastAsia="宋体"/>
                      <w:color w:val="auto"/>
                      <w:sz w:val="21"/>
                      <w:vertAlign w:val="baseline"/>
                      <w:lang w:val="en-US" w:eastAsia="zh-CN"/>
                    </w:rPr>
                  </w:pPr>
                </w:p>
              </w:tc>
              <w:tc>
                <w:tcPr>
                  <w:tcW w:w="664" w:type="pct"/>
                  <w:gridSpan w:val="2"/>
                  <w:noWrap w:val="0"/>
                  <w:vAlign w:val="center"/>
                </w:tcPr>
                <w:p w14:paraId="779149CE">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eastAsia="宋体"/>
                      <w:spacing w:val="-3"/>
                      <w:sz w:val="21"/>
                      <w:szCs w:val="21"/>
                    </w:rPr>
                    <w:t>筒仓</w:t>
                  </w:r>
                </w:p>
              </w:tc>
              <w:tc>
                <w:tcPr>
                  <w:tcW w:w="607" w:type="pct"/>
                  <w:noWrap w:val="0"/>
                  <w:vAlign w:val="center"/>
                </w:tcPr>
                <w:p w14:paraId="7A8D9703">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eastAsia="宋体"/>
                      <w:spacing w:val="-1"/>
                      <w:sz w:val="21"/>
                      <w:szCs w:val="21"/>
                    </w:rPr>
                    <w:t>颗粒物</w:t>
                  </w:r>
                </w:p>
              </w:tc>
              <w:tc>
                <w:tcPr>
                  <w:tcW w:w="1272" w:type="pct"/>
                  <w:noWrap w:val="0"/>
                  <w:vAlign w:val="center"/>
                </w:tcPr>
                <w:p w14:paraId="31920F31">
                  <w:pPr>
                    <w:pStyle w:val="20"/>
                    <w:widowControl w:val="0"/>
                    <w:spacing w:before="275" w:line="246" w:lineRule="auto"/>
                    <w:ind w:left="712" w:leftChars="0" w:right="133" w:rightChars="0" w:hanging="569" w:firstLineChars="0"/>
                    <w:jc w:val="both"/>
                    <w:rPr>
                      <w:rFonts w:hint="eastAsia" w:ascii="Times New Roman" w:hAnsi="Times New Roman" w:eastAsia="宋体"/>
                      <w:color w:val="auto"/>
                      <w:sz w:val="21"/>
                    </w:rPr>
                  </w:pPr>
                  <w:r>
                    <w:rPr>
                      <w:rFonts w:ascii="Times New Roman" w:hAnsi="Times New Roman" w:eastAsia="宋体"/>
                      <w:spacing w:val="-1"/>
                      <w:sz w:val="21"/>
                      <w:szCs w:val="21"/>
                    </w:rPr>
                    <w:t>仓顶布袋除尘器</w:t>
                  </w:r>
                  <w:r>
                    <w:rPr>
                      <w:rFonts w:ascii="Times New Roman" w:hAnsi="Times New Roman" w:eastAsia="宋体" w:cs="Times New Roman"/>
                      <w:spacing w:val="-13"/>
                      <w:sz w:val="21"/>
                      <w:szCs w:val="21"/>
                    </w:rPr>
                    <w:t>1</w:t>
                  </w:r>
                  <w:r>
                    <w:rPr>
                      <w:rFonts w:ascii="Times New Roman" w:hAnsi="Times New Roman" w:eastAsia="宋体"/>
                      <w:spacing w:val="-13"/>
                      <w:sz w:val="21"/>
                      <w:szCs w:val="21"/>
                    </w:rPr>
                    <w:t>个</w:t>
                  </w:r>
                </w:p>
              </w:tc>
              <w:tc>
                <w:tcPr>
                  <w:tcW w:w="1261" w:type="pct"/>
                  <w:noWrap w:val="0"/>
                  <w:vAlign w:val="center"/>
                </w:tcPr>
                <w:p w14:paraId="7B917B64">
                  <w:pPr>
                    <w:pStyle w:val="20"/>
                    <w:widowControl w:val="0"/>
                    <w:spacing w:before="68" w:line="221" w:lineRule="auto"/>
                    <w:jc w:val="center"/>
                    <w:rPr>
                      <w:rFonts w:ascii="Times New Roman" w:hAnsi="Times New Roman" w:eastAsia="宋体" w:cs="宋体"/>
                      <w:spacing w:val="-1"/>
                      <w:sz w:val="21"/>
                      <w:szCs w:val="21"/>
                    </w:rPr>
                  </w:pPr>
                  <w:r>
                    <w:rPr>
                      <w:rFonts w:hint="eastAsia" w:ascii="Times New Roman" w:hAnsi="Times New Roman" w:eastAsia="宋体" w:cs="宋体"/>
                      <w:spacing w:val="-1"/>
                      <w:sz w:val="21"/>
                      <w:szCs w:val="21"/>
                      <w:lang w:eastAsia="zh-CN"/>
                    </w:rPr>
                    <w:t>水泥工业大气污染物排放标准》（</w:t>
                  </w:r>
                  <w:r>
                    <w:rPr>
                      <w:rFonts w:ascii="Times New Roman" w:hAnsi="Times New Roman" w:eastAsia="宋体" w:cs="宋体"/>
                      <w:spacing w:val="-1"/>
                      <w:sz w:val="21"/>
                      <w:szCs w:val="21"/>
                      <w:lang w:eastAsia="zh-CN"/>
                    </w:rPr>
                    <w:t>GB</w:t>
                  </w:r>
                  <w:r>
                    <w:rPr>
                      <w:rFonts w:hint="eastAsia" w:ascii="Times New Roman" w:hAnsi="Times New Roman" w:eastAsia="宋体" w:cs="宋体"/>
                      <w:spacing w:val="-1"/>
                      <w:sz w:val="21"/>
                      <w:szCs w:val="21"/>
                      <w:lang w:eastAsia="zh-CN"/>
                    </w:rPr>
                    <w:t>4915-2013）</w:t>
                  </w:r>
                  <w:r>
                    <w:rPr>
                      <w:rFonts w:hint="eastAsia" w:ascii="Times New Roman" w:hAnsi="Times New Roman" w:eastAsia="宋体" w:cs="宋体"/>
                      <w:spacing w:val="-1"/>
                      <w:sz w:val="21"/>
                      <w:szCs w:val="21"/>
                      <w:lang w:val="en-US" w:eastAsia="zh-CN"/>
                    </w:rPr>
                    <w:t>表1标准要求</w:t>
                  </w:r>
                </w:p>
              </w:tc>
              <w:tc>
                <w:tcPr>
                  <w:tcW w:w="756" w:type="pct"/>
                  <w:vMerge w:val="continue"/>
                  <w:noWrap w:val="0"/>
                  <w:vAlign w:val="center"/>
                </w:tcPr>
                <w:p w14:paraId="6F292162">
                  <w:pPr>
                    <w:keepNext w:val="0"/>
                    <w:keepLines w:val="0"/>
                    <w:widowControl/>
                    <w:suppressLineNumbers w:val="0"/>
                    <w:jc w:val="left"/>
                    <w:textAlignment w:val="center"/>
                    <w:rPr>
                      <w:rFonts w:ascii="Times New Roman" w:hAnsi="Times New Roman" w:eastAsia="宋体" w:cs="宋体"/>
                      <w:i w:val="0"/>
                      <w:iCs w:val="0"/>
                      <w:color w:val="auto"/>
                      <w:kern w:val="0"/>
                      <w:sz w:val="21"/>
                      <w:szCs w:val="26"/>
                      <w:u w:val="none"/>
                      <w:lang w:val="en-US" w:eastAsia="zh-CN" w:bidi="ar"/>
                    </w:rPr>
                  </w:pPr>
                </w:p>
              </w:tc>
            </w:tr>
            <w:tr w14:paraId="5C2F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65C22D72">
                  <w:pPr>
                    <w:pStyle w:val="17"/>
                    <w:tabs>
                      <w:tab w:val="left" w:pos="2760"/>
                    </w:tabs>
                    <w:rPr>
                      <w:rFonts w:hint="default" w:ascii="Times New Roman" w:hAnsi="Times New Roman" w:eastAsia="宋体"/>
                      <w:color w:val="auto"/>
                      <w:sz w:val="21"/>
                      <w:vertAlign w:val="baseline"/>
                      <w:lang w:val="en-US" w:eastAsia="zh-CN"/>
                    </w:rPr>
                  </w:pPr>
                </w:p>
              </w:tc>
              <w:tc>
                <w:tcPr>
                  <w:tcW w:w="664" w:type="pct"/>
                  <w:gridSpan w:val="2"/>
                  <w:noWrap w:val="0"/>
                  <w:vAlign w:val="center"/>
                </w:tcPr>
                <w:p w14:paraId="3D73ADE1">
                  <w:pPr>
                    <w:pStyle w:val="20"/>
                    <w:widowControl w:val="0"/>
                    <w:spacing w:before="306" w:line="221" w:lineRule="auto"/>
                    <w:ind w:left="141" w:leftChars="0"/>
                    <w:jc w:val="center"/>
                    <w:rPr>
                      <w:rFonts w:hint="default" w:ascii="Times New Roman" w:hAnsi="Times New Roman" w:eastAsia="宋体"/>
                      <w:color w:val="auto"/>
                      <w:sz w:val="21"/>
                      <w:vertAlign w:val="baseline"/>
                      <w:lang w:val="en-US" w:eastAsia="zh-CN"/>
                    </w:rPr>
                  </w:pPr>
                  <w:r>
                    <w:rPr>
                      <w:rFonts w:ascii="Times New Roman" w:hAnsi="Times New Roman" w:eastAsia="宋体"/>
                      <w:spacing w:val="-1"/>
                      <w:sz w:val="21"/>
                      <w:szCs w:val="21"/>
                    </w:rPr>
                    <w:t>上料、搅拌粉尘</w:t>
                  </w:r>
                </w:p>
              </w:tc>
              <w:tc>
                <w:tcPr>
                  <w:tcW w:w="607" w:type="pct"/>
                  <w:noWrap w:val="0"/>
                  <w:vAlign w:val="center"/>
                </w:tcPr>
                <w:p w14:paraId="287BA2A5">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eastAsia="宋体"/>
                      <w:spacing w:val="-1"/>
                      <w:sz w:val="21"/>
                      <w:szCs w:val="21"/>
                    </w:rPr>
                    <w:t>颗粒物</w:t>
                  </w:r>
                </w:p>
              </w:tc>
              <w:tc>
                <w:tcPr>
                  <w:tcW w:w="1272" w:type="pct"/>
                  <w:noWrap w:val="0"/>
                  <w:vAlign w:val="center"/>
                </w:tcPr>
                <w:p w14:paraId="468E2CD0">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hint="eastAsia" w:ascii="Times New Roman" w:hAnsi="Times New Roman" w:eastAsia="宋体"/>
                      <w:spacing w:val="-1"/>
                      <w:sz w:val="21"/>
                      <w:szCs w:val="21"/>
                      <w:lang w:eastAsia="zh-CN"/>
                    </w:rPr>
                    <w:t>设置集气罩，收集后引至布袋除尘器处理后通过15m高排气筒（DA001）排放</w:t>
                  </w:r>
                </w:p>
              </w:tc>
              <w:tc>
                <w:tcPr>
                  <w:tcW w:w="1261" w:type="pct"/>
                  <w:noWrap w:val="0"/>
                  <w:vAlign w:val="center"/>
                </w:tcPr>
                <w:p w14:paraId="15DAED89">
                  <w:pPr>
                    <w:pStyle w:val="20"/>
                    <w:widowControl w:val="0"/>
                    <w:spacing w:before="68" w:line="221" w:lineRule="auto"/>
                    <w:jc w:val="center"/>
                    <w:rPr>
                      <w:rFonts w:hint="default" w:ascii="Times New Roman" w:hAnsi="Times New Roman" w:eastAsia="宋体" w:cs="宋体"/>
                      <w:spacing w:val="-1"/>
                      <w:sz w:val="21"/>
                      <w:szCs w:val="21"/>
                      <w:lang w:val="en-US" w:eastAsia="zh-CN"/>
                    </w:rPr>
                  </w:pPr>
                  <w:r>
                    <w:rPr>
                      <w:rFonts w:hint="eastAsia" w:ascii="Times New Roman" w:hAnsi="Times New Roman" w:eastAsia="宋体" w:cs="宋体"/>
                      <w:spacing w:val="-1"/>
                      <w:sz w:val="21"/>
                      <w:szCs w:val="21"/>
                      <w:lang w:eastAsia="zh-CN"/>
                    </w:rPr>
                    <w:t>水泥工业大气污染物排放标准》（</w:t>
                  </w:r>
                  <w:r>
                    <w:rPr>
                      <w:rFonts w:ascii="Times New Roman" w:hAnsi="Times New Roman" w:eastAsia="宋体" w:cs="宋体"/>
                      <w:spacing w:val="-1"/>
                      <w:sz w:val="21"/>
                      <w:szCs w:val="21"/>
                      <w:lang w:eastAsia="zh-CN"/>
                    </w:rPr>
                    <w:t>GB</w:t>
                  </w:r>
                  <w:r>
                    <w:rPr>
                      <w:rFonts w:hint="eastAsia" w:ascii="Times New Roman" w:hAnsi="Times New Roman" w:eastAsia="宋体" w:cs="宋体"/>
                      <w:spacing w:val="-1"/>
                      <w:sz w:val="21"/>
                      <w:szCs w:val="21"/>
                      <w:lang w:eastAsia="zh-CN"/>
                    </w:rPr>
                    <w:t>4915-2013）</w:t>
                  </w:r>
                  <w:r>
                    <w:rPr>
                      <w:rFonts w:hint="eastAsia" w:ascii="Times New Roman" w:hAnsi="Times New Roman" w:eastAsia="宋体" w:cs="宋体"/>
                      <w:spacing w:val="-1"/>
                      <w:sz w:val="21"/>
                      <w:szCs w:val="21"/>
                      <w:lang w:val="en-US" w:eastAsia="zh-CN"/>
                    </w:rPr>
                    <w:t>表1标准要求</w:t>
                  </w:r>
                </w:p>
              </w:tc>
              <w:tc>
                <w:tcPr>
                  <w:tcW w:w="756" w:type="pct"/>
                  <w:vMerge w:val="continue"/>
                  <w:noWrap w:val="0"/>
                  <w:vAlign w:val="center"/>
                </w:tcPr>
                <w:p w14:paraId="2C6B38B2">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p>
              </w:tc>
            </w:tr>
            <w:tr w14:paraId="505E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noWrap w:val="0"/>
                  <w:vAlign w:val="top"/>
                </w:tcPr>
                <w:p w14:paraId="29F8613C">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噪声</w:t>
                  </w:r>
                </w:p>
              </w:tc>
              <w:tc>
                <w:tcPr>
                  <w:tcW w:w="1271" w:type="pct"/>
                  <w:gridSpan w:val="3"/>
                  <w:noWrap w:val="0"/>
                  <w:vAlign w:val="top"/>
                </w:tcPr>
                <w:p w14:paraId="5C6BC5F9">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厂界噪声</w:t>
                  </w:r>
                </w:p>
              </w:tc>
              <w:tc>
                <w:tcPr>
                  <w:tcW w:w="1272" w:type="pct"/>
                  <w:noWrap w:val="0"/>
                  <w:vAlign w:val="center"/>
                </w:tcPr>
                <w:p w14:paraId="43983ECC">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主要产噪设备位于车间内部，采用低噪声设备，并安装减振和隔声措施</w:t>
                  </w:r>
                </w:p>
              </w:tc>
              <w:tc>
                <w:tcPr>
                  <w:tcW w:w="1261" w:type="pct"/>
                  <w:noWrap w:val="0"/>
                  <w:vAlign w:val="center"/>
                </w:tcPr>
                <w:p w14:paraId="733343AC">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color w:val="auto"/>
                      <w:kern w:val="0"/>
                      <w:sz w:val="21"/>
                      <w:szCs w:val="21"/>
                      <w:lang w:bidi="ar"/>
                    </w:rPr>
                    <w:t>《工业企业厂界环境噪声排放标准》</w:t>
                  </w:r>
                  <w:r>
                    <w:rPr>
                      <w:rFonts w:hint="eastAsia" w:ascii="Times New Roman" w:hAnsi="Times New Roman" w:eastAsia="宋体" w:cs="宋体"/>
                      <w:color w:val="auto"/>
                      <w:kern w:val="0"/>
                      <w:sz w:val="21"/>
                      <w:szCs w:val="21"/>
                      <w:lang w:eastAsia="zh-CN" w:bidi="ar"/>
                    </w:rPr>
                    <w:t>（</w:t>
                  </w:r>
                  <w:r>
                    <w:rPr>
                      <w:rFonts w:ascii="Times New Roman" w:hAnsi="Times New Roman" w:eastAsia="宋体" w:cs="宋体"/>
                      <w:color w:val="auto"/>
                      <w:kern w:val="0"/>
                      <w:sz w:val="21"/>
                      <w:szCs w:val="21"/>
                      <w:lang w:bidi="ar"/>
                    </w:rPr>
                    <w:t>GB12348-2008</w:t>
                  </w:r>
                  <w:r>
                    <w:rPr>
                      <w:rFonts w:hint="eastAsia" w:ascii="Times New Roman" w:hAnsi="Times New Roman" w:eastAsia="宋体" w:cs="宋体"/>
                      <w:color w:val="auto"/>
                      <w:kern w:val="0"/>
                      <w:sz w:val="21"/>
                      <w:szCs w:val="21"/>
                      <w:lang w:eastAsia="zh-CN" w:bidi="ar"/>
                    </w:rPr>
                    <w:t>）</w:t>
                  </w:r>
                  <w:r>
                    <w:rPr>
                      <w:rFonts w:ascii="Times New Roman" w:hAnsi="Times New Roman" w:eastAsia="宋体" w:cs="宋体"/>
                      <w:color w:val="auto"/>
                      <w:kern w:val="0"/>
                      <w:sz w:val="21"/>
                      <w:szCs w:val="21"/>
                      <w:lang w:bidi="ar"/>
                    </w:rPr>
                    <w:t>表1的</w:t>
                  </w:r>
                  <w:r>
                    <w:rPr>
                      <w:rFonts w:hint="eastAsia" w:ascii="Times New Roman" w:hAnsi="Times New Roman" w:eastAsia="宋体" w:cs="宋体"/>
                      <w:color w:val="auto"/>
                      <w:kern w:val="0"/>
                      <w:sz w:val="21"/>
                      <w:szCs w:val="21"/>
                      <w:lang w:val="en-US" w:eastAsia="zh-CN" w:bidi="ar"/>
                    </w:rPr>
                    <w:t>3</w:t>
                  </w:r>
                  <w:r>
                    <w:rPr>
                      <w:rFonts w:ascii="Times New Roman" w:hAnsi="Times New Roman" w:eastAsia="宋体" w:cs="宋体"/>
                      <w:color w:val="auto"/>
                      <w:kern w:val="0"/>
                      <w:sz w:val="21"/>
                      <w:szCs w:val="21"/>
                      <w:lang w:bidi="ar"/>
                    </w:rPr>
                    <w:t>类标准</w:t>
                  </w:r>
                </w:p>
              </w:tc>
              <w:tc>
                <w:tcPr>
                  <w:tcW w:w="756" w:type="pct"/>
                  <w:noWrap w:val="0"/>
                  <w:vAlign w:val="center"/>
                </w:tcPr>
                <w:p w14:paraId="7B3C953E">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厂界噪声监测</w:t>
                  </w:r>
                </w:p>
              </w:tc>
            </w:tr>
            <w:tr w14:paraId="29B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restart"/>
                  <w:noWrap w:val="0"/>
                  <w:vAlign w:val="top"/>
                </w:tcPr>
                <w:p w14:paraId="784EC429">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固废</w:t>
                  </w:r>
                </w:p>
              </w:tc>
              <w:tc>
                <w:tcPr>
                  <w:tcW w:w="635" w:type="pct"/>
                  <w:vMerge w:val="restart"/>
                  <w:noWrap w:val="0"/>
                  <w:vAlign w:val="top"/>
                </w:tcPr>
                <w:p w14:paraId="16B5F602">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一般固废</w:t>
                  </w:r>
                </w:p>
              </w:tc>
              <w:tc>
                <w:tcPr>
                  <w:tcW w:w="636" w:type="pct"/>
                  <w:gridSpan w:val="2"/>
                  <w:noWrap w:val="0"/>
                  <w:vAlign w:val="center"/>
                </w:tcPr>
                <w:p w14:paraId="00D06809">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废渣</w:t>
                  </w:r>
                </w:p>
              </w:tc>
              <w:tc>
                <w:tcPr>
                  <w:tcW w:w="1272" w:type="pct"/>
                  <w:noWrap w:val="0"/>
                  <w:vAlign w:val="center"/>
                </w:tcPr>
                <w:p w14:paraId="0F2CC7DB">
                  <w:pPr>
                    <w:pStyle w:val="20"/>
                    <w:widowControl w:val="0"/>
                    <w:spacing w:before="68" w:line="221" w:lineRule="auto"/>
                    <w:jc w:val="center"/>
                    <w:rPr>
                      <w:rFonts w:hint="default" w:ascii="Times New Roman" w:hAnsi="Times New Roman" w:eastAsia="宋体"/>
                      <w:color w:val="auto"/>
                      <w:sz w:val="21"/>
                      <w:vertAlign w:val="baseline"/>
                      <w:lang w:val="en-US" w:eastAsia="zh-CN"/>
                    </w:rPr>
                  </w:pPr>
                  <w:r>
                    <w:rPr>
                      <w:rFonts w:ascii="Times New Roman" w:hAnsi="Times New Roman"/>
                      <w:spacing w:val="-2"/>
                      <w:sz w:val="21"/>
                      <w:szCs w:val="21"/>
                      <w:lang w:eastAsia="zh-CN"/>
                    </w:rPr>
                    <w:t>收集后</w:t>
                  </w:r>
                  <w:r>
                    <w:rPr>
                      <w:rFonts w:hint="eastAsia" w:ascii="Times New Roman" w:hAnsi="Times New Roman"/>
                      <w:spacing w:val="-2"/>
                      <w:sz w:val="21"/>
                      <w:szCs w:val="21"/>
                      <w:lang w:eastAsia="zh-CN"/>
                    </w:rPr>
                    <w:t>经破碎，</w:t>
                  </w:r>
                  <w:r>
                    <w:rPr>
                      <w:rFonts w:ascii="Times New Roman" w:hAnsi="Times New Roman"/>
                      <w:spacing w:val="-2"/>
                      <w:sz w:val="21"/>
                      <w:szCs w:val="21"/>
                      <w:lang w:eastAsia="zh-CN"/>
                    </w:rPr>
                    <w:t>返回</w:t>
                  </w:r>
                  <w:r>
                    <w:rPr>
                      <w:rFonts w:hint="eastAsia" w:ascii="Times New Roman" w:hAnsi="Times New Roman"/>
                      <w:spacing w:val="-2"/>
                      <w:sz w:val="21"/>
                      <w:szCs w:val="21"/>
                      <w:lang w:eastAsia="zh-CN"/>
                    </w:rPr>
                    <w:t>配料</w:t>
                  </w:r>
                  <w:r>
                    <w:rPr>
                      <w:rFonts w:ascii="Times New Roman" w:hAnsi="Times New Roman"/>
                      <w:spacing w:val="-2"/>
                      <w:sz w:val="21"/>
                      <w:szCs w:val="21"/>
                      <w:lang w:eastAsia="zh-CN"/>
                    </w:rPr>
                    <w:t>工序</w:t>
                  </w:r>
                </w:p>
              </w:tc>
              <w:tc>
                <w:tcPr>
                  <w:tcW w:w="1261" w:type="pct"/>
                  <w:vMerge w:val="restart"/>
                  <w:noWrap w:val="0"/>
                  <w:vAlign w:val="center"/>
                </w:tcPr>
                <w:p w14:paraId="395B98D8">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满足</w:t>
                  </w:r>
                  <w:r>
                    <w:rPr>
                      <w:rFonts w:ascii="Times New Roman" w:hAnsi="Times New Roman"/>
                      <w:sz w:val="21"/>
                      <w:szCs w:val="21"/>
                      <w:lang w:eastAsia="zh-CN"/>
                    </w:rPr>
                    <w:t>《一般工业固体废物贮存和填</w:t>
                  </w:r>
                  <w:r>
                    <w:rPr>
                      <w:rFonts w:ascii="Times New Roman" w:hAnsi="Times New Roman"/>
                      <w:spacing w:val="-10"/>
                      <w:sz w:val="21"/>
                      <w:szCs w:val="21"/>
                      <w:lang w:eastAsia="zh-CN"/>
                    </w:rPr>
                    <w:t>埋污染控制标准》</w:t>
                  </w:r>
                  <w:r>
                    <w:rPr>
                      <w:rFonts w:ascii="Times New Roman" w:hAnsi="Times New Roman"/>
                      <w:spacing w:val="-1"/>
                      <w:sz w:val="21"/>
                      <w:szCs w:val="21"/>
                      <w:lang w:eastAsia="zh-CN"/>
                    </w:rPr>
                    <w:t>（</w:t>
                  </w:r>
                  <w:r>
                    <w:rPr>
                      <w:rFonts w:ascii="Times New Roman" w:hAnsi="Times New Roman" w:cs="Times New Roman"/>
                      <w:spacing w:val="-1"/>
                      <w:sz w:val="21"/>
                      <w:szCs w:val="21"/>
                      <w:lang w:eastAsia="zh-CN"/>
                    </w:rPr>
                    <w:t>GB18599-2020</w:t>
                  </w:r>
                  <w:r>
                    <w:rPr>
                      <w:rFonts w:ascii="Times New Roman" w:hAnsi="Times New Roman"/>
                      <w:spacing w:val="-1"/>
                      <w:sz w:val="21"/>
                      <w:szCs w:val="21"/>
                      <w:lang w:eastAsia="zh-CN"/>
                    </w:rPr>
                    <w:t>）</w:t>
                  </w:r>
                  <w:r>
                    <w:rPr>
                      <w:rFonts w:ascii="Times New Roman" w:hAnsi="Times New Roman" w:eastAsia="宋体" w:cs="宋体"/>
                      <w:i w:val="0"/>
                      <w:iCs w:val="0"/>
                      <w:color w:val="auto"/>
                      <w:kern w:val="0"/>
                      <w:sz w:val="21"/>
                      <w:szCs w:val="26"/>
                      <w:u w:val="none"/>
                      <w:lang w:val="en-US" w:eastAsia="zh-CN" w:bidi="ar"/>
                    </w:rPr>
                    <w:t>、</w:t>
                  </w:r>
                  <w:r>
                    <w:rPr>
                      <w:rFonts w:hint="eastAsia" w:ascii="Times New Roman" w:hAnsi="Times New Roman" w:eastAsia="宋体" w:cs="宋体"/>
                      <w:spacing w:val="-2"/>
                      <w:lang w:eastAsia="zh-CN"/>
                    </w:rPr>
                    <w:t>《危险废物贮存污染控制标准》（GB18597-2023）</w:t>
                  </w:r>
                </w:p>
              </w:tc>
              <w:tc>
                <w:tcPr>
                  <w:tcW w:w="756" w:type="pct"/>
                  <w:vMerge w:val="restart"/>
                  <w:noWrap w:val="0"/>
                  <w:vAlign w:val="center"/>
                </w:tcPr>
                <w:p w14:paraId="366D9508">
                  <w:pPr>
                    <w:keepNext w:val="0"/>
                    <w:keepLines w:val="0"/>
                    <w:widowControl/>
                    <w:suppressLineNumbers w:val="0"/>
                    <w:jc w:val="left"/>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检查固体废物收集、储存、处置方式</w:t>
                  </w:r>
                </w:p>
              </w:tc>
            </w:tr>
            <w:tr w14:paraId="53F9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586A3C33">
                  <w:pPr>
                    <w:pStyle w:val="17"/>
                    <w:tabs>
                      <w:tab w:val="left" w:pos="2760"/>
                    </w:tabs>
                  </w:pPr>
                </w:p>
              </w:tc>
              <w:tc>
                <w:tcPr>
                  <w:tcW w:w="635" w:type="pct"/>
                  <w:vMerge w:val="continue"/>
                  <w:noWrap w:val="0"/>
                  <w:vAlign w:val="top"/>
                </w:tcPr>
                <w:p w14:paraId="31DCF6A9">
                  <w:pPr>
                    <w:pStyle w:val="17"/>
                    <w:tabs>
                      <w:tab w:val="left" w:pos="2760"/>
                    </w:tabs>
                  </w:pPr>
                </w:p>
              </w:tc>
              <w:tc>
                <w:tcPr>
                  <w:tcW w:w="636" w:type="pct"/>
                  <w:gridSpan w:val="2"/>
                  <w:noWrap w:val="0"/>
                  <w:vAlign w:val="center"/>
                </w:tcPr>
                <w:p w14:paraId="1937C305">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粉尘</w:t>
                  </w:r>
                </w:p>
              </w:tc>
              <w:tc>
                <w:tcPr>
                  <w:tcW w:w="1272" w:type="pct"/>
                  <w:noWrap w:val="0"/>
                  <w:vAlign w:val="center"/>
                </w:tcPr>
                <w:p w14:paraId="754D53EB">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收集后返回生产工序</w:t>
                  </w:r>
                </w:p>
              </w:tc>
              <w:tc>
                <w:tcPr>
                  <w:tcW w:w="1261" w:type="pct"/>
                  <w:vMerge w:val="continue"/>
                  <w:noWrap w:val="0"/>
                  <w:vAlign w:val="center"/>
                </w:tcPr>
                <w:p w14:paraId="4C0AFDB1">
                  <w:pPr>
                    <w:pStyle w:val="17"/>
                    <w:tabs>
                      <w:tab w:val="left" w:pos="2760"/>
                    </w:tabs>
                    <w:rPr>
                      <w:rFonts w:hint="eastAsia" w:ascii="Times New Roman" w:hAnsi="Times New Roman" w:eastAsia="宋体"/>
                      <w:color w:val="auto"/>
                      <w:sz w:val="21"/>
                      <w:vertAlign w:val="baseline"/>
                      <w:lang w:val="en-US" w:eastAsia="zh-CN"/>
                    </w:rPr>
                  </w:pPr>
                </w:p>
              </w:tc>
              <w:tc>
                <w:tcPr>
                  <w:tcW w:w="756" w:type="pct"/>
                  <w:vMerge w:val="continue"/>
                  <w:noWrap w:val="0"/>
                  <w:vAlign w:val="center"/>
                </w:tcPr>
                <w:p w14:paraId="50241816">
                  <w:pPr>
                    <w:pStyle w:val="17"/>
                    <w:tabs>
                      <w:tab w:val="left" w:pos="2760"/>
                    </w:tabs>
                    <w:rPr>
                      <w:rFonts w:hint="eastAsia" w:ascii="Times New Roman" w:hAnsi="Times New Roman" w:eastAsia="宋体"/>
                      <w:color w:val="auto"/>
                      <w:sz w:val="21"/>
                      <w:vertAlign w:val="baseline"/>
                      <w:lang w:val="en-US" w:eastAsia="zh-CN"/>
                    </w:rPr>
                  </w:pPr>
                </w:p>
              </w:tc>
            </w:tr>
            <w:tr w14:paraId="6122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3B8DFD95">
                  <w:pPr>
                    <w:pStyle w:val="17"/>
                    <w:tabs>
                      <w:tab w:val="left" w:pos="2760"/>
                    </w:tabs>
                    <w:rPr>
                      <w:rFonts w:hint="eastAsia" w:ascii="Times New Roman" w:hAnsi="Times New Roman" w:eastAsia="宋体"/>
                      <w:color w:val="auto"/>
                      <w:sz w:val="21"/>
                      <w:vertAlign w:val="baseline"/>
                      <w:lang w:val="en-US" w:eastAsia="zh-CN"/>
                    </w:rPr>
                  </w:pPr>
                </w:p>
              </w:tc>
              <w:tc>
                <w:tcPr>
                  <w:tcW w:w="635" w:type="pct"/>
                  <w:vMerge w:val="continue"/>
                  <w:noWrap w:val="0"/>
                  <w:vAlign w:val="top"/>
                </w:tcPr>
                <w:p w14:paraId="0836028B">
                  <w:pPr>
                    <w:pStyle w:val="17"/>
                    <w:tabs>
                      <w:tab w:val="left" w:pos="2760"/>
                    </w:tabs>
                    <w:rPr>
                      <w:rFonts w:hint="eastAsia" w:ascii="Times New Roman" w:hAnsi="Times New Roman" w:eastAsia="宋体"/>
                      <w:color w:val="auto"/>
                      <w:sz w:val="21"/>
                      <w:vertAlign w:val="baseline"/>
                      <w:lang w:val="en-US" w:eastAsia="zh-CN"/>
                    </w:rPr>
                  </w:pPr>
                </w:p>
              </w:tc>
              <w:tc>
                <w:tcPr>
                  <w:tcW w:w="636" w:type="pct"/>
                  <w:gridSpan w:val="2"/>
                  <w:noWrap w:val="0"/>
                  <w:vAlign w:val="center"/>
                </w:tcPr>
                <w:p w14:paraId="374D8DA5">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底泥</w:t>
                  </w:r>
                </w:p>
              </w:tc>
              <w:tc>
                <w:tcPr>
                  <w:tcW w:w="1272" w:type="pct"/>
                  <w:noWrap w:val="0"/>
                  <w:vAlign w:val="center"/>
                </w:tcPr>
                <w:p w14:paraId="10D5C518">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lang w:eastAsia="zh-CN"/>
                    </w:rPr>
                    <w:t>收集后</w:t>
                  </w:r>
                  <w:r>
                    <w:rPr>
                      <w:rFonts w:hint="eastAsia" w:ascii="Times New Roman" w:hAnsi="Times New Roman"/>
                      <w:spacing w:val="-2"/>
                      <w:sz w:val="21"/>
                      <w:szCs w:val="21"/>
                      <w:lang w:eastAsia="zh-CN"/>
                    </w:rPr>
                    <w:t>外运到工业固体废物填埋场填埋</w:t>
                  </w:r>
                </w:p>
              </w:tc>
              <w:tc>
                <w:tcPr>
                  <w:tcW w:w="1261" w:type="pct"/>
                  <w:vMerge w:val="continue"/>
                  <w:noWrap w:val="0"/>
                  <w:vAlign w:val="center"/>
                </w:tcPr>
                <w:p w14:paraId="520F6BFE">
                  <w:pPr>
                    <w:pStyle w:val="17"/>
                    <w:tabs>
                      <w:tab w:val="left" w:pos="2760"/>
                    </w:tabs>
                    <w:rPr>
                      <w:rFonts w:hint="eastAsia" w:ascii="Times New Roman" w:hAnsi="Times New Roman" w:eastAsia="宋体"/>
                      <w:color w:val="auto"/>
                      <w:sz w:val="21"/>
                      <w:vertAlign w:val="baseline"/>
                      <w:lang w:val="en-US" w:eastAsia="zh-CN"/>
                    </w:rPr>
                  </w:pPr>
                </w:p>
              </w:tc>
              <w:tc>
                <w:tcPr>
                  <w:tcW w:w="756" w:type="pct"/>
                  <w:vMerge w:val="continue"/>
                  <w:noWrap w:val="0"/>
                  <w:vAlign w:val="center"/>
                </w:tcPr>
                <w:p w14:paraId="4510F92A">
                  <w:pPr>
                    <w:pStyle w:val="17"/>
                    <w:tabs>
                      <w:tab w:val="left" w:pos="2760"/>
                    </w:tabs>
                    <w:rPr>
                      <w:rFonts w:hint="eastAsia" w:ascii="Times New Roman" w:hAnsi="Times New Roman" w:eastAsia="宋体"/>
                      <w:color w:val="auto"/>
                      <w:sz w:val="21"/>
                      <w:vertAlign w:val="baseline"/>
                      <w:lang w:val="en-US" w:eastAsia="zh-CN"/>
                    </w:rPr>
                  </w:pPr>
                </w:p>
              </w:tc>
            </w:tr>
            <w:tr w14:paraId="081B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5E0D611E">
                  <w:pPr>
                    <w:pStyle w:val="17"/>
                    <w:tabs>
                      <w:tab w:val="left" w:pos="2760"/>
                    </w:tabs>
                    <w:rPr>
                      <w:rFonts w:hint="eastAsia" w:ascii="Times New Roman" w:hAnsi="Times New Roman" w:eastAsia="宋体"/>
                      <w:color w:val="auto"/>
                      <w:sz w:val="21"/>
                      <w:vertAlign w:val="baseline"/>
                      <w:lang w:val="en-US" w:eastAsia="zh-CN"/>
                    </w:rPr>
                  </w:pPr>
                </w:p>
              </w:tc>
              <w:tc>
                <w:tcPr>
                  <w:tcW w:w="635" w:type="pct"/>
                  <w:vMerge w:val="continue"/>
                  <w:noWrap w:val="0"/>
                  <w:vAlign w:val="top"/>
                </w:tcPr>
                <w:p w14:paraId="1FF4FAA3">
                  <w:pPr>
                    <w:pStyle w:val="17"/>
                    <w:tabs>
                      <w:tab w:val="left" w:pos="2760"/>
                    </w:tabs>
                    <w:rPr>
                      <w:rFonts w:hint="eastAsia" w:ascii="Times New Roman" w:hAnsi="Times New Roman" w:eastAsia="宋体"/>
                      <w:color w:val="auto"/>
                      <w:sz w:val="21"/>
                      <w:vertAlign w:val="baseline"/>
                      <w:lang w:val="en-US" w:eastAsia="zh-CN"/>
                    </w:rPr>
                  </w:pPr>
                </w:p>
              </w:tc>
              <w:tc>
                <w:tcPr>
                  <w:tcW w:w="636" w:type="pct"/>
                  <w:gridSpan w:val="2"/>
                  <w:noWrap w:val="0"/>
                  <w:vAlign w:val="center"/>
                </w:tcPr>
                <w:p w14:paraId="0C2BAEBC">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损坏的模具</w:t>
                  </w:r>
                </w:p>
              </w:tc>
              <w:tc>
                <w:tcPr>
                  <w:tcW w:w="1272" w:type="pct"/>
                  <w:noWrap w:val="0"/>
                  <w:vAlign w:val="center"/>
                </w:tcPr>
                <w:p w14:paraId="77E2205E">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外售</w:t>
                  </w:r>
                </w:p>
              </w:tc>
              <w:tc>
                <w:tcPr>
                  <w:tcW w:w="1261" w:type="pct"/>
                  <w:vMerge w:val="continue"/>
                  <w:noWrap w:val="0"/>
                  <w:vAlign w:val="center"/>
                </w:tcPr>
                <w:p w14:paraId="56857AA3">
                  <w:pPr>
                    <w:pStyle w:val="17"/>
                    <w:tabs>
                      <w:tab w:val="left" w:pos="2760"/>
                    </w:tabs>
                    <w:rPr>
                      <w:rFonts w:hint="eastAsia" w:ascii="Times New Roman" w:hAnsi="Times New Roman" w:eastAsia="宋体"/>
                      <w:color w:val="auto"/>
                      <w:sz w:val="21"/>
                      <w:vertAlign w:val="baseline"/>
                      <w:lang w:val="en-US" w:eastAsia="zh-CN"/>
                    </w:rPr>
                  </w:pPr>
                </w:p>
              </w:tc>
              <w:tc>
                <w:tcPr>
                  <w:tcW w:w="756" w:type="pct"/>
                  <w:vMerge w:val="continue"/>
                  <w:noWrap w:val="0"/>
                  <w:vAlign w:val="center"/>
                </w:tcPr>
                <w:p w14:paraId="56D837D5">
                  <w:pPr>
                    <w:pStyle w:val="17"/>
                    <w:tabs>
                      <w:tab w:val="left" w:pos="2760"/>
                    </w:tabs>
                    <w:rPr>
                      <w:rFonts w:hint="eastAsia" w:ascii="Times New Roman" w:hAnsi="Times New Roman" w:eastAsia="宋体"/>
                      <w:color w:val="auto"/>
                      <w:sz w:val="21"/>
                      <w:vertAlign w:val="baseline"/>
                      <w:lang w:val="en-US" w:eastAsia="zh-CN"/>
                    </w:rPr>
                  </w:pPr>
                </w:p>
              </w:tc>
            </w:tr>
            <w:tr w14:paraId="6455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021E17E0">
                  <w:pPr>
                    <w:pStyle w:val="17"/>
                    <w:tabs>
                      <w:tab w:val="left" w:pos="2760"/>
                    </w:tabs>
                    <w:rPr>
                      <w:rFonts w:hint="eastAsia" w:ascii="Times New Roman" w:hAnsi="Times New Roman" w:eastAsia="宋体"/>
                      <w:color w:val="auto"/>
                      <w:sz w:val="21"/>
                      <w:vertAlign w:val="baseline"/>
                      <w:lang w:val="en-US" w:eastAsia="zh-CN"/>
                    </w:rPr>
                  </w:pPr>
                </w:p>
              </w:tc>
              <w:tc>
                <w:tcPr>
                  <w:tcW w:w="635" w:type="pct"/>
                  <w:vMerge w:val="continue"/>
                  <w:noWrap w:val="0"/>
                  <w:vAlign w:val="top"/>
                </w:tcPr>
                <w:p w14:paraId="6D900ED7">
                  <w:pPr>
                    <w:pStyle w:val="17"/>
                    <w:tabs>
                      <w:tab w:val="left" w:pos="2760"/>
                    </w:tabs>
                    <w:rPr>
                      <w:rFonts w:hint="eastAsia" w:ascii="Times New Roman" w:hAnsi="Times New Roman" w:eastAsia="宋体"/>
                      <w:color w:val="auto"/>
                      <w:sz w:val="21"/>
                      <w:vertAlign w:val="baseline"/>
                      <w:lang w:val="en-US" w:eastAsia="zh-CN"/>
                    </w:rPr>
                  </w:pPr>
                </w:p>
              </w:tc>
              <w:tc>
                <w:tcPr>
                  <w:tcW w:w="636" w:type="pct"/>
                  <w:gridSpan w:val="2"/>
                  <w:noWrap w:val="0"/>
                  <w:vAlign w:val="center"/>
                </w:tcPr>
                <w:p w14:paraId="7685920F">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包装袋</w:t>
                  </w:r>
                </w:p>
              </w:tc>
              <w:tc>
                <w:tcPr>
                  <w:tcW w:w="1272" w:type="pct"/>
                  <w:noWrap w:val="0"/>
                  <w:vAlign w:val="center"/>
                </w:tcPr>
                <w:p w14:paraId="02EBCA84">
                  <w:pPr>
                    <w:pStyle w:val="20"/>
                    <w:widowControl w:val="0"/>
                    <w:spacing w:before="68" w:line="221" w:lineRule="auto"/>
                    <w:jc w:val="center"/>
                    <w:rPr>
                      <w:rFonts w:hint="eastAsia" w:ascii="Times New Roman" w:hAnsi="Times New Roman" w:eastAsia="宋体"/>
                      <w:color w:val="auto"/>
                      <w:sz w:val="21"/>
                      <w:vertAlign w:val="baseline"/>
                      <w:lang w:val="en-US" w:eastAsia="zh-CN"/>
                    </w:rPr>
                  </w:pPr>
                  <w:r>
                    <w:rPr>
                      <w:rFonts w:ascii="Times New Roman" w:hAnsi="Times New Roman"/>
                      <w:spacing w:val="-2"/>
                      <w:sz w:val="21"/>
                      <w:szCs w:val="21"/>
                    </w:rPr>
                    <w:t>外售</w:t>
                  </w:r>
                </w:p>
              </w:tc>
              <w:tc>
                <w:tcPr>
                  <w:tcW w:w="1261" w:type="pct"/>
                  <w:vMerge w:val="continue"/>
                  <w:noWrap w:val="0"/>
                  <w:vAlign w:val="center"/>
                </w:tcPr>
                <w:p w14:paraId="5CCC4C14">
                  <w:pPr>
                    <w:pStyle w:val="17"/>
                    <w:tabs>
                      <w:tab w:val="left" w:pos="2760"/>
                    </w:tabs>
                    <w:rPr>
                      <w:rFonts w:hint="eastAsia" w:ascii="Times New Roman" w:hAnsi="Times New Roman" w:eastAsia="宋体"/>
                      <w:color w:val="auto"/>
                      <w:sz w:val="21"/>
                      <w:vertAlign w:val="baseline"/>
                      <w:lang w:val="en-US" w:eastAsia="zh-CN"/>
                    </w:rPr>
                  </w:pPr>
                </w:p>
              </w:tc>
              <w:tc>
                <w:tcPr>
                  <w:tcW w:w="756" w:type="pct"/>
                  <w:vMerge w:val="continue"/>
                  <w:noWrap w:val="0"/>
                  <w:vAlign w:val="center"/>
                </w:tcPr>
                <w:p w14:paraId="7907285C">
                  <w:pPr>
                    <w:pStyle w:val="17"/>
                    <w:tabs>
                      <w:tab w:val="left" w:pos="2760"/>
                    </w:tabs>
                    <w:rPr>
                      <w:rFonts w:hint="eastAsia" w:ascii="Times New Roman" w:hAnsi="Times New Roman" w:eastAsia="宋体"/>
                      <w:color w:val="auto"/>
                      <w:sz w:val="21"/>
                      <w:vertAlign w:val="baseline"/>
                      <w:lang w:val="en-US" w:eastAsia="zh-CN"/>
                    </w:rPr>
                  </w:pPr>
                </w:p>
              </w:tc>
            </w:tr>
            <w:tr w14:paraId="5DFD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03AD5379">
                  <w:pPr>
                    <w:pStyle w:val="17"/>
                    <w:tabs>
                      <w:tab w:val="left" w:pos="2760"/>
                    </w:tabs>
                    <w:rPr>
                      <w:rFonts w:hint="eastAsia" w:ascii="Times New Roman" w:hAnsi="Times New Roman" w:eastAsia="宋体"/>
                      <w:color w:val="auto"/>
                      <w:sz w:val="21"/>
                      <w:vertAlign w:val="baseline"/>
                      <w:lang w:val="en-US" w:eastAsia="zh-CN"/>
                    </w:rPr>
                  </w:pPr>
                </w:p>
              </w:tc>
              <w:tc>
                <w:tcPr>
                  <w:tcW w:w="635" w:type="pct"/>
                  <w:noWrap w:val="0"/>
                  <w:vAlign w:val="top"/>
                </w:tcPr>
                <w:p w14:paraId="139A70C0">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危险废物</w:t>
                  </w:r>
                </w:p>
              </w:tc>
              <w:tc>
                <w:tcPr>
                  <w:tcW w:w="636" w:type="pct"/>
                  <w:gridSpan w:val="2"/>
                  <w:noWrap w:val="0"/>
                  <w:vAlign w:val="top"/>
                </w:tcPr>
                <w:p w14:paraId="24D25A7E">
                  <w:pPr>
                    <w:pStyle w:val="17"/>
                    <w:tabs>
                      <w:tab w:val="left" w:pos="2760"/>
                    </w:tabs>
                    <w:rPr>
                      <w:rFonts w:hint="default" w:ascii="Times New Roman" w:hAnsi="Times New Roman" w:eastAsia="宋体"/>
                      <w:color w:val="auto"/>
                      <w:sz w:val="21"/>
                      <w:vertAlign w:val="baseline"/>
                      <w:lang w:val="en-US" w:eastAsia="zh-CN"/>
                    </w:rPr>
                  </w:pPr>
                  <w:r>
                    <w:rPr>
                      <w:rFonts w:hint="eastAsia"/>
                      <w:color w:val="auto"/>
                      <w:sz w:val="21"/>
                      <w:vertAlign w:val="baseline"/>
                      <w:lang w:val="en-US" w:eastAsia="zh-CN"/>
                    </w:rPr>
                    <w:t>废机油、废油桶</w:t>
                  </w:r>
                </w:p>
              </w:tc>
              <w:tc>
                <w:tcPr>
                  <w:tcW w:w="1272" w:type="pct"/>
                  <w:noWrap w:val="0"/>
                  <w:vAlign w:val="center"/>
                </w:tcPr>
                <w:p w14:paraId="520B8B86">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委托资质单位定期清运</w:t>
                  </w:r>
                </w:p>
              </w:tc>
              <w:tc>
                <w:tcPr>
                  <w:tcW w:w="1261" w:type="pct"/>
                  <w:vMerge w:val="continue"/>
                  <w:noWrap w:val="0"/>
                  <w:vAlign w:val="center"/>
                </w:tcPr>
                <w:p w14:paraId="2525BFB6">
                  <w:pPr>
                    <w:widowControl w:val="0"/>
                    <w:jc w:val="center"/>
                    <w:rPr>
                      <w:rFonts w:hint="default" w:ascii="Times New Roman" w:hAnsi="Times New Roman" w:eastAsia="宋体"/>
                      <w:color w:val="auto"/>
                      <w:sz w:val="21"/>
                      <w:vertAlign w:val="baseline"/>
                      <w:lang w:val="en-US" w:eastAsia="zh-CN"/>
                    </w:rPr>
                  </w:pPr>
                </w:p>
              </w:tc>
              <w:tc>
                <w:tcPr>
                  <w:tcW w:w="756" w:type="pct"/>
                  <w:vMerge w:val="continue"/>
                  <w:noWrap w:val="0"/>
                  <w:vAlign w:val="center"/>
                </w:tcPr>
                <w:p w14:paraId="70074BA3">
                  <w:pPr>
                    <w:widowControl w:val="0"/>
                    <w:jc w:val="left"/>
                    <w:rPr>
                      <w:rFonts w:hint="default" w:ascii="Times New Roman" w:hAnsi="Times New Roman" w:eastAsia="宋体"/>
                      <w:color w:val="auto"/>
                      <w:sz w:val="21"/>
                      <w:vertAlign w:val="baseline"/>
                      <w:lang w:val="en-US" w:eastAsia="zh-CN"/>
                    </w:rPr>
                  </w:pPr>
                </w:p>
              </w:tc>
            </w:tr>
            <w:tr w14:paraId="3372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vMerge w:val="continue"/>
                  <w:noWrap w:val="0"/>
                  <w:vAlign w:val="top"/>
                </w:tcPr>
                <w:p w14:paraId="4BF9B587">
                  <w:pPr>
                    <w:pStyle w:val="17"/>
                    <w:tabs>
                      <w:tab w:val="left" w:pos="2760"/>
                    </w:tabs>
                    <w:rPr>
                      <w:rFonts w:hint="eastAsia" w:ascii="Times New Roman" w:hAnsi="Times New Roman" w:eastAsia="宋体"/>
                      <w:color w:val="auto"/>
                      <w:sz w:val="21"/>
                      <w:vertAlign w:val="baseline"/>
                      <w:lang w:val="en-US" w:eastAsia="zh-CN"/>
                    </w:rPr>
                  </w:pPr>
                </w:p>
              </w:tc>
              <w:tc>
                <w:tcPr>
                  <w:tcW w:w="1271" w:type="pct"/>
                  <w:gridSpan w:val="3"/>
                  <w:noWrap w:val="0"/>
                  <w:vAlign w:val="top"/>
                </w:tcPr>
                <w:p w14:paraId="2D93A656">
                  <w:pPr>
                    <w:pStyle w:val="17"/>
                    <w:tabs>
                      <w:tab w:val="left" w:pos="2760"/>
                    </w:tabs>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生活垃圾</w:t>
                  </w:r>
                </w:p>
              </w:tc>
              <w:tc>
                <w:tcPr>
                  <w:tcW w:w="1272" w:type="pct"/>
                  <w:noWrap w:val="0"/>
                  <w:vAlign w:val="center"/>
                </w:tcPr>
                <w:p w14:paraId="6AA6ABF2">
                  <w:pPr>
                    <w:keepNext w:val="0"/>
                    <w:keepLines w:val="0"/>
                    <w:widowControl/>
                    <w:suppressLineNumbers w:val="0"/>
                    <w:jc w:val="center"/>
                    <w:textAlignment w:val="center"/>
                    <w:rPr>
                      <w:rFonts w:hint="default" w:ascii="Times New Roman" w:hAnsi="Times New Roman" w:eastAsia="宋体"/>
                      <w:color w:val="auto"/>
                      <w:sz w:val="21"/>
                      <w:vertAlign w:val="baseline"/>
                      <w:lang w:val="en-US" w:eastAsia="zh-CN"/>
                    </w:rPr>
                  </w:pPr>
                  <w:r>
                    <w:rPr>
                      <w:rFonts w:ascii="Times New Roman" w:hAnsi="Times New Roman" w:eastAsia="宋体" w:cs="宋体"/>
                      <w:i w:val="0"/>
                      <w:iCs w:val="0"/>
                      <w:color w:val="auto"/>
                      <w:kern w:val="0"/>
                      <w:sz w:val="21"/>
                      <w:szCs w:val="26"/>
                      <w:u w:val="none"/>
                      <w:lang w:val="en-US" w:eastAsia="zh-CN" w:bidi="ar"/>
                    </w:rPr>
                    <w:t>设置垃圾桶，专门人员定期清理</w:t>
                  </w:r>
                </w:p>
              </w:tc>
              <w:tc>
                <w:tcPr>
                  <w:tcW w:w="1261" w:type="pct"/>
                  <w:vMerge w:val="continue"/>
                  <w:noWrap w:val="0"/>
                  <w:vAlign w:val="center"/>
                </w:tcPr>
                <w:p w14:paraId="05F06BA3">
                  <w:pPr>
                    <w:widowControl w:val="0"/>
                    <w:jc w:val="center"/>
                    <w:rPr>
                      <w:rFonts w:hint="default" w:ascii="Times New Roman" w:hAnsi="Times New Roman" w:eastAsia="宋体"/>
                      <w:color w:val="auto"/>
                      <w:sz w:val="21"/>
                      <w:vertAlign w:val="baseline"/>
                      <w:lang w:val="en-US" w:eastAsia="zh-CN"/>
                    </w:rPr>
                  </w:pPr>
                </w:p>
              </w:tc>
              <w:tc>
                <w:tcPr>
                  <w:tcW w:w="756" w:type="pct"/>
                  <w:vMerge w:val="continue"/>
                  <w:noWrap w:val="0"/>
                  <w:vAlign w:val="center"/>
                </w:tcPr>
                <w:p w14:paraId="1C1241A6">
                  <w:pPr>
                    <w:widowControl w:val="0"/>
                    <w:jc w:val="left"/>
                    <w:rPr>
                      <w:rFonts w:hint="default" w:ascii="Times New Roman" w:hAnsi="Times New Roman" w:eastAsia="宋体"/>
                      <w:color w:val="auto"/>
                      <w:sz w:val="21"/>
                      <w:vertAlign w:val="baseline"/>
                      <w:lang w:val="en-US" w:eastAsia="zh-CN"/>
                    </w:rPr>
                  </w:pPr>
                </w:p>
              </w:tc>
            </w:tr>
          </w:tbl>
          <w:p w14:paraId="166A940B">
            <w:pPr>
              <w:pStyle w:val="20"/>
              <w:kinsoku/>
              <w:spacing w:line="360" w:lineRule="auto"/>
              <w:ind w:firstLine="472" w:firstLineChars="200"/>
              <w:rPr>
                <w:rFonts w:hint="default" w:ascii="Times New Roman" w:hAnsi="Times New Roman" w:eastAsia="宋体" w:cs="宋体"/>
                <w:color w:val="auto"/>
                <w:spacing w:val="-2"/>
                <w:lang w:val="en-US" w:eastAsia="zh-CN"/>
              </w:rPr>
            </w:pPr>
          </w:p>
          <w:p w14:paraId="057C1535"/>
        </w:tc>
      </w:tr>
    </w:tbl>
    <w:p w14:paraId="087FAA87">
      <w:pPr>
        <w:pStyle w:val="4"/>
      </w:pPr>
    </w:p>
    <w:p w14:paraId="21794AF1">
      <w:pPr>
        <w:rPr>
          <w:rFonts w:ascii="宋体" w:hAnsi="宋体" w:eastAsia="宋体" w:cs="宋体"/>
          <w:b/>
          <w:bCs/>
          <w:spacing w:val="-4"/>
          <w:sz w:val="30"/>
          <w:szCs w:val="30"/>
        </w:rPr>
      </w:pPr>
      <w:r>
        <w:rPr>
          <w:rFonts w:ascii="宋体" w:hAnsi="宋体" w:eastAsia="宋体" w:cs="宋体"/>
          <w:b/>
          <w:bCs/>
          <w:spacing w:val="-4"/>
          <w:sz w:val="30"/>
          <w:szCs w:val="30"/>
        </w:rPr>
        <w:br w:type="page"/>
      </w:r>
    </w:p>
    <w:p w14:paraId="238FCEB4">
      <w:pPr>
        <w:spacing w:before="98" w:line="213" w:lineRule="auto"/>
        <w:ind w:left="2455"/>
        <w:rPr>
          <w:rFonts w:ascii="宋体" w:hAnsi="宋体" w:eastAsia="宋体" w:cs="宋体"/>
          <w:sz w:val="30"/>
          <w:szCs w:val="30"/>
          <w:lang w:eastAsia="zh-CN"/>
        </w:rPr>
      </w:pPr>
      <w:r>
        <w:rPr>
          <w:rFonts w:ascii="宋体" w:hAnsi="宋体" w:eastAsia="宋体" w:cs="宋体"/>
          <w:b/>
          <w:bCs/>
          <w:spacing w:val="-4"/>
          <w:sz w:val="30"/>
          <w:szCs w:val="30"/>
          <w:lang w:eastAsia="zh-CN"/>
        </w:rPr>
        <w:t>五、环境保护措施监督检查清单</w:t>
      </w:r>
    </w:p>
    <w:tbl>
      <w:tblPr>
        <w:tblStyle w:val="19"/>
        <w:tblW w:w="90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50"/>
        <w:gridCol w:w="1459"/>
        <w:gridCol w:w="1749"/>
        <w:gridCol w:w="2962"/>
      </w:tblGrid>
      <w:tr w14:paraId="368A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57" w:type="dxa"/>
            <w:tcBorders>
              <w:top w:val="single" w:color="000000" w:sz="6" w:space="0"/>
              <w:left w:val="single" w:color="000000" w:sz="6" w:space="0"/>
              <w:tl2br w:val="single" w:color="000000" w:sz="2" w:space="0"/>
            </w:tcBorders>
          </w:tcPr>
          <w:p w14:paraId="23FCA060">
            <w:pPr>
              <w:pStyle w:val="20"/>
              <w:spacing w:before="33" w:line="224" w:lineRule="auto"/>
              <w:ind w:left="111" w:right="110" w:firstLine="535"/>
              <w:rPr>
                <w:sz w:val="21"/>
                <w:szCs w:val="21"/>
              </w:rPr>
            </w:pPr>
            <w:r>
              <w:rPr>
                <w:spacing w:val="-16"/>
                <w:sz w:val="21"/>
                <w:szCs w:val="21"/>
              </w:rPr>
              <w:t>内容</w:t>
            </w:r>
            <w:r>
              <w:rPr>
                <w:spacing w:val="-2"/>
                <w:sz w:val="21"/>
                <w:szCs w:val="21"/>
              </w:rPr>
              <w:t>要素</w:t>
            </w:r>
          </w:p>
        </w:tc>
        <w:tc>
          <w:tcPr>
            <w:tcW w:w="1750" w:type="dxa"/>
            <w:tcBorders>
              <w:top w:val="single" w:color="000000" w:sz="6" w:space="0"/>
            </w:tcBorders>
          </w:tcPr>
          <w:p w14:paraId="5F9D0376">
            <w:pPr>
              <w:pStyle w:val="20"/>
              <w:spacing w:before="34" w:line="213" w:lineRule="auto"/>
              <w:ind w:left="211"/>
              <w:rPr>
                <w:sz w:val="21"/>
                <w:szCs w:val="21"/>
                <w:lang w:eastAsia="zh-CN"/>
              </w:rPr>
            </w:pPr>
            <w:r>
              <w:rPr>
                <w:spacing w:val="-1"/>
                <w:sz w:val="21"/>
                <w:szCs w:val="21"/>
                <w:lang w:eastAsia="zh-CN"/>
              </w:rPr>
              <w:t>排放口</w:t>
            </w:r>
            <w:r>
              <w:rPr>
                <w:rFonts w:hint="eastAsia"/>
                <w:spacing w:val="-1"/>
                <w:sz w:val="21"/>
                <w:szCs w:val="21"/>
                <w:lang w:eastAsia="zh-CN"/>
              </w:rPr>
              <w:t>（</w:t>
            </w:r>
            <w:r>
              <w:rPr>
                <w:spacing w:val="-1"/>
                <w:sz w:val="21"/>
                <w:szCs w:val="21"/>
                <w:lang w:eastAsia="zh-CN"/>
              </w:rPr>
              <w:t>编号、</w:t>
            </w:r>
            <w:r>
              <w:rPr>
                <w:spacing w:val="-2"/>
                <w:sz w:val="21"/>
                <w:szCs w:val="21"/>
                <w:lang w:eastAsia="zh-CN"/>
              </w:rPr>
              <w:t>名称</w:t>
            </w:r>
            <w:r>
              <w:rPr>
                <w:rFonts w:hint="eastAsia"/>
                <w:spacing w:val="-2"/>
                <w:sz w:val="21"/>
                <w:szCs w:val="21"/>
                <w:lang w:eastAsia="zh-CN"/>
              </w:rPr>
              <w:t>）</w:t>
            </w:r>
            <w:r>
              <w:rPr>
                <w:rFonts w:ascii="Times New Roman" w:hAnsi="Times New Roman" w:eastAsia="Times New Roman" w:cs="Times New Roman"/>
                <w:spacing w:val="-2"/>
                <w:sz w:val="21"/>
                <w:szCs w:val="21"/>
                <w:lang w:eastAsia="zh-CN"/>
              </w:rPr>
              <w:t>/</w:t>
            </w:r>
            <w:r>
              <w:rPr>
                <w:spacing w:val="-2"/>
                <w:sz w:val="21"/>
                <w:szCs w:val="21"/>
                <w:lang w:eastAsia="zh-CN"/>
              </w:rPr>
              <w:t>污染源</w:t>
            </w:r>
          </w:p>
        </w:tc>
        <w:tc>
          <w:tcPr>
            <w:tcW w:w="1459" w:type="dxa"/>
            <w:tcBorders>
              <w:top w:val="single" w:color="000000" w:sz="6" w:space="0"/>
            </w:tcBorders>
          </w:tcPr>
          <w:p w14:paraId="0B7FEA5E">
            <w:pPr>
              <w:pStyle w:val="20"/>
              <w:spacing w:before="171" w:line="221" w:lineRule="auto"/>
              <w:ind w:left="208"/>
              <w:rPr>
                <w:sz w:val="21"/>
                <w:szCs w:val="21"/>
              </w:rPr>
            </w:pPr>
            <w:r>
              <w:rPr>
                <w:spacing w:val="-2"/>
                <w:sz w:val="21"/>
                <w:szCs w:val="21"/>
              </w:rPr>
              <w:t>污染物项目</w:t>
            </w:r>
          </w:p>
        </w:tc>
        <w:tc>
          <w:tcPr>
            <w:tcW w:w="1749" w:type="dxa"/>
            <w:tcBorders>
              <w:top w:val="single" w:color="000000" w:sz="6" w:space="0"/>
            </w:tcBorders>
          </w:tcPr>
          <w:p w14:paraId="3C2695F6">
            <w:pPr>
              <w:pStyle w:val="20"/>
              <w:spacing w:before="171" w:line="221" w:lineRule="auto"/>
              <w:ind w:left="250"/>
              <w:rPr>
                <w:sz w:val="21"/>
                <w:szCs w:val="21"/>
              </w:rPr>
            </w:pPr>
            <w:r>
              <w:rPr>
                <w:spacing w:val="-1"/>
                <w:sz w:val="21"/>
                <w:szCs w:val="21"/>
              </w:rPr>
              <w:t>环境保护措施</w:t>
            </w:r>
          </w:p>
        </w:tc>
        <w:tc>
          <w:tcPr>
            <w:tcW w:w="2962" w:type="dxa"/>
            <w:tcBorders>
              <w:top w:val="single" w:color="000000" w:sz="6" w:space="0"/>
              <w:right w:val="single" w:color="000000" w:sz="6" w:space="0"/>
            </w:tcBorders>
          </w:tcPr>
          <w:p w14:paraId="52E0A2B5">
            <w:pPr>
              <w:pStyle w:val="20"/>
              <w:spacing w:before="170" w:line="221" w:lineRule="auto"/>
              <w:ind w:left="1067"/>
              <w:rPr>
                <w:sz w:val="21"/>
                <w:szCs w:val="21"/>
              </w:rPr>
            </w:pPr>
            <w:r>
              <w:rPr>
                <w:spacing w:val="-2"/>
                <w:sz w:val="21"/>
                <w:szCs w:val="21"/>
              </w:rPr>
              <w:t>执行标准</w:t>
            </w:r>
          </w:p>
        </w:tc>
      </w:tr>
      <w:tr w14:paraId="5BAE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157" w:type="dxa"/>
            <w:vMerge w:val="restart"/>
            <w:tcBorders>
              <w:left w:val="single" w:color="000000" w:sz="6" w:space="0"/>
              <w:bottom w:val="nil"/>
            </w:tcBorders>
            <w:vAlign w:val="center"/>
          </w:tcPr>
          <w:p w14:paraId="570BFF27">
            <w:pPr>
              <w:pStyle w:val="20"/>
              <w:spacing w:before="70" w:line="209" w:lineRule="auto"/>
              <w:rPr>
                <w:sz w:val="21"/>
                <w:szCs w:val="21"/>
              </w:rPr>
            </w:pPr>
            <w:r>
              <w:rPr>
                <w:spacing w:val="46"/>
                <w:sz w:val="21"/>
                <w:szCs w:val="21"/>
              </w:rPr>
              <w:t>大气环境</w:t>
            </w:r>
          </w:p>
        </w:tc>
        <w:tc>
          <w:tcPr>
            <w:tcW w:w="1750" w:type="dxa"/>
            <w:vAlign w:val="center"/>
          </w:tcPr>
          <w:p w14:paraId="2230749A">
            <w:pPr>
              <w:pStyle w:val="20"/>
              <w:spacing w:before="68" w:line="221" w:lineRule="auto"/>
              <w:jc w:val="center"/>
              <w:rPr>
                <w:rFonts w:ascii="Times New Roman" w:hAnsi="Times New Roman"/>
                <w:sz w:val="21"/>
                <w:szCs w:val="21"/>
              </w:rPr>
            </w:pPr>
            <w:r>
              <w:rPr>
                <w:rFonts w:ascii="Times New Roman" w:hAnsi="Times New Roman"/>
                <w:spacing w:val="-2"/>
                <w:sz w:val="21"/>
                <w:szCs w:val="21"/>
              </w:rPr>
              <w:t>堆场</w:t>
            </w:r>
          </w:p>
        </w:tc>
        <w:tc>
          <w:tcPr>
            <w:tcW w:w="1459" w:type="dxa"/>
            <w:vAlign w:val="center"/>
          </w:tcPr>
          <w:p w14:paraId="01BA4B62">
            <w:pPr>
              <w:pStyle w:val="20"/>
              <w:spacing w:before="68" w:line="221" w:lineRule="auto"/>
              <w:jc w:val="center"/>
              <w:rPr>
                <w:rFonts w:ascii="Times New Roman" w:hAnsi="Times New Roman"/>
                <w:sz w:val="21"/>
                <w:szCs w:val="21"/>
              </w:rPr>
            </w:pPr>
            <w:r>
              <w:rPr>
                <w:rFonts w:ascii="Times New Roman" w:hAnsi="Times New Roman"/>
                <w:spacing w:val="-1"/>
                <w:sz w:val="21"/>
                <w:szCs w:val="21"/>
              </w:rPr>
              <w:t>颗粒物</w:t>
            </w:r>
          </w:p>
        </w:tc>
        <w:tc>
          <w:tcPr>
            <w:tcW w:w="1749" w:type="dxa"/>
            <w:vAlign w:val="center"/>
          </w:tcPr>
          <w:p w14:paraId="293883D4">
            <w:pPr>
              <w:pStyle w:val="20"/>
              <w:spacing w:before="29"/>
              <w:ind w:left="143" w:right="133"/>
              <w:jc w:val="both"/>
              <w:rPr>
                <w:rFonts w:ascii="Times New Roman" w:hAnsi="Times New Roman"/>
                <w:color w:val="auto"/>
                <w:sz w:val="21"/>
                <w:szCs w:val="21"/>
                <w:lang w:eastAsia="zh-CN"/>
              </w:rPr>
            </w:pPr>
            <w:r>
              <w:rPr>
                <w:rFonts w:ascii="Times New Roman" w:hAnsi="Times New Roman"/>
                <w:color w:val="auto"/>
                <w:spacing w:val="-1"/>
                <w:sz w:val="21"/>
                <w:szCs w:val="21"/>
                <w:lang w:eastAsia="zh-CN"/>
              </w:rPr>
              <w:t>地面硬化、三面围挡、彩钢板顶</w:t>
            </w:r>
            <w:r>
              <w:rPr>
                <w:rFonts w:ascii="Times New Roman" w:hAnsi="Times New Roman"/>
                <w:color w:val="auto"/>
                <w:spacing w:val="-3"/>
                <w:sz w:val="21"/>
                <w:szCs w:val="21"/>
                <w:lang w:eastAsia="zh-CN"/>
              </w:rPr>
              <w:t>棚、编织覆盖、</w:t>
            </w:r>
            <w:r>
              <w:rPr>
                <w:rFonts w:ascii="Times New Roman" w:hAnsi="Times New Roman"/>
                <w:color w:val="auto"/>
                <w:spacing w:val="-2"/>
                <w:sz w:val="21"/>
                <w:szCs w:val="21"/>
                <w:lang w:eastAsia="zh-CN"/>
              </w:rPr>
              <w:t>洒水喷淋</w:t>
            </w:r>
          </w:p>
        </w:tc>
        <w:tc>
          <w:tcPr>
            <w:tcW w:w="2962" w:type="dxa"/>
            <w:vMerge w:val="restart"/>
            <w:tcBorders>
              <w:bottom w:val="nil"/>
              <w:right w:val="single" w:color="000000" w:sz="6" w:space="0"/>
            </w:tcBorders>
            <w:vAlign w:val="center"/>
          </w:tcPr>
          <w:p w14:paraId="576EDECE">
            <w:pPr>
              <w:pStyle w:val="20"/>
              <w:kinsoku/>
              <w:ind w:firstLine="420" w:firstLineChars="200"/>
              <w:rPr>
                <w:color w:val="auto"/>
                <w:sz w:val="21"/>
                <w:szCs w:val="21"/>
                <w:lang w:eastAsia="zh-CN"/>
              </w:rPr>
            </w:pPr>
            <w:r>
              <w:rPr>
                <w:rFonts w:hint="eastAsia" w:ascii="Times New Roman" w:hAnsi="Times New Roman"/>
                <w:color w:val="auto"/>
                <w:sz w:val="21"/>
                <w:szCs w:val="21"/>
                <w:lang w:eastAsia="zh-CN"/>
              </w:rPr>
              <w:t>有组织粉尘</w:t>
            </w:r>
            <w:r>
              <w:rPr>
                <w:rFonts w:hint="eastAsia" w:ascii="Times New Roman" w:hAnsi="Times New Roman"/>
                <w:color w:val="auto"/>
                <w:spacing w:val="-1"/>
                <w:sz w:val="21"/>
                <w:szCs w:val="21"/>
                <w:lang w:eastAsia="zh-CN"/>
              </w:rPr>
              <w:t>执行</w:t>
            </w:r>
            <w:r>
              <w:rPr>
                <w:rFonts w:hint="eastAsia" w:ascii="Times New Roman" w:hAnsi="Times New Roman"/>
                <w:color w:val="auto"/>
                <w:spacing w:val="-1"/>
                <w:sz w:val="21"/>
                <w:szCs w:val="21"/>
                <w:highlight w:val="none"/>
                <w:lang w:eastAsia="zh-CN"/>
              </w:rPr>
              <w:t>《水泥工业大气污染物排放标准》（GB4915-2013）表1中水泥制品制造排放标准限值（20mg/m</w:t>
            </w:r>
            <w:r>
              <w:rPr>
                <w:rFonts w:hint="eastAsia" w:ascii="Times New Roman" w:hAnsi="Times New Roman"/>
                <w:color w:val="auto"/>
                <w:spacing w:val="-1"/>
                <w:sz w:val="21"/>
                <w:szCs w:val="21"/>
                <w:highlight w:val="none"/>
                <w:vertAlign w:val="superscript"/>
                <w:lang w:eastAsia="zh-CN"/>
              </w:rPr>
              <w:t>3</w:t>
            </w:r>
            <w:r>
              <w:rPr>
                <w:rFonts w:hint="eastAsia" w:ascii="Times New Roman" w:hAnsi="Times New Roman"/>
                <w:color w:val="auto"/>
                <w:spacing w:val="-1"/>
                <w:sz w:val="21"/>
                <w:szCs w:val="21"/>
                <w:highlight w:val="none"/>
                <w:lang w:eastAsia="zh-CN"/>
              </w:rPr>
              <w:t>）</w:t>
            </w:r>
            <w:r>
              <w:rPr>
                <w:rFonts w:hint="eastAsia" w:ascii="Times New Roman" w:hAnsi="Times New Roman"/>
                <w:color w:val="auto"/>
                <w:spacing w:val="-1"/>
                <w:sz w:val="21"/>
                <w:szCs w:val="21"/>
                <w:lang w:eastAsia="zh-CN"/>
              </w:rPr>
              <w:t>，无</w:t>
            </w:r>
            <w:r>
              <w:rPr>
                <w:rFonts w:hint="eastAsia" w:ascii="Times New Roman" w:hAnsi="Times New Roman"/>
                <w:color w:val="auto"/>
                <w:sz w:val="21"/>
                <w:szCs w:val="21"/>
                <w:lang w:eastAsia="zh-CN"/>
              </w:rPr>
              <w:t>组织排放执行表3标准要求。</w:t>
            </w:r>
          </w:p>
        </w:tc>
      </w:tr>
      <w:tr w14:paraId="0413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157" w:type="dxa"/>
            <w:vMerge w:val="continue"/>
            <w:tcBorders>
              <w:top w:val="nil"/>
              <w:left w:val="single" w:color="000000" w:sz="6" w:space="0"/>
              <w:bottom w:val="nil"/>
            </w:tcBorders>
            <w:textDirection w:val="tbRlV"/>
            <w:vAlign w:val="center"/>
          </w:tcPr>
          <w:p w14:paraId="020876E9">
            <w:pPr>
              <w:rPr>
                <w:lang w:eastAsia="zh-CN"/>
              </w:rPr>
            </w:pPr>
          </w:p>
        </w:tc>
        <w:tc>
          <w:tcPr>
            <w:tcW w:w="1750" w:type="dxa"/>
            <w:vAlign w:val="center"/>
          </w:tcPr>
          <w:p w14:paraId="2580F21A">
            <w:pPr>
              <w:pStyle w:val="20"/>
              <w:spacing w:before="68" w:line="221" w:lineRule="auto"/>
              <w:jc w:val="center"/>
              <w:rPr>
                <w:rFonts w:ascii="Times New Roman" w:hAnsi="Times New Roman"/>
                <w:sz w:val="21"/>
                <w:szCs w:val="21"/>
              </w:rPr>
            </w:pPr>
            <w:r>
              <w:rPr>
                <w:rFonts w:ascii="Times New Roman" w:hAnsi="Times New Roman"/>
                <w:spacing w:val="-3"/>
                <w:sz w:val="21"/>
                <w:szCs w:val="21"/>
              </w:rPr>
              <w:t>筒仓</w:t>
            </w:r>
          </w:p>
        </w:tc>
        <w:tc>
          <w:tcPr>
            <w:tcW w:w="1459" w:type="dxa"/>
            <w:vAlign w:val="center"/>
          </w:tcPr>
          <w:p w14:paraId="5540C06F">
            <w:pPr>
              <w:pStyle w:val="20"/>
              <w:spacing w:before="68" w:line="221" w:lineRule="auto"/>
              <w:jc w:val="center"/>
              <w:rPr>
                <w:rFonts w:ascii="Times New Roman" w:hAnsi="Times New Roman"/>
                <w:sz w:val="21"/>
                <w:szCs w:val="21"/>
              </w:rPr>
            </w:pPr>
            <w:r>
              <w:rPr>
                <w:rFonts w:ascii="Times New Roman" w:hAnsi="Times New Roman"/>
                <w:spacing w:val="-1"/>
                <w:sz w:val="21"/>
                <w:szCs w:val="21"/>
              </w:rPr>
              <w:t>颗粒物</w:t>
            </w:r>
          </w:p>
        </w:tc>
        <w:tc>
          <w:tcPr>
            <w:tcW w:w="1749" w:type="dxa"/>
            <w:vAlign w:val="center"/>
          </w:tcPr>
          <w:p w14:paraId="246B4DE1">
            <w:pPr>
              <w:pStyle w:val="20"/>
              <w:spacing w:before="275" w:line="246" w:lineRule="auto"/>
              <w:ind w:left="712" w:right="133" w:hanging="569"/>
              <w:rPr>
                <w:rFonts w:ascii="Times New Roman" w:hAnsi="Times New Roman"/>
                <w:color w:val="auto"/>
                <w:sz w:val="21"/>
                <w:szCs w:val="21"/>
              </w:rPr>
            </w:pPr>
            <w:r>
              <w:rPr>
                <w:rFonts w:ascii="Times New Roman" w:hAnsi="Times New Roman"/>
                <w:color w:val="auto"/>
                <w:spacing w:val="-1"/>
                <w:sz w:val="21"/>
                <w:szCs w:val="21"/>
              </w:rPr>
              <w:t>仓顶布袋除尘器</w:t>
            </w:r>
            <w:r>
              <w:rPr>
                <w:rFonts w:ascii="Times New Roman" w:hAnsi="Times New Roman" w:cs="Times New Roman"/>
                <w:color w:val="auto"/>
                <w:spacing w:val="-13"/>
                <w:sz w:val="21"/>
                <w:szCs w:val="21"/>
              </w:rPr>
              <w:t>1</w:t>
            </w:r>
            <w:r>
              <w:rPr>
                <w:rFonts w:ascii="Times New Roman" w:hAnsi="Times New Roman"/>
                <w:color w:val="auto"/>
                <w:spacing w:val="-13"/>
                <w:sz w:val="21"/>
                <w:szCs w:val="21"/>
              </w:rPr>
              <w:t>个</w:t>
            </w:r>
          </w:p>
        </w:tc>
        <w:tc>
          <w:tcPr>
            <w:tcW w:w="2962" w:type="dxa"/>
            <w:vMerge w:val="continue"/>
            <w:tcBorders>
              <w:top w:val="nil"/>
              <w:bottom w:val="nil"/>
              <w:right w:val="single" w:color="000000" w:sz="6" w:space="0"/>
            </w:tcBorders>
            <w:vAlign w:val="center"/>
          </w:tcPr>
          <w:p w14:paraId="006A0EB4">
            <w:pPr>
              <w:rPr>
                <w:color w:val="auto"/>
              </w:rPr>
            </w:pPr>
          </w:p>
        </w:tc>
      </w:tr>
      <w:tr w14:paraId="7079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7" w:type="dxa"/>
            <w:vMerge w:val="continue"/>
            <w:tcBorders>
              <w:top w:val="nil"/>
              <w:left w:val="single" w:color="000000" w:sz="6" w:space="0"/>
            </w:tcBorders>
            <w:textDirection w:val="tbRlV"/>
            <w:vAlign w:val="center"/>
          </w:tcPr>
          <w:p w14:paraId="1854D1E4"/>
        </w:tc>
        <w:tc>
          <w:tcPr>
            <w:tcW w:w="1750" w:type="dxa"/>
            <w:vAlign w:val="center"/>
          </w:tcPr>
          <w:p w14:paraId="6395D7A5">
            <w:pPr>
              <w:pStyle w:val="20"/>
              <w:spacing w:before="306" w:line="221" w:lineRule="auto"/>
              <w:ind w:left="141"/>
              <w:jc w:val="center"/>
              <w:rPr>
                <w:rFonts w:ascii="Times New Roman" w:hAnsi="Times New Roman"/>
                <w:sz w:val="21"/>
                <w:szCs w:val="21"/>
              </w:rPr>
            </w:pPr>
            <w:r>
              <w:rPr>
                <w:rFonts w:ascii="Times New Roman" w:hAnsi="Times New Roman"/>
                <w:spacing w:val="-1"/>
                <w:sz w:val="21"/>
                <w:szCs w:val="21"/>
              </w:rPr>
              <w:t>上料、搅拌粉尘</w:t>
            </w:r>
          </w:p>
        </w:tc>
        <w:tc>
          <w:tcPr>
            <w:tcW w:w="1459" w:type="dxa"/>
            <w:vAlign w:val="center"/>
          </w:tcPr>
          <w:p w14:paraId="4CDC5CB1">
            <w:pPr>
              <w:pStyle w:val="20"/>
              <w:spacing w:before="68" w:line="221" w:lineRule="auto"/>
              <w:jc w:val="center"/>
              <w:rPr>
                <w:rFonts w:ascii="Times New Roman" w:hAnsi="Times New Roman"/>
                <w:spacing w:val="-1"/>
                <w:sz w:val="21"/>
                <w:szCs w:val="21"/>
              </w:rPr>
            </w:pPr>
            <w:r>
              <w:rPr>
                <w:rFonts w:ascii="Times New Roman" w:hAnsi="Times New Roman"/>
                <w:spacing w:val="-1"/>
                <w:sz w:val="21"/>
                <w:szCs w:val="21"/>
              </w:rPr>
              <w:t>颗粒物</w:t>
            </w:r>
          </w:p>
        </w:tc>
        <w:tc>
          <w:tcPr>
            <w:tcW w:w="1749" w:type="dxa"/>
            <w:vAlign w:val="center"/>
          </w:tcPr>
          <w:p w14:paraId="0DA69D6D">
            <w:pPr>
              <w:pStyle w:val="20"/>
              <w:spacing w:before="68" w:line="221" w:lineRule="auto"/>
              <w:jc w:val="center"/>
              <w:rPr>
                <w:rFonts w:ascii="Times New Roman" w:hAnsi="Times New Roman"/>
                <w:spacing w:val="-1"/>
                <w:sz w:val="21"/>
                <w:szCs w:val="21"/>
                <w:lang w:eastAsia="zh-CN"/>
              </w:rPr>
            </w:pPr>
            <w:r>
              <w:rPr>
                <w:rFonts w:hint="eastAsia" w:ascii="Times New Roman" w:hAnsi="Times New Roman"/>
                <w:spacing w:val="-1"/>
                <w:sz w:val="21"/>
                <w:szCs w:val="21"/>
                <w:lang w:eastAsia="zh-CN"/>
              </w:rPr>
              <w:t>设置集气罩，收集后引至布袋除尘器处理后通过15m高排气筒（DA001）排放</w:t>
            </w:r>
          </w:p>
        </w:tc>
        <w:tc>
          <w:tcPr>
            <w:tcW w:w="2962" w:type="dxa"/>
            <w:vMerge w:val="continue"/>
            <w:tcBorders>
              <w:top w:val="nil"/>
              <w:right w:val="single" w:color="000000" w:sz="6" w:space="0"/>
            </w:tcBorders>
            <w:vAlign w:val="center"/>
          </w:tcPr>
          <w:p w14:paraId="77D7EB94">
            <w:pPr>
              <w:rPr>
                <w:lang w:eastAsia="zh-CN"/>
              </w:rPr>
            </w:pPr>
          </w:p>
        </w:tc>
      </w:tr>
      <w:tr w14:paraId="0F6D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157" w:type="dxa"/>
            <w:vMerge w:val="restart"/>
            <w:tcBorders>
              <w:left w:val="single" w:color="000000" w:sz="6" w:space="0"/>
              <w:bottom w:val="nil"/>
            </w:tcBorders>
            <w:vAlign w:val="center"/>
          </w:tcPr>
          <w:p w14:paraId="1CF5425B">
            <w:pPr>
              <w:pStyle w:val="20"/>
              <w:spacing w:before="68" w:line="221" w:lineRule="auto"/>
              <w:rPr>
                <w:sz w:val="21"/>
                <w:szCs w:val="21"/>
              </w:rPr>
            </w:pPr>
            <w:r>
              <w:rPr>
                <w:spacing w:val="-2"/>
                <w:sz w:val="21"/>
                <w:szCs w:val="21"/>
              </w:rPr>
              <w:t>水环境</w:t>
            </w:r>
          </w:p>
        </w:tc>
        <w:tc>
          <w:tcPr>
            <w:tcW w:w="1750" w:type="dxa"/>
            <w:vAlign w:val="center"/>
          </w:tcPr>
          <w:p w14:paraId="3902247C">
            <w:pPr>
              <w:pStyle w:val="20"/>
              <w:spacing w:before="68" w:line="221" w:lineRule="auto"/>
              <w:jc w:val="center"/>
              <w:rPr>
                <w:sz w:val="21"/>
                <w:szCs w:val="21"/>
              </w:rPr>
            </w:pPr>
            <w:r>
              <w:rPr>
                <w:spacing w:val="-2"/>
                <w:sz w:val="21"/>
                <w:szCs w:val="21"/>
              </w:rPr>
              <w:t>生活污水</w:t>
            </w:r>
          </w:p>
        </w:tc>
        <w:tc>
          <w:tcPr>
            <w:tcW w:w="1459" w:type="dxa"/>
            <w:vAlign w:val="center"/>
          </w:tcPr>
          <w:p w14:paraId="59B913DD">
            <w:pPr>
              <w:pStyle w:val="20"/>
              <w:spacing w:before="69" w:line="214"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COD</w:t>
            </w:r>
            <w:r>
              <w:rPr>
                <w:spacing w:val="-7"/>
                <w:sz w:val="21"/>
                <w:szCs w:val="21"/>
              </w:rPr>
              <w:t>、</w:t>
            </w:r>
            <w:r>
              <w:rPr>
                <w:rFonts w:ascii="Times New Roman" w:hAnsi="Times New Roman" w:eastAsia="Times New Roman" w:cs="Times New Roman"/>
                <w:spacing w:val="-7"/>
                <w:sz w:val="21"/>
                <w:szCs w:val="21"/>
              </w:rPr>
              <w:t>BOD</w:t>
            </w:r>
            <w:r>
              <w:rPr>
                <w:rFonts w:ascii="Times New Roman" w:hAnsi="Times New Roman" w:eastAsia="Times New Roman" w:cs="Times New Roman"/>
                <w:spacing w:val="-7"/>
                <w:position w:val="-1"/>
                <w:sz w:val="13"/>
                <w:szCs w:val="13"/>
              </w:rPr>
              <w:t>5</w:t>
            </w:r>
            <w:r>
              <w:rPr>
                <w:spacing w:val="-7"/>
                <w:sz w:val="21"/>
                <w:szCs w:val="21"/>
              </w:rPr>
              <w:t>、</w:t>
            </w:r>
            <w:r>
              <w:rPr>
                <w:rFonts w:ascii="Times New Roman" w:hAnsi="Times New Roman" w:eastAsia="Times New Roman" w:cs="Times New Roman"/>
                <w:spacing w:val="-4"/>
                <w:sz w:val="21"/>
                <w:szCs w:val="21"/>
              </w:rPr>
              <w:t>SS</w:t>
            </w:r>
            <w:r>
              <w:rPr>
                <w:spacing w:val="-4"/>
                <w:sz w:val="21"/>
                <w:szCs w:val="21"/>
              </w:rPr>
              <w:t>、</w:t>
            </w:r>
            <w:r>
              <w:rPr>
                <w:rFonts w:ascii="Times New Roman" w:hAnsi="Times New Roman" w:eastAsia="Times New Roman" w:cs="Times New Roman"/>
                <w:spacing w:val="-4"/>
                <w:sz w:val="21"/>
                <w:szCs w:val="21"/>
              </w:rPr>
              <w:t>NH</w:t>
            </w:r>
            <w:r>
              <w:rPr>
                <w:rFonts w:ascii="Times New Roman" w:hAnsi="Times New Roman" w:eastAsia="Times New Roman" w:cs="Times New Roman"/>
                <w:spacing w:val="-4"/>
                <w:position w:val="-1"/>
                <w:sz w:val="13"/>
                <w:szCs w:val="13"/>
              </w:rPr>
              <w:t>3</w:t>
            </w:r>
            <w:r>
              <w:rPr>
                <w:rFonts w:ascii="Times New Roman" w:hAnsi="Times New Roman" w:eastAsia="Times New Roman" w:cs="Times New Roman"/>
                <w:spacing w:val="-4"/>
                <w:sz w:val="21"/>
                <w:szCs w:val="21"/>
              </w:rPr>
              <w:t>-N</w:t>
            </w:r>
          </w:p>
        </w:tc>
        <w:tc>
          <w:tcPr>
            <w:tcW w:w="1749" w:type="dxa"/>
            <w:vAlign w:val="center"/>
          </w:tcPr>
          <w:p w14:paraId="4F36CBB7">
            <w:pPr>
              <w:pStyle w:val="20"/>
              <w:spacing w:before="68" w:line="221" w:lineRule="auto"/>
              <w:jc w:val="center"/>
              <w:rPr>
                <w:sz w:val="21"/>
                <w:szCs w:val="21"/>
              </w:rPr>
            </w:pPr>
            <w:r>
              <w:rPr>
                <w:spacing w:val="-1"/>
                <w:sz w:val="21"/>
                <w:szCs w:val="21"/>
              </w:rPr>
              <w:t>排入污水管网</w:t>
            </w:r>
          </w:p>
        </w:tc>
        <w:tc>
          <w:tcPr>
            <w:tcW w:w="2962" w:type="dxa"/>
            <w:tcBorders>
              <w:right w:val="single" w:color="000000" w:sz="6" w:space="0"/>
            </w:tcBorders>
            <w:vAlign w:val="center"/>
          </w:tcPr>
          <w:p w14:paraId="4EB69E92">
            <w:pPr>
              <w:pStyle w:val="20"/>
              <w:kinsoku/>
              <w:ind w:firstLine="376" w:firstLineChars="200"/>
              <w:jc w:val="both"/>
              <w:rPr>
                <w:sz w:val="21"/>
                <w:szCs w:val="21"/>
                <w:lang w:eastAsia="zh-CN"/>
              </w:rPr>
            </w:pPr>
            <w:r>
              <w:rPr>
                <w:spacing w:val="-11"/>
                <w:sz w:val="21"/>
                <w:szCs w:val="21"/>
                <w:lang w:eastAsia="zh-CN"/>
              </w:rPr>
              <w:t>《污水综合排放标准》</w:t>
            </w:r>
            <w:r>
              <w:rPr>
                <w:spacing w:val="4"/>
                <w:sz w:val="21"/>
                <w:szCs w:val="21"/>
                <w:lang w:eastAsia="zh-CN"/>
              </w:rPr>
              <w:t>（</w:t>
            </w:r>
            <w:r>
              <w:rPr>
                <w:rFonts w:ascii="Times New Roman" w:hAnsi="Times New Roman" w:eastAsia="Times New Roman" w:cs="Times New Roman"/>
                <w:sz w:val="21"/>
                <w:szCs w:val="21"/>
                <w:lang w:eastAsia="zh-CN"/>
              </w:rPr>
              <w:t>GB</w:t>
            </w:r>
            <w:r>
              <w:rPr>
                <w:rFonts w:ascii="Times New Roman" w:hAnsi="Times New Roman" w:eastAsia="Times New Roman" w:cs="Times New Roman"/>
                <w:spacing w:val="4"/>
                <w:sz w:val="21"/>
                <w:szCs w:val="21"/>
                <w:lang w:eastAsia="zh-CN"/>
              </w:rPr>
              <w:t>8978-1996</w:t>
            </w:r>
            <w:r>
              <w:rPr>
                <w:spacing w:val="4"/>
                <w:sz w:val="21"/>
                <w:szCs w:val="21"/>
                <w:lang w:eastAsia="zh-CN"/>
              </w:rPr>
              <w:t>）三级标准和</w:t>
            </w:r>
            <w:r>
              <w:rPr>
                <w:spacing w:val="1"/>
                <w:sz w:val="21"/>
                <w:szCs w:val="21"/>
                <w:lang w:eastAsia="zh-CN"/>
              </w:rPr>
              <w:t>《污水排入城镇下水道水质标</w:t>
            </w:r>
            <w:r>
              <w:rPr>
                <w:spacing w:val="2"/>
                <w:sz w:val="21"/>
                <w:szCs w:val="21"/>
                <w:lang w:eastAsia="zh-CN"/>
              </w:rPr>
              <w:t>准》（</w:t>
            </w:r>
            <w:r>
              <w:rPr>
                <w:rFonts w:ascii="Times New Roman" w:hAnsi="Times New Roman" w:eastAsia="Times New Roman" w:cs="Times New Roman"/>
                <w:sz w:val="21"/>
                <w:szCs w:val="21"/>
                <w:lang w:eastAsia="zh-CN"/>
              </w:rPr>
              <w:t>GB</w:t>
            </w:r>
            <w:r>
              <w:rPr>
                <w:rFonts w:ascii="Times New Roman" w:hAnsi="Times New Roman" w:eastAsia="Times New Roman" w:cs="Times New Roman"/>
                <w:spacing w:val="2"/>
                <w:sz w:val="21"/>
                <w:szCs w:val="21"/>
                <w:lang w:eastAsia="zh-CN"/>
              </w:rPr>
              <w:t>/T31962-2015</w:t>
            </w:r>
            <w:r>
              <w:rPr>
                <w:spacing w:val="2"/>
                <w:sz w:val="21"/>
                <w:szCs w:val="21"/>
                <w:lang w:eastAsia="zh-CN"/>
              </w:rPr>
              <w:t>）中</w:t>
            </w:r>
            <w:r>
              <w:rPr>
                <w:rFonts w:ascii="Times New Roman" w:hAnsi="Times New Roman" w:eastAsia="Times New Roman" w:cs="Times New Roman"/>
                <w:sz w:val="21"/>
                <w:szCs w:val="21"/>
                <w:lang w:eastAsia="zh-CN"/>
              </w:rPr>
              <w:t>NH</w:t>
            </w:r>
            <w:r>
              <w:rPr>
                <w:rFonts w:ascii="Times New Roman" w:hAnsi="Times New Roman" w:eastAsia="Times New Roman" w:cs="Times New Roman"/>
                <w:spacing w:val="1"/>
                <w:position w:val="-1"/>
                <w:sz w:val="13"/>
                <w:szCs w:val="13"/>
                <w:lang w:eastAsia="zh-CN"/>
              </w:rPr>
              <w:t>3</w:t>
            </w:r>
            <w:r>
              <w:rPr>
                <w:rFonts w:ascii="Times New Roman" w:hAnsi="Times New Roman" w:eastAsia="Times New Roman" w:cs="Times New Roman"/>
                <w:spacing w:val="1"/>
                <w:sz w:val="21"/>
                <w:szCs w:val="21"/>
                <w:lang w:eastAsia="zh-CN"/>
              </w:rPr>
              <w:t>-N</w:t>
            </w:r>
            <w:r>
              <w:rPr>
                <w:spacing w:val="1"/>
                <w:sz w:val="21"/>
                <w:szCs w:val="21"/>
                <w:lang w:eastAsia="zh-CN"/>
              </w:rPr>
              <w:t>最高允许值中</w:t>
            </w:r>
            <w:r>
              <w:rPr>
                <w:rFonts w:ascii="Times New Roman" w:hAnsi="Times New Roman" w:eastAsia="Times New Roman" w:cs="Times New Roman"/>
                <w:spacing w:val="1"/>
                <w:sz w:val="21"/>
                <w:szCs w:val="21"/>
                <w:lang w:eastAsia="zh-CN"/>
              </w:rPr>
              <w:t>B</w:t>
            </w:r>
            <w:r>
              <w:rPr>
                <w:spacing w:val="1"/>
                <w:sz w:val="21"/>
                <w:szCs w:val="21"/>
                <w:lang w:eastAsia="zh-CN"/>
              </w:rPr>
              <w:t>级标准</w:t>
            </w:r>
            <w:r>
              <w:rPr>
                <w:rFonts w:ascii="Times New Roman" w:hAnsi="Times New Roman" w:eastAsia="Times New Roman" w:cs="Times New Roman"/>
                <w:spacing w:val="-2"/>
                <w:sz w:val="21"/>
                <w:szCs w:val="21"/>
                <w:lang w:eastAsia="zh-CN"/>
              </w:rPr>
              <w:t>45mg/L</w:t>
            </w:r>
            <w:r>
              <w:rPr>
                <w:spacing w:val="-2"/>
                <w:sz w:val="21"/>
                <w:szCs w:val="21"/>
                <w:lang w:eastAsia="zh-CN"/>
              </w:rPr>
              <w:t>的规定</w:t>
            </w:r>
          </w:p>
        </w:tc>
      </w:tr>
      <w:tr w14:paraId="3FDE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157" w:type="dxa"/>
            <w:vMerge w:val="continue"/>
            <w:tcBorders>
              <w:top w:val="nil"/>
              <w:left w:val="single" w:color="000000" w:sz="6" w:space="0"/>
              <w:bottom w:val="nil"/>
            </w:tcBorders>
            <w:vAlign w:val="center"/>
          </w:tcPr>
          <w:p w14:paraId="1DA48177">
            <w:pPr>
              <w:rPr>
                <w:lang w:eastAsia="zh-CN"/>
              </w:rPr>
            </w:pPr>
          </w:p>
        </w:tc>
        <w:tc>
          <w:tcPr>
            <w:tcW w:w="1750" w:type="dxa"/>
            <w:vAlign w:val="center"/>
          </w:tcPr>
          <w:p w14:paraId="7263DC57">
            <w:pPr>
              <w:pStyle w:val="20"/>
              <w:spacing w:before="68" w:line="221" w:lineRule="auto"/>
              <w:jc w:val="center"/>
              <w:rPr>
                <w:sz w:val="21"/>
                <w:szCs w:val="21"/>
              </w:rPr>
            </w:pPr>
            <w:r>
              <w:rPr>
                <w:spacing w:val="-1"/>
                <w:sz w:val="21"/>
                <w:szCs w:val="21"/>
              </w:rPr>
              <w:t>沉淀池废水</w:t>
            </w:r>
          </w:p>
        </w:tc>
        <w:tc>
          <w:tcPr>
            <w:tcW w:w="1459" w:type="dxa"/>
            <w:vAlign w:val="center"/>
          </w:tcPr>
          <w:p w14:paraId="065F71C5">
            <w:pPr>
              <w:spacing w:before="60" w:line="189" w:lineRule="auto"/>
              <w:jc w:val="center"/>
              <w:rPr>
                <w:rFonts w:ascii="Times New Roman" w:hAnsi="Times New Roman" w:eastAsia="Times New Roman" w:cs="Times New Roman"/>
              </w:rPr>
            </w:pPr>
            <w:r>
              <w:rPr>
                <w:rFonts w:ascii="Times New Roman" w:hAnsi="Times New Roman" w:eastAsia="Times New Roman" w:cs="Times New Roman"/>
                <w:spacing w:val="-3"/>
              </w:rPr>
              <w:t>SS</w:t>
            </w:r>
          </w:p>
        </w:tc>
        <w:tc>
          <w:tcPr>
            <w:tcW w:w="1749" w:type="dxa"/>
            <w:vAlign w:val="center"/>
          </w:tcPr>
          <w:p w14:paraId="796A1A24">
            <w:pPr>
              <w:pStyle w:val="20"/>
              <w:spacing w:before="68" w:line="221" w:lineRule="auto"/>
              <w:jc w:val="center"/>
              <w:rPr>
                <w:sz w:val="21"/>
                <w:szCs w:val="21"/>
              </w:rPr>
            </w:pPr>
            <w:r>
              <w:rPr>
                <w:spacing w:val="-6"/>
                <w:sz w:val="21"/>
                <w:szCs w:val="21"/>
              </w:rPr>
              <w:t>回用于生产</w:t>
            </w:r>
          </w:p>
        </w:tc>
        <w:tc>
          <w:tcPr>
            <w:tcW w:w="2962" w:type="dxa"/>
            <w:tcBorders>
              <w:right w:val="single" w:color="000000" w:sz="6" w:space="0"/>
            </w:tcBorders>
            <w:vAlign w:val="center"/>
          </w:tcPr>
          <w:p w14:paraId="0216CB50">
            <w:pPr>
              <w:spacing w:before="60" w:line="233"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1FC9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57" w:type="dxa"/>
            <w:vMerge w:val="continue"/>
            <w:tcBorders>
              <w:top w:val="nil"/>
              <w:left w:val="single" w:color="000000" w:sz="6" w:space="0"/>
            </w:tcBorders>
            <w:vAlign w:val="center"/>
          </w:tcPr>
          <w:p w14:paraId="422E2729"/>
        </w:tc>
        <w:tc>
          <w:tcPr>
            <w:tcW w:w="1750" w:type="dxa"/>
            <w:vAlign w:val="center"/>
          </w:tcPr>
          <w:p w14:paraId="0B87AD03">
            <w:pPr>
              <w:pStyle w:val="20"/>
              <w:spacing w:before="69" w:line="220" w:lineRule="auto"/>
              <w:jc w:val="center"/>
              <w:rPr>
                <w:sz w:val="21"/>
                <w:szCs w:val="21"/>
              </w:rPr>
            </w:pPr>
            <w:r>
              <w:rPr>
                <w:spacing w:val="-1"/>
                <w:sz w:val="21"/>
                <w:szCs w:val="21"/>
              </w:rPr>
              <w:t>搅拌机冲洗废水</w:t>
            </w:r>
          </w:p>
        </w:tc>
        <w:tc>
          <w:tcPr>
            <w:tcW w:w="1459" w:type="dxa"/>
            <w:vAlign w:val="center"/>
          </w:tcPr>
          <w:p w14:paraId="4A2CDF3D">
            <w:pPr>
              <w:spacing w:before="60" w:line="189" w:lineRule="auto"/>
              <w:jc w:val="center"/>
              <w:rPr>
                <w:rFonts w:ascii="Times New Roman" w:hAnsi="Times New Roman" w:eastAsia="Times New Roman" w:cs="Times New Roman"/>
              </w:rPr>
            </w:pPr>
            <w:r>
              <w:rPr>
                <w:rFonts w:ascii="Times New Roman" w:hAnsi="Times New Roman" w:eastAsia="Times New Roman" w:cs="Times New Roman"/>
                <w:spacing w:val="-3"/>
              </w:rPr>
              <w:t>SS</w:t>
            </w:r>
          </w:p>
        </w:tc>
        <w:tc>
          <w:tcPr>
            <w:tcW w:w="1749" w:type="dxa"/>
            <w:vAlign w:val="center"/>
          </w:tcPr>
          <w:p w14:paraId="5B05AE11">
            <w:pPr>
              <w:pStyle w:val="20"/>
              <w:spacing w:before="68" w:line="221" w:lineRule="auto"/>
              <w:jc w:val="center"/>
              <w:rPr>
                <w:sz w:val="21"/>
                <w:szCs w:val="21"/>
              </w:rPr>
            </w:pPr>
            <w:r>
              <w:rPr>
                <w:spacing w:val="-6"/>
                <w:sz w:val="21"/>
                <w:szCs w:val="21"/>
              </w:rPr>
              <w:t>回用于生产</w:t>
            </w:r>
          </w:p>
        </w:tc>
        <w:tc>
          <w:tcPr>
            <w:tcW w:w="2962" w:type="dxa"/>
            <w:tcBorders>
              <w:right w:val="single" w:color="000000" w:sz="6" w:space="0"/>
            </w:tcBorders>
            <w:vAlign w:val="center"/>
          </w:tcPr>
          <w:p w14:paraId="1B667BA1">
            <w:pPr>
              <w:spacing w:before="60" w:line="233"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11C3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157" w:type="dxa"/>
            <w:tcBorders>
              <w:left w:val="single" w:color="000000" w:sz="6" w:space="0"/>
            </w:tcBorders>
            <w:vAlign w:val="center"/>
          </w:tcPr>
          <w:p w14:paraId="56872E47">
            <w:pPr>
              <w:pStyle w:val="20"/>
              <w:spacing w:before="68" w:line="221" w:lineRule="auto"/>
              <w:jc w:val="center"/>
              <w:rPr>
                <w:sz w:val="21"/>
                <w:szCs w:val="21"/>
              </w:rPr>
            </w:pPr>
            <w:r>
              <w:rPr>
                <w:spacing w:val="-2"/>
                <w:sz w:val="21"/>
                <w:szCs w:val="21"/>
              </w:rPr>
              <w:t>声环境</w:t>
            </w:r>
          </w:p>
        </w:tc>
        <w:tc>
          <w:tcPr>
            <w:tcW w:w="1750" w:type="dxa"/>
            <w:vAlign w:val="center"/>
          </w:tcPr>
          <w:p w14:paraId="48300995">
            <w:pPr>
              <w:pStyle w:val="20"/>
              <w:spacing w:before="68" w:line="221" w:lineRule="auto"/>
              <w:jc w:val="center"/>
              <w:rPr>
                <w:sz w:val="21"/>
                <w:szCs w:val="21"/>
              </w:rPr>
            </w:pPr>
            <w:r>
              <w:rPr>
                <w:spacing w:val="-3"/>
                <w:sz w:val="21"/>
                <w:szCs w:val="21"/>
              </w:rPr>
              <w:t>设备噪声</w:t>
            </w:r>
          </w:p>
        </w:tc>
        <w:tc>
          <w:tcPr>
            <w:tcW w:w="1459" w:type="dxa"/>
            <w:vAlign w:val="center"/>
          </w:tcPr>
          <w:p w14:paraId="330B6427">
            <w:pPr>
              <w:pStyle w:val="20"/>
              <w:spacing w:before="68" w:line="221" w:lineRule="auto"/>
              <w:jc w:val="center"/>
              <w:rPr>
                <w:sz w:val="21"/>
                <w:szCs w:val="21"/>
              </w:rPr>
            </w:pPr>
            <w:r>
              <w:rPr>
                <w:spacing w:val="-2"/>
                <w:sz w:val="21"/>
                <w:szCs w:val="21"/>
              </w:rPr>
              <w:t>连续等效</w:t>
            </w:r>
            <w:r>
              <w:rPr>
                <w:rFonts w:ascii="Times New Roman" w:hAnsi="Times New Roman" w:eastAsia="Times New Roman" w:cs="Times New Roman"/>
                <w:spacing w:val="-2"/>
                <w:sz w:val="21"/>
                <w:szCs w:val="21"/>
              </w:rPr>
              <w:t>A</w:t>
            </w:r>
            <w:r>
              <w:rPr>
                <w:spacing w:val="-3"/>
                <w:sz w:val="21"/>
                <w:szCs w:val="21"/>
              </w:rPr>
              <w:t>声级</w:t>
            </w:r>
          </w:p>
        </w:tc>
        <w:tc>
          <w:tcPr>
            <w:tcW w:w="1749" w:type="dxa"/>
            <w:vAlign w:val="center"/>
          </w:tcPr>
          <w:p w14:paraId="3A262120">
            <w:pPr>
              <w:pStyle w:val="20"/>
              <w:spacing w:before="68" w:line="243" w:lineRule="auto"/>
              <w:ind w:right="101"/>
              <w:jc w:val="center"/>
              <w:rPr>
                <w:sz w:val="21"/>
                <w:szCs w:val="21"/>
                <w:lang w:eastAsia="zh-CN"/>
              </w:rPr>
            </w:pPr>
            <w:r>
              <w:rPr>
                <w:spacing w:val="8"/>
                <w:sz w:val="21"/>
                <w:szCs w:val="21"/>
                <w:lang w:eastAsia="zh-CN"/>
              </w:rPr>
              <w:t>基础减震，厂房</w:t>
            </w:r>
            <w:r>
              <w:rPr>
                <w:spacing w:val="-3"/>
                <w:sz w:val="21"/>
                <w:szCs w:val="21"/>
                <w:lang w:eastAsia="zh-CN"/>
              </w:rPr>
              <w:t>隔声、距离衰减</w:t>
            </w:r>
          </w:p>
        </w:tc>
        <w:tc>
          <w:tcPr>
            <w:tcW w:w="2962" w:type="dxa"/>
            <w:tcBorders>
              <w:right w:val="single" w:color="000000" w:sz="6" w:space="0"/>
            </w:tcBorders>
            <w:vAlign w:val="center"/>
          </w:tcPr>
          <w:p w14:paraId="1EF9EAE9">
            <w:pPr>
              <w:pStyle w:val="20"/>
              <w:kinsoku/>
              <w:ind w:firstLine="376" w:firstLineChars="200"/>
              <w:jc w:val="both"/>
              <w:rPr>
                <w:rFonts w:ascii="Times New Roman" w:hAnsi="Times New Roman" w:eastAsia="Times New Roman" w:cs="Times New Roman"/>
                <w:sz w:val="21"/>
                <w:szCs w:val="21"/>
                <w:lang w:eastAsia="zh-CN"/>
              </w:rPr>
            </w:pPr>
            <w:r>
              <w:rPr>
                <w:rFonts w:ascii="Times New Roman" w:hAnsi="Times New Roman"/>
                <w:spacing w:val="-11"/>
                <w:sz w:val="21"/>
                <w:szCs w:val="21"/>
                <w:lang w:eastAsia="zh-CN"/>
              </w:rPr>
              <w:t>《工业企业厂界环境噪声排放标准》</w:t>
            </w:r>
            <w:r>
              <w:rPr>
                <w:rFonts w:hint="eastAsia" w:ascii="Times New Roman" w:hAnsi="Times New Roman"/>
                <w:spacing w:val="-11"/>
                <w:sz w:val="21"/>
                <w:szCs w:val="21"/>
                <w:lang w:eastAsia="zh-CN"/>
              </w:rPr>
              <w:t>（</w:t>
            </w:r>
            <w:r>
              <w:rPr>
                <w:rFonts w:ascii="Times New Roman" w:hAnsi="Times New Roman"/>
                <w:spacing w:val="-11"/>
                <w:sz w:val="21"/>
                <w:szCs w:val="21"/>
                <w:lang w:eastAsia="zh-CN"/>
              </w:rPr>
              <w:t>GB12348-2008）中3类标准：昼间≤65dB</w:t>
            </w:r>
            <w:r>
              <w:rPr>
                <w:rFonts w:hint="eastAsia" w:ascii="Times New Roman" w:hAnsi="Times New Roman"/>
                <w:spacing w:val="-11"/>
                <w:sz w:val="21"/>
                <w:szCs w:val="21"/>
                <w:lang w:eastAsia="zh-CN"/>
              </w:rPr>
              <w:t>（</w:t>
            </w:r>
            <w:r>
              <w:rPr>
                <w:rFonts w:ascii="Times New Roman" w:hAnsi="Times New Roman"/>
                <w:spacing w:val="-11"/>
                <w:sz w:val="21"/>
                <w:szCs w:val="21"/>
                <w:lang w:eastAsia="zh-CN"/>
              </w:rPr>
              <w:t>A</w:t>
            </w:r>
            <w:r>
              <w:rPr>
                <w:rFonts w:hint="eastAsia" w:ascii="Times New Roman" w:hAnsi="Times New Roman"/>
                <w:spacing w:val="-11"/>
                <w:sz w:val="21"/>
                <w:szCs w:val="21"/>
                <w:lang w:eastAsia="zh-CN"/>
              </w:rPr>
              <w:t>）</w:t>
            </w:r>
            <w:r>
              <w:rPr>
                <w:rFonts w:ascii="Times New Roman" w:hAnsi="Times New Roman"/>
                <w:spacing w:val="-11"/>
                <w:sz w:val="21"/>
                <w:szCs w:val="21"/>
                <w:lang w:eastAsia="zh-CN"/>
              </w:rPr>
              <w:t>，昼间≤55dB(A)</w:t>
            </w:r>
          </w:p>
        </w:tc>
      </w:tr>
      <w:tr w14:paraId="2AD7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57" w:type="dxa"/>
            <w:tcBorders>
              <w:left w:val="single" w:color="000000" w:sz="6" w:space="0"/>
            </w:tcBorders>
            <w:vAlign w:val="center"/>
          </w:tcPr>
          <w:p w14:paraId="05107759">
            <w:pPr>
              <w:pStyle w:val="20"/>
              <w:spacing w:before="71" w:line="226" w:lineRule="auto"/>
              <w:ind w:left="389"/>
              <w:rPr>
                <w:sz w:val="21"/>
                <w:szCs w:val="21"/>
              </w:rPr>
            </w:pPr>
            <w:r>
              <w:rPr>
                <w:spacing w:val="-8"/>
                <w:sz w:val="21"/>
                <w:szCs w:val="21"/>
              </w:rPr>
              <w:t>电磁</w:t>
            </w:r>
          </w:p>
          <w:p w14:paraId="0417815D">
            <w:pPr>
              <w:pStyle w:val="20"/>
              <w:spacing w:before="15" w:line="221" w:lineRule="auto"/>
              <w:ind w:left="363"/>
              <w:rPr>
                <w:sz w:val="21"/>
                <w:szCs w:val="21"/>
              </w:rPr>
            </w:pPr>
            <w:r>
              <w:rPr>
                <w:spacing w:val="-2"/>
                <w:sz w:val="21"/>
                <w:szCs w:val="21"/>
              </w:rPr>
              <w:t>辐射</w:t>
            </w:r>
          </w:p>
        </w:tc>
        <w:tc>
          <w:tcPr>
            <w:tcW w:w="7920" w:type="dxa"/>
            <w:gridSpan w:val="4"/>
            <w:tcBorders>
              <w:right w:val="single" w:color="000000" w:sz="6" w:space="0"/>
            </w:tcBorders>
            <w:vAlign w:val="center"/>
          </w:tcPr>
          <w:p w14:paraId="3D8AF10C">
            <w:pPr>
              <w:pStyle w:val="20"/>
              <w:spacing w:before="207" w:line="221" w:lineRule="auto"/>
              <w:ind w:left="3857"/>
              <w:rPr>
                <w:sz w:val="21"/>
                <w:szCs w:val="21"/>
              </w:rPr>
            </w:pPr>
            <w:r>
              <w:rPr>
                <w:sz w:val="21"/>
                <w:szCs w:val="21"/>
              </w:rPr>
              <w:t>无</w:t>
            </w:r>
          </w:p>
        </w:tc>
      </w:tr>
      <w:tr w14:paraId="5307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57" w:type="dxa"/>
            <w:vMerge w:val="restart"/>
            <w:tcBorders>
              <w:left w:val="single" w:color="000000" w:sz="6" w:space="0"/>
              <w:bottom w:val="nil"/>
            </w:tcBorders>
            <w:vAlign w:val="center"/>
          </w:tcPr>
          <w:p w14:paraId="440DE8B7">
            <w:pPr>
              <w:pStyle w:val="20"/>
              <w:spacing w:before="69" w:line="221" w:lineRule="auto"/>
              <w:rPr>
                <w:sz w:val="21"/>
                <w:szCs w:val="21"/>
              </w:rPr>
            </w:pPr>
            <w:r>
              <w:rPr>
                <w:spacing w:val="-6"/>
                <w:sz w:val="21"/>
                <w:szCs w:val="21"/>
              </w:rPr>
              <w:t>固体</w:t>
            </w:r>
            <w:r>
              <w:rPr>
                <w:spacing w:val="-2"/>
                <w:sz w:val="21"/>
                <w:szCs w:val="21"/>
              </w:rPr>
              <w:t>废物</w:t>
            </w:r>
          </w:p>
        </w:tc>
        <w:tc>
          <w:tcPr>
            <w:tcW w:w="1750" w:type="dxa"/>
            <w:vMerge w:val="restart"/>
            <w:tcBorders>
              <w:bottom w:val="nil"/>
            </w:tcBorders>
            <w:vAlign w:val="center"/>
          </w:tcPr>
          <w:p w14:paraId="00581698">
            <w:pPr>
              <w:pStyle w:val="20"/>
              <w:spacing w:before="68" w:line="221" w:lineRule="auto"/>
              <w:rPr>
                <w:rFonts w:ascii="Times New Roman" w:hAnsi="Times New Roman"/>
                <w:sz w:val="21"/>
                <w:szCs w:val="21"/>
              </w:rPr>
            </w:pPr>
            <w:r>
              <w:rPr>
                <w:rFonts w:ascii="Times New Roman" w:hAnsi="Times New Roman"/>
                <w:spacing w:val="-2"/>
                <w:sz w:val="21"/>
                <w:szCs w:val="21"/>
              </w:rPr>
              <w:t>生产固废</w:t>
            </w:r>
          </w:p>
        </w:tc>
        <w:tc>
          <w:tcPr>
            <w:tcW w:w="1459" w:type="dxa"/>
            <w:vAlign w:val="center"/>
          </w:tcPr>
          <w:p w14:paraId="14273109">
            <w:pPr>
              <w:pStyle w:val="20"/>
              <w:spacing w:before="68" w:line="221" w:lineRule="auto"/>
              <w:jc w:val="center"/>
              <w:rPr>
                <w:rFonts w:ascii="Times New Roman" w:hAnsi="Times New Roman"/>
                <w:spacing w:val="-2"/>
                <w:sz w:val="21"/>
                <w:szCs w:val="21"/>
                <w:lang w:eastAsia="zh-CN"/>
              </w:rPr>
            </w:pPr>
            <w:r>
              <w:rPr>
                <w:rFonts w:ascii="Times New Roman" w:hAnsi="Times New Roman"/>
                <w:spacing w:val="-2"/>
                <w:sz w:val="21"/>
                <w:szCs w:val="21"/>
              </w:rPr>
              <w:t>废渣</w:t>
            </w:r>
          </w:p>
        </w:tc>
        <w:tc>
          <w:tcPr>
            <w:tcW w:w="1749" w:type="dxa"/>
            <w:vAlign w:val="center"/>
          </w:tcPr>
          <w:p w14:paraId="780EC6F6">
            <w:pPr>
              <w:pStyle w:val="20"/>
              <w:spacing w:before="68" w:line="221" w:lineRule="auto"/>
              <w:jc w:val="center"/>
              <w:rPr>
                <w:rFonts w:ascii="Times New Roman" w:hAnsi="Times New Roman"/>
                <w:spacing w:val="-2"/>
                <w:sz w:val="21"/>
                <w:szCs w:val="21"/>
                <w:lang w:eastAsia="zh-CN"/>
              </w:rPr>
            </w:pPr>
            <w:r>
              <w:rPr>
                <w:rFonts w:ascii="Times New Roman" w:hAnsi="Times New Roman"/>
                <w:spacing w:val="-2"/>
                <w:sz w:val="21"/>
                <w:szCs w:val="21"/>
                <w:lang w:eastAsia="zh-CN"/>
              </w:rPr>
              <w:t>收集后</w:t>
            </w:r>
            <w:r>
              <w:rPr>
                <w:rFonts w:hint="eastAsia" w:ascii="Times New Roman" w:hAnsi="Times New Roman"/>
                <w:spacing w:val="-2"/>
                <w:sz w:val="21"/>
                <w:szCs w:val="21"/>
                <w:lang w:eastAsia="zh-CN"/>
              </w:rPr>
              <w:t>经破碎，</w:t>
            </w:r>
            <w:r>
              <w:rPr>
                <w:rFonts w:ascii="Times New Roman" w:hAnsi="Times New Roman"/>
                <w:spacing w:val="-2"/>
                <w:sz w:val="21"/>
                <w:szCs w:val="21"/>
                <w:lang w:eastAsia="zh-CN"/>
              </w:rPr>
              <w:t>返回</w:t>
            </w:r>
            <w:r>
              <w:rPr>
                <w:rFonts w:hint="eastAsia" w:ascii="Times New Roman" w:hAnsi="Times New Roman"/>
                <w:spacing w:val="-2"/>
                <w:sz w:val="21"/>
                <w:szCs w:val="21"/>
                <w:lang w:eastAsia="zh-CN"/>
              </w:rPr>
              <w:t>配料</w:t>
            </w:r>
            <w:r>
              <w:rPr>
                <w:rFonts w:ascii="Times New Roman" w:hAnsi="Times New Roman"/>
                <w:spacing w:val="-2"/>
                <w:sz w:val="21"/>
                <w:szCs w:val="21"/>
                <w:lang w:eastAsia="zh-CN"/>
              </w:rPr>
              <w:t>工序</w:t>
            </w:r>
          </w:p>
        </w:tc>
        <w:tc>
          <w:tcPr>
            <w:tcW w:w="2962" w:type="dxa"/>
            <w:vMerge w:val="restart"/>
            <w:tcBorders>
              <w:bottom w:val="nil"/>
              <w:right w:val="single" w:color="000000" w:sz="6" w:space="0"/>
            </w:tcBorders>
            <w:vAlign w:val="center"/>
          </w:tcPr>
          <w:p w14:paraId="36C5FB35">
            <w:pPr>
              <w:pStyle w:val="20"/>
              <w:spacing w:before="69" w:line="249" w:lineRule="auto"/>
              <w:ind w:right="102"/>
              <w:jc w:val="both"/>
              <w:rPr>
                <w:rFonts w:ascii="Times New Roman" w:hAnsi="Times New Roman"/>
                <w:sz w:val="21"/>
                <w:szCs w:val="21"/>
                <w:lang w:eastAsia="zh-CN"/>
              </w:rPr>
            </w:pPr>
            <w:r>
              <w:rPr>
                <w:rFonts w:ascii="Times New Roman" w:hAnsi="Times New Roman"/>
                <w:sz w:val="21"/>
                <w:szCs w:val="21"/>
                <w:lang w:eastAsia="zh-CN"/>
              </w:rPr>
              <w:t>《一般工业固体废物贮存和填</w:t>
            </w:r>
            <w:r>
              <w:rPr>
                <w:rFonts w:ascii="Times New Roman" w:hAnsi="Times New Roman"/>
                <w:spacing w:val="-10"/>
                <w:sz w:val="21"/>
                <w:szCs w:val="21"/>
                <w:lang w:eastAsia="zh-CN"/>
              </w:rPr>
              <w:t>埋污染控制标准》</w:t>
            </w:r>
            <w:r>
              <w:rPr>
                <w:rFonts w:ascii="Times New Roman" w:hAnsi="Times New Roman"/>
                <w:spacing w:val="-1"/>
                <w:sz w:val="21"/>
                <w:szCs w:val="21"/>
                <w:lang w:eastAsia="zh-CN"/>
              </w:rPr>
              <w:t>（</w:t>
            </w:r>
            <w:r>
              <w:rPr>
                <w:rFonts w:ascii="Times New Roman" w:hAnsi="Times New Roman" w:cs="Times New Roman"/>
                <w:spacing w:val="-1"/>
                <w:sz w:val="21"/>
                <w:szCs w:val="21"/>
                <w:lang w:eastAsia="zh-CN"/>
              </w:rPr>
              <w:t>GB18599-2020</w:t>
            </w:r>
            <w:r>
              <w:rPr>
                <w:rFonts w:ascii="Times New Roman" w:hAnsi="Times New Roman"/>
                <w:spacing w:val="-1"/>
                <w:sz w:val="21"/>
                <w:szCs w:val="21"/>
                <w:lang w:eastAsia="zh-CN"/>
              </w:rPr>
              <w:t>）</w:t>
            </w:r>
          </w:p>
        </w:tc>
      </w:tr>
      <w:tr w14:paraId="444B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7" w:type="dxa"/>
            <w:vMerge w:val="continue"/>
            <w:tcBorders>
              <w:top w:val="nil"/>
              <w:left w:val="single" w:color="000000" w:sz="6" w:space="0"/>
              <w:bottom w:val="nil"/>
            </w:tcBorders>
            <w:vAlign w:val="center"/>
          </w:tcPr>
          <w:p w14:paraId="4098DE6E">
            <w:pPr>
              <w:rPr>
                <w:lang w:eastAsia="zh-CN"/>
              </w:rPr>
            </w:pPr>
          </w:p>
        </w:tc>
        <w:tc>
          <w:tcPr>
            <w:tcW w:w="1750" w:type="dxa"/>
            <w:vMerge w:val="continue"/>
            <w:tcBorders>
              <w:top w:val="nil"/>
              <w:bottom w:val="nil"/>
            </w:tcBorders>
            <w:vAlign w:val="center"/>
          </w:tcPr>
          <w:p w14:paraId="3CEE954E">
            <w:pPr>
              <w:rPr>
                <w:rFonts w:ascii="Times New Roman" w:hAnsi="Times New Roman" w:eastAsia="宋体"/>
                <w:lang w:eastAsia="zh-CN"/>
              </w:rPr>
            </w:pPr>
          </w:p>
        </w:tc>
        <w:tc>
          <w:tcPr>
            <w:tcW w:w="1459" w:type="dxa"/>
            <w:vAlign w:val="center"/>
          </w:tcPr>
          <w:p w14:paraId="7D796405">
            <w:pPr>
              <w:pStyle w:val="20"/>
              <w:spacing w:before="68" w:line="221" w:lineRule="auto"/>
              <w:jc w:val="center"/>
              <w:rPr>
                <w:rFonts w:ascii="Times New Roman" w:hAnsi="Times New Roman"/>
                <w:spacing w:val="-2"/>
                <w:sz w:val="21"/>
                <w:szCs w:val="21"/>
              </w:rPr>
            </w:pPr>
            <w:r>
              <w:rPr>
                <w:rFonts w:ascii="Times New Roman" w:hAnsi="Times New Roman"/>
                <w:spacing w:val="-2"/>
                <w:sz w:val="21"/>
                <w:szCs w:val="21"/>
              </w:rPr>
              <w:t>粉尘</w:t>
            </w:r>
          </w:p>
        </w:tc>
        <w:tc>
          <w:tcPr>
            <w:tcW w:w="1749" w:type="dxa"/>
            <w:vAlign w:val="center"/>
          </w:tcPr>
          <w:p w14:paraId="182EA2A5">
            <w:pPr>
              <w:pStyle w:val="20"/>
              <w:spacing w:before="68" w:line="221" w:lineRule="auto"/>
              <w:jc w:val="center"/>
              <w:rPr>
                <w:rFonts w:ascii="Times New Roman" w:hAnsi="Times New Roman"/>
                <w:spacing w:val="-2"/>
                <w:sz w:val="21"/>
                <w:szCs w:val="21"/>
              </w:rPr>
            </w:pPr>
            <w:r>
              <w:rPr>
                <w:rFonts w:ascii="Times New Roman" w:hAnsi="Times New Roman"/>
                <w:spacing w:val="-2"/>
                <w:sz w:val="21"/>
                <w:szCs w:val="21"/>
              </w:rPr>
              <w:t>收集后返回生产工序</w:t>
            </w:r>
          </w:p>
        </w:tc>
        <w:tc>
          <w:tcPr>
            <w:tcW w:w="2962" w:type="dxa"/>
            <w:vMerge w:val="continue"/>
            <w:tcBorders>
              <w:top w:val="nil"/>
              <w:bottom w:val="nil"/>
              <w:right w:val="single" w:color="000000" w:sz="6" w:space="0"/>
            </w:tcBorders>
            <w:vAlign w:val="center"/>
          </w:tcPr>
          <w:p w14:paraId="4E0167DC">
            <w:pPr>
              <w:rPr>
                <w:rFonts w:ascii="Times New Roman" w:hAnsi="Times New Roman" w:eastAsia="宋体"/>
              </w:rPr>
            </w:pPr>
          </w:p>
        </w:tc>
      </w:tr>
      <w:tr w14:paraId="1F589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7" w:type="dxa"/>
            <w:vMerge w:val="continue"/>
            <w:tcBorders>
              <w:top w:val="nil"/>
              <w:left w:val="single" w:color="000000" w:sz="6" w:space="0"/>
              <w:bottom w:val="nil"/>
            </w:tcBorders>
            <w:vAlign w:val="center"/>
          </w:tcPr>
          <w:p w14:paraId="5C0F57D7"/>
        </w:tc>
        <w:tc>
          <w:tcPr>
            <w:tcW w:w="1750" w:type="dxa"/>
            <w:vMerge w:val="continue"/>
            <w:tcBorders>
              <w:top w:val="nil"/>
              <w:bottom w:val="nil"/>
            </w:tcBorders>
            <w:vAlign w:val="center"/>
          </w:tcPr>
          <w:p w14:paraId="35A9439A">
            <w:pPr>
              <w:rPr>
                <w:rFonts w:ascii="Times New Roman" w:hAnsi="Times New Roman" w:eastAsia="宋体"/>
              </w:rPr>
            </w:pPr>
          </w:p>
        </w:tc>
        <w:tc>
          <w:tcPr>
            <w:tcW w:w="1459" w:type="dxa"/>
            <w:vAlign w:val="center"/>
          </w:tcPr>
          <w:p w14:paraId="648E6C66">
            <w:pPr>
              <w:pStyle w:val="20"/>
              <w:spacing w:before="68" w:line="221" w:lineRule="auto"/>
              <w:jc w:val="center"/>
              <w:rPr>
                <w:rFonts w:ascii="Times New Roman" w:hAnsi="Times New Roman"/>
                <w:spacing w:val="-2"/>
                <w:sz w:val="21"/>
                <w:szCs w:val="21"/>
              </w:rPr>
            </w:pPr>
            <w:r>
              <w:rPr>
                <w:rFonts w:ascii="Times New Roman" w:hAnsi="Times New Roman"/>
                <w:spacing w:val="-2"/>
                <w:sz w:val="21"/>
                <w:szCs w:val="21"/>
              </w:rPr>
              <w:t>包装袋</w:t>
            </w:r>
          </w:p>
        </w:tc>
        <w:tc>
          <w:tcPr>
            <w:tcW w:w="1749" w:type="dxa"/>
            <w:vAlign w:val="center"/>
          </w:tcPr>
          <w:p w14:paraId="466AEA6E">
            <w:pPr>
              <w:pStyle w:val="20"/>
              <w:spacing w:before="68" w:line="221" w:lineRule="auto"/>
              <w:jc w:val="center"/>
              <w:rPr>
                <w:rFonts w:ascii="Times New Roman" w:hAnsi="Times New Roman"/>
                <w:spacing w:val="-2"/>
                <w:sz w:val="21"/>
                <w:szCs w:val="21"/>
                <w:lang w:eastAsia="zh-CN"/>
              </w:rPr>
            </w:pPr>
            <w:r>
              <w:rPr>
                <w:rFonts w:ascii="Times New Roman" w:hAnsi="Times New Roman"/>
                <w:spacing w:val="-2"/>
                <w:sz w:val="21"/>
                <w:szCs w:val="21"/>
              </w:rPr>
              <w:t>外售</w:t>
            </w:r>
          </w:p>
        </w:tc>
        <w:tc>
          <w:tcPr>
            <w:tcW w:w="2962" w:type="dxa"/>
            <w:vMerge w:val="continue"/>
            <w:tcBorders>
              <w:top w:val="nil"/>
              <w:bottom w:val="nil"/>
              <w:right w:val="single" w:color="000000" w:sz="6" w:space="0"/>
            </w:tcBorders>
            <w:vAlign w:val="center"/>
          </w:tcPr>
          <w:p w14:paraId="2B5B5FD2">
            <w:pPr>
              <w:rPr>
                <w:rFonts w:ascii="Times New Roman" w:hAnsi="Times New Roman" w:eastAsia="宋体"/>
                <w:lang w:eastAsia="zh-CN"/>
              </w:rPr>
            </w:pPr>
          </w:p>
        </w:tc>
      </w:tr>
      <w:tr w14:paraId="1F6D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Merge w:val="continue"/>
            <w:tcBorders>
              <w:top w:val="nil"/>
              <w:left w:val="single" w:color="000000" w:sz="6" w:space="0"/>
              <w:bottom w:val="nil"/>
            </w:tcBorders>
            <w:vAlign w:val="center"/>
          </w:tcPr>
          <w:p w14:paraId="19408C94">
            <w:pPr>
              <w:rPr>
                <w:lang w:eastAsia="zh-CN"/>
              </w:rPr>
            </w:pPr>
          </w:p>
        </w:tc>
        <w:tc>
          <w:tcPr>
            <w:tcW w:w="1750" w:type="dxa"/>
            <w:vMerge w:val="continue"/>
            <w:tcBorders>
              <w:top w:val="nil"/>
              <w:bottom w:val="nil"/>
            </w:tcBorders>
            <w:vAlign w:val="center"/>
          </w:tcPr>
          <w:p w14:paraId="549C9151">
            <w:pPr>
              <w:rPr>
                <w:rFonts w:ascii="Times New Roman" w:hAnsi="Times New Roman" w:eastAsia="宋体"/>
                <w:lang w:eastAsia="zh-CN"/>
              </w:rPr>
            </w:pPr>
          </w:p>
        </w:tc>
        <w:tc>
          <w:tcPr>
            <w:tcW w:w="1459" w:type="dxa"/>
            <w:vAlign w:val="center"/>
          </w:tcPr>
          <w:p w14:paraId="5A1F936A">
            <w:pPr>
              <w:pStyle w:val="20"/>
              <w:spacing w:before="68" w:line="221" w:lineRule="auto"/>
              <w:jc w:val="center"/>
              <w:rPr>
                <w:rFonts w:ascii="Times New Roman" w:hAnsi="Times New Roman"/>
                <w:spacing w:val="-2"/>
                <w:sz w:val="21"/>
                <w:szCs w:val="21"/>
              </w:rPr>
            </w:pPr>
            <w:r>
              <w:rPr>
                <w:rFonts w:ascii="Times New Roman" w:hAnsi="Times New Roman"/>
                <w:spacing w:val="-2"/>
                <w:sz w:val="21"/>
                <w:szCs w:val="21"/>
              </w:rPr>
              <w:t>损坏的模具</w:t>
            </w:r>
          </w:p>
        </w:tc>
        <w:tc>
          <w:tcPr>
            <w:tcW w:w="1749" w:type="dxa"/>
            <w:vAlign w:val="center"/>
          </w:tcPr>
          <w:p w14:paraId="745D55F1">
            <w:pPr>
              <w:pStyle w:val="20"/>
              <w:spacing w:before="68" w:line="221" w:lineRule="auto"/>
              <w:jc w:val="center"/>
              <w:rPr>
                <w:rFonts w:ascii="Times New Roman" w:hAnsi="Times New Roman"/>
                <w:spacing w:val="-2"/>
                <w:sz w:val="21"/>
                <w:szCs w:val="21"/>
              </w:rPr>
            </w:pPr>
            <w:r>
              <w:rPr>
                <w:rFonts w:ascii="Times New Roman" w:hAnsi="Times New Roman"/>
                <w:spacing w:val="-2"/>
                <w:sz w:val="21"/>
                <w:szCs w:val="21"/>
              </w:rPr>
              <w:t>外售</w:t>
            </w:r>
          </w:p>
        </w:tc>
        <w:tc>
          <w:tcPr>
            <w:tcW w:w="2962" w:type="dxa"/>
            <w:vMerge w:val="continue"/>
            <w:tcBorders>
              <w:top w:val="nil"/>
              <w:bottom w:val="nil"/>
              <w:right w:val="single" w:color="000000" w:sz="6" w:space="0"/>
            </w:tcBorders>
            <w:vAlign w:val="center"/>
          </w:tcPr>
          <w:p w14:paraId="50CB5012">
            <w:pPr>
              <w:rPr>
                <w:rFonts w:ascii="Times New Roman" w:hAnsi="Times New Roman" w:eastAsia="宋体"/>
              </w:rPr>
            </w:pPr>
          </w:p>
        </w:tc>
      </w:tr>
      <w:tr w14:paraId="705E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7" w:type="dxa"/>
            <w:vMerge w:val="continue"/>
            <w:tcBorders>
              <w:top w:val="nil"/>
              <w:left w:val="single" w:color="000000" w:sz="6" w:space="0"/>
              <w:bottom w:val="nil"/>
            </w:tcBorders>
            <w:vAlign w:val="center"/>
          </w:tcPr>
          <w:p w14:paraId="17380DC1">
            <w:pPr>
              <w:rPr>
                <w:lang w:eastAsia="zh-CN"/>
              </w:rPr>
            </w:pPr>
          </w:p>
        </w:tc>
        <w:tc>
          <w:tcPr>
            <w:tcW w:w="1750" w:type="dxa"/>
            <w:tcBorders>
              <w:top w:val="single" w:color="auto" w:sz="4" w:space="0"/>
            </w:tcBorders>
            <w:vAlign w:val="center"/>
          </w:tcPr>
          <w:p w14:paraId="7A2F371A">
            <w:pPr>
              <w:rPr>
                <w:rFonts w:hint="default" w:ascii="Times New Roman" w:hAnsi="Times New Roman" w:eastAsia="宋体"/>
                <w:lang w:val="en-US" w:eastAsia="zh-CN"/>
              </w:rPr>
            </w:pPr>
            <w:r>
              <w:rPr>
                <w:rFonts w:hint="eastAsia" w:ascii="Times New Roman" w:hAnsi="Times New Roman" w:eastAsia="宋体"/>
                <w:lang w:val="en-US" w:eastAsia="zh-CN"/>
              </w:rPr>
              <w:t>危险废物</w:t>
            </w:r>
          </w:p>
        </w:tc>
        <w:tc>
          <w:tcPr>
            <w:tcW w:w="1459" w:type="dxa"/>
            <w:vAlign w:val="center"/>
          </w:tcPr>
          <w:p w14:paraId="449DDF9F">
            <w:pPr>
              <w:pStyle w:val="20"/>
              <w:spacing w:before="68" w:line="221" w:lineRule="auto"/>
              <w:jc w:val="center"/>
              <w:rPr>
                <w:rFonts w:hint="default" w:ascii="Times New Roman" w:hAnsi="Times New Roman"/>
                <w:spacing w:val="-2"/>
                <w:sz w:val="21"/>
                <w:szCs w:val="21"/>
                <w:lang w:val="en-US" w:eastAsia="zh-CN"/>
              </w:rPr>
            </w:pPr>
            <w:r>
              <w:rPr>
                <w:rFonts w:hint="eastAsia" w:ascii="Times New Roman" w:hAnsi="Times New Roman"/>
                <w:spacing w:val="-2"/>
                <w:sz w:val="21"/>
                <w:szCs w:val="21"/>
                <w:lang w:eastAsia="zh-CN"/>
              </w:rPr>
              <w:t>废机油、</w:t>
            </w:r>
            <w:r>
              <w:rPr>
                <w:rFonts w:hint="eastAsia" w:ascii="Times New Roman" w:hAnsi="Times New Roman"/>
                <w:spacing w:val="-2"/>
                <w:sz w:val="21"/>
                <w:szCs w:val="21"/>
                <w:lang w:val="en-US" w:eastAsia="zh-CN"/>
              </w:rPr>
              <w:t>废油桶</w:t>
            </w:r>
          </w:p>
        </w:tc>
        <w:tc>
          <w:tcPr>
            <w:tcW w:w="1749" w:type="dxa"/>
            <w:vAlign w:val="center"/>
          </w:tcPr>
          <w:p w14:paraId="1DE4EEB3">
            <w:pPr>
              <w:pStyle w:val="20"/>
              <w:spacing w:before="68" w:line="221" w:lineRule="auto"/>
              <w:jc w:val="center"/>
              <w:rPr>
                <w:rFonts w:ascii="Times New Roman" w:hAnsi="Times New Roman"/>
                <w:spacing w:val="-2"/>
                <w:sz w:val="21"/>
                <w:szCs w:val="21"/>
                <w:lang w:eastAsia="zh-CN"/>
              </w:rPr>
            </w:pPr>
            <w:r>
              <w:rPr>
                <w:rFonts w:hint="eastAsia" w:ascii="Times New Roman" w:hAnsi="Times New Roman"/>
                <w:spacing w:val="-2"/>
                <w:sz w:val="21"/>
                <w:szCs w:val="21"/>
                <w:lang w:eastAsia="zh-CN"/>
              </w:rPr>
              <w:t>废机油集中收集暂存于危废间内（3m</w:t>
            </w:r>
            <w:r>
              <w:rPr>
                <w:rFonts w:hint="eastAsia" w:ascii="Times New Roman" w:hAnsi="Times New Roman"/>
                <w:spacing w:val="-2"/>
                <w:sz w:val="21"/>
                <w:szCs w:val="21"/>
                <w:vertAlign w:val="superscript"/>
                <w:lang w:eastAsia="zh-CN"/>
              </w:rPr>
              <w:t>2</w:t>
            </w:r>
            <w:r>
              <w:rPr>
                <w:rFonts w:hint="eastAsia" w:ascii="Times New Roman" w:hAnsi="Times New Roman"/>
                <w:spacing w:val="-2"/>
                <w:sz w:val="21"/>
                <w:szCs w:val="21"/>
                <w:lang w:eastAsia="zh-CN"/>
              </w:rPr>
              <w:t>），委托具有相关资质的单位进行清运处置</w:t>
            </w:r>
          </w:p>
        </w:tc>
        <w:tc>
          <w:tcPr>
            <w:tcW w:w="2962" w:type="dxa"/>
            <w:tcBorders>
              <w:top w:val="nil"/>
              <w:right w:val="single" w:color="000000" w:sz="6" w:space="0"/>
            </w:tcBorders>
            <w:vAlign w:val="center"/>
          </w:tcPr>
          <w:p w14:paraId="7CC7BAA4">
            <w:pPr>
              <w:rPr>
                <w:rFonts w:ascii="Times New Roman" w:hAnsi="Times New Roman" w:eastAsia="宋体"/>
                <w:lang w:eastAsia="zh-CN"/>
              </w:rPr>
            </w:pPr>
            <w:r>
              <w:rPr>
                <w:rFonts w:hint="eastAsia" w:ascii="Times New Roman" w:hAnsi="Times New Roman" w:eastAsia="宋体" w:cs="宋体"/>
                <w:spacing w:val="-2"/>
                <w:lang w:eastAsia="zh-CN"/>
              </w:rPr>
              <w:t>《危险废物贮存污染控制标准》（GB18597-2023）</w:t>
            </w:r>
          </w:p>
        </w:tc>
      </w:tr>
      <w:tr w14:paraId="5801B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57" w:type="dxa"/>
            <w:vMerge w:val="continue"/>
            <w:tcBorders>
              <w:top w:val="nil"/>
              <w:left w:val="single" w:color="000000" w:sz="6" w:space="0"/>
              <w:bottom w:val="single" w:color="000000" w:sz="6" w:space="0"/>
            </w:tcBorders>
            <w:vAlign w:val="center"/>
          </w:tcPr>
          <w:p w14:paraId="479A8A97">
            <w:pPr>
              <w:rPr>
                <w:lang w:eastAsia="zh-CN"/>
              </w:rPr>
            </w:pPr>
          </w:p>
        </w:tc>
        <w:tc>
          <w:tcPr>
            <w:tcW w:w="1750" w:type="dxa"/>
            <w:tcBorders>
              <w:bottom w:val="single" w:color="000000" w:sz="6" w:space="0"/>
            </w:tcBorders>
            <w:vAlign w:val="center"/>
          </w:tcPr>
          <w:p w14:paraId="3987FBBF">
            <w:pPr>
              <w:pStyle w:val="20"/>
              <w:spacing w:before="181" w:line="221" w:lineRule="auto"/>
              <w:ind w:left="457"/>
              <w:rPr>
                <w:rFonts w:ascii="Times New Roman" w:hAnsi="Times New Roman"/>
                <w:sz w:val="21"/>
                <w:szCs w:val="21"/>
              </w:rPr>
            </w:pPr>
            <w:r>
              <w:rPr>
                <w:rFonts w:ascii="Times New Roman" w:hAnsi="Times New Roman"/>
                <w:spacing w:val="-2"/>
                <w:sz w:val="21"/>
                <w:szCs w:val="21"/>
              </w:rPr>
              <w:t>职工生活</w:t>
            </w:r>
          </w:p>
        </w:tc>
        <w:tc>
          <w:tcPr>
            <w:tcW w:w="1459" w:type="dxa"/>
            <w:tcBorders>
              <w:bottom w:val="single" w:color="000000" w:sz="6" w:space="0"/>
            </w:tcBorders>
            <w:vAlign w:val="center"/>
          </w:tcPr>
          <w:p w14:paraId="0EFD686B">
            <w:pPr>
              <w:pStyle w:val="20"/>
              <w:spacing w:before="181" w:line="221" w:lineRule="auto"/>
              <w:ind w:left="314"/>
              <w:rPr>
                <w:rFonts w:ascii="Times New Roman" w:hAnsi="Times New Roman"/>
                <w:sz w:val="21"/>
                <w:szCs w:val="21"/>
              </w:rPr>
            </w:pPr>
            <w:r>
              <w:rPr>
                <w:rFonts w:ascii="Times New Roman" w:hAnsi="Times New Roman"/>
                <w:spacing w:val="-2"/>
                <w:sz w:val="21"/>
                <w:szCs w:val="21"/>
              </w:rPr>
              <w:t>生活垃圾</w:t>
            </w:r>
          </w:p>
        </w:tc>
        <w:tc>
          <w:tcPr>
            <w:tcW w:w="1749" w:type="dxa"/>
            <w:tcBorders>
              <w:bottom w:val="single" w:color="000000" w:sz="6" w:space="0"/>
            </w:tcBorders>
            <w:vAlign w:val="center"/>
          </w:tcPr>
          <w:p w14:paraId="539D65D0">
            <w:pPr>
              <w:pStyle w:val="20"/>
              <w:spacing w:before="46" w:line="224" w:lineRule="auto"/>
              <w:ind w:left="466" w:right="133" w:hanging="296"/>
              <w:rPr>
                <w:rFonts w:ascii="Times New Roman" w:hAnsi="Times New Roman"/>
                <w:sz w:val="21"/>
                <w:szCs w:val="21"/>
                <w:lang w:eastAsia="zh-CN"/>
              </w:rPr>
            </w:pPr>
            <w:r>
              <w:rPr>
                <w:rFonts w:ascii="Times New Roman" w:hAnsi="Times New Roman"/>
                <w:spacing w:val="-5"/>
                <w:sz w:val="21"/>
                <w:szCs w:val="21"/>
                <w:lang w:eastAsia="zh-CN"/>
              </w:rPr>
              <w:t>由</w:t>
            </w:r>
            <w:r>
              <w:rPr>
                <w:rFonts w:hint="eastAsia" w:ascii="Times New Roman" w:hAnsi="Times New Roman"/>
                <w:spacing w:val="-5"/>
                <w:sz w:val="21"/>
                <w:szCs w:val="21"/>
                <w:lang w:eastAsia="zh-CN"/>
              </w:rPr>
              <w:t>乡镇</w:t>
            </w:r>
            <w:r>
              <w:rPr>
                <w:rFonts w:ascii="Times New Roman" w:hAnsi="Times New Roman"/>
                <w:spacing w:val="-5"/>
                <w:sz w:val="21"/>
                <w:szCs w:val="21"/>
                <w:lang w:eastAsia="zh-CN"/>
              </w:rPr>
              <w:t>环卫部门</w:t>
            </w:r>
            <w:r>
              <w:rPr>
                <w:rFonts w:ascii="Times New Roman" w:hAnsi="Times New Roman"/>
                <w:spacing w:val="-3"/>
                <w:sz w:val="21"/>
                <w:szCs w:val="21"/>
                <w:lang w:eastAsia="zh-CN"/>
              </w:rPr>
              <w:t>统一处理</w:t>
            </w:r>
          </w:p>
        </w:tc>
        <w:tc>
          <w:tcPr>
            <w:tcW w:w="2962" w:type="dxa"/>
            <w:tcBorders>
              <w:bottom w:val="single" w:color="000000" w:sz="6" w:space="0"/>
              <w:right w:val="single" w:color="000000" w:sz="6" w:space="0"/>
            </w:tcBorders>
            <w:vAlign w:val="center"/>
          </w:tcPr>
          <w:p w14:paraId="3915827E">
            <w:pPr>
              <w:pStyle w:val="20"/>
              <w:spacing w:before="60" w:line="231" w:lineRule="auto"/>
              <w:ind w:left="113" w:right="111" w:firstLine="5"/>
              <w:rPr>
                <w:rFonts w:ascii="Times New Roman" w:hAnsi="Times New Roman" w:cs="Times New Roman"/>
                <w:sz w:val="21"/>
                <w:szCs w:val="21"/>
                <w:lang w:eastAsia="zh-CN"/>
              </w:rPr>
            </w:pPr>
            <w:r>
              <w:rPr>
                <w:rFonts w:ascii="Times New Roman" w:hAnsi="Times New Roman"/>
                <w:spacing w:val="16"/>
                <w:sz w:val="21"/>
                <w:szCs w:val="21"/>
                <w:lang w:eastAsia="zh-CN"/>
              </w:rPr>
              <w:t>《城市生活垃圾管理办法》</w:t>
            </w:r>
            <w:r>
              <w:rPr>
                <w:rFonts w:ascii="Times New Roman" w:hAnsi="Times New Roman" w:cs="Times New Roman"/>
                <w:spacing w:val="-1"/>
                <w:sz w:val="21"/>
                <w:szCs w:val="21"/>
                <w:lang w:eastAsia="zh-CN"/>
              </w:rPr>
              <w:t>2007.7.1</w:t>
            </w:r>
          </w:p>
        </w:tc>
      </w:tr>
      <w:tr w14:paraId="1613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7" w:type="dxa"/>
            <w:tcBorders>
              <w:top w:val="single" w:color="000000" w:sz="6" w:space="0"/>
              <w:left w:val="single" w:color="000000" w:sz="6" w:space="0"/>
            </w:tcBorders>
            <w:vAlign w:val="center"/>
          </w:tcPr>
          <w:p w14:paraId="1BA4967B">
            <w:pPr>
              <w:pStyle w:val="20"/>
              <w:spacing w:before="33" w:line="222" w:lineRule="auto"/>
              <w:ind w:left="157"/>
              <w:rPr>
                <w:sz w:val="21"/>
                <w:szCs w:val="21"/>
              </w:rPr>
            </w:pPr>
            <w:r>
              <w:rPr>
                <w:spacing w:val="-2"/>
                <w:sz w:val="21"/>
                <w:szCs w:val="21"/>
              </w:rPr>
              <w:t>土壤及地</w:t>
            </w:r>
            <w:r>
              <w:rPr>
                <w:spacing w:val="-3"/>
                <w:sz w:val="21"/>
                <w:szCs w:val="21"/>
              </w:rPr>
              <w:t>下水污染</w:t>
            </w:r>
            <w:r>
              <w:rPr>
                <w:spacing w:val="-5"/>
                <w:sz w:val="21"/>
                <w:szCs w:val="21"/>
              </w:rPr>
              <w:t>防治措施</w:t>
            </w:r>
          </w:p>
        </w:tc>
        <w:tc>
          <w:tcPr>
            <w:tcW w:w="7920" w:type="dxa"/>
            <w:gridSpan w:val="4"/>
            <w:tcBorders>
              <w:top w:val="single" w:color="000000" w:sz="6" w:space="0"/>
              <w:right w:val="single" w:color="000000" w:sz="6" w:space="0"/>
            </w:tcBorders>
            <w:vAlign w:val="center"/>
          </w:tcPr>
          <w:p w14:paraId="6CC49234">
            <w:pPr>
              <w:pStyle w:val="20"/>
              <w:kinsoku/>
              <w:spacing w:before="33" w:line="344" w:lineRule="auto"/>
              <w:ind w:left="108" w:right="23" w:firstLine="420"/>
              <w:rPr>
                <w:sz w:val="21"/>
                <w:szCs w:val="21"/>
                <w:lang w:eastAsia="zh-CN"/>
              </w:rPr>
            </w:pPr>
            <w:r>
              <w:rPr>
                <w:spacing w:val="-2"/>
                <w:sz w:val="21"/>
                <w:szCs w:val="21"/>
                <w:lang w:eastAsia="zh-CN"/>
              </w:rPr>
              <w:t>项目沉淀池和水磨拉丝机生产区为重点防渗区，要求进行防渗处理，地面</w:t>
            </w:r>
            <w:r>
              <w:rPr>
                <w:spacing w:val="-3"/>
                <w:sz w:val="21"/>
                <w:szCs w:val="21"/>
                <w:lang w:eastAsia="zh-CN"/>
              </w:rPr>
              <w:t>基础防</w:t>
            </w:r>
            <w:r>
              <w:rPr>
                <w:spacing w:val="-2"/>
                <w:sz w:val="21"/>
                <w:szCs w:val="21"/>
                <w:lang w:eastAsia="zh-CN"/>
              </w:rPr>
              <w:t>渗和构筑物防渗等级达到渗透系数</w:t>
            </w:r>
            <w:r>
              <w:rPr>
                <w:rFonts w:ascii="Times New Roman" w:hAnsi="Times New Roman" w:eastAsia="Times New Roman" w:cs="Times New Roman"/>
                <w:spacing w:val="-2"/>
                <w:sz w:val="21"/>
                <w:szCs w:val="21"/>
                <w:lang w:eastAsia="zh-CN"/>
              </w:rPr>
              <w:t>≤1.0×10</w:t>
            </w:r>
            <w:r>
              <w:rPr>
                <w:rFonts w:hint="eastAsia" w:ascii="Times New Roman" w:hAnsi="Times New Roman" w:eastAsia="Times New Roman" w:cs="Times New Roman"/>
                <w:spacing w:val="-2"/>
                <w:sz w:val="21"/>
                <w:szCs w:val="21"/>
                <w:lang w:eastAsia="zh-CN"/>
              </w:rPr>
              <w:t>～</w:t>
            </w:r>
            <w:r>
              <w:rPr>
                <w:rFonts w:ascii="Times New Roman" w:hAnsi="Times New Roman" w:eastAsia="Times New Roman" w:cs="Times New Roman"/>
                <w:spacing w:val="-2"/>
                <w:position w:val="6"/>
                <w:sz w:val="13"/>
                <w:szCs w:val="13"/>
                <w:lang w:eastAsia="zh-CN"/>
              </w:rPr>
              <w:t>10</w:t>
            </w:r>
            <w:r>
              <w:rPr>
                <w:rFonts w:ascii="Times New Roman" w:hAnsi="Times New Roman" w:eastAsia="Times New Roman" w:cs="Times New Roman"/>
                <w:spacing w:val="-2"/>
                <w:sz w:val="21"/>
                <w:szCs w:val="21"/>
                <w:lang w:eastAsia="zh-CN"/>
              </w:rPr>
              <w:t>cm/s</w:t>
            </w:r>
            <w:r>
              <w:rPr>
                <w:spacing w:val="-2"/>
                <w:sz w:val="21"/>
                <w:szCs w:val="21"/>
                <w:lang w:eastAsia="zh-CN"/>
              </w:rPr>
              <w:t>，相当</w:t>
            </w:r>
            <w:r>
              <w:rPr>
                <w:spacing w:val="-3"/>
                <w:sz w:val="21"/>
                <w:szCs w:val="21"/>
                <w:lang w:eastAsia="zh-CN"/>
              </w:rPr>
              <w:t>于不小于</w:t>
            </w:r>
            <w:r>
              <w:rPr>
                <w:rFonts w:ascii="Times New Roman" w:hAnsi="Times New Roman" w:eastAsia="Times New Roman" w:cs="Times New Roman"/>
                <w:spacing w:val="-3"/>
                <w:sz w:val="21"/>
                <w:szCs w:val="21"/>
                <w:lang w:eastAsia="zh-CN"/>
              </w:rPr>
              <w:t>6m</w:t>
            </w:r>
            <w:r>
              <w:rPr>
                <w:spacing w:val="-3"/>
                <w:sz w:val="21"/>
                <w:szCs w:val="21"/>
                <w:lang w:eastAsia="zh-CN"/>
              </w:rPr>
              <w:t>厚的粘土防护层。</w:t>
            </w:r>
          </w:p>
        </w:tc>
      </w:tr>
      <w:tr w14:paraId="260E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7" w:type="dxa"/>
            <w:tcBorders>
              <w:left w:val="single" w:color="000000" w:sz="6" w:space="0"/>
            </w:tcBorders>
            <w:vAlign w:val="center"/>
          </w:tcPr>
          <w:p w14:paraId="6CE654A7">
            <w:pPr>
              <w:pStyle w:val="20"/>
              <w:spacing w:before="31" w:line="223" w:lineRule="auto"/>
              <w:ind w:left="365" w:right="156" w:hanging="207"/>
              <w:rPr>
                <w:sz w:val="21"/>
                <w:szCs w:val="21"/>
              </w:rPr>
            </w:pPr>
            <w:r>
              <w:rPr>
                <w:spacing w:val="-2"/>
                <w:sz w:val="21"/>
                <w:szCs w:val="21"/>
              </w:rPr>
              <w:t>生态保护措施</w:t>
            </w:r>
          </w:p>
        </w:tc>
        <w:tc>
          <w:tcPr>
            <w:tcW w:w="7920" w:type="dxa"/>
            <w:gridSpan w:val="4"/>
            <w:tcBorders>
              <w:right w:val="single" w:color="000000" w:sz="6" w:space="0"/>
            </w:tcBorders>
            <w:vAlign w:val="center"/>
          </w:tcPr>
          <w:p w14:paraId="6B3CB1F1">
            <w:pPr>
              <w:pStyle w:val="20"/>
              <w:spacing w:before="165" w:line="221" w:lineRule="auto"/>
              <w:ind w:left="3857"/>
              <w:rPr>
                <w:sz w:val="21"/>
                <w:szCs w:val="21"/>
              </w:rPr>
            </w:pPr>
            <w:r>
              <w:rPr>
                <w:sz w:val="21"/>
                <w:szCs w:val="21"/>
              </w:rPr>
              <w:t>无</w:t>
            </w:r>
          </w:p>
        </w:tc>
      </w:tr>
      <w:tr w14:paraId="12CD9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157" w:type="dxa"/>
            <w:tcBorders>
              <w:left w:val="single" w:color="000000" w:sz="6" w:space="0"/>
            </w:tcBorders>
            <w:vAlign w:val="center"/>
          </w:tcPr>
          <w:p w14:paraId="1C244015">
            <w:pPr>
              <w:pStyle w:val="20"/>
              <w:spacing w:before="68" w:line="221" w:lineRule="auto"/>
              <w:rPr>
                <w:sz w:val="21"/>
                <w:szCs w:val="21"/>
              </w:rPr>
            </w:pPr>
            <w:r>
              <w:rPr>
                <w:spacing w:val="-11"/>
                <w:sz w:val="21"/>
                <w:szCs w:val="21"/>
              </w:rPr>
              <w:t>环境风险</w:t>
            </w:r>
          </w:p>
          <w:p w14:paraId="613B10EF">
            <w:pPr>
              <w:pStyle w:val="20"/>
              <w:spacing w:before="19" w:line="221" w:lineRule="auto"/>
              <w:ind w:left="200"/>
              <w:rPr>
                <w:sz w:val="21"/>
                <w:szCs w:val="21"/>
              </w:rPr>
            </w:pPr>
            <w:r>
              <w:rPr>
                <w:spacing w:val="-13"/>
                <w:sz w:val="21"/>
                <w:szCs w:val="21"/>
              </w:rPr>
              <w:t>防范措施</w:t>
            </w:r>
          </w:p>
        </w:tc>
        <w:tc>
          <w:tcPr>
            <w:tcW w:w="7920" w:type="dxa"/>
            <w:gridSpan w:val="4"/>
            <w:tcBorders>
              <w:right w:val="single" w:color="000000" w:sz="6" w:space="0"/>
            </w:tcBorders>
            <w:vAlign w:val="center"/>
          </w:tcPr>
          <w:p w14:paraId="5BF7EF93">
            <w:pPr>
              <w:pStyle w:val="20"/>
              <w:spacing w:before="31" w:line="234" w:lineRule="auto"/>
              <w:ind w:left="534"/>
              <w:rPr>
                <w:sz w:val="21"/>
                <w:szCs w:val="21"/>
                <w:lang w:eastAsia="zh-CN"/>
              </w:rPr>
            </w:pPr>
            <w:r>
              <w:rPr>
                <w:spacing w:val="-2"/>
                <w:sz w:val="21"/>
                <w:szCs w:val="21"/>
                <w:lang w:eastAsia="zh-CN"/>
              </w:rPr>
              <w:t>（</w:t>
            </w:r>
            <w:r>
              <w:rPr>
                <w:rFonts w:ascii="Times New Roman" w:hAnsi="Times New Roman" w:eastAsia="Times New Roman" w:cs="Times New Roman"/>
                <w:spacing w:val="-2"/>
                <w:sz w:val="21"/>
                <w:szCs w:val="21"/>
                <w:lang w:eastAsia="zh-CN"/>
              </w:rPr>
              <w:t>1</w:t>
            </w:r>
            <w:r>
              <w:rPr>
                <w:spacing w:val="-2"/>
                <w:sz w:val="21"/>
                <w:szCs w:val="21"/>
                <w:lang w:eastAsia="zh-CN"/>
              </w:rPr>
              <w:t>）定期检修除尘设备，保证除尘设备正常运行。</w:t>
            </w:r>
          </w:p>
          <w:p w14:paraId="6A0D0D73">
            <w:pPr>
              <w:pStyle w:val="20"/>
              <w:spacing w:before="4" w:line="230" w:lineRule="auto"/>
              <w:ind w:left="112" w:right="150" w:firstLine="422"/>
              <w:rPr>
                <w:sz w:val="21"/>
                <w:szCs w:val="21"/>
                <w:lang w:eastAsia="zh-CN"/>
              </w:rPr>
            </w:pPr>
            <w:r>
              <w:rPr>
                <w:spacing w:val="-1"/>
                <w:sz w:val="21"/>
                <w:szCs w:val="21"/>
                <w:lang w:eastAsia="zh-CN"/>
              </w:rPr>
              <w:t>（</w:t>
            </w:r>
            <w:r>
              <w:rPr>
                <w:rFonts w:ascii="Times New Roman" w:hAnsi="Times New Roman" w:eastAsia="Times New Roman" w:cs="Times New Roman"/>
                <w:spacing w:val="-1"/>
                <w:sz w:val="21"/>
                <w:szCs w:val="21"/>
                <w:lang w:eastAsia="zh-CN"/>
              </w:rPr>
              <w:t>2</w:t>
            </w:r>
            <w:r>
              <w:rPr>
                <w:spacing w:val="-1"/>
                <w:sz w:val="21"/>
                <w:szCs w:val="21"/>
                <w:lang w:eastAsia="zh-CN"/>
              </w:rPr>
              <w:t>）除尘设备损坏时建设单位必须进行关机停产并更换相应的设备，知道设备正常后才能开机生产。</w:t>
            </w:r>
          </w:p>
          <w:p w14:paraId="4983CDCD">
            <w:pPr>
              <w:pStyle w:val="20"/>
              <w:spacing w:before="20" w:line="223" w:lineRule="auto"/>
              <w:ind w:left="106" w:right="148" w:firstLine="427"/>
              <w:rPr>
                <w:sz w:val="21"/>
                <w:szCs w:val="21"/>
                <w:lang w:eastAsia="zh-CN"/>
              </w:rPr>
            </w:pPr>
            <w:r>
              <w:rPr>
                <w:spacing w:val="-1"/>
                <w:sz w:val="21"/>
                <w:szCs w:val="21"/>
                <w:lang w:eastAsia="zh-CN"/>
              </w:rPr>
              <w:t>（</w:t>
            </w:r>
            <w:r>
              <w:rPr>
                <w:rFonts w:ascii="Times New Roman" w:hAnsi="Times New Roman" w:eastAsia="Times New Roman" w:cs="Times New Roman"/>
                <w:spacing w:val="-1"/>
                <w:sz w:val="21"/>
                <w:szCs w:val="21"/>
                <w:lang w:eastAsia="zh-CN"/>
              </w:rPr>
              <w:t>3</w:t>
            </w:r>
            <w:r>
              <w:rPr>
                <w:spacing w:val="-1"/>
                <w:sz w:val="21"/>
                <w:szCs w:val="21"/>
                <w:lang w:eastAsia="zh-CN"/>
              </w:rPr>
              <w:t>）</w:t>
            </w:r>
            <w:r>
              <w:rPr>
                <w:rFonts w:hint="eastAsia"/>
                <w:spacing w:val="-1"/>
                <w:sz w:val="21"/>
                <w:szCs w:val="21"/>
                <w:lang w:eastAsia="zh-CN"/>
              </w:rPr>
              <w:t>制定</w:t>
            </w:r>
            <w:r>
              <w:rPr>
                <w:spacing w:val="-1"/>
                <w:sz w:val="21"/>
                <w:szCs w:val="21"/>
                <w:lang w:eastAsia="zh-CN"/>
              </w:rPr>
              <w:t>严格的防火防爆制度，加强员工</w:t>
            </w:r>
            <w:r>
              <w:rPr>
                <w:rFonts w:hint="eastAsia"/>
                <w:spacing w:val="-1"/>
                <w:sz w:val="21"/>
                <w:szCs w:val="21"/>
                <w:lang w:eastAsia="zh-CN"/>
              </w:rPr>
              <w:t>的</w:t>
            </w:r>
            <w:r>
              <w:rPr>
                <w:spacing w:val="-1"/>
                <w:sz w:val="21"/>
                <w:szCs w:val="21"/>
                <w:lang w:eastAsia="zh-CN"/>
              </w:rPr>
              <w:t>安全意识，定期对职工进行如何</w:t>
            </w:r>
            <w:r>
              <w:rPr>
                <w:spacing w:val="-2"/>
                <w:sz w:val="21"/>
                <w:szCs w:val="21"/>
                <w:lang w:eastAsia="zh-CN"/>
              </w:rPr>
              <w:t>避免火灾发生、安全消防知识教育。</w:t>
            </w:r>
          </w:p>
        </w:tc>
      </w:tr>
      <w:tr w14:paraId="0955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1" w:hRule="atLeast"/>
        </w:trPr>
        <w:tc>
          <w:tcPr>
            <w:tcW w:w="1157" w:type="dxa"/>
            <w:tcBorders>
              <w:left w:val="single" w:color="000000" w:sz="6" w:space="0"/>
              <w:bottom w:val="single" w:color="000000" w:sz="6" w:space="0"/>
            </w:tcBorders>
            <w:vAlign w:val="center"/>
          </w:tcPr>
          <w:p w14:paraId="0D9C67D7">
            <w:pPr>
              <w:pStyle w:val="20"/>
              <w:spacing w:before="68" w:line="221" w:lineRule="auto"/>
              <w:rPr>
                <w:sz w:val="21"/>
                <w:szCs w:val="21"/>
              </w:rPr>
            </w:pPr>
            <w:r>
              <w:rPr>
                <w:spacing w:val="-11"/>
                <w:sz w:val="21"/>
                <w:szCs w:val="21"/>
              </w:rPr>
              <w:t>其他环境</w:t>
            </w:r>
            <w:r>
              <w:rPr>
                <w:spacing w:val="-12"/>
                <w:sz w:val="21"/>
                <w:szCs w:val="21"/>
              </w:rPr>
              <w:t>管理要求</w:t>
            </w:r>
          </w:p>
        </w:tc>
        <w:tc>
          <w:tcPr>
            <w:tcW w:w="7920" w:type="dxa"/>
            <w:gridSpan w:val="4"/>
            <w:tcBorders>
              <w:bottom w:val="single" w:color="000000" w:sz="6" w:space="0"/>
              <w:right w:val="single" w:color="000000" w:sz="6" w:space="0"/>
            </w:tcBorders>
            <w:vAlign w:val="center"/>
          </w:tcPr>
          <w:p w14:paraId="65997D06">
            <w:pPr>
              <w:pStyle w:val="20"/>
              <w:spacing w:before="34"/>
              <w:ind w:left="108" w:right="66"/>
              <w:jc w:val="both"/>
              <w:rPr>
                <w:sz w:val="21"/>
                <w:szCs w:val="21"/>
                <w:lang w:eastAsia="zh-CN"/>
              </w:rPr>
            </w:pPr>
            <w:r>
              <w:rPr>
                <w:spacing w:val="-1"/>
                <w:sz w:val="21"/>
                <w:szCs w:val="21"/>
                <w:lang w:eastAsia="zh-CN"/>
              </w:rPr>
              <w:t>根据国务院令第</w:t>
            </w:r>
            <w:r>
              <w:rPr>
                <w:rFonts w:ascii="Times New Roman" w:hAnsi="Times New Roman" w:eastAsia="Times New Roman" w:cs="Times New Roman"/>
                <w:spacing w:val="-1"/>
                <w:sz w:val="21"/>
                <w:szCs w:val="21"/>
                <w:lang w:eastAsia="zh-CN"/>
              </w:rPr>
              <w:t>682</w:t>
            </w:r>
            <w:r>
              <w:rPr>
                <w:spacing w:val="-1"/>
                <w:sz w:val="21"/>
                <w:szCs w:val="21"/>
                <w:lang w:eastAsia="zh-CN"/>
              </w:rPr>
              <w:t>号《建设项目环境保护管理条例》（</w:t>
            </w:r>
            <w:r>
              <w:rPr>
                <w:rFonts w:ascii="Times New Roman" w:hAnsi="Times New Roman" w:eastAsia="Times New Roman" w:cs="Times New Roman"/>
                <w:spacing w:val="-1"/>
                <w:sz w:val="21"/>
                <w:szCs w:val="21"/>
                <w:lang w:eastAsia="zh-CN"/>
              </w:rPr>
              <w:t>2017</w:t>
            </w:r>
            <w:r>
              <w:rPr>
                <w:spacing w:val="-1"/>
                <w:sz w:val="21"/>
                <w:szCs w:val="21"/>
                <w:lang w:eastAsia="zh-CN"/>
              </w:rPr>
              <w:t>年修订</w:t>
            </w:r>
            <w:r>
              <w:rPr>
                <w:spacing w:val="-3"/>
                <w:sz w:val="21"/>
                <w:szCs w:val="21"/>
                <w:lang w:eastAsia="zh-CN"/>
              </w:rPr>
              <w:t>），</w:t>
            </w:r>
            <w:r>
              <w:rPr>
                <w:spacing w:val="-1"/>
                <w:sz w:val="21"/>
                <w:szCs w:val="21"/>
                <w:lang w:eastAsia="zh-CN"/>
              </w:rPr>
              <w:t>编制环境</w:t>
            </w:r>
            <w:r>
              <w:rPr>
                <w:spacing w:val="-2"/>
                <w:sz w:val="21"/>
                <w:szCs w:val="21"/>
                <w:lang w:eastAsia="zh-CN"/>
              </w:rPr>
              <w:t>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w:t>
            </w:r>
            <w:r>
              <w:rPr>
                <w:spacing w:val="-1"/>
                <w:sz w:val="21"/>
                <w:szCs w:val="21"/>
                <w:lang w:eastAsia="zh-CN"/>
              </w:rPr>
              <w:t>告和竣工验收意见；配套建设的环境保护设施经验收合格，方可投入生产或者使用。</w:t>
            </w:r>
            <w:r>
              <w:rPr>
                <w:sz w:val="21"/>
                <w:szCs w:val="21"/>
                <w:lang w:eastAsia="zh-CN"/>
              </w:rPr>
              <w:t>本项目竣工环保验收内容及要求按本节环境保护措施监督检查清单</w:t>
            </w:r>
            <w:r>
              <w:rPr>
                <w:spacing w:val="-1"/>
                <w:sz w:val="21"/>
                <w:szCs w:val="21"/>
                <w:lang w:eastAsia="zh-CN"/>
              </w:rPr>
              <w:t>验收。</w:t>
            </w:r>
          </w:p>
        </w:tc>
      </w:tr>
    </w:tbl>
    <w:p w14:paraId="1E24EEC3">
      <w:pPr>
        <w:rPr>
          <w:rFonts w:ascii="宋体" w:hAnsi="宋体" w:eastAsia="宋体" w:cs="宋体"/>
          <w:b/>
          <w:bCs/>
          <w:spacing w:val="-6"/>
          <w:sz w:val="30"/>
          <w:szCs w:val="30"/>
          <w:lang w:eastAsia="zh-CN"/>
        </w:rPr>
      </w:pPr>
      <w:r>
        <w:rPr>
          <w:rFonts w:ascii="宋体" w:hAnsi="宋体" w:eastAsia="宋体" w:cs="宋体"/>
          <w:b/>
          <w:bCs/>
          <w:spacing w:val="-6"/>
          <w:sz w:val="30"/>
          <w:szCs w:val="30"/>
          <w:lang w:eastAsia="zh-CN"/>
        </w:rPr>
        <w:br w:type="page"/>
      </w:r>
    </w:p>
    <w:p w14:paraId="6FED4257">
      <w:pPr>
        <w:spacing w:before="98" w:line="215" w:lineRule="auto"/>
        <w:ind w:left="3957"/>
        <w:rPr>
          <w:rFonts w:ascii="宋体" w:hAnsi="宋体" w:eastAsia="宋体" w:cs="宋体"/>
          <w:sz w:val="30"/>
          <w:szCs w:val="30"/>
        </w:rPr>
      </w:pPr>
      <w:r>
        <w:rPr>
          <w:rFonts w:ascii="宋体" w:hAnsi="宋体" w:eastAsia="宋体" w:cs="宋体"/>
          <w:b/>
          <w:bCs/>
          <w:spacing w:val="-6"/>
          <w:sz w:val="30"/>
          <w:szCs w:val="30"/>
        </w:rPr>
        <w:t>六、结论</w:t>
      </w:r>
    </w:p>
    <w:tbl>
      <w:tblPr>
        <w:tblStyle w:val="19"/>
        <w:tblW w:w="9077"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77"/>
      </w:tblGrid>
      <w:tr w14:paraId="6FECE1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759" w:hRule="atLeast"/>
        </w:trPr>
        <w:tc>
          <w:tcPr>
            <w:tcW w:w="9077" w:type="dxa"/>
          </w:tcPr>
          <w:p w14:paraId="1CA7E4DE">
            <w:pPr>
              <w:pStyle w:val="20"/>
              <w:spacing w:before="41" w:line="359" w:lineRule="auto"/>
              <w:ind w:left="112" w:right="103" w:firstLine="478"/>
              <w:jc w:val="both"/>
              <w:rPr>
                <w:lang w:eastAsia="zh-CN"/>
              </w:rPr>
            </w:pPr>
            <w:r>
              <w:rPr>
                <w:spacing w:val="-1"/>
                <w:lang w:eastAsia="zh-CN"/>
              </w:rPr>
              <w:t>根据以上分析内容可知，本项目建设符合产业政策，选址合理；在认真落实环保法律法规和报告提出的环保措施基础上，可以保证污染物达标排放或合理处置，对环</w:t>
            </w:r>
            <w:r>
              <w:rPr>
                <w:spacing w:val="-2"/>
                <w:lang w:eastAsia="zh-CN"/>
              </w:rPr>
              <w:t>境的影响在可接受范围内，从环境保护角度分析，项目建设可行。</w:t>
            </w:r>
          </w:p>
          <w:p w14:paraId="20185707">
            <w:pPr>
              <w:pStyle w:val="20"/>
              <w:spacing w:line="219" w:lineRule="auto"/>
              <w:ind w:left="595"/>
              <w:rPr>
                <w:lang w:eastAsia="zh-CN"/>
              </w:rPr>
            </w:pPr>
            <w:r>
              <w:rPr>
                <w:spacing w:val="-4"/>
                <w:lang w:eastAsia="zh-CN"/>
              </w:rPr>
              <w:t>企业在生产过程中需满足以下两点要求：</w:t>
            </w:r>
          </w:p>
          <w:p w14:paraId="64A6CA3E">
            <w:pPr>
              <w:pStyle w:val="20"/>
              <w:spacing w:before="180" w:line="313" w:lineRule="auto"/>
              <w:ind w:left="111" w:right="103" w:firstLine="498"/>
              <w:rPr>
                <w:lang w:eastAsia="zh-CN"/>
              </w:rPr>
            </w:pPr>
            <w:r>
              <w:rPr>
                <w:rFonts w:hint="eastAsia" w:ascii="Times New Roman" w:hAnsi="Times New Roman" w:eastAsia="Times New Roman" w:cs="Times New Roman"/>
                <w:spacing w:val="-1"/>
                <w:lang w:eastAsia="zh-CN"/>
              </w:rPr>
              <w:t>1.</w:t>
            </w:r>
            <w:r>
              <w:rPr>
                <w:spacing w:val="-1"/>
                <w:lang w:eastAsia="zh-CN"/>
              </w:rPr>
              <w:t>生产过程中必须加强对生产设备及环保设施运行中的日常管理和</w:t>
            </w:r>
            <w:r>
              <w:rPr>
                <w:spacing w:val="-2"/>
                <w:lang w:eastAsia="zh-CN"/>
              </w:rPr>
              <w:t>维护，使其</w:t>
            </w:r>
            <w:r>
              <w:rPr>
                <w:spacing w:val="-1"/>
                <w:lang w:eastAsia="zh-CN"/>
              </w:rPr>
              <w:t>处于良好运行状态，保证各类污染物能够得到有效</w:t>
            </w:r>
            <w:r>
              <w:rPr>
                <w:rFonts w:hint="eastAsia"/>
                <w:spacing w:val="-1"/>
                <w:lang w:eastAsia="zh-CN"/>
              </w:rPr>
              <w:t>地</w:t>
            </w:r>
            <w:r>
              <w:rPr>
                <w:spacing w:val="-1"/>
                <w:lang w:eastAsia="zh-CN"/>
              </w:rPr>
              <w:t>处理，各项污染物长期稳定达标</w:t>
            </w:r>
            <w:r>
              <w:rPr>
                <w:spacing w:val="-15"/>
                <w:lang w:eastAsia="zh-CN"/>
              </w:rPr>
              <w:t>排放；</w:t>
            </w:r>
          </w:p>
          <w:p w14:paraId="73583844">
            <w:pPr>
              <w:pStyle w:val="20"/>
              <w:spacing w:before="180" w:line="290" w:lineRule="auto"/>
              <w:ind w:left="113" w:right="211" w:firstLine="473"/>
              <w:rPr>
                <w:lang w:eastAsia="zh-CN"/>
              </w:rPr>
            </w:pPr>
            <w:r>
              <w:rPr>
                <w:rFonts w:hint="eastAsia" w:ascii="Times New Roman" w:hAnsi="Times New Roman" w:eastAsia="Times New Roman" w:cs="Times New Roman"/>
                <w:spacing w:val="-1"/>
                <w:lang w:eastAsia="zh-CN"/>
              </w:rPr>
              <w:t>2.</w:t>
            </w:r>
            <w:r>
              <w:rPr>
                <w:spacing w:val="-1"/>
                <w:lang w:eastAsia="zh-CN"/>
              </w:rPr>
              <w:t>严格执行“三同时”制度，保证该项目环保工程与主体工程同时投入生产使</w:t>
            </w:r>
            <w:r>
              <w:rPr>
                <w:spacing w:val="-12"/>
                <w:lang w:eastAsia="zh-CN"/>
              </w:rPr>
              <w:t>用。</w:t>
            </w:r>
          </w:p>
        </w:tc>
      </w:tr>
    </w:tbl>
    <w:p w14:paraId="243AE33F">
      <w:pPr>
        <w:pStyle w:val="4"/>
        <w:rPr>
          <w:lang w:eastAsia="zh-CN"/>
        </w:rPr>
      </w:pPr>
    </w:p>
    <w:p w14:paraId="6F742843">
      <w:pPr>
        <w:rPr>
          <w:lang w:eastAsia="zh-CN"/>
        </w:rPr>
        <w:sectPr>
          <w:footerReference r:id="rId7" w:type="default"/>
          <w:pgSz w:w="11905" w:h="16838"/>
          <w:pgMar w:top="1701" w:right="1531" w:bottom="1701" w:left="1531" w:header="0" w:footer="913" w:gutter="0"/>
          <w:cols w:space="0" w:num="1"/>
        </w:sectPr>
      </w:pPr>
    </w:p>
    <w:p w14:paraId="4FC4B2C1">
      <w:pPr>
        <w:spacing w:before="100" w:line="224" w:lineRule="auto"/>
        <w:ind w:left="75"/>
        <w:rPr>
          <w:rFonts w:ascii="宋体" w:hAnsi="宋体" w:eastAsia="宋体" w:cs="宋体"/>
          <w:b/>
          <w:bCs/>
          <w:spacing w:val="-8"/>
          <w:sz w:val="31"/>
          <w:szCs w:val="31"/>
          <w:lang w:eastAsia="zh-CN"/>
        </w:rPr>
      </w:pPr>
      <w:r>
        <w:rPr>
          <w:rFonts w:ascii="宋体" w:hAnsi="宋体" w:eastAsia="宋体" w:cs="宋体"/>
          <w:b/>
          <w:bCs/>
          <w:spacing w:val="-8"/>
          <w:sz w:val="31"/>
          <w:szCs w:val="31"/>
          <w:lang w:eastAsia="zh-CN"/>
        </w:rPr>
        <w:t>附表</w:t>
      </w:r>
    </w:p>
    <w:p w14:paraId="08E4E8AB">
      <w:pPr>
        <w:spacing w:before="245" w:line="219" w:lineRule="auto"/>
        <w:ind w:left="4684"/>
        <w:rPr>
          <w:rFonts w:ascii="宋体" w:hAnsi="宋体" w:eastAsia="宋体" w:cs="宋体"/>
          <w:sz w:val="31"/>
          <w:szCs w:val="31"/>
          <w:lang w:eastAsia="zh-CN"/>
        </w:rPr>
      </w:pPr>
      <w:r>
        <w:rPr>
          <w:rFonts w:ascii="宋体" w:hAnsi="宋体" w:eastAsia="宋体" w:cs="宋体"/>
          <w:b/>
          <w:bCs/>
          <w:spacing w:val="6"/>
          <w:sz w:val="31"/>
          <w:szCs w:val="31"/>
          <w:lang w:eastAsia="zh-CN"/>
        </w:rPr>
        <w:t>建设项目污染物排放量汇总表</w:t>
      </w:r>
    </w:p>
    <w:tbl>
      <w:tblPr>
        <w:tblStyle w:val="19"/>
        <w:tblW w:w="1379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273"/>
        <w:gridCol w:w="1559"/>
        <w:gridCol w:w="1276"/>
        <w:gridCol w:w="1556"/>
        <w:gridCol w:w="1841"/>
        <w:gridCol w:w="1559"/>
        <w:gridCol w:w="1697"/>
        <w:gridCol w:w="1719"/>
      </w:tblGrid>
      <w:tr w14:paraId="4A1D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14" w:type="dxa"/>
            <w:tcBorders>
              <w:top w:val="single" w:color="000000" w:sz="6" w:space="0"/>
              <w:left w:val="single" w:color="000000" w:sz="6" w:space="0"/>
              <w:tl2br w:val="single" w:color="000000" w:sz="2" w:space="0"/>
            </w:tcBorders>
          </w:tcPr>
          <w:p w14:paraId="03C9E684">
            <w:pPr>
              <w:pStyle w:val="20"/>
              <w:spacing w:before="196" w:line="242" w:lineRule="auto"/>
              <w:ind w:left="35" w:right="20" w:firstLine="792"/>
              <w:rPr>
                <w:rFonts w:ascii="Times New Roman" w:hAnsi="Times New Roman"/>
                <w:sz w:val="21"/>
                <w:szCs w:val="21"/>
              </w:rPr>
            </w:pPr>
            <w:r>
              <w:rPr>
                <w:rFonts w:ascii="Times New Roman" w:hAnsi="Times New Roman"/>
                <w:spacing w:val="-13"/>
                <w:sz w:val="21"/>
                <w:szCs w:val="21"/>
              </w:rPr>
              <w:t>项目</w:t>
            </w:r>
            <w:r>
              <w:rPr>
                <w:rFonts w:ascii="Times New Roman" w:hAnsi="Times New Roman"/>
                <w:spacing w:val="-7"/>
                <w:sz w:val="21"/>
                <w:szCs w:val="21"/>
              </w:rPr>
              <w:t>分类</w:t>
            </w:r>
          </w:p>
        </w:tc>
        <w:tc>
          <w:tcPr>
            <w:tcW w:w="1273" w:type="dxa"/>
            <w:tcBorders>
              <w:top w:val="single" w:color="000000" w:sz="6" w:space="0"/>
            </w:tcBorders>
          </w:tcPr>
          <w:p w14:paraId="7199258D">
            <w:pPr>
              <w:spacing w:line="273" w:lineRule="auto"/>
              <w:rPr>
                <w:rFonts w:ascii="Times New Roman" w:hAnsi="Times New Roman" w:eastAsia="宋体"/>
              </w:rPr>
            </w:pPr>
          </w:p>
          <w:p w14:paraId="0380A220">
            <w:pPr>
              <w:pStyle w:val="20"/>
              <w:spacing w:before="78" w:line="220" w:lineRule="auto"/>
              <w:ind w:left="67"/>
              <w:rPr>
                <w:rFonts w:ascii="Times New Roman" w:hAnsi="Times New Roman"/>
                <w:sz w:val="21"/>
                <w:szCs w:val="21"/>
              </w:rPr>
            </w:pPr>
            <w:r>
              <w:rPr>
                <w:rFonts w:ascii="Times New Roman" w:hAnsi="Times New Roman"/>
                <w:spacing w:val="-10"/>
                <w:sz w:val="21"/>
                <w:szCs w:val="21"/>
              </w:rPr>
              <w:t>污染物名称</w:t>
            </w:r>
          </w:p>
        </w:tc>
        <w:tc>
          <w:tcPr>
            <w:tcW w:w="1559" w:type="dxa"/>
            <w:tcBorders>
              <w:top w:val="single" w:color="000000" w:sz="6" w:space="0"/>
            </w:tcBorders>
          </w:tcPr>
          <w:p w14:paraId="1DEC5654">
            <w:pPr>
              <w:pStyle w:val="20"/>
              <w:spacing w:before="40" w:line="220" w:lineRule="auto"/>
              <w:ind w:left="327"/>
              <w:rPr>
                <w:rFonts w:ascii="Times New Roman" w:hAnsi="Times New Roman"/>
                <w:sz w:val="21"/>
                <w:szCs w:val="21"/>
                <w:lang w:eastAsia="zh-CN"/>
              </w:rPr>
            </w:pPr>
            <w:r>
              <w:rPr>
                <w:rFonts w:ascii="Times New Roman" w:hAnsi="Times New Roman"/>
                <w:spacing w:val="-9"/>
                <w:sz w:val="21"/>
                <w:szCs w:val="21"/>
                <w:lang w:eastAsia="zh-CN"/>
              </w:rPr>
              <w:t>现有工程</w:t>
            </w:r>
          </w:p>
          <w:p w14:paraId="7115A417">
            <w:pPr>
              <w:pStyle w:val="20"/>
              <w:spacing w:before="26" w:line="223" w:lineRule="auto"/>
              <w:ind w:left="116" w:right="18" w:hanging="86"/>
              <w:rPr>
                <w:rFonts w:ascii="Times New Roman" w:hAnsi="Times New Roman" w:cs="Cambria"/>
                <w:sz w:val="21"/>
                <w:szCs w:val="21"/>
                <w:lang w:eastAsia="zh-CN"/>
              </w:rPr>
            </w:pPr>
            <w:r>
              <w:rPr>
                <w:rFonts w:ascii="Times New Roman" w:hAnsi="Times New Roman"/>
                <w:spacing w:val="-25"/>
                <w:sz w:val="21"/>
                <w:szCs w:val="21"/>
                <w:lang w:eastAsia="zh-CN"/>
              </w:rPr>
              <w:t>排放量（固体废</w:t>
            </w:r>
            <w:r>
              <w:rPr>
                <w:rFonts w:ascii="Times New Roman" w:hAnsi="Times New Roman"/>
                <w:spacing w:val="-28"/>
                <w:w w:val="99"/>
                <w:sz w:val="21"/>
                <w:szCs w:val="21"/>
                <w:lang w:eastAsia="zh-CN"/>
              </w:rPr>
              <w:t>物产生量）</w:t>
            </w:r>
            <w:r>
              <w:rPr>
                <w:rFonts w:hint="eastAsia" w:ascii="Times New Roman" w:hAnsi="Times New Roman"/>
                <w:spacing w:val="-28"/>
                <w:w w:val="99"/>
                <w:sz w:val="21"/>
                <w:szCs w:val="21"/>
                <w:lang w:eastAsia="zh-CN"/>
              </w:rPr>
              <w:t>①</w:t>
            </w:r>
          </w:p>
        </w:tc>
        <w:tc>
          <w:tcPr>
            <w:tcW w:w="1276" w:type="dxa"/>
            <w:tcBorders>
              <w:top w:val="single" w:color="000000" w:sz="6" w:space="0"/>
            </w:tcBorders>
          </w:tcPr>
          <w:p w14:paraId="3A5B58FB">
            <w:pPr>
              <w:pStyle w:val="20"/>
              <w:spacing w:before="48" w:line="242" w:lineRule="auto"/>
              <w:ind w:left="69" w:right="60" w:firstLine="116"/>
              <w:rPr>
                <w:rFonts w:ascii="Times New Roman" w:hAnsi="Times New Roman" w:cs="Cambria"/>
                <w:sz w:val="21"/>
                <w:szCs w:val="21"/>
                <w:lang w:eastAsia="zh-CN"/>
              </w:rPr>
            </w:pPr>
            <w:r>
              <w:rPr>
                <w:rFonts w:ascii="Times New Roman" w:hAnsi="Times New Roman"/>
                <w:spacing w:val="-12"/>
                <w:sz w:val="21"/>
                <w:szCs w:val="21"/>
                <w:lang w:eastAsia="zh-CN"/>
              </w:rPr>
              <w:t>现有工程许可排放量</w:t>
            </w:r>
            <w:r>
              <w:rPr>
                <w:rFonts w:hint="eastAsia" w:ascii="Times New Roman" w:hAnsi="Times New Roman"/>
                <w:spacing w:val="-12"/>
                <w:sz w:val="21"/>
                <w:szCs w:val="21"/>
                <w:lang w:eastAsia="zh-CN"/>
              </w:rPr>
              <w:t>②</w:t>
            </w:r>
          </w:p>
        </w:tc>
        <w:tc>
          <w:tcPr>
            <w:tcW w:w="1556" w:type="dxa"/>
            <w:tcBorders>
              <w:top w:val="single" w:color="000000" w:sz="6" w:space="0"/>
            </w:tcBorders>
          </w:tcPr>
          <w:p w14:paraId="5BC04B3D">
            <w:pPr>
              <w:pStyle w:val="20"/>
              <w:spacing w:before="40" w:line="220" w:lineRule="auto"/>
              <w:ind w:left="324"/>
              <w:rPr>
                <w:rFonts w:ascii="Times New Roman" w:hAnsi="Times New Roman"/>
                <w:sz w:val="21"/>
                <w:szCs w:val="21"/>
                <w:lang w:eastAsia="zh-CN"/>
              </w:rPr>
            </w:pPr>
            <w:r>
              <w:rPr>
                <w:rFonts w:ascii="Times New Roman" w:hAnsi="Times New Roman"/>
                <w:spacing w:val="-9"/>
                <w:sz w:val="21"/>
                <w:szCs w:val="21"/>
                <w:lang w:eastAsia="zh-CN"/>
              </w:rPr>
              <w:t>在建工程</w:t>
            </w:r>
          </w:p>
          <w:p w14:paraId="4F114E8A">
            <w:pPr>
              <w:pStyle w:val="20"/>
              <w:spacing w:before="26" w:line="223" w:lineRule="auto"/>
              <w:ind w:left="116" w:right="15" w:hanging="86"/>
              <w:rPr>
                <w:rFonts w:ascii="Times New Roman" w:hAnsi="Times New Roman" w:cs="Cambria"/>
                <w:sz w:val="21"/>
                <w:szCs w:val="21"/>
                <w:lang w:eastAsia="zh-CN"/>
              </w:rPr>
            </w:pPr>
            <w:r>
              <w:rPr>
                <w:rFonts w:ascii="Times New Roman" w:hAnsi="Times New Roman"/>
                <w:spacing w:val="-25"/>
                <w:sz w:val="21"/>
                <w:szCs w:val="21"/>
                <w:lang w:eastAsia="zh-CN"/>
              </w:rPr>
              <w:t>排放量（固体废</w:t>
            </w:r>
            <w:r>
              <w:rPr>
                <w:rFonts w:ascii="Times New Roman" w:hAnsi="Times New Roman"/>
                <w:spacing w:val="-28"/>
                <w:w w:val="99"/>
                <w:sz w:val="21"/>
                <w:szCs w:val="21"/>
                <w:lang w:eastAsia="zh-CN"/>
              </w:rPr>
              <w:t>物产生量）</w:t>
            </w:r>
            <w:r>
              <w:rPr>
                <w:rFonts w:hint="eastAsia" w:ascii="Times New Roman" w:hAnsi="Times New Roman"/>
                <w:spacing w:val="-28"/>
                <w:w w:val="99"/>
                <w:sz w:val="21"/>
                <w:szCs w:val="21"/>
                <w:lang w:eastAsia="zh-CN"/>
              </w:rPr>
              <w:t>③</w:t>
            </w:r>
          </w:p>
        </w:tc>
        <w:tc>
          <w:tcPr>
            <w:tcW w:w="1841" w:type="dxa"/>
            <w:tcBorders>
              <w:top w:val="single" w:color="000000" w:sz="6" w:space="0"/>
            </w:tcBorders>
          </w:tcPr>
          <w:p w14:paraId="3E6DB6CA">
            <w:pPr>
              <w:pStyle w:val="20"/>
              <w:spacing w:before="40" w:line="219" w:lineRule="auto"/>
              <w:ind w:left="588"/>
              <w:rPr>
                <w:rFonts w:ascii="Times New Roman" w:hAnsi="Times New Roman"/>
                <w:sz w:val="21"/>
                <w:szCs w:val="21"/>
                <w:lang w:eastAsia="zh-CN"/>
              </w:rPr>
            </w:pPr>
            <w:r>
              <w:rPr>
                <w:rFonts w:ascii="Times New Roman" w:hAnsi="Times New Roman"/>
                <w:spacing w:val="-8"/>
                <w:sz w:val="21"/>
                <w:szCs w:val="21"/>
                <w:lang w:eastAsia="zh-CN"/>
              </w:rPr>
              <w:t>本项目</w:t>
            </w:r>
          </w:p>
          <w:p w14:paraId="5C9EFCCE">
            <w:pPr>
              <w:pStyle w:val="20"/>
              <w:spacing w:before="28" w:line="223" w:lineRule="auto"/>
              <w:ind w:left="378" w:right="10" w:hanging="343"/>
              <w:rPr>
                <w:rFonts w:ascii="Times New Roman" w:hAnsi="Times New Roman" w:cs="Cambria"/>
                <w:sz w:val="21"/>
                <w:szCs w:val="21"/>
                <w:lang w:eastAsia="zh-CN"/>
              </w:rPr>
            </w:pPr>
            <w:r>
              <w:rPr>
                <w:rFonts w:ascii="Times New Roman" w:hAnsi="Times New Roman"/>
                <w:spacing w:val="-17"/>
                <w:sz w:val="21"/>
                <w:szCs w:val="21"/>
                <w:lang w:eastAsia="zh-CN"/>
              </w:rPr>
              <w:t>排放量（固体废物</w:t>
            </w:r>
            <w:r>
              <w:rPr>
                <w:rFonts w:ascii="Times New Roman" w:hAnsi="Times New Roman"/>
                <w:spacing w:val="-6"/>
                <w:sz w:val="21"/>
                <w:szCs w:val="21"/>
                <w:lang w:eastAsia="zh-CN"/>
              </w:rPr>
              <w:t>产生量）</w:t>
            </w:r>
            <w:r>
              <w:rPr>
                <w:rFonts w:hint="eastAsia" w:ascii="Times New Roman" w:hAnsi="Times New Roman"/>
                <w:spacing w:val="-6"/>
                <w:sz w:val="21"/>
                <w:szCs w:val="21"/>
                <w:lang w:eastAsia="zh-CN"/>
              </w:rPr>
              <w:t>④</w:t>
            </w:r>
          </w:p>
        </w:tc>
        <w:tc>
          <w:tcPr>
            <w:tcW w:w="1559" w:type="dxa"/>
            <w:tcBorders>
              <w:top w:val="single" w:color="000000" w:sz="6" w:space="0"/>
            </w:tcBorders>
          </w:tcPr>
          <w:p w14:paraId="12A7471B">
            <w:pPr>
              <w:pStyle w:val="20"/>
              <w:spacing w:before="39" w:line="220" w:lineRule="auto"/>
              <w:jc w:val="right"/>
              <w:rPr>
                <w:rFonts w:ascii="Times New Roman" w:hAnsi="Times New Roman"/>
                <w:sz w:val="21"/>
                <w:szCs w:val="21"/>
                <w:lang w:eastAsia="zh-CN"/>
              </w:rPr>
            </w:pPr>
            <w:r>
              <w:rPr>
                <w:rFonts w:ascii="Times New Roman" w:hAnsi="Times New Roman"/>
                <w:spacing w:val="-29"/>
                <w:w w:val="97"/>
                <w:sz w:val="21"/>
                <w:szCs w:val="21"/>
                <w:lang w:eastAsia="zh-CN"/>
              </w:rPr>
              <w:t>以新带老</w:t>
            </w:r>
            <w:r>
              <w:rPr>
                <w:rFonts w:ascii="Times New Roman" w:hAnsi="Times New Roman"/>
                <w:spacing w:val="-28"/>
                <w:w w:val="97"/>
                <w:sz w:val="21"/>
                <w:szCs w:val="21"/>
                <w:lang w:eastAsia="zh-CN"/>
              </w:rPr>
              <w:t>削减</w:t>
            </w:r>
            <w:r>
              <w:rPr>
                <w:rFonts w:ascii="Times New Roman" w:hAnsi="Times New Roman"/>
                <w:spacing w:val="-10"/>
                <w:w w:val="97"/>
                <w:sz w:val="21"/>
                <w:szCs w:val="21"/>
                <w:lang w:eastAsia="zh-CN"/>
              </w:rPr>
              <w:t>量</w:t>
            </w:r>
          </w:p>
          <w:p w14:paraId="0CA8A224">
            <w:pPr>
              <w:pStyle w:val="20"/>
              <w:spacing w:before="26" w:line="220" w:lineRule="auto"/>
              <w:ind w:left="168"/>
              <w:rPr>
                <w:rFonts w:ascii="Times New Roman" w:hAnsi="Times New Roman"/>
                <w:sz w:val="21"/>
                <w:szCs w:val="21"/>
                <w:lang w:eastAsia="zh-CN"/>
              </w:rPr>
            </w:pPr>
            <w:r>
              <w:rPr>
                <w:rFonts w:ascii="Times New Roman" w:hAnsi="Times New Roman"/>
                <w:spacing w:val="-25"/>
                <w:sz w:val="21"/>
                <w:szCs w:val="21"/>
                <w:lang w:eastAsia="zh-CN"/>
              </w:rPr>
              <w:t>（新建项目不</w:t>
            </w:r>
          </w:p>
          <w:p w14:paraId="6F8FEB20">
            <w:pPr>
              <w:pStyle w:val="20"/>
              <w:spacing w:before="25" w:line="198" w:lineRule="auto"/>
              <w:ind w:left="485"/>
              <w:rPr>
                <w:rFonts w:ascii="Times New Roman" w:hAnsi="Times New Roman" w:cs="Cambria"/>
                <w:sz w:val="21"/>
                <w:szCs w:val="21"/>
                <w:lang w:eastAsia="zh-CN"/>
              </w:rPr>
            </w:pPr>
            <w:r>
              <w:rPr>
                <w:rFonts w:ascii="Times New Roman" w:hAnsi="Times New Roman"/>
                <w:spacing w:val="-16"/>
                <w:sz w:val="21"/>
                <w:szCs w:val="21"/>
              </w:rPr>
              <w:t>填）</w:t>
            </w:r>
            <w:r>
              <w:rPr>
                <w:rFonts w:hint="eastAsia" w:ascii="Times New Roman" w:hAnsi="Times New Roman"/>
                <w:spacing w:val="-16"/>
                <w:sz w:val="21"/>
                <w:szCs w:val="21"/>
                <w:lang w:eastAsia="zh-CN"/>
              </w:rPr>
              <w:t>⑤</w:t>
            </w:r>
          </w:p>
        </w:tc>
        <w:tc>
          <w:tcPr>
            <w:tcW w:w="1697" w:type="dxa"/>
            <w:tcBorders>
              <w:top w:val="single" w:color="000000" w:sz="6" w:space="0"/>
            </w:tcBorders>
          </w:tcPr>
          <w:p w14:paraId="13ED190D">
            <w:pPr>
              <w:pStyle w:val="20"/>
              <w:spacing w:before="39" w:line="229" w:lineRule="auto"/>
              <w:ind w:left="36" w:firstLine="196"/>
              <w:rPr>
                <w:rFonts w:ascii="Times New Roman" w:hAnsi="Times New Roman" w:cs="Cambria"/>
                <w:sz w:val="21"/>
                <w:szCs w:val="21"/>
                <w:lang w:eastAsia="zh-CN"/>
              </w:rPr>
            </w:pPr>
            <w:r>
              <w:rPr>
                <w:rFonts w:ascii="Times New Roman" w:hAnsi="Times New Roman"/>
                <w:spacing w:val="-30"/>
                <w:sz w:val="21"/>
                <w:szCs w:val="21"/>
                <w:lang w:eastAsia="zh-CN"/>
              </w:rPr>
              <w:t>本项目建成后</w:t>
            </w:r>
            <w:r>
              <w:rPr>
                <w:rFonts w:ascii="Times New Roman" w:hAnsi="Times New Roman"/>
                <w:spacing w:val="-31"/>
                <w:w w:val="97"/>
                <w:sz w:val="21"/>
                <w:szCs w:val="21"/>
                <w:lang w:eastAsia="zh-CN"/>
              </w:rPr>
              <w:t>全厂排</w:t>
            </w:r>
            <w:r>
              <w:rPr>
                <w:rFonts w:ascii="Times New Roman" w:hAnsi="Times New Roman"/>
                <w:spacing w:val="-30"/>
                <w:w w:val="97"/>
                <w:sz w:val="21"/>
                <w:szCs w:val="21"/>
                <w:lang w:eastAsia="zh-CN"/>
              </w:rPr>
              <w:t>放量（固</w:t>
            </w:r>
            <w:r>
              <w:rPr>
                <w:rFonts w:ascii="Times New Roman" w:hAnsi="Times New Roman"/>
                <w:spacing w:val="-11"/>
                <w:w w:val="97"/>
                <w:sz w:val="21"/>
                <w:szCs w:val="21"/>
                <w:lang w:eastAsia="zh-CN"/>
              </w:rPr>
              <w:t>体</w:t>
            </w:r>
            <w:r>
              <w:rPr>
                <w:rFonts w:ascii="Times New Roman" w:hAnsi="Times New Roman"/>
                <w:spacing w:val="-11"/>
                <w:sz w:val="21"/>
                <w:szCs w:val="21"/>
                <w:lang w:eastAsia="zh-CN"/>
              </w:rPr>
              <w:t>废物产生量）</w:t>
            </w:r>
            <w:r>
              <w:rPr>
                <w:rFonts w:hint="eastAsia" w:ascii="Times New Roman" w:hAnsi="Times New Roman"/>
                <w:spacing w:val="-11"/>
                <w:sz w:val="21"/>
                <w:szCs w:val="21"/>
                <w:lang w:eastAsia="zh-CN"/>
              </w:rPr>
              <w:t>⑥</w:t>
            </w:r>
          </w:p>
        </w:tc>
        <w:tc>
          <w:tcPr>
            <w:tcW w:w="1719" w:type="dxa"/>
            <w:tcBorders>
              <w:top w:val="single" w:color="000000" w:sz="6" w:space="0"/>
              <w:right w:val="single" w:color="000000" w:sz="6" w:space="0"/>
            </w:tcBorders>
          </w:tcPr>
          <w:p w14:paraId="0F6818EB">
            <w:pPr>
              <w:pStyle w:val="20"/>
              <w:spacing w:before="213" w:line="221" w:lineRule="auto"/>
              <w:ind w:left="525"/>
              <w:rPr>
                <w:rFonts w:ascii="Times New Roman" w:hAnsi="Times New Roman" w:cs="Cambria"/>
                <w:sz w:val="21"/>
                <w:szCs w:val="21"/>
                <w:lang w:eastAsia="zh-CN"/>
              </w:rPr>
            </w:pPr>
            <w:r>
              <w:rPr>
                <w:rFonts w:ascii="Times New Roman" w:hAnsi="Times New Roman"/>
                <w:spacing w:val="-8"/>
                <w:sz w:val="21"/>
                <w:szCs w:val="21"/>
              </w:rPr>
              <w:t>变化量</w:t>
            </w:r>
            <w:r>
              <w:rPr>
                <w:rFonts w:hint="eastAsia" w:ascii="Times New Roman" w:hAnsi="Times New Roman"/>
                <w:spacing w:val="-8"/>
                <w:sz w:val="21"/>
                <w:szCs w:val="21"/>
                <w:lang w:eastAsia="zh-CN"/>
              </w:rPr>
              <w:t>⑦</w:t>
            </w:r>
          </w:p>
        </w:tc>
      </w:tr>
      <w:tr w14:paraId="00D9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4" w:type="dxa"/>
            <w:tcBorders>
              <w:left w:val="single" w:color="000000" w:sz="6" w:space="0"/>
            </w:tcBorders>
            <w:vAlign w:val="center"/>
          </w:tcPr>
          <w:p w14:paraId="0BD41265">
            <w:pPr>
              <w:pStyle w:val="20"/>
              <w:spacing w:before="79" w:line="220" w:lineRule="auto"/>
              <w:ind w:left="413"/>
              <w:jc w:val="both"/>
              <w:rPr>
                <w:rFonts w:ascii="Times New Roman" w:hAnsi="Times New Roman"/>
                <w:sz w:val="21"/>
                <w:szCs w:val="21"/>
              </w:rPr>
            </w:pPr>
            <w:r>
              <w:rPr>
                <w:rFonts w:ascii="Times New Roman" w:hAnsi="Times New Roman"/>
                <w:spacing w:val="-3"/>
                <w:sz w:val="21"/>
                <w:szCs w:val="21"/>
              </w:rPr>
              <w:t>废气</w:t>
            </w:r>
          </w:p>
        </w:tc>
        <w:tc>
          <w:tcPr>
            <w:tcW w:w="1273" w:type="dxa"/>
          </w:tcPr>
          <w:p w14:paraId="541E0DBE">
            <w:pPr>
              <w:pStyle w:val="20"/>
              <w:spacing w:before="64" w:line="220" w:lineRule="auto"/>
              <w:ind w:left="395"/>
              <w:rPr>
                <w:rFonts w:ascii="Times New Roman" w:hAnsi="Times New Roman"/>
                <w:sz w:val="21"/>
                <w:szCs w:val="21"/>
              </w:rPr>
            </w:pPr>
            <w:r>
              <w:rPr>
                <w:rFonts w:ascii="Times New Roman" w:hAnsi="Times New Roman"/>
                <w:spacing w:val="-3"/>
                <w:sz w:val="21"/>
                <w:szCs w:val="21"/>
              </w:rPr>
              <w:t>粉尘</w:t>
            </w:r>
          </w:p>
        </w:tc>
        <w:tc>
          <w:tcPr>
            <w:tcW w:w="1559" w:type="dxa"/>
          </w:tcPr>
          <w:p w14:paraId="1AC98EA6">
            <w:pPr>
              <w:spacing w:before="104"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43AFC3B9">
            <w:pPr>
              <w:spacing w:before="104"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3920FEDC">
            <w:pPr>
              <w:spacing w:before="104"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58C681F6">
            <w:pPr>
              <w:spacing w:before="104" w:line="189" w:lineRule="auto"/>
              <w:ind w:left="475"/>
              <w:rPr>
                <w:rFonts w:ascii="Times New Roman" w:hAnsi="Times New Roman" w:eastAsia="宋体" w:cs="Cambria"/>
              </w:rPr>
            </w:pPr>
            <w:r>
              <w:rPr>
                <w:rFonts w:ascii="Times New Roman" w:hAnsi="Times New Roman" w:eastAsia="宋体" w:cs="Cambria"/>
                <w:spacing w:val="-13"/>
              </w:rPr>
              <w:t>0.</w:t>
            </w:r>
            <w:r>
              <w:rPr>
                <w:rFonts w:hint="eastAsia" w:ascii="Times New Roman" w:hAnsi="Times New Roman" w:eastAsia="宋体" w:cs="Cambria"/>
                <w:spacing w:val="-13"/>
                <w:lang w:eastAsia="zh-CN"/>
              </w:rPr>
              <w:t>0636</w:t>
            </w:r>
            <w:r>
              <w:rPr>
                <w:rFonts w:ascii="Times New Roman" w:hAnsi="Times New Roman" w:eastAsia="宋体" w:cs="Cambria"/>
                <w:spacing w:val="-13"/>
              </w:rPr>
              <w:t>t/a</w:t>
            </w:r>
          </w:p>
        </w:tc>
        <w:tc>
          <w:tcPr>
            <w:tcW w:w="1559" w:type="dxa"/>
          </w:tcPr>
          <w:p w14:paraId="6B0B567F">
            <w:pPr>
              <w:spacing w:before="104"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31C6FBC4">
            <w:pPr>
              <w:spacing w:before="104" w:line="189" w:lineRule="auto"/>
              <w:ind w:left="475"/>
              <w:rPr>
                <w:rFonts w:ascii="Times New Roman" w:hAnsi="Times New Roman" w:eastAsia="宋体" w:cs="Cambria"/>
              </w:rPr>
            </w:pPr>
            <w:r>
              <w:rPr>
                <w:rFonts w:ascii="Times New Roman" w:hAnsi="Times New Roman" w:eastAsia="宋体" w:cs="Cambria"/>
                <w:spacing w:val="-13"/>
              </w:rPr>
              <w:t>0.</w:t>
            </w:r>
            <w:r>
              <w:rPr>
                <w:rFonts w:hint="eastAsia" w:ascii="Times New Roman" w:hAnsi="Times New Roman" w:eastAsia="宋体" w:cs="Cambria"/>
                <w:spacing w:val="-13"/>
                <w:lang w:eastAsia="zh-CN"/>
              </w:rPr>
              <w:t>0636</w:t>
            </w:r>
            <w:r>
              <w:rPr>
                <w:rFonts w:ascii="Times New Roman" w:hAnsi="Times New Roman" w:eastAsia="宋体" w:cs="Cambria"/>
                <w:spacing w:val="-13"/>
              </w:rPr>
              <w:t>t/a</w:t>
            </w:r>
          </w:p>
        </w:tc>
        <w:tc>
          <w:tcPr>
            <w:tcW w:w="1719" w:type="dxa"/>
            <w:tcBorders>
              <w:right w:val="single" w:color="000000" w:sz="6" w:space="0"/>
            </w:tcBorders>
          </w:tcPr>
          <w:p w14:paraId="4FC1AAC5">
            <w:pPr>
              <w:spacing w:before="104" w:line="189" w:lineRule="auto"/>
              <w:ind w:left="475"/>
              <w:rPr>
                <w:rFonts w:ascii="Times New Roman" w:hAnsi="Times New Roman" w:eastAsia="宋体" w:cs="Cambria"/>
              </w:rPr>
            </w:pPr>
            <w:r>
              <w:rPr>
                <w:rFonts w:hint="eastAsia" w:ascii="Times New Roman" w:hAnsi="Times New Roman" w:eastAsia="宋体" w:cs="Cambria"/>
                <w:spacing w:val="-13"/>
                <w:lang w:eastAsia="zh-CN"/>
              </w:rPr>
              <w:t>+</w:t>
            </w:r>
            <w:r>
              <w:rPr>
                <w:rFonts w:ascii="Times New Roman" w:hAnsi="Times New Roman" w:eastAsia="宋体" w:cs="Cambria"/>
                <w:spacing w:val="-13"/>
              </w:rPr>
              <w:t>0.</w:t>
            </w:r>
            <w:r>
              <w:rPr>
                <w:rFonts w:hint="eastAsia" w:ascii="Times New Roman" w:hAnsi="Times New Roman" w:eastAsia="宋体" w:cs="Cambria"/>
                <w:spacing w:val="-13"/>
                <w:lang w:eastAsia="zh-CN"/>
              </w:rPr>
              <w:t>0636</w:t>
            </w:r>
            <w:r>
              <w:rPr>
                <w:rFonts w:ascii="Times New Roman" w:hAnsi="Times New Roman" w:eastAsia="宋体" w:cs="Cambria"/>
                <w:spacing w:val="-13"/>
              </w:rPr>
              <w:t>t/a</w:t>
            </w:r>
          </w:p>
        </w:tc>
      </w:tr>
      <w:tr w14:paraId="0781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14" w:type="dxa"/>
            <w:vMerge w:val="restart"/>
            <w:tcBorders>
              <w:left w:val="single" w:color="000000" w:sz="6" w:space="0"/>
              <w:bottom w:val="nil"/>
            </w:tcBorders>
            <w:vAlign w:val="center"/>
          </w:tcPr>
          <w:p w14:paraId="44AB982C">
            <w:pPr>
              <w:pStyle w:val="20"/>
              <w:spacing w:before="78" w:line="220" w:lineRule="auto"/>
              <w:jc w:val="center"/>
              <w:rPr>
                <w:rFonts w:ascii="Times New Roman" w:hAnsi="Times New Roman"/>
                <w:sz w:val="21"/>
                <w:szCs w:val="21"/>
              </w:rPr>
            </w:pPr>
            <w:r>
              <w:rPr>
                <w:rFonts w:ascii="Times New Roman" w:hAnsi="Times New Roman"/>
                <w:spacing w:val="-3"/>
                <w:sz w:val="21"/>
                <w:szCs w:val="21"/>
              </w:rPr>
              <w:t>废水</w:t>
            </w:r>
          </w:p>
        </w:tc>
        <w:tc>
          <w:tcPr>
            <w:tcW w:w="1273" w:type="dxa"/>
          </w:tcPr>
          <w:p w14:paraId="582A9ED7">
            <w:pPr>
              <w:spacing w:before="109" w:line="187" w:lineRule="auto"/>
              <w:ind w:left="381"/>
              <w:rPr>
                <w:rFonts w:ascii="Times New Roman" w:hAnsi="Times New Roman" w:eastAsia="宋体" w:cs="Cambria"/>
              </w:rPr>
            </w:pPr>
            <w:r>
              <w:rPr>
                <w:rFonts w:ascii="Times New Roman" w:hAnsi="Times New Roman" w:eastAsia="宋体" w:cs="Cambria"/>
                <w:spacing w:val="15"/>
              </w:rPr>
              <w:t>COD</w:t>
            </w:r>
          </w:p>
        </w:tc>
        <w:tc>
          <w:tcPr>
            <w:tcW w:w="1559" w:type="dxa"/>
          </w:tcPr>
          <w:p w14:paraId="6BFEA6FA">
            <w:pPr>
              <w:spacing w:before="107"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7451DCF9">
            <w:pPr>
              <w:spacing w:before="107"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66A9D010">
            <w:pPr>
              <w:spacing w:before="107" w:line="230" w:lineRule="auto"/>
              <w:ind w:left="721"/>
              <w:rPr>
                <w:rFonts w:ascii="Times New Roman" w:hAnsi="Times New Roman" w:eastAsia="宋体" w:cs="Cambria"/>
              </w:rPr>
            </w:pPr>
            <w:r>
              <w:rPr>
                <w:rFonts w:ascii="Times New Roman" w:hAnsi="Times New Roman" w:eastAsia="宋体" w:cs="Cambria"/>
              </w:rPr>
              <w:t>0</w:t>
            </w:r>
          </w:p>
        </w:tc>
        <w:tc>
          <w:tcPr>
            <w:tcW w:w="1841" w:type="dxa"/>
            <w:vAlign w:val="center"/>
          </w:tcPr>
          <w:p w14:paraId="39E98963">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0.0882</w:t>
            </w:r>
            <w:r>
              <w:rPr>
                <w:rFonts w:ascii="Times New Roman" w:hAnsi="Times New Roman" w:eastAsia="宋体" w:cs="Cambria"/>
                <w:spacing w:val="-13"/>
              </w:rPr>
              <w:t>t/a</w:t>
            </w:r>
          </w:p>
        </w:tc>
        <w:tc>
          <w:tcPr>
            <w:tcW w:w="1559" w:type="dxa"/>
          </w:tcPr>
          <w:p w14:paraId="5D3A2341">
            <w:pPr>
              <w:spacing w:before="107" w:line="230" w:lineRule="auto"/>
              <w:ind w:left="727"/>
              <w:rPr>
                <w:rFonts w:ascii="Times New Roman" w:hAnsi="Times New Roman" w:eastAsia="宋体" w:cs="Cambria"/>
              </w:rPr>
            </w:pPr>
            <w:r>
              <w:rPr>
                <w:rFonts w:ascii="Times New Roman" w:hAnsi="Times New Roman" w:eastAsia="宋体" w:cs="Cambria"/>
              </w:rPr>
              <w:t>0</w:t>
            </w:r>
          </w:p>
        </w:tc>
        <w:tc>
          <w:tcPr>
            <w:tcW w:w="1697" w:type="dxa"/>
            <w:vAlign w:val="center"/>
          </w:tcPr>
          <w:p w14:paraId="1EB9F047">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0.0882</w:t>
            </w:r>
            <w:r>
              <w:rPr>
                <w:rFonts w:ascii="Times New Roman" w:hAnsi="Times New Roman" w:eastAsia="宋体" w:cs="Cambria"/>
                <w:spacing w:val="-13"/>
              </w:rPr>
              <w:t>t/a</w:t>
            </w:r>
          </w:p>
        </w:tc>
        <w:tc>
          <w:tcPr>
            <w:tcW w:w="1719" w:type="dxa"/>
            <w:tcBorders>
              <w:right w:val="single" w:color="000000" w:sz="6" w:space="0"/>
            </w:tcBorders>
            <w:vAlign w:val="center"/>
          </w:tcPr>
          <w:p w14:paraId="7810DC25">
            <w:pPr>
              <w:spacing w:before="104" w:line="231" w:lineRule="auto"/>
              <w:jc w:val="center"/>
              <w:rPr>
                <w:rFonts w:ascii="Times New Roman" w:hAnsi="Times New Roman" w:eastAsia="宋体" w:cs="Cambria"/>
              </w:rPr>
            </w:pPr>
            <w:r>
              <w:rPr>
                <w:rFonts w:hint="eastAsia" w:ascii="Times New Roman" w:hAnsi="Times New Roman" w:eastAsia="宋体" w:cs="Cambria"/>
                <w:spacing w:val="-13"/>
                <w:lang w:eastAsia="zh-CN"/>
              </w:rPr>
              <w:t>+</w:t>
            </w:r>
            <w:r>
              <w:rPr>
                <w:rFonts w:hint="eastAsia" w:ascii="Times New Roman" w:hAnsi="Times New Roman" w:eastAsia="宋体" w:cs="Cambria"/>
                <w:lang w:eastAsia="zh-CN"/>
              </w:rPr>
              <w:t>0.0882</w:t>
            </w:r>
            <w:r>
              <w:rPr>
                <w:rFonts w:ascii="Times New Roman" w:hAnsi="Times New Roman" w:eastAsia="宋体" w:cs="Cambria"/>
                <w:spacing w:val="-13"/>
              </w:rPr>
              <w:t>t/a</w:t>
            </w:r>
          </w:p>
        </w:tc>
      </w:tr>
      <w:tr w14:paraId="4CA8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4" w:type="dxa"/>
            <w:vMerge w:val="continue"/>
            <w:tcBorders>
              <w:top w:val="nil"/>
              <w:left w:val="single" w:color="000000" w:sz="6" w:space="0"/>
              <w:bottom w:val="nil"/>
            </w:tcBorders>
            <w:vAlign w:val="center"/>
          </w:tcPr>
          <w:p w14:paraId="50F04DC5">
            <w:pPr>
              <w:jc w:val="center"/>
              <w:rPr>
                <w:rFonts w:ascii="Times New Roman" w:hAnsi="Times New Roman" w:eastAsia="宋体"/>
              </w:rPr>
            </w:pPr>
          </w:p>
        </w:tc>
        <w:tc>
          <w:tcPr>
            <w:tcW w:w="1273" w:type="dxa"/>
          </w:tcPr>
          <w:p w14:paraId="04B7CF8E">
            <w:pPr>
              <w:spacing w:before="109" w:line="223" w:lineRule="auto"/>
              <w:ind w:left="338"/>
              <w:rPr>
                <w:rFonts w:ascii="Times New Roman" w:hAnsi="Times New Roman" w:eastAsia="宋体" w:cs="Cambria"/>
              </w:rPr>
            </w:pPr>
            <w:r>
              <w:rPr>
                <w:rFonts w:ascii="Times New Roman" w:hAnsi="Times New Roman" w:eastAsia="宋体" w:cs="Cambria"/>
                <w:spacing w:val="9"/>
              </w:rPr>
              <w:t>BOD</w:t>
            </w:r>
            <w:r>
              <w:rPr>
                <w:rFonts w:ascii="Times New Roman" w:hAnsi="Times New Roman" w:eastAsia="宋体" w:cs="Cambria"/>
                <w:spacing w:val="9"/>
                <w:position w:val="-1"/>
                <w:vertAlign w:val="subscript"/>
              </w:rPr>
              <w:t>5</w:t>
            </w:r>
          </w:p>
        </w:tc>
        <w:tc>
          <w:tcPr>
            <w:tcW w:w="1559" w:type="dxa"/>
          </w:tcPr>
          <w:p w14:paraId="19E28A68">
            <w:pPr>
              <w:spacing w:before="108"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746F3E8B">
            <w:pPr>
              <w:spacing w:before="108"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21089EAA">
            <w:pPr>
              <w:spacing w:before="108" w:line="230" w:lineRule="auto"/>
              <w:ind w:left="721"/>
              <w:rPr>
                <w:rFonts w:ascii="Times New Roman" w:hAnsi="Times New Roman" w:eastAsia="宋体" w:cs="Cambria"/>
              </w:rPr>
            </w:pPr>
            <w:r>
              <w:rPr>
                <w:rFonts w:ascii="Times New Roman" w:hAnsi="Times New Roman" w:eastAsia="宋体" w:cs="Cambria"/>
              </w:rPr>
              <w:t>0</w:t>
            </w:r>
          </w:p>
        </w:tc>
        <w:tc>
          <w:tcPr>
            <w:tcW w:w="1841" w:type="dxa"/>
            <w:vAlign w:val="center"/>
          </w:tcPr>
          <w:p w14:paraId="4F3818BB">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0.0504</w:t>
            </w:r>
            <w:r>
              <w:rPr>
                <w:rFonts w:ascii="Times New Roman" w:hAnsi="Times New Roman" w:eastAsia="宋体" w:cs="Cambria"/>
                <w:spacing w:val="-13"/>
              </w:rPr>
              <w:t>t/a</w:t>
            </w:r>
          </w:p>
        </w:tc>
        <w:tc>
          <w:tcPr>
            <w:tcW w:w="1559" w:type="dxa"/>
          </w:tcPr>
          <w:p w14:paraId="19290C0C">
            <w:pPr>
              <w:spacing w:before="108" w:line="230" w:lineRule="auto"/>
              <w:ind w:left="727"/>
              <w:rPr>
                <w:rFonts w:ascii="Times New Roman" w:hAnsi="Times New Roman" w:eastAsia="宋体" w:cs="Cambria"/>
              </w:rPr>
            </w:pPr>
            <w:r>
              <w:rPr>
                <w:rFonts w:ascii="Times New Roman" w:hAnsi="Times New Roman" w:eastAsia="宋体" w:cs="Cambria"/>
              </w:rPr>
              <w:t>0</w:t>
            </w:r>
          </w:p>
        </w:tc>
        <w:tc>
          <w:tcPr>
            <w:tcW w:w="1697" w:type="dxa"/>
            <w:vAlign w:val="center"/>
          </w:tcPr>
          <w:p w14:paraId="56669D3E">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0.0504</w:t>
            </w:r>
            <w:r>
              <w:rPr>
                <w:rFonts w:ascii="Times New Roman" w:hAnsi="Times New Roman" w:eastAsia="宋体" w:cs="Cambria"/>
                <w:spacing w:val="-13"/>
              </w:rPr>
              <w:t>t/a</w:t>
            </w:r>
          </w:p>
        </w:tc>
        <w:tc>
          <w:tcPr>
            <w:tcW w:w="1719" w:type="dxa"/>
            <w:tcBorders>
              <w:right w:val="single" w:color="000000" w:sz="6" w:space="0"/>
            </w:tcBorders>
            <w:vAlign w:val="center"/>
          </w:tcPr>
          <w:p w14:paraId="695F373E">
            <w:pPr>
              <w:spacing w:before="104" w:line="231" w:lineRule="auto"/>
              <w:jc w:val="center"/>
              <w:rPr>
                <w:rFonts w:ascii="Times New Roman" w:hAnsi="Times New Roman" w:eastAsia="宋体" w:cs="Cambria"/>
              </w:rPr>
            </w:pPr>
            <w:r>
              <w:rPr>
                <w:rFonts w:hint="eastAsia" w:ascii="Times New Roman" w:hAnsi="Times New Roman" w:eastAsia="宋体" w:cs="Cambria"/>
                <w:spacing w:val="-13"/>
                <w:lang w:eastAsia="zh-CN"/>
              </w:rPr>
              <w:t>+</w:t>
            </w:r>
            <w:r>
              <w:rPr>
                <w:rFonts w:hint="eastAsia" w:ascii="Times New Roman" w:hAnsi="Times New Roman" w:eastAsia="宋体" w:cs="Cambria"/>
                <w:lang w:eastAsia="zh-CN"/>
              </w:rPr>
              <w:t>0.0504</w:t>
            </w:r>
            <w:r>
              <w:rPr>
                <w:rFonts w:ascii="Times New Roman" w:hAnsi="Times New Roman" w:eastAsia="宋体" w:cs="Cambria"/>
                <w:spacing w:val="-13"/>
              </w:rPr>
              <w:t>t/a</w:t>
            </w:r>
          </w:p>
        </w:tc>
      </w:tr>
      <w:tr w14:paraId="44E39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14" w:type="dxa"/>
            <w:vMerge w:val="continue"/>
            <w:tcBorders>
              <w:top w:val="nil"/>
              <w:left w:val="single" w:color="000000" w:sz="6" w:space="0"/>
              <w:bottom w:val="nil"/>
            </w:tcBorders>
            <w:vAlign w:val="center"/>
          </w:tcPr>
          <w:p w14:paraId="2CC36B9F">
            <w:pPr>
              <w:jc w:val="center"/>
              <w:rPr>
                <w:rFonts w:ascii="Times New Roman" w:hAnsi="Times New Roman" w:eastAsia="宋体"/>
              </w:rPr>
            </w:pPr>
          </w:p>
        </w:tc>
        <w:tc>
          <w:tcPr>
            <w:tcW w:w="1273" w:type="dxa"/>
          </w:tcPr>
          <w:p w14:paraId="2821E359">
            <w:pPr>
              <w:spacing w:before="111" w:line="187" w:lineRule="auto"/>
              <w:ind w:left="507"/>
              <w:rPr>
                <w:rFonts w:ascii="Times New Roman" w:hAnsi="Times New Roman" w:eastAsia="宋体" w:cs="Cambria"/>
              </w:rPr>
            </w:pPr>
            <w:r>
              <w:rPr>
                <w:rFonts w:ascii="Times New Roman" w:hAnsi="Times New Roman" w:eastAsia="宋体" w:cs="Cambria"/>
                <w:spacing w:val="7"/>
              </w:rPr>
              <w:t>SS</w:t>
            </w:r>
          </w:p>
        </w:tc>
        <w:tc>
          <w:tcPr>
            <w:tcW w:w="1559" w:type="dxa"/>
          </w:tcPr>
          <w:p w14:paraId="71AD91E9">
            <w:pPr>
              <w:spacing w:before="109"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4561648B">
            <w:pPr>
              <w:spacing w:before="109"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14AFD0FF">
            <w:pPr>
              <w:spacing w:before="109" w:line="230" w:lineRule="auto"/>
              <w:ind w:left="721"/>
              <w:rPr>
                <w:rFonts w:ascii="Times New Roman" w:hAnsi="Times New Roman" w:eastAsia="宋体" w:cs="Cambria"/>
              </w:rPr>
            </w:pPr>
            <w:r>
              <w:rPr>
                <w:rFonts w:ascii="Times New Roman" w:hAnsi="Times New Roman" w:eastAsia="宋体" w:cs="Cambria"/>
              </w:rPr>
              <w:t>0</w:t>
            </w:r>
          </w:p>
        </w:tc>
        <w:tc>
          <w:tcPr>
            <w:tcW w:w="1841" w:type="dxa"/>
            <w:vAlign w:val="center"/>
          </w:tcPr>
          <w:p w14:paraId="411D97C0">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0.063</w:t>
            </w:r>
            <w:r>
              <w:rPr>
                <w:rFonts w:ascii="Times New Roman" w:hAnsi="Times New Roman" w:eastAsia="宋体" w:cs="Cambria"/>
                <w:spacing w:val="-13"/>
              </w:rPr>
              <w:t>t/a</w:t>
            </w:r>
          </w:p>
        </w:tc>
        <w:tc>
          <w:tcPr>
            <w:tcW w:w="1559" w:type="dxa"/>
          </w:tcPr>
          <w:p w14:paraId="0C981FBF">
            <w:pPr>
              <w:spacing w:before="109" w:line="230" w:lineRule="auto"/>
              <w:ind w:left="727"/>
              <w:rPr>
                <w:rFonts w:ascii="Times New Roman" w:hAnsi="Times New Roman" w:eastAsia="宋体" w:cs="Cambria"/>
              </w:rPr>
            </w:pPr>
            <w:r>
              <w:rPr>
                <w:rFonts w:ascii="Times New Roman" w:hAnsi="Times New Roman" w:eastAsia="宋体" w:cs="Cambria"/>
              </w:rPr>
              <w:t>0</w:t>
            </w:r>
          </w:p>
        </w:tc>
        <w:tc>
          <w:tcPr>
            <w:tcW w:w="1697" w:type="dxa"/>
            <w:vAlign w:val="center"/>
          </w:tcPr>
          <w:p w14:paraId="2CCEEADD">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0.063</w:t>
            </w:r>
            <w:r>
              <w:rPr>
                <w:rFonts w:ascii="Times New Roman" w:hAnsi="Times New Roman" w:eastAsia="宋体" w:cs="Cambria"/>
                <w:spacing w:val="-13"/>
              </w:rPr>
              <w:t>t/a</w:t>
            </w:r>
          </w:p>
        </w:tc>
        <w:tc>
          <w:tcPr>
            <w:tcW w:w="1719" w:type="dxa"/>
            <w:tcBorders>
              <w:right w:val="single" w:color="000000" w:sz="6" w:space="0"/>
            </w:tcBorders>
            <w:vAlign w:val="center"/>
          </w:tcPr>
          <w:p w14:paraId="730F6BF3">
            <w:pPr>
              <w:spacing w:before="104" w:line="231" w:lineRule="auto"/>
              <w:jc w:val="center"/>
              <w:rPr>
                <w:rFonts w:ascii="Times New Roman" w:hAnsi="Times New Roman" w:eastAsia="宋体" w:cs="Cambria"/>
              </w:rPr>
            </w:pPr>
            <w:r>
              <w:rPr>
                <w:rFonts w:hint="eastAsia" w:ascii="Times New Roman" w:hAnsi="Times New Roman" w:eastAsia="宋体" w:cs="Cambria"/>
                <w:spacing w:val="-13"/>
                <w:lang w:eastAsia="zh-CN"/>
              </w:rPr>
              <w:t>+</w:t>
            </w:r>
            <w:r>
              <w:rPr>
                <w:rFonts w:hint="eastAsia" w:ascii="Times New Roman" w:hAnsi="Times New Roman" w:eastAsia="宋体" w:cs="Cambria"/>
                <w:lang w:eastAsia="zh-CN"/>
              </w:rPr>
              <w:t>0.063</w:t>
            </w:r>
            <w:r>
              <w:rPr>
                <w:rFonts w:ascii="Times New Roman" w:hAnsi="Times New Roman" w:eastAsia="宋体" w:cs="Cambria"/>
                <w:spacing w:val="-13"/>
              </w:rPr>
              <w:t>t/a</w:t>
            </w:r>
          </w:p>
        </w:tc>
      </w:tr>
      <w:tr w14:paraId="2E82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4" w:type="dxa"/>
            <w:vMerge w:val="continue"/>
            <w:tcBorders>
              <w:top w:val="nil"/>
              <w:left w:val="single" w:color="000000" w:sz="6" w:space="0"/>
            </w:tcBorders>
            <w:vAlign w:val="center"/>
          </w:tcPr>
          <w:p w14:paraId="4B9B95C0">
            <w:pPr>
              <w:jc w:val="center"/>
              <w:rPr>
                <w:rFonts w:ascii="Times New Roman" w:hAnsi="Times New Roman" w:eastAsia="宋体"/>
              </w:rPr>
            </w:pPr>
          </w:p>
        </w:tc>
        <w:tc>
          <w:tcPr>
            <w:tcW w:w="1273" w:type="dxa"/>
          </w:tcPr>
          <w:p w14:paraId="74C650BE">
            <w:pPr>
              <w:spacing w:before="74" w:line="201" w:lineRule="auto"/>
              <w:ind w:left="283"/>
              <w:rPr>
                <w:rFonts w:ascii="Times New Roman" w:hAnsi="Times New Roman" w:eastAsia="宋体" w:cs="Cambria"/>
              </w:rPr>
            </w:pPr>
            <w:r>
              <w:rPr>
                <w:rFonts w:ascii="Times New Roman" w:hAnsi="Times New Roman" w:eastAsia="宋体" w:cs="Cambria"/>
              </w:rPr>
              <w:t>NH</w:t>
            </w:r>
            <w:r>
              <w:rPr>
                <w:rFonts w:ascii="Times New Roman" w:hAnsi="Times New Roman" w:eastAsia="宋体" w:cs="Cambria"/>
                <w:spacing w:val="7"/>
                <w:position w:val="-1"/>
                <w:vertAlign w:val="subscript"/>
              </w:rPr>
              <w:t>3</w:t>
            </w:r>
            <w:r>
              <w:rPr>
                <w:rFonts w:ascii="Times New Roman" w:hAnsi="Times New Roman" w:eastAsia="宋体" w:cs="Cambria"/>
                <w:spacing w:val="7"/>
              </w:rPr>
              <w:t>-N</w:t>
            </w:r>
          </w:p>
        </w:tc>
        <w:tc>
          <w:tcPr>
            <w:tcW w:w="1559" w:type="dxa"/>
          </w:tcPr>
          <w:p w14:paraId="480F7CF4">
            <w:pPr>
              <w:spacing w:before="69" w:line="205"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383DB468">
            <w:pPr>
              <w:spacing w:before="69" w:line="205"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53110143">
            <w:pPr>
              <w:spacing w:before="69" w:line="205" w:lineRule="auto"/>
              <w:ind w:left="721"/>
              <w:rPr>
                <w:rFonts w:ascii="Times New Roman" w:hAnsi="Times New Roman" w:eastAsia="宋体" w:cs="Cambria"/>
              </w:rPr>
            </w:pPr>
            <w:r>
              <w:rPr>
                <w:rFonts w:ascii="Times New Roman" w:hAnsi="Times New Roman" w:eastAsia="宋体" w:cs="Cambria"/>
              </w:rPr>
              <w:t>0</w:t>
            </w:r>
          </w:p>
        </w:tc>
        <w:tc>
          <w:tcPr>
            <w:tcW w:w="1841" w:type="dxa"/>
            <w:vAlign w:val="center"/>
          </w:tcPr>
          <w:p w14:paraId="616374C0">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0.00882</w:t>
            </w:r>
            <w:r>
              <w:rPr>
                <w:rFonts w:ascii="Times New Roman" w:hAnsi="Times New Roman" w:eastAsia="宋体" w:cs="Cambria"/>
                <w:spacing w:val="-13"/>
              </w:rPr>
              <w:t>t/a</w:t>
            </w:r>
          </w:p>
        </w:tc>
        <w:tc>
          <w:tcPr>
            <w:tcW w:w="1559" w:type="dxa"/>
          </w:tcPr>
          <w:p w14:paraId="73C18F18">
            <w:pPr>
              <w:spacing w:before="69" w:line="205" w:lineRule="auto"/>
              <w:ind w:left="727"/>
              <w:rPr>
                <w:rFonts w:ascii="Times New Roman" w:hAnsi="Times New Roman" w:eastAsia="宋体" w:cs="Cambria"/>
              </w:rPr>
            </w:pPr>
            <w:r>
              <w:rPr>
                <w:rFonts w:ascii="Times New Roman" w:hAnsi="Times New Roman" w:eastAsia="宋体" w:cs="Cambria"/>
              </w:rPr>
              <w:t>0</w:t>
            </w:r>
          </w:p>
        </w:tc>
        <w:tc>
          <w:tcPr>
            <w:tcW w:w="1697" w:type="dxa"/>
            <w:vAlign w:val="center"/>
          </w:tcPr>
          <w:p w14:paraId="3EE23020">
            <w:pPr>
              <w:spacing w:before="104" w:line="231" w:lineRule="auto"/>
              <w:jc w:val="center"/>
              <w:rPr>
                <w:rFonts w:ascii="Times New Roman" w:hAnsi="Times New Roman" w:eastAsia="宋体" w:cs="Cambria"/>
              </w:rPr>
            </w:pPr>
            <w:r>
              <w:rPr>
                <w:rFonts w:hint="eastAsia" w:ascii="Times New Roman" w:hAnsi="Times New Roman" w:eastAsia="宋体" w:cs="Cambria"/>
                <w:lang w:eastAsia="zh-CN"/>
              </w:rPr>
              <w:t>0.00882</w:t>
            </w:r>
            <w:r>
              <w:rPr>
                <w:rFonts w:ascii="Times New Roman" w:hAnsi="Times New Roman" w:eastAsia="宋体" w:cs="Cambria"/>
                <w:spacing w:val="-13"/>
              </w:rPr>
              <w:t>t/a</w:t>
            </w:r>
          </w:p>
        </w:tc>
        <w:tc>
          <w:tcPr>
            <w:tcW w:w="1719" w:type="dxa"/>
            <w:tcBorders>
              <w:right w:val="single" w:color="000000" w:sz="6" w:space="0"/>
            </w:tcBorders>
            <w:vAlign w:val="center"/>
          </w:tcPr>
          <w:p w14:paraId="44025DBF">
            <w:pPr>
              <w:spacing w:before="104" w:line="231" w:lineRule="auto"/>
              <w:jc w:val="center"/>
              <w:rPr>
                <w:rFonts w:ascii="Times New Roman" w:hAnsi="Times New Roman" w:eastAsia="宋体" w:cs="Cambria"/>
              </w:rPr>
            </w:pPr>
            <w:r>
              <w:rPr>
                <w:rFonts w:hint="eastAsia" w:ascii="Times New Roman" w:hAnsi="Times New Roman" w:eastAsia="宋体" w:cs="Cambria"/>
                <w:spacing w:val="-13"/>
                <w:lang w:eastAsia="zh-CN"/>
              </w:rPr>
              <w:t>+</w:t>
            </w:r>
            <w:r>
              <w:rPr>
                <w:rFonts w:hint="eastAsia" w:ascii="Times New Roman" w:hAnsi="Times New Roman" w:eastAsia="宋体" w:cs="Cambria"/>
                <w:lang w:eastAsia="zh-CN"/>
              </w:rPr>
              <w:t>0.00882</w:t>
            </w:r>
            <w:r>
              <w:rPr>
                <w:rFonts w:ascii="Times New Roman" w:hAnsi="Times New Roman" w:eastAsia="宋体" w:cs="Cambria"/>
                <w:spacing w:val="-13"/>
              </w:rPr>
              <w:t>t/a</w:t>
            </w:r>
          </w:p>
        </w:tc>
      </w:tr>
      <w:tr w14:paraId="7C9F6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14" w:type="dxa"/>
            <w:vMerge w:val="restart"/>
            <w:tcBorders>
              <w:left w:val="single" w:color="000000" w:sz="6" w:space="0"/>
              <w:bottom w:val="nil"/>
            </w:tcBorders>
            <w:vAlign w:val="center"/>
          </w:tcPr>
          <w:p w14:paraId="6DEB2CC4">
            <w:pPr>
              <w:pStyle w:val="20"/>
              <w:spacing w:before="78" w:line="221" w:lineRule="auto"/>
              <w:jc w:val="center"/>
              <w:rPr>
                <w:rFonts w:ascii="Times New Roman" w:hAnsi="Times New Roman"/>
                <w:sz w:val="21"/>
                <w:szCs w:val="21"/>
              </w:rPr>
            </w:pPr>
            <w:r>
              <w:rPr>
                <w:rFonts w:ascii="Times New Roman" w:hAnsi="Times New Roman"/>
                <w:spacing w:val="-4"/>
                <w:sz w:val="21"/>
                <w:szCs w:val="21"/>
              </w:rPr>
              <w:t>一般工业</w:t>
            </w:r>
            <w:r>
              <w:rPr>
                <w:rFonts w:ascii="Times New Roman" w:hAnsi="Times New Roman"/>
                <w:spacing w:val="-6"/>
                <w:sz w:val="21"/>
                <w:szCs w:val="21"/>
              </w:rPr>
              <w:t>固体废物</w:t>
            </w:r>
          </w:p>
        </w:tc>
        <w:tc>
          <w:tcPr>
            <w:tcW w:w="1273" w:type="dxa"/>
          </w:tcPr>
          <w:p w14:paraId="1612B91F">
            <w:pPr>
              <w:pStyle w:val="20"/>
              <w:spacing w:before="99" w:line="221" w:lineRule="auto"/>
              <w:ind w:left="112"/>
              <w:rPr>
                <w:rFonts w:ascii="Times New Roman" w:hAnsi="Times New Roman"/>
                <w:sz w:val="21"/>
                <w:szCs w:val="21"/>
                <w:lang w:eastAsia="zh-CN"/>
              </w:rPr>
            </w:pPr>
            <w:r>
              <w:rPr>
                <w:rFonts w:hint="eastAsia" w:ascii="Times New Roman" w:hAnsi="Times New Roman"/>
                <w:spacing w:val="-2"/>
                <w:sz w:val="21"/>
                <w:szCs w:val="21"/>
                <w:lang w:eastAsia="zh-CN"/>
              </w:rPr>
              <w:t>拌合料废渣</w:t>
            </w:r>
          </w:p>
        </w:tc>
        <w:tc>
          <w:tcPr>
            <w:tcW w:w="1559" w:type="dxa"/>
          </w:tcPr>
          <w:p w14:paraId="399EABDA">
            <w:pPr>
              <w:spacing w:before="111"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68BCFE5C">
            <w:pPr>
              <w:spacing w:before="111"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2890A770">
            <w:pPr>
              <w:spacing w:before="111"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14F00A15">
            <w:pPr>
              <w:spacing w:before="111" w:line="189" w:lineRule="auto"/>
              <w:ind w:left="532"/>
              <w:rPr>
                <w:rFonts w:ascii="Times New Roman" w:hAnsi="Times New Roman" w:eastAsia="宋体" w:cs="Cambria"/>
              </w:rPr>
            </w:pPr>
            <w:r>
              <w:rPr>
                <w:rFonts w:ascii="Times New Roman" w:hAnsi="Times New Roman" w:eastAsia="宋体" w:cs="Cambria"/>
                <w:spacing w:val="-14"/>
              </w:rPr>
              <w:t>216.2t/a</w:t>
            </w:r>
          </w:p>
        </w:tc>
        <w:tc>
          <w:tcPr>
            <w:tcW w:w="1559" w:type="dxa"/>
          </w:tcPr>
          <w:p w14:paraId="3E0F9827">
            <w:pPr>
              <w:spacing w:before="111"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646DEB27">
            <w:pPr>
              <w:spacing w:before="111" w:line="230" w:lineRule="auto"/>
              <w:ind w:left="796"/>
              <w:rPr>
                <w:rFonts w:ascii="Times New Roman" w:hAnsi="Times New Roman" w:eastAsia="宋体" w:cs="Cambria"/>
              </w:rPr>
            </w:pPr>
            <w:r>
              <w:rPr>
                <w:rFonts w:ascii="Times New Roman" w:hAnsi="Times New Roman" w:eastAsia="宋体" w:cs="Cambria"/>
              </w:rPr>
              <w:t>0</w:t>
            </w:r>
          </w:p>
        </w:tc>
        <w:tc>
          <w:tcPr>
            <w:tcW w:w="1719" w:type="dxa"/>
            <w:tcBorders>
              <w:right w:val="single" w:color="000000" w:sz="6" w:space="0"/>
            </w:tcBorders>
          </w:tcPr>
          <w:p w14:paraId="016E3B30">
            <w:pPr>
              <w:spacing w:before="111" w:line="230" w:lineRule="auto"/>
              <w:ind w:left="805"/>
              <w:rPr>
                <w:rFonts w:ascii="Times New Roman" w:hAnsi="Times New Roman" w:eastAsia="宋体" w:cs="Cambria"/>
              </w:rPr>
            </w:pPr>
            <w:r>
              <w:rPr>
                <w:rFonts w:ascii="Times New Roman" w:hAnsi="Times New Roman" w:eastAsia="宋体" w:cs="Cambria"/>
              </w:rPr>
              <w:t>0</w:t>
            </w:r>
          </w:p>
        </w:tc>
      </w:tr>
      <w:tr w14:paraId="6D44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4" w:type="dxa"/>
            <w:vMerge w:val="continue"/>
            <w:tcBorders>
              <w:top w:val="nil"/>
              <w:left w:val="single" w:color="000000" w:sz="6" w:space="0"/>
              <w:bottom w:val="nil"/>
            </w:tcBorders>
            <w:vAlign w:val="center"/>
          </w:tcPr>
          <w:p w14:paraId="6B237B7B">
            <w:pPr>
              <w:jc w:val="center"/>
              <w:rPr>
                <w:rFonts w:ascii="Times New Roman" w:hAnsi="Times New Roman" w:eastAsia="宋体"/>
              </w:rPr>
            </w:pPr>
          </w:p>
        </w:tc>
        <w:tc>
          <w:tcPr>
            <w:tcW w:w="1273" w:type="dxa"/>
          </w:tcPr>
          <w:p w14:paraId="5D969049">
            <w:pPr>
              <w:pStyle w:val="20"/>
              <w:spacing w:before="100" w:line="221" w:lineRule="auto"/>
              <w:ind w:left="423"/>
              <w:rPr>
                <w:rFonts w:ascii="Times New Roman" w:hAnsi="Times New Roman"/>
                <w:sz w:val="21"/>
                <w:szCs w:val="21"/>
              </w:rPr>
            </w:pPr>
            <w:r>
              <w:rPr>
                <w:rFonts w:ascii="Times New Roman" w:hAnsi="Times New Roman"/>
                <w:spacing w:val="-2"/>
                <w:sz w:val="21"/>
                <w:szCs w:val="21"/>
              </w:rPr>
              <w:t>粉尘</w:t>
            </w:r>
          </w:p>
        </w:tc>
        <w:tc>
          <w:tcPr>
            <w:tcW w:w="1559" w:type="dxa"/>
          </w:tcPr>
          <w:p w14:paraId="7E9910A9">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4654DA8F">
            <w:pPr>
              <w:spacing w:before="113"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3B5BBC3C">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665A71F2">
            <w:pPr>
              <w:spacing w:before="112" w:line="189" w:lineRule="auto"/>
              <w:ind w:left="615"/>
              <w:rPr>
                <w:rFonts w:ascii="Times New Roman" w:hAnsi="Times New Roman" w:eastAsia="宋体" w:cs="Cambria"/>
              </w:rPr>
            </w:pPr>
            <w:r>
              <w:rPr>
                <w:rFonts w:hint="eastAsia" w:ascii="Times New Roman" w:hAnsi="Times New Roman" w:eastAsia="宋体" w:cs="Cambria"/>
                <w:spacing w:val="-18"/>
                <w:lang w:eastAsia="zh-CN"/>
              </w:rPr>
              <w:t>8.055</w:t>
            </w:r>
            <w:r>
              <w:rPr>
                <w:rFonts w:ascii="Times New Roman" w:hAnsi="Times New Roman" w:eastAsia="宋体" w:cs="Cambria"/>
                <w:spacing w:val="-18"/>
              </w:rPr>
              <w:t>t/a</w:t>
            </w:r>
          </w:p>
        </w:tc>
        <w:tc>
          <w:tcPr>
            <w:tcW w:w="1559" w:type="dxa"/>
          </w:tcPr>
          <w:p w14:paraId="7FA97B7E">
            <w:pPr>
              <w:spacing w:before="113"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0663B3C4">
            <w:pPr>
              <w:spacing w:before="113" w:line="230" w:lineRule="auto"/>
              <w:ind w:left="796"/>
              <w:rPr>
                <w:rFonts w:ascii="Times New Roman" w:hAnsi="Times New Roman" w:eastAsia="宋体" w:cs="Cambria"/>
              </w:rPr>
            </w:pPr>
            <w:r>
              <w:rPr>
                <w:rFonts w:ascii="Times New Roman" w:hAnsi="Times New Roman" w:eastAsia="宋体" w:cs="Cambria"/>
              </w:rPr>
              <w:t>0</w:t>
            </w:r>
          </w:p>
        </w:tc>
        <w:tc>
          <w:tcPr>
            <w:tcW w:w="1719" w:type="dxa"/>
            <w:tcBorders>
              <w:right w:val="single" w:color="000000" w:sz="6" w:space="0"/>
            </w:tcBorders>
          </w:tcPr>
          <w:p w14:paraId="044E54BC">
            <w:pPr>
              <w:spacing w:before="113" w:line="230" w:lineRule="auto"/>
              <w:ind w:left="805"/>
              <w:rPr>
                <w:rFonts w:ascii="Times New Roman" w:hAnsi="Times New Roman" w:eastAsia="宋体" w:cs="Cambria"/>
              </w:rPr>
            </w:pPr>
            <w:r>
              <w:rPr>
                <w:rFonts w:ascii="Times New Roman" w:hAnsi="Times New Roman" w:eastAsia="宋体" w:cs="Cambria"/>
              </w:rPr>
              <w:t>0</w:t>
            </w:r>
          </w:p>
        </w:tc>
      </w:tr>
      <w:tr w14:paraId="0E9C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14" w:type="dxa"/>
            <w:vMerge w:val="continue"/>
            <w:tcBorders>
              <w:top w:val="nil"/>
              <w:left w:val="single" w:color="000000" w:sz="6" w:space="0"/>
              <w:bottom w:val="nil"/>
            </w:tcBorders>
            <w:vAlign w:val="center"/>
          </w:tcPr>
          <w:p w14:paraId="3DC68AA7">
            <w:pPr>
              <w:jc w:val="center"/>
              <w:rPr>
                <w:rFonts w:ascii="Times New Roman" w:hAnsi="Times New Roman" w:eastAsia="宋体"/>
              </w:rPr>
            </w:pPr>
          </w:p>
        </w:tc>
        <w:tc>
          <w:tcPr>
            <w:tcW w:w="1273" w:type="dxa"/>
          </w:tcPr>
          <w:p w14:paraId="5550682B">
            <w:pPr>
              <w:pStyle w:val="20"/>
              <w:spacing w:before="101" w:line="222" w:lineRule="auto"/>
              <w:ind w:left="423"/>
              <w:rPr>
                <w:rFonts w:ascii="Times New Roman" w:hAnsi="Times New Roman"/>
                <w:sz w:val="21"/>
                <w:szCs w:val="21"/>
              </w:rPr>
            </w:pPr>
            <w:r>
              <w:rPr>
                <w:rFonts w:ascii="Times New Roman" w:hAnsi="Times New Roman"/>
                <w:spacing w:val="-2"/>
                <w:sz w:val="21"/>
                <w:szCs w:val="21"/>
              </w:rPr>
              <w:t>底泥</w:t>
            </w:r>
          </w:p>
        </w:tc>
        <w:tc>
          <w:tcPr>
            <w:tcW w:w="1559" w:type="dxa"/>
          </w:tcPr>
          <w:p w14:paraId="56A148B5">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7E1391DA">
            <w:pPr>
              <w:spacing w:before="113"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5497018A">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35AA1B08">
            <w:pPr>
              <w:spacing w:before="113" w:line="189" w:lineRule="auto"/>
              <w:ind w:left="595"/>
              <w:rPr>
                <w:rFonts w:ascii="Times New Roman" w:hAnsi="Times New Roman" w:eastAsia="宋体" w:cs="Cambria"/>
              </w:rPr>
            </w:pPr>
            <w:r>
              <w:rPr>
                <w:rFonts w:ascii="Times New Roman" w:hAnsi="Times New Roman" w:eastAsia="宋体" w:cs="Cambria"/>
                <w:spacing w:val="-15"/>
              </w:rPr>
              <w:t>0.86t/a</w:t>
            </w:r>
          </w:p>
        </w:tc>
        <w:tc>
          <w:tcPr>
            <w:tcW w:w="1559" w:type="dxa"/>
          </w:tcPr>
          <w:p w14:paraId="066CD70A">
            <w:pPr>
              <w:spacing w:before="113"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3B525CF8">
            <w:pPr>
              <w:spacing w:before="113" w:line="230" w:lineRule="auto"/>
              <w:ind w:left="796"/>
              <w:rPr>
                <w:rFonts w:ascii="Times New Roman" w:hAnsi="Times New Roman" w:eastAsia="宋体" w:cs="Cambria"/>
              </w:rPr>
            </w:pPr>
            <w:r>
              <w:rPr>
                <w:rFonts w:ascii="Times New Roman" w:hAnsi="Times New Roman" w:eastAsia="宋体" w:cs="Cambria"/>
              </w:rPr>
              <w:t>0</w:t>
            </w:r>
          </w:p>
        </w:tc>
        <w:tc>
          <w:tcPr>
            <w:tcW w:w="1719" w:type="dxa"/>
            <w:tcBorders>
              <w:right w:val="single" w:color="000000" w:sz="6" w:space="0"/>
            </w:tcBorders>
          </w:tcPr>
          <w:p w14:paraId="6DD8369A">
            <w:pPr>
              <w:spacing w:before="113" w:line="230" w:lineRule="auto"/>
              <w:ind w:left="805"/>
              <w:rPr>
                <w:rFonts w:ascii="Times New Roman" w:hAnsi="Times New Roman" w:eastAsia="宋体" w:cs="Cambria"/>
              </w:rPr>
            </w:pPr>
            <w:r>
              <w:rPr>
                <w:rFonts w:ascii="Times New Roman" w:hAnsi="Times New Roman" w:eastAsia="宋体" w:cs="Cambria"/>
              </w:rPr>
              <w:t>0</w:t>
            </w:r>
          </w:p>
        </w:tc>
      </w:tr>
      <w:tr w14:paraId="6F82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14" w:type="dxa"/>
            <w:vMerge w:val="continue"/>
            <w:tcBorders>
              <w:top w:val="nil"/>
              <w:left w:val="single" w:color="000000" w:sz="6" w:space="0"/>
              <w:bottom w:val="nil"/>
            </w:tcBorders>
            <w:vAlign w:val="center"/>
          </w:tcPr>
          <w:p w14:paraId="76689244">
            <w:pPr>
              <w:jc w:val="center"/>
              <w:rPr>
                <w:rFonts w:ascii="Times New Roman" w:hAnsi="Times New Roman" w:eastAsia="宋体"/>
              </w:rPr>
            </w:pPr>
          </w:p>
        </w:tc>
        <w:tc>
          <w:tcPr>
            <w:tcW w:w="1273" w:type="dxa"/>
          </w:tcPr>
          <w:p w14:paraId="432649D5">
            <w:pPr>
              <w:pStyle w:val="20"/>
              <w:spacing w:before="101" w:line="221" w:lineRule="auto"/>
              <w:ind w:left="109"/>
              <w:rPr>
                <w:rFonts w:ascii="Times New Roman" w:hAnsi="Times New Roman"/>
                <w:sz w:val="21"/>
                <w:szCs w:val="21"/>
              </w:rPr>
            </w:pPr>
            <w:r>
              <w:rPr>
                <w:rFonts w:ascii="Times New Roman" w:hAnsi="Times New Roman"/>
                <w:spacing w:val="-1"/>
                <w:sz w:val="21"/>
                <w:szCs w:val="21"/>
              </w:rPr>
              <w:t>损坏的模具</w:t>
            </w:r>
          </w:p>
        </w:tc>
        <w:tc>
          <w:tcPr>
            <w:tcW w:w="1559" w:type="dxa"/>
          </w:tcPr>
          <w:p w14:paraId="508E34E9">
            <w:pPr>
              <w:spacing w:before="114"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4117D6A3">
            <w:pPr>
              <w:spacing w:before="114"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60A7C866">
            <w:pPr>
              <w:spacing w:before="114"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1F810FDD">
            <w:pPr>
              <w:spacing w:before="114" w:line="189" w:lineRule="auto"/>
              <w:ind w:left="655"/>
              <w:rPr>
                <w:rFonts w:ascii="Times New Roman" w:hAnsi="Times New Roman" w:eastAsia="宋体" w:cs="Cambria"/>
              </w:rPr>
            </w:pPr>
            <w:r>
              <w:rPr>
                <w:rFonts w:ascii="Times New Roman" w:hAnsi="Times New Roman" w:eastAsia="宋体" w:cs="Cambria"/>
                <w:spacing w:val="-15"/>
              </w:rPr>
              <w:t>0.7t/a</w:t>
            </w:r>
          </w:p>
        </w:tc>
        <w:tc>
          <w:tcPr>
            <w:tcW w:w="1559" w:type="dxa"/>
          </w:tcPr>
          <w:p w14:paraId="28AD2C76">
            <w:pPr>
              <w:spacing w:before="114"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01697DE7">
            <w:pPr>
              <w:spacing w:before="114" w:line="189" w:lineRule="auto"/>
              <w:ind w:left="587"/>
              <w:rPr>
                <w:rFonts w:ascii="Times New Roman" w:hAnsi="Times New Roman" w:eastAsia="宋体" w:cs="Cambria"/>
              </w:rPr>
            </w:pPr>
            <w:r>
              <w:rPr>
                <w:rFonts w:ascii="Times New Roman" w:hAnsi="Times New Roman" w:eastAsia="宋体" w:cs="Cambria"/>
                <w:spacing w:val="-15"/>
              </w:rPr>
              <w:t>0.7t/a</w:t>
            </w:r>
          </w:p>
        </w:tc>
        <w:tc>
          <w:tcPr>
            <w:tcW w:w="1719" w:type="dxa"/>
            <w:tcBorders>
              <w:right w:val="single" w:color="000000" w:sz="6" w:space="0"/>
            </w:tcBorders>
          </w:tcPr>
          <w:p w14:paraId="34652EB3">
            <w:pPr>
              <w:spacing w:before="121" w:line="189" w:lineRule="auto"/>
              <w:ind w:left="525"/>
              <w:rPr>
                <w:rFonts w:ascii="Times New Roman" w:hAnsi="Times New Roman" w:eastAsia="宋体" w:cs="Cambria"/>
              </w:rPr>
            </w:pPr>
            <w:r>
              <w:rPr>
                <w:rFonts w:ascii="Times New Roman" w:hAnsi="Times New Roman" w:eastAsia="宋体" w:cs="Cambria"/>
                <w:spacing w:val="-12"/>
              </w:rPr>
              <w:t>+0.7t/a</w:t>
            </w:r>
          </w:p>
        </w:tc>
      </w:tr>
      <w:tr w14:paraId="6CC6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14" w:type="dxa"/>
            <w:vMerge w:val="continue"/>
            <w:tcBorders>
              <w:top w:val="nil"/>
              <w:left w:val="single" w:color="000000" w:sz="6" w:space="0"/>
              <w:bottom w:val="nil"/>
            </w:tcBorders>
            <w:vAlign w:val="center"/>
          </w:tcPr>
          <w:p w14:paraId="36F57D91">
            <w:pPr>
              <w:jc w:val="center"/>
              <w:rPr>
                <w:rFonts w:ascii="Times New Roman" w:hAnsi="Times New Roman" w:eastAsia="宋体"/>
              </w:rPr>
            </w:pPr>
          </w:p>
        </w:tc>
        <w:tc>
          <w:tcPr>
            <w:tcW w:w="1273" w:type="dxa"/>
          </w:tcPr>
          <w:p w14:paraId="78A90CB1">
            <w:pPr>
              <w:pStyle w:val="20"/>
              <w:spacing w:before="102" w:line="221" w:lineRule="auto"/>
              <w:ind w:left="112"/>
              <w:rPr>
                <w:rFonts w:ascii="Times New Roman" w:hAnsi="Times New Roman"/>
                <w:sz w:val="21"/>
                <w:szCs w:val="21"/>
              </w:rPr>
            </w:pPr>
            <w:r>
              <w:rPr>
                <w:rFonts w:ascii="Times New Roman" w:hAnsi="Times New Roman"/>
                <w:spacing w:val="-2"/>
                <w:sz w:val="21"/>
                <w:szCs w:val="21"/>
              </w:rPr>
              <w:t>包装袋</w:t>
            </w:r>
          </w:p>
        </w:tc>
        <w:tc>
          <w:tcPr>
            <w:tcW w:w="1559" w:type="dxa"/>
          </w:tcPr>
          <w:p w14:paraId="1196DE47">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5851AD8E">
            <w:pPr>
              <w:spacing w:before="113"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6BF4ADC8">
            <w:pPr>
              <w:spacing w:before="113"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60257182">
            <w:pPr>
              <w:spacing w:before="112" w:line="189" w:lineRule="auto"/>
              <w:ind w:left="595"/>
              <w:rPr>
                <w:rFonts w:ascii="Times New Roman" w:hAnsi="Times New Roman" w:eastAsia="宋体" w:cs="Cambria"/>
              </w:rPr>
            </w:pPr>
            <w:r>
              <w:rPr>
                <w:rFonts w:ascii="Times New Roman" w:hAnsi="Times New Roman" w:eastAsia="宋体" w:cs="Cambria"/>
                <w:spacing w:val="-15"/>
              </w:rPr>
              <w:t>0.68t/a</w:t>
            </w:r>
          </w:p>
        </w:tc>
        <w:tc>
          <w:tcPr>
            <w:tcW w:w="1559" w:type="dxa"/>
          </w:tcPr>
          <w:p w14:paraId="539BB966">
            <w:pPr>
              <w:spacing w:before="113"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3DFFF861">
            <w:pPr>
              <w:spacing w:before="112" w:line="189" w:lineRule="auto"/>
              <w:ind w:left="527"/>
              <w:rPr>
                <w:rFonts w:ascii="Times New Roman" w:hAnsi="Times New Roman" w:eastAsia="宋体" w:cs="Cambria"/>
              </w:rPr>
            </w:pPr>
            <w:r>
              <w:rPr>
                <w:rFonts w:ascii="Times New Roman" w:hAnsi="Times New Roman" w:eastAsia="宋体" w:cs="Cambria"/>
                <w:spacing w:val="-15"/>
              </w:rPr>
              <w:t>0.68t/a</w:t>
            </w:r>
          </w:p>
        </w:tc>
        <w:tc>
          <w:tcPr>
            <w:tcW w:w="1719" w:type="dxa"/>
            <w:tcBorders>
              <w:right w:val="single" w:color="000000" w:sz="6" w:space="0"/>
            </w:tcBorders>
          </w:tcPr>
          <w:p w14:paraId="64F76EF1">
            <w:pPr>
              <w:spacing w:before="122" w:line="189" w:lineRule="auto"/>
              <w:ind w:left="465"/>
              <w:rPr>
                <w:rFonts w:ascii="Times New Roman" w:hAnsi="Times New Roman" w:eastAsia="宋体" w:cs="Cambria"/>
              </w:rPr>
            </w:pPr>
            <w:r>
              <w:rPr>
                <w:rFonts w:ascii="Times New Roman" w:hAnsi="Times New Roman" w:eastAsia="宋体" w:cs="Cambria"/>
                <w:spacing w:val="-12"/>
              </w:rPr>
              <w:t>+0.68t/a</w:t>
            </w:r>
          </w:p>
        </w:tc>
      </w:tr>
      <w:tr w14:paraId="7232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14" w:type="dxa"/>
            <w:vMerge w:val="continue"/>
            <w:tcBorders>
              <w:top w:val="nil"/>
              <w:left w:val="single" w:color="000000" w:sz="6" w:space="0"/>
            </w:tcBorders>
            <w:vAlign w:val="center"/>
          </w:tcPr>
          <w:p w14:paraId="138A7731">
            <w:pPr>
              <w:jc w:val="center"/>
              <w:rPr>
                <w:rFonts w:ascii="Times New Roman" w:hAnsi="Times New Roman" w:eastAsia="宋体"/>
              </w:rPr>
            </w:pPr>
          </w:p>
        </w:tc>
        <w:tc>
          <w:tcPr>
            <w:tcW w:w="1273" w:type="dxa"/>
          </w:tcPr>
          <w:p w14:paraId="36D775A5">
            <w:pPr>
              <w:pStyle w:val="20"/>
              <w:spacing w:before="42" w:line="218" w:lineRule="auto"/>
              <w:ind w:left="215" w:right="124" w:hanging="107"/>
              <w:rPr>
                <w:rFonts w:ascii="Times New Roman" w:hAnsi="Times New Roman"/>
                <w:sz w:val="21"/>
                <w:szCs w:val="21"/>
              </w:rPr>
            </w:pPr>
            <w:r>
              <w:rPr>
                <w:rFonts w:ascii="Times New Roman" w:hAnsi="Times New Roman"/>
                <w:spacing w:val="-4"/>
                <w:sz w:val="21"/>
                <w:szCs w:val="21"/>
              </w:rPr>
              <w:t>边角料、不</w:t>
            </w:r>
            <w:r>
              <w:rPr>
                <w:rFonts w:ascii="Times New Roman" w:hAnsi="Times New Roman"/>
                <w:spacing w:val="-2"/>
                <w:sz w:val="21"/>
                <w:szCs w:val="21"/>
              </w:rPr>
              <w:t>合格产品</w:t>
            </w:r>
          </w:p>
        </w:tc>
        <w:tc>
          <w:tcPr>
            <w:tcW w:w="1559" w:type="dxa"/>
          </w:tcPr>
          <w:p w14:paraId="32EBC7AF">
            <w:pPr>
              <w:spacing w:before="190"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78F3B69C">
            <w:pPr>
              <w:spacing w:before="190"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3F739560">
            <w:pPr>
              <w:spacing w:before="190"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7FB16928">
            <w:pPr>
              <w:spacing w:before="190" w:line="189" w:lineRule="auto"/>
              <w:ind w:left="586"/>
              <w:rPr>
                <w:rFonts w:ascii="Times New Roman" w:hAnsi="Times New Roman" w:eastAsia="宋体" w:cs="Cambria"/>
              </w:rPr>
            </w:pPr>
            <w:r>
              <w:rPr>
                <w:rFonts w:ascii="Times New Roman" w:hAnsi="Times New Roman" w:eastAsia="宋体" w:cs="Cambria"/>
                <w:spacing w:val="-21"/>
              </w:rPr>
              <w:t>1859t/a</w:t>
            </w:r>
          </w:p>
        </w:tc>
        <w:tc>
          <w:tcPr>
            <w:tcW w:w="1559" w:type="dxa"/>
          </w:tcPr>
          <w:p w14:paraId="7C90384E">
            <w:pPr>
              <w:spacing w:before="190"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551C0EC3">
            <w:pPr>
              <w:spacing w:before="190" w:line="230" w:lineRule="auto"/>
              <w:ind w:left="796"/>
              <w:rPr>
                <w:rFonts w:ascii="Times New Roman" w:hAnsi="Times New Roman" w:eastAsia="宋体" w:cs="Cambria"/>
              </w:rPr>
            </w:pPr>
            <w:r>
              <w:rPr>
                <w:rFonts w:ascii="Times New Roman" w:hAnsi="Times New Roman" w:eastAsia="宋体" w:cs="Cambria"/>
              </w:rPr>
              <w:t>0</w:t>
            </w:r>
          </w:p>
        </w:tc>
        <w:tc>
          <w:tcPr>
            <w:tcW w:w="1719" w:type="dxa"/>
            <w:tcBorders>
              <w:right w:val="single" w:color="000000" w:sz="6" w:space="0"/>
            </w:tcBorders>
          </w:tcPr>
          <w:p w14:paraId="7CBEB91D">
            <w:pPr>
              <w:spacing w:before="190" w:line="230" w:lineRule="auto"/>
              <w:ind w:left="805"/>
              <w:rPr>
                <w:rFonts w:ascii="Times New Roman" w:hAnsi="Times New Roman" w:eastAsia="宋体" w:cs="Cambria"/>
              </w:rPr>
            </w:pPr>
            <w:r>
              <w:rPr>
                <w:rFonts w:ascii="Times New Roman" w:hAnsi="Times New Roman" w:eastAsia="宋体" w:cs="Cambria"/>
              </w:rPr>
              <w:t>0</w:t>
            </w:r>
          </w:p>
        </w:tc>
      </w:tr>
      <w:tr w14:paraId="5A7C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314" w:type="dxa"/>
            <w:tcBorders>
              <w:left w:val="single" w:color="000000" w:sz="6" w:space="0"/>
            </w:tcBorders>
            <w:vAlign w:val="center"/>
          </w:tcPr>
          <w:p w14:paraId="4337C766">
            <w:pPr>
              <w:pStyle w:val="20"/>
              <w:spacing w:before="93" w:line="220" w:lineRule="auto"/>
              <w:ind w:left="176"/>
              <w:jc w:val="center"/>
              <w:rPr>
                <w:rFonts w:ascii="Times New Roman" w:hAnsi="Times New Roman"/>
                <w:sz w:val="21"/>
                <w:szCs w:val="21"/>
              </w:rPr>
            </w:pPr>
            <w:r>
              <w:rPr>
                <w:rFonts w:ascii="Times New Roman" w:hAnsi="Times New Roman"/>
                <w:spacing w:val="-3"/>
                <w:sz w:val="21"/>
                <w:szCs w:val="21"/>
              </w:rPr>
              <w:t>生活垃圾</w:t>
            </w:r>
          </w:p>
        </w:tc>
        <w:tc>
          <w:tcPr>
            <w:tcW w:w="1273" w:type="dxa"/>
          </w:tcPr>
          <w:p w14:paraId="40F27EF7">
            <w:pPr>
              <w:pStyle w:val="20"/>
              <w:spacing w:before="78" w:line="220" w:lineRule="auto"/>
              <w:ind w:left="158"/>
              <w:rPr>
                <w:rFonts w:ascii="Times New Roman" w:hAnsi="Times New Roman"/>
                <w:sz w:val="21"/>
                <w:szCs w:val="21"/>
              </w:rPr>
            </w:pPr>
            <w:r>
              <w:rPr>
                <w:rFonts w:ascii="Times New Roman" w:hAnsi="Times New Roman"/>
                <w:spacing w:val="-3"/>
                <w:sz w:val="21"/>
                <w:szCs w:val="21"/>
              </w:rPr>
              <w:t>生活垃圾</w:t>
            </w:r>
          </w:p>
        </w:tc>
        <w:tc>
          <w:tcPr>
            <w:tcW w:w="1559" w:type="dxa"/>
          </w:tcPr>
          <w:p w14:paraId="27304F17">
            <w:pPr>
              <w:spacing w:before="117" w:line="230" w:lineRule="auto"/>
              <w:ind w:left="721"/>
              <w:rPr>
                <w:rFonts w:ascii="Times New Roman" w:hAnsi="Times New Roman" w:eastAsia="宋体" w:cs="Cambria"/>
              </w:rPr>
            </w:pPr>
            <w:r>
              <w:rPr>
                <w:rFonts w:ascii="Times New Roman" w:hAnsi="Times New Roman" w:eastAsia="宋体" w:cs="Cambria"/>
              </w:rPr>
              <w:t>0</w:t>
            </w:r>
          </w:p>
        </w:tc>
        <w:tc>
          <w:tcPr>
            <w:tcW w:w="1276" w:type="dxa"/>
          </w:tcPr>
          <w:p w14:paraId="67B4985B">
            <w:pPr>
              <w:spacing w:before="117" w:line="230" w:lineRule="auto"/>
              <w:ind w:left="581"/>
              <w:rPr>
                <w:rFonts w:ascii="Times New Roman" w:hAnsi="Times New Roman" w:eastAsia="宋体" w:cs="Cambria"/>
              </w:rPr>
            </w:pPr>
            <w:r>
              <w:rPr>
                <w:rFonts w:ascii="Times New Roman" w:hAnsi="Times New Roman" w:eastAsia="宋体" w:cs="Cambria"/>
              </w:rPr>
              <w:t>0</w:t>
            </w:r>
          </w:p>
        </w:tc>
        <w:tc>
          <w:tcPr>
            <w:tcW w:w="1556" w:type="dxa"/>
          </w:tcPr>
          <w:p w14:paraId="5450596D">
            <w:pPr>
              <w:spacing w:before="117" w:line="230" w:lineRule="auto"/>
              <w:ind w:left="721"/>
              <w:rPr>
                <w:rFonts w:ascii="Times New Roman" w:hAnsi="Times New Roman" w:eastAsia="宋体" w:cs="Cambria"/>
              </w:rPr>
            </w:pPr>
            <w:r>
              <w:rPr>
                <w:rFonts w:ascii="Times New Roman" w:hAnsi="Times New Roman" w:eastAsia="宋体" w:cs="Cambria"/>
              </w:rPr>
              <w:t>0</w:t>
            </w:r>
          </w:p>
        </w:tc>
        <w:tc>
          <w:tcPr>
            <w:tcW w:w="1841" w:type="dxa"/>
          </w:tcPr>
          <w:p w14:paraId="30E8BA50">
            <w:pPr>
              <w:spacing w:before="117" w:line="189" w:lineRule="auto"/>
              <w:ind w:left="555"/>
              <w:rPr>
                <w:rFonts w:ascii="Times New Roman" w:hAnsi="Times New Roman" w:eastAsia="宋体" w:cs="Cambria"/>
              </w:rPr>
            </w:pPr>
            <w:r>
              <w:rPr>
                <w:rFonts w:ascii="Times New Roman" w:hAnsi="Times New Roman" w:eastAsia="宋体" w:cs="Cambria"/>
                <w:spacing w:val="-17"/>
              </w:rPr>
              <w:t>1.575t/a</w:t>
            </w:r>
          </w:p>
        </w:tc>
        <w:tc>
          <w:tcPr>
            <w:tcW w:w="1559" w:type="dxa"/>
          </w:tcPr>
          <w:p w14:paraId="15693043">
            <w:pPr>
              <w:spacing w:before="117" w:line="230" w:lineRule="auto"/>
              <w:ind w:left="727"/>
              <w:rPr>
                <w:rFonts w:ascii="Times New Roman" w:hAnsi="Times New Roman" w:eastAsia="宋体" w:cs="Cambria"/>
              </w:rPr>
            </w:pPr>
            <w:r>
              <w:rPr>
                <w:rFonts w:ascii="Times New Roman" w:hAnsi="Times New Roman" w:eastAsia="宋体" w:cs="Cambria"/>
              </w:rPr>
              <w:t>0</w:t>
            </w:r>
          </w:p>
        </w:tc>
        <w:tc>
          <w:tcPr>
            <w:tcW w:w="1697" w:type="dxa"/>
          </w:tcPr>
          <w:p w14:paraId="5C692667">
            <w:pPr>
              <w:spacing w:before="117" w:line="189" w:lineRule="auto"/>
              <w:ind w:left="487"/>
              <w:rPr>
                <w:rFonts w:ascii="Times New Roman" w:hAnsi="Times New Roman" w:eastAsia="宋体" w:cs="Cambria"/>
              </w:rPr>
            </w:pPr>
            <w:r>
              <w:rPr>
                <w:rFonts w:ascii="Times New Roman" w:hAnsi="Times New Roman" w:eastAsia="宋体" w:cs="Cambria"/>
                <w:spacing w:val="-17"/>
              </w:rPr>
              <w:t>1.575t/a</w:t>
            </w:r>
          </w:p>
        </w:tc>
        <w:tc>
          <w:tcPr>
            <w:tcW w:w="1719" w:type="dxa"/>
            <w:tcBorders>
              <w:right w:val="single" w:color="000000" w:sz="6" w:space="0"/>
            </w:tcBorders>
          </w:tcPr>
          <w:p w14:paraId="52EE0C4C">
            <w:pPr>
              <w:spacing w:before="117" w:line="189" w:lineRule="auto"/>
              <w:ind w:left="405"/>
              <w:rPr>
                <w:rFonts w:ascii="Times New Roman" w:hAnsi="Times New Roman" w:eastAsia="宋体" w:cs="Cambria"/>
              </w:rPr>
            </w:pPr>
            <w:r>
              <w:rPr>
                <w:rFonts w:ascii="Times New Roman" w:hAnsi="Times New Roman" w:eastAsia="宋体" w:cs="Cambria"/>
                <w:spacing w:val="-13"/>
              </w:rPr>
              <w:t>+1.575t/a</w:t>
            </w:r>
          </w:p>
        </w:tc>
      </w:tr>
      <w:tr w14:paraId="556F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314" w:type="dxa"/>
            <w:tcBorders>
              <w:left w:val="single" w:color="000000" w:sz="6" w:space="0"/>
              <w:bottom w:val="single" w:color="000000" w:sz="6" w:space="0"/>
            </w:tcBorders>
            <w:vAlign w:val="center"/>
          </w:tcPr>
          <w:p w14:paraId="5DF5BA1C">
            <w:pPr>
              <w:pStyle w:val="20"/>
              <w:spacing w:before="93" w:line="220" w:lineRule="auto"/>
              <w:ind w:left="177"/>
              <w:jc w:val="center"/>
              <w:rPr>
                <w:rFonts w:ascii="Times New Roman" w:hAnsi="Times New Roman"/>
                <w:sz w:val="21"/>
                <w:szCs w:val="21"/>
              </w:rPr>
            </w:pPr>
            <w:r>
              <w:rPr>
                <w:rFonts w:ascii="Times New Roman" w:hAnsi="Times New Roman"/>
                <w:spacing w:val="-3"/>
                <w:sz w:val="21"/>
                <w:szCs w:val="21"/>
              </w:rPr>
              <w:t>危险废物</w:t>
            </w:r>
          </w:p>
        </w:tc>
        <w:tc>
          <w:tcPr>
            <w:tcW w:w="1273" w:type="dxa"/>
            <w:tcBorders>
              <w:bottom w:val="single" w:color="000000" w:sz="6" w:space="0"/>
            </w:tcBorders>
          </w:tcPr>
          <w:p w14:paraId="0130915A">
            <w:pPr>
              <w:spacing w:before="117" w:line="189" w:lineRule="auto"/>
              <w:jc w:val="center"/>
              <w:rPr>
                <w:rFonts w:hint="default" w:ascii="Times New Roman" w:hAnsi="Times New Roman" w:eastAsia="宋体" w:cs="Cambria"/>
                <w:lang w:val="en-US" w:eastAsia="zh-CN"/>
              </w:rPr>
            </w:pPr>
            <w:r>
              <w:rPr>
                <w:rFonts w:hint="eastAsia" w:ascii="Times New Roman" w:hAnsi="Times New Roman" w:eastAsia="宋体" w:cs="Cambria"/>
                <w:lang w:eastAsia="zh-CN"/>
              </w:rPr>
              <w:t>废机油、</w:t>
            </w:r>
            <w:r>
              <w:rPr>
                <w:rFonts w:hint="eastAsia" w:ascii="Times New Roman" w:hAnsi="Times New Roman" w:eastAsia="宋体" w:cs="Cambria"/>
                <w:lang w:val="en-US" w:eastAsia="zh-CN"/>
              </w:rPr>
              <w:t>废油桶</w:t>
            </w:r>
          </w:p>
        </w:tc>
        <w:tc>
          <w:tcPr>
            <w:tcW w:w="1559" w:type="dxa"/>
            <w:tcBorders>
              <w:bottom w:val="single" w:color="000000" w:sz="6" w:space="0"/>
            </w:tcBorders>
          </w:tcPr>
          <w:p w14:paraId="24BD716A">
            <w:pPr>
              <w:spacing w:before="118" w:line="230" w:lineRule="auto"/>
              <w:ind w:left="721"/>
              <w:rPr>
                <w:rFonts w:ascii="Times New Roman" w:hAnsi="Times New Roman" w:eastAsia="宋体" w:cs="Cambria"/>
              </w:rPr>
            </w:pPr>
            <w:r>
              <w:rPr>
                <w:rFonts w:ascii="Times New Roman" w:hAnsi="Times New Roman" w:eastAsia="宋体" w:cs="Cambria"/>
              </w:rPr>
              <w:t>0</w:t>
            </w:r>
          </w:p>
        </w:tc>
        <w:tc>
          <w:tcPr>
            <w:tcW w:w="1276" w:type="dxa"/>
            <w:tcBorders>
              <w:bottom w:val="single" w:color="000000" w:sz="6" w:space="0"/>
            </w:tcBorders>
          </w:tcPr>
          <w:p w14:paraId="291037F9">
            <w:pPr>
              <w:spacing w:before="118" w:line="230" w:lineRule="auto"/>
              <w:ind w:left="581"/>
              <w:rPr>
                <w:rFonts w:ascii="Times New Roman" w:hAnsi="Times New Roman" w:eastAsia="宋体" w:cs="Cambria"/>
              </w:rPr>
            </w:pPr>
            <w:r>
              <w:rPr>
                <w:rFonts w:ascii="Times New Roman" w:hAnsi="Times New Roman" w:eastAsia="宋体" w:cs="Cambria"/>
              </w:rPr>
              <w:t>0</w:t>
            </w:r>
          </w:p>
        </w:tc>
        <w:tc>
          <w:tcPr>
            <w:tcW w:w="1556" w:type="dxa"/>
            <w:tcBorders>
              <w:bottom w:val="single" w:color="000000" w:sz="6" w:space="0"/>
            </w:tcBorders>
          </w:tcPr>
          <w:p w14:paraId="23686B2F">
            <w:pPr>
              <w:spacing w:before="118" w:line="230" w:lineRule="auto"/>
              <w:ind w:left="721"/>
              <w:rPr>
                <w:rFonts w:ascii="Times New Roman" w:hAnsi="Times New Roman" w:eastAsia="宋体" w:cs="Cambria"/>
              </w:rPr>
            </w:pPr>
            <w:r>
              <w:rPr>
                <w:rFonts w:ascii="Times New Roman" w:hAnsi="Times New Roman" w:eastAsia="宋体" w:cs="Cambria"/>
              </w:rPr>
              <w:t>0</w:t>
            </w:r>
          </w:p>
        </w:tc>
        <w:tc>
          <w:tcPr>
            <w:tcW w:w="1841" w:type="dxa"/>
            <w:tcBorders>
              <w:bottom w:val="single" w:color="000000" w:sz="6" w:space="0"/>
            </w:tcBorders>
          </w:tcPr>
          <w:p w14:paraId="38D583DF">
            <w:pPr>
              <w:spacing w:before="117" w:line="189" w:lineRule="auto"/>
              <w:ind w:left="555"/>
              <w:rPr>
                <w:rFonts w:ascii="Times New Roman" w:hAnsi="Times New Roman" w:eastAsia="宋体" w:cs="Cambria"/>
                <w:spacing w:val="-17"/>
                <w:lang w:eastAsia="zh-CN"/>
              </w:rPr>
            </w:pPr>
            <w:r>
              <w:rPr>
                <w:rFonts w:hint="eastAsia" w:ascii="Times New Roman" w:hAnsi="Times New Roman" w:eastAsia="宋体" w:cs="Cambria"/>
                <w:spacing w:val="-17"/>
                <w:lang w:eastAsia="zh-CN"/>
              </w:rPr>
              <w:t>0.1</w:t>
            </w:r>
            <w:r>
              <w:rPr>
                <w:rFonts w:ascii="Times New Roman" w:hAnsi="Times New Roman" w:eastAsia="宋体" w:cs="Cambria"/>
                <w:spacing w:val="-17"/>
              </w:rPr>
              <w:t>t/a</w:t>
            </w:r>
          </w:p>
        </w:tc>
        <w:tc>
          <w:tcPr>
            <w:tcW w:w="1559" w:type="dxa"/>
            <w:tcBorders>
              <w:bottom w:val="single" w:color="000000" w:sz="6" w:space="0"/>
            </w:tcBorders>
          </w:tcPr>
          <w:p w14:paraId="6AF54A45">
            <w:pPr>
              <w:spacing w:before="117" w:line="189" w:lineRule="auto"/>
              <w:ind w:left="555"/>
              <w:rPr>
                <w:rFonts w:ascii="Times New Roman" w:hAnsi="Times New Roman" w:eastAsia="宋体" w:cs="Cambria"/>
                <w:spacing w:val="-17"/>
              </w:rPr>
            </w:pPr>
            <w:r>
              <w:rPr>
                <w:rFonts w:ascii="Times New Roman" w:hAnsi="Times New Roman" w:eastAsia="宋体" w:cs="Cambria"/>
                <w:spacing w:val="-17"/>
              </w:rPr>
              <w:t>0</w:t>
            </w:r>
          </w:p>
        </w:tc>
        <w:tc>
          <w:tcPr>
            <w:tcW w:w="1697" w:type="dxa"/>
            <w:tcBorders>
              <w:bottom w:val="single" w:color="000000" w:sz="6" w:space="0"/>
            </w:tcBorders>
          </w:tcPr>
          <w:p w14:paraId="68039526">
            <w:pPr>
              <w:spacing w:before="117" w:line="189" w:lineRule="auto"/>
              <w:ind w:left="555"/>
              <w:rPr>
                <w:rFonts w:ascii="Times New Roman" w:hAnsi="Times New Roman" w:eastAsia="宋体" w:cs="Cambria"/>
                <w:spacing w:val="-17"/>
              </w:rPr>
            </w:pPr>
            <w:r>
              <w:rPr>
                <w:rFonts w:hint="eastAsia" w:ascii="Times New Roman" w:hAnsi="Times New Roman" w:eastAsia="宋体" w:cs="Cambria"/>
                <w:spacing w:val="-17"/>
                <w:lang w:eastAsia="zh-CN"/>
              </w:rPr>
              <w:t>0.1</w:t>
            </w:r>
            <w:r>
              <w:rPr>
                <w:rFonts w:ascii="Times New Roman" w:hAnsi="Times New Roman" w:eastAsia="宋体" w:cs="Cambria"/>
                <w:spacing w:val="-17"/>
              </w:rPr>
              <w:t>t/a</w:t>
            </w:r>
          </w:p>
        </w:tc>
        <w:tc>
          <w:tcPr>
            <w:tcW w:w="1719" w:type="dxa"/>
            <w:tcBorders>
              <w:bottom w:val="single" w:color="000000" w:sz="6" w:space="0"/>
              <w:right w:val="single" w:color="000000" w:sz="6" w:space="0"/>
            </w:tcBorders>
          </w:tcPr>
          <w:p w14:paraId="5AAAF50B">
            <w:pPr>
              <w:spacing w:before="117" w:line="189" w:lineRule="auto"/>
              <w:ind w:left="555"/>
              <w:rPr>
                <w:rFonts w:ascii="Times New Roman" w:hAnsi="Times New Roman" w:eastAsia="宋体" w:cs="Cambria"/>
                <w:spacing w:val="-17"/>
              </w:rPr>
            </w:pPr>
            <w:r>
              <w:rPr>
                <w:rFonts w:ascii="Times New Roman" w:hAnsi="Times New Roman" w:eastAsia="宋体" w:cs="Cambria"/>
                <w:spacing w:val="-17"/>
              </w:rPr>
              <w:t>+</w:t>
            </w:r>
            <w:r>
              <w:rPr>
                <w:rFonts w:hint="eastAsia" w:ascii="Times New Roman" w:hAnsi="Times New Roman" w:eastAsia="宋体" w:cs="Cambria"/>
                <w:spacing w:val="-17"/>
                <w:lang w:eastAsia="zh-CN"/>
              </w:rPr>
              <w:t>0.1</w:t>
            </w:r>
            <w:r>
              <w:rPr>
                <w:rFonts w:ascii="Times New Roman" w:hAnsi="Times New Roman" w:eastAsia="宋体" w:cs="Cambria"/>
                <w:spacing w:val="-17"/>
              </w:rPr>
              <w:t>t/a</w:t>
            </w:r>
          </w:p>
        </w:tc>
      </w:tr>
    </w:tbl>
    <w:p w14:paraId="20D33D27">
      <w:pPr>
        <w:spacing w:before="228" w:line="231" w:lineRule="auto"/>
        <w:ind w:left="47"/>
        <w:rPr>
          <w:rFonts w:ascii="宋体" w:hAnsi="宋体" w:eastAsia="宋体" w:cs="宋体"/>
          <w:sz w:val="24"/>
          <w:szCs w:val="24"/>
        </w:rPr>
      </w:pPr>
      <w:r>
        <w:rPr>
          <w:rFonts w:ascii="宋体" w:hAnsi="宋体" w:eastAsia="宋体" w:cs="宋体"/>
          <w:spacing w:val="-7"/>
          <w:sz w:val="24"/>
          <w:szCs w:val="24"/>
        </w:rPr>
        <w:t>注：⑥</w:t>
      </w:r>
      <w:r>
        <w:rPr>
          <w:rFonts w:ascii="Cambria" w:hAnsi="Cambria" w:eastAsia="Cambria" w:cs="Cambria"/>
          <w:spacing w:val="-7"/>
          <w:sz w:val="24"/>
          <w:szCs w:val="24"/>
        </w:rPr>
        <w:t>=</w:t>
      </w:r>
      <w:r>
        <w:rPr>
          <w:rFonts w:ascii="宋体" w:hAnsi="宋体" w:eastAsia="宋体" w:cs="宋体"/>
          <w:spacing w:val="-7"/>
          <w:sz w:val="24"/>
          <w:szCs w:val="24"/>
        </w:rPr>
        <w:t>①</w:t>
      </w:r>
      <w:r>
        <w:rPr>
          <w:rFonts w:ascii="Cambria" w:hAnsi="Cambria" w:eastAsia="Cambria" w:cs="Cambria"/>
          <w:spacing w:val="-7"/>
          <w:sz w:val="24"/>
          <w:szCs w:val="24"/>
        </w:rPr>
        <w:t>+</w:t>
      </w:r>
      <w:r>
        <w:rPr>
          <w:rFonts w:ascii="宋体" w:hAnsi="宋体" w:eastAsia="宋体" w:cs="宋体"/>
          <w:spacing w:val="-7"/>
          <w:sz w:val="24"/>
          <w:szCs w:val="24"/>
        </w:rPr>
        <w:t>③</w:t>
      </w:r>
      <w:r>
        <w:rPr>
          <w:rFonts w:ascii="Cambria" w:hAnsi="Cambria" w:eastAsia="Cambria" w:cs="Cambria"/>
          <w:spacing w:val="-7"/>
          <w:sz w:val="24"/>
          <w:szCs w:val="24"/>
        </w:rPr>
        <w:t>+</w:t>
      </w:r>
      <w:r>
        <w:rPr>
          <w:rFonts w:ascii="宋体" w:hAnsi="宋体" w:eastAsia="宋体" w:cs="宋体"/>
          <w:spacing w:val="-7"/>
          <w:sz w:val="24"/>
          <w:szCs w:val="24"/>
        </w:rPr>
        <w:t>④</w:t>
      </w:r>
      <w:r>
        <w:rPr>
          <w:rFonts w:ascii="Cambria" w:hAnsi="Cambria" w:eastAsia="Cambria" w:cs="Cambria"/>
          <w:spacing w:val="-7"/>
          <w:sz w:val="24"/>
          <w:szCs w:val="24"/>
        </w:rPr>
        <w:t>-</w:t>
      </w:r>
      <w:r>
        <w:rPr>
          <w:rFonts w:ascii="宋体" w:hAnsi="宋体" w:eastAsia="宋体" w:cs="宋体"/>
          <w:spacing w:val="-7"/>
          <w:sz w:val="24"/>
          <w:szCs w:val="24"/>
        </w:rPr>
        <w:t>⑤;⑦</w:t>
      </w:r>
      <w:r>
        <w:rPr>
          <w:rFonts w:ascii="Cambria" w:hAnsi="Cambria" w:eastAsia="Cambria" w:cs="Cambria"/>
          <w:spacing w:val="-7"/>
          <w:sz w:val="24"/>
          <w:szCs w:val="24"/>
        </w:rPr>
        <w:t>=</w:t>
      </w:r>
      <w:r>
        <w:rPr>
          <w:rFonts w:ascii="宋体" w:hAnsi="宋体" w:eastAsia="宋体" w:cs="宋体"/>
          <w:spacing w:val="-7"/>
          <w:sz w:val="24"/>
          <w:szCs w:val="24"/>
        </w:rPr>
        <w:t>⑥</w:t>
      </w:r>
      <w:r>
        <w:rPr>
          <w:rFonts w:ascii="Cambria" w:hAnsi="Cambria" w:eastAsia="Cambria" w:cs="Cambria"/>
          <w:spacing w:val="-7"/>
          <w:sz w:val="24"/>
          <w:szCs w:val="24"/>
        </w:rPr>
        <w:t>-</w:t>
      </w:r>
      <w:r>
        <w:rPr>
          <w:rFonts w:ascii="宋体" w:hAnsi="宋体" w:eastAsia="宋体" w:cs="宋体"/>
          <w:spacing w:val="-7"/>
          <w:sz w:val="24"/>
          <w:szCs w:val="24"/>
        </w:rPr>
        <w:t>①</w:t>
      </w:r>
    </w:p>
    <w:p w14:paraId="0597475B">
      <w:pPr>
        <w:pStyle w:val="4"/>
        <w:spacing w:line="244" w:lineRule="auto"/>
      </w:pPr>
    </w:p>
    <w:sectPr>
      <w:headerReference r:id="rId8" w:type="default"/>
      <w:footerReference r:id="rId9" w:type="default"/>
      <w:pgSz w:w="16838" w:h="11905" w:orient="landscape"/>
      <w:pgMar w:top="1531" w:right="1701" w:bottom="1531" w:left="1701"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0D5C">
    <w:pPr>
      <w:pStyle w:val="4"/>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F1EB">
    <w:pPr>
      <w:spacing w:line="220"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7262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907262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71A3">
    <w:pPr>
      <w:spacing w:line="220" w:lineRule="auto"/>
      <w:ind w:left="45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AF0D9">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F8AF0D9">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523F">
    <w:pPr>
      <w:spacing w:line="223"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6657">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3A86657">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9E98">
    <w:pPr>
      <w:pStyle w:val="4"/>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473F">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FA3473F">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BDBA">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D77E">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AB230"/>
    <w:multiLevelType w:val="singleLevel"/>
    <w:tmpl w:val="971AB230"/>
    <w:lvl w:ilvl="0" w:tentative="0">
      <w:start w:val="2"/>
      <w:numFmt w:val="chineseCounting"/>
      <w:suff w:val="nothing"/>
      <w:lvlText w:val="%1、"/>
      <w:lvlJc w:val="left"/>
      <w:rPr>
        <w:rFonts w:hint="eastAsia"/>
      </w:rPr>
    </w:lvl>
  </w:abstractNum>
  <w:abstractNum w:abstractNumId="1">
    <w:nsid w:val="D07F1F14"/>
    <w:multiLevelType w:val="singleLevel"/>
    <w:tmpl w:val="D07F1F1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12"/>
    <w:rsid w:val="00007EE2"/>
    <w:rsid w:val="0011551F"/>
    <w:rsid w:val="00177D9B"/>
    <w:rsid w:val="0026142E"/>
    <w:rsid w:val="0027088D"/>
    <w:rsid w:val="004863AE"/>
    <w:rsid w:val="0048717D"/>
    <w:rsid w:val="00621082"/>
    <w:rsid w:val="006253CA"/>
    <w:rsid w:val="00632131"/>
    <w:rsid w:val="00646C4E"/>
    <w:rsid w:val="00653FD0"/>
    <w:rsid w:val="00692FA7"/>
    <w:rsid w:val="007A51B4"/>
    <w:rsid w:val="007F4F12"/>
    <w:rsid w:val="009D372D"/>
    <w:rsid w:val="00AE3A4D"/>
    <w:rsid w:val="00AF0B62"/>
    <w:rsid w:val="00BC2BC6"/>
    <w:rsid w:val="00C92EDE"/>
    <w:rsid w:val="00CC60B5"/>
    <w:rsid w:val="00D14EA7"/>
    <w:rsid w:val="00E16182"/>
    <w:rsid w:val="00FE7E47"/>
    <w:rsid w:val="01144586"/>
    <w:rsid w:val="01970B0E"/>
    <w:rsid w:val="01E91EF8"/>
    <w:rsid w:val="024147B0"/>
    <w:rsid w:val="02550F6D"/>
    <w:rsid w:val="02697479"/>
    <w:rsid w:val="027B3AFF"/>
    <w:rsid w:val="02B8743B"/>
    <w:rsid w:val="02F36ECE"/>
    <w:rsid w:val="034C4296"/>
    <w:rsid w:val="03AC1CCF"/>
    <w:rsid w:val="03BF5C92"/>
    <w:rsid w:val="03D2472D"/>
    <w:rsid w:val="03F94F1B"/>
    <w:rsid w:val="0402799B"/>
    <w:rsid w:val="0471096D"/>
    <w:rsid w:val="055521C7"/>
    <w:rsid w:val="06D8407B"/>
    <w:rsid w:val="06FF6236"/>
    <w:rsid w:val="071D5A4B"/>
    <w:rsid w:val="0791652A"/>
    <w:rsid w:val="07962BC9"/>
    <w:rsid w:val="07BD6B04"/>
    <w:rsid w:val="07F14F4D"/>
    <w:rsid w:val="07F4584C"/>
    <w:rsid w:val="080323E2"/>
    <w:rsid w:val="08381B67"/>
    <w:rsid w:val="08404AA7"/>
    <w:rsid w:val="089C5E78"/>
    <w:rsid w:val="08A82384"/>
    <w:rsid w:val="09B554AF"/>
    <w:rsid w:val="0A9669B9"/>
    <w:rsid w:val="0AB62D29"/>
    <w:rsid w:val="0AE83751"/>
    <w:rsid w:val="0B0954D3"/>
    <w:rsid w:val="0BFB3D92"/>
    <w:rsid w:val="0C1C408F"/>
    <w:rsid w:val="0CA35253"/>
    <w:rsid w:val="0D194323"/>
    <w:rsid w:val="0D5A1BF7"/>
    <w:rsid w:val="0D824245"/>
    <w:rsid w:val="0E273049"/>
    <w:rsid w:val="0E274776"/>
    <w:rsid w:val="0E367A84"/>
    <w:rsid w:val="0E3D736F"/>
    <w:rsid w:val="0ECA723E"/>
    <w:rsid w:val="0F3C63B7"/>
    <w:rsid w:val="0FCC4CD7"/>
    <w:rsid w:val="10460B07"/>
    <w:rsid w:val="1052053F"/>
    <w:rsid w:val="10E93B09"/>
    <w:rsid w:val="110128BD"/>
    <w:rsid w:val="113715C1"/>
    <w:rsid w:val="12186C1D"/>
    <w:rsid w:val="12733868"/>
    <w:rsid w:val="128957AF"/>
    <w:rsid w:val="12A07F1A"/>
    <w:rsid w:val="12E806A4"/>
    <w:rsid w:val="139F43E0"/>
    <w:rsid w:val="147F6DE6"/>
    <w:rsid w:val="14E15E61"/>
    <w:rsid w:val="14F7697C"/>
    <w:rsid w:val="15013D1A"/>
    <w:rsid w:val="15755D3A"/>
    <w:rsid w:val="158521DA"/>
    <w:rsid w:val="15A91D47"/>
    <w:rsid w:val="15FB15F1"/>
    <w:rsid w:val="161569EC"/>
    <w:rsid w:val="17366E7E"/>
    <w:rsid w:val="17AA5BEB"/>
    <w:rsid w:val="18027CFF"/>
    <w:rsid w:val="18210959"/>
    <w:rsid w:val="18561C0B"/>
    <w:rsid w:val="18964CC3"/>
    <w:rsid w:val="18BD1C8B"/>
    <w:rsid w:val="18BD7EDC"/>
    <w:rsid w:val="19CC5C7A"/>
    <w:rsid w:val="19D45347"/>
    <w:rsid w:val="1A404FD3"/>
    <w:rsid w:val="1A7A7E33"/>
    <w:rsid w:val="1B321069"/>
    <w:rsid w:val="1B36391D"/>
    <w:rsid w:val="1B9D14FE"/>
    <w:rsid w:val="1BD655D1"/>
    <w:rsid w:val="1BD910CB"/>
    <w:rsid w:val="1C4B7A3D"/>
    <w:rsid w:val="1C8F62BF"/>
    <w:rsid w:val="1CA840E8"/>
    <w:rsid w:val="1CAF49D6"/>
    <w:rsid w:val="1D3E3DF9"/>
    <w:rsid w:val="1D57629D"/>
    <w:rsid w:val="1DB01DBE"/>
    <w:rsid w:val="1DC52A5F"/>
    <w:rsid w:val="1E746EBF"/>
    <w:rsid w:val="1EEC740D"/>
    <w:rsid w:val="1FD5668D"/>
    <w:rsid w:val="20207151"/>
    <w:rsid w:val="20761131"/>
    <w:rsid w:val="208F4077"/>
    <w:rsid w:val="20977E55"/>
    <w:rsid w:val="20F06314"/>
    <w:rsid w:val="21574D1F"/>
    <w:rsid w:val="21BF16D7"/>
    <w:rsid w:val="2214142C"/>
    <w:rsid w:val="226C5E2E"/>
    <w:rsid w:val="230A7162"/>
    <w:rsid w:val="231F1F84"/>
    <w:rsid w:val="232F7513"/>
    <w:rsid w:val="234C077A"/>
    <w:rsid w:val="23907C91"/>
    <w:rsid w:val="239C1F22"/>
    <w:rsid w:val="23A41016"/>
    <w:rsid w:val="23A71178"/>
    <w:rsid w:val="23AA77A0"/>
    <w:rsid w:val="23ED7143"/>
    <w:rsid w:val="23F314B9"/>
    <w:rsid w:val="248F097F"/>
    <w:rsid w:val="24A42C6A"/>
    <w:rsid w:val="24B315D9"/>
    <w:rsid w:val="24D07EE7"/>
    <w:rsid w:val="2504443F"/>
    <w:rsid w:val="257149BC"/>
    <w:rsid w:val="25FB45DD"/>
    <w:rsid w:val="2632668D"/>
    <w:rsid w:val="264D0AE2"/>
    <w:rsid w:val="26F176CF"/>
    <w:rsid w:val="274D14DE"/>
    <w:rsid w:val="27542AC7"/>
    <w:rsid w:val="27E45486"/>
    <w:rsid w:val="280B47C0"/>
    <w:rsid w:val="28EC349E"/>
    <w:rsid w:val="29233D8C"/>
    <w:rsid w:val="298F7192"/>
    <w:rsid w:val="29E1421C"/>
    <w:rsid w:val="2A5971A4"/>
    <w:rsid w:val="2A834AE2"/>
    <w:rsid w:val="2ADE7C21"/>
    <w:rsid w:val="2B426034"/>
    <w:rsid w:val="2B572EC5"/>
    <w:rsid w:val="2B636912"/>
    <w:rsid w:val="2B7D31E3"/>
    <w:rsid w:val="2B944ACD"/>
    <w:rsid w:val="2BBD1A61"/>
    <w:rsid w:val="2C591574"/>
    <w:rsid w:val="2C5A7FBA"/>
    <w:rsid w:val="2D245F4B"/>
    <w:rsid w:val="2D7D6AC3"/>
    <w:rsid w:val="2D8710B9"/>
    <w:rsid w:val="2DDA25AC"/>
    <w:rsid w:val="2E4B3F42"/>
    <w:rsid w:val="2EC2048D"/>
    <w:rsid w:val="2F391C13"/>
    <w:rsid w:val="2F9C30DB"/>
    <w:rsid w:val="2FBA6B8E"/>
    <w:rsid w:val="30065FF5"/>
    <w:rsid w:val="30C95219"/>
    <w:rsid w:val="30CB71E3"/>
    <w:rsid w:val="30EF0203"/>
    <w:rsid w:val="319A53AB"/>
    <w:rsid w:val="326234F5"/>
    <w:rsid w:val="32D00C8C"/>
    <w:rsid w:val="32D750A3"/>
    <w:rsid w:val="331B6B76"/>
    <w:rsid w:val="33273069"/>
    <w:rsid w:val="33366AC7"/>
    <w:rsid w:val="334907CC"/>
    <w:rsid w:val="337C5266"/>
    <w:rsid w:val="33A95942"/>
    <w:rsid w:val="33C323F3"/>
    <w:rsid w:val="33CB7F8B"/>
    <w:rsid w:val="33E764F4"/>
    <w:rsid w:val="3422046A"/>
    <w:rsid w:val="34345C42"/>
    <w:rsid w:val="34346BE0"/>
    <w:rsid w:val="345C4F2B"/>
    <w:rsid w:val="34A96464"/>
    <w:rsid w:val="34CB1F9B"/>
    <w:rsid w:val="34D31643"/>
    <w:rsid w:val="35690D78"/>
    <w:rsid w:val="35712A5E"/>
    <w:rsid w:val="35C416A8"/>
    <w:rsid w:val="362D09F8"/>
    <w:rsid w:val="362F3A49"/>
    <w:rsid w:val="364D069A"/>
    <w:rsid w:val="36BE01F9"/>
    <w:rsid w:val="37040B1B"/>
    <w:rsid w:val="37610F7D"/>
    <w:rsid w:val="37B97293"/>
    <w:rsid w:val="38646CFE"/>
    <w:rsid w:val="39446D96"/>
    <w:rsid w:val="39E035E7"/>
    <w:rsid w:val="3A537A35"/>
    <w:rsid w:val="3A6F7766"/>
    <w:rsid w:val="3A801D52"/>
    <w:rsid w:val="3A805DD4"/>
    <w:rsid w:val="3A8C29BB"/>
    <w:rsid w:val="3AB33FCE"/>
    <w:rsid w:val="3ACC2B1F"/>
    <w:rsid w:val="3AD155DE"/>
    <w:rsid w:val="3AF57337"/>
    <w:rsid w:val="3B49521A"/>
    <w:rsid w:val="3B712735"/>
    <w:rsid w:val="3BDD49E8"/>
    <w:rsid w:val="3BE47B2B"/>
    <w:rsid w:val="3C17152E"/>
    <w:rsid w:val="3C9F4BEE"/>
    <w:rsid w:val="3CEB33F9"/>
    <w:rsid w:val="3D2D459B"/>
    <w:rsid w:val="3D771C41"/>
    <w:rsid w:val="3DE30E75"/>
    <w:rsid w:val="3E2A7FE7"/>
    <w:rsid w:val="3E9722C6"/>
    <w:rsid w:val="3F320913"/>
    <w:rsid w:val="3F3E6DD2"/>
    <w:rsid w:val="3F47037C"/>
    <w:rsid w:val="3F624B88"/>
    <w:rsid w:val="3F91239A"/>
    <w:rsid w:val="403F2E01"/>
    <w:rsid w:val="40D75C7C"/>
    <w:rsid w:val="4138154B"/>
    <w:rsid w:val="416410FB"/>
    <w:rsid w:val="418D0CE6"/>
    <w:rsid w:val="419D08B9"/>
    <w:rsid w:val="42750EBA"/>
    <w:rsid w:val="42C05351"/>
    <w:rsid w:val="42C16CDB"/>
    <w:rsid w:val="42CD7318"/>
    <w:rsid w:val="434A043B"/>
    <w:rsid w:val="43B72E50"/>
    <w:rsid w:val="43E807D0"/>
    <w:rsid w:val="44556270"/>
    <w:rsid w:val="4456381B"/>
    <w:rsid w:val="445C3621"/>
    <w:rsid w:val="44C640B0"/>
    <w:rsid w:val="44FF60F6"/>
    <w:rsid w:val="45156827"/>
    <w:rsid w:val="454E5A19"/>
    <w:rsid w:val="459050A5"/>
    <w:rsid w:val="46D40E1A"/>
    <w:rsid w:val="46EB783F"/>
    <w:rsid w:val="471D75AA"/>
    <w:rsid w:val="472D5CAE"/>
    <w:rsid w:val="47737835"/>
    <w:rsid w:val="478441A8"/>
    <w:rsid w:val="486078EE"/>
    <w:rsid w:val="48B57B52"/>
    <w:rsid w:val="48BB1493"/>
    <w:rsid w:val="48E06198"/>
    <w:rsid w:val="497A08FD"/>
    <w:rsid w:val="4A316206"/>
    <w:rsid w:val="4AB10DA0"/>
    <w:rsid w:val="4ABA3075"/>
    <w:rsid w:val="4AC02227"/>
    <w:rsid w:val="4ADB6D12"/>
    <w:rsid w:val="4ADD4402"/>
    <w:rsid w:val="4AEA0971"/>
    <w:rsid w:val="4B2C6678"/>
    <w:rsid w:val="4B344AFE"/>
    <w:rsid w:val="4B5B5BAC"/>
    <w:rsid w:val="4B7362BA"/>
    <w:rsid w:val="4B7E1B52"/>
    <w:rsid w:val="4C0B5B76"/>
    <w:rsid w:val="4C145A93"/>
    <w:rsid w:val="4D3735CE"/>
    <w:rsid w:val="4DD2429C"/>
    <w:rsid w:val="4EB04235"/>
    <w:rsid w:val="4EC54196"/>
    <w:rsid w:val="4EDE2C5B"/>
    <w:rsid w:val="4F8273F9"/>
    <w:rsid w:val="4F870321"/>
    <w:rsid w:val="4FDA66A3"/>
    <w:rsid w:val="506C4F7A"/>
    <w:rsid w:val="50CD6207"/>
    <w:rsid w:val="5112757B"/>
    <w:rsid w:val="51D44A2C"/>
    <w:rsid w:val="52040801"/>
    <w:rsid w:val="524A4D62"/>
    <w:rsid w:val="526769A4"/>
    <w:rsid w:val="52683A31"/>
    <w:rsid w:val="52814FE8"/>
    <w:rsid w:val="52F004CF"/>
    <w:rsid w:val="5336027F"/>
    <w:rsid w:val="533F087A"/>
    <w:rsid w:val="5382777D"/>
    <w:rsid w:val="53D73FEA"/>
    <w:rsid w:val="53F6611E"/>
    <w:rsid w:val="542B5194"/>
    <w:rsid w:val="545C4FA5"/>
    <w:rsid w:val="54B63317"/>
    <w:rsid w:val="54C044AF"/>
    <w:rsid w:val="54D14CB5"/>
    <w:rsid w:val="55D12958"/>
    <w:rsid w:val="56024BA5"/>
    <w:rsid w:val="56461AEB"/>
    <w:rsid w:val="56547508"/>
    <w:rsid w:val="565D1435"/>
    <w:rsid w:val="56A619D5"/>
    <w:rsid w:val="570D3D70"/>
    <w:rsid w:val="57597533"/>
    <w:rsid w:val="57A23F4A"/>
    <w:rsid w:val="584722A5"/>
    <w:rsid w:val="588A565D"/>
    <w:rsid w:val="58B55C87"/>
    <w:rsid w:val="58D82620"/>
    <w:rsid w:val="58E51475"/>
    <w:rsid w:val="594150CD"/>
    <w:rsid w:val="5979517E"/>
    <w:rsid w:val="5A3000C7"/>
    <w:rsid w:val="5A605CD0"/>
    <w:rsid w:val="5A771D26"/>
    <w:rsid w:val="5A9B51C7"/>
    <w:rsid w:val="5ADF3408"/>
    <w:rsid w:val="5B3D2452"/>
    <w:rsid w:val="5BE8735D"/>
    <w:rsid w:val="5C3B679C"/>
    <w:rsid w:val="5CBD26DC"/>
    <w:rsid w:val="5D3A7F3E"/>
    <w:rsid w:val="5D462BE5"/>
    <w:rsid w:val="5D5932FD"/>
    <w:rsid w:val="5D662CF7"/>
    <w:rsid w:val="5DF94AE0"/>
    <w:rsid w:val="5E3303AE"/>
    <w:rsid w:val="5E6766D3"/>
    <w:rsid w:val="5E934209"/>
    <w:rsid w:val="5EB427B5"/>
    <w:rsid w:val="5F353888"/>
    <w:rsid w:val="5F9A19AB"/>
    <w:rsid w:val="5FCF6297"/>
    <w:rsid w:val="5FF6617D"/>
    <w:rsid w:val="600203B9"/>
    <w:rsid w:val="60E72BF9"/>
    <w:rsid w:val="615D7205"/>
    <w:rsid w:val="61BD0EFD"/>
    <w:rsid w:val="6283706E"/>
    <w:rsid w:val="628C7CD0"/>
    <w:rsid w:val="629A03A7"/>
    <w:rsid w:val="62AB305A"/>
    <w:rsid w:val="630F0886"/>
    <w:rsid w:val="638F7399"/>
    <w:rsid w:val="647A1AD9"/>
    <w:rsid w:val="64BE2B07"/>
    <w:rsid w:val="64C00E59"/>
    <w:rsid w:val="65257F68"/>
    <w:rsid w:val="65711B0C"/>
    <w:rsid w:val="65AF4B51"/>
    <w:rsid w:val="65CD44BE"/>
    <w:rsid w:val="665E78AF"/>
    <w:rsid w:val="67BB10D4"/>
    <w:rsid w:val="67F56318"/>
    <w:rsid w:val="68412642"/>
    <w:rsid w:val="687641CA"/>
    <w:rsid w:val="68D5030A"/>
    <w:rsid w:val="693818DD"/>
    <w:rsid w:val="6993489C"/>
    <w:rsid w:val="6A75729C"/>
    <w:rsid w:val="6AF52374"/>
    <w:rsid w:val="6AF7565C"/>
    <w:rsid w:val="6B741FF0"/>
    <w:rsid w:val="6BB005CF"/>
    <w:rsid w:val="6BE70067"/>
    <w:rsid w:val="6CCD0282"/>
    <w:rsid w:val="6D1E1848"/>
    <w:rsid w:val="6D371181"/>
    <w:rsid w:val="6DB63E53"/>
    <w:rsid w:val="6DDA61DE"/>
    <w:rsid w:val="6EA41B8D"/>
    <w:rsid w:val="6EB83BFB"/>
    <w:rsid w:val="6EEA75A4"/>
    <w:rsid w:val="6F0F6ECE"/>
    <w:rsid w:val="6F9B77A5"/>
    <w:rsid w:val="6FBF1141"/>
    <w:rsid w:val="70CD6E36"/>
    <w:rsid w:val="711330F3"/>
    <w:rsid w:val="71284326"/>
    <w:rsid w:val="71CA6B62"/>
    <w:rsid w:val="71DE372E"/>
    <w:rsid w:val="71E511AB"/>
    <w:rsid w:val="7237695D"/>
    <w:rsid w:val="73552C27"/>
    <w:rsid w:val="73A51017"/>
    <w:rsid w:val="744958D8"/>
    <w:rsid w:val="74E41BEE"/>
    <w:rsid w:val="7564688B"/>
    <w:rsid w:val="757C38E2"/>
    <w:rsid w:val="7640715B"/>
    <w:rsid w:val="769E1A32"/>
    <w:rsid w:val="770D4498"/>
    <w:rsid w:val="77414B3E"/>
    <w:rsid w:val="774B50EA"/>
    <w:rsid w:val="7771703D"/>
    <w:rsid w:val="77863FB2"/>
    <w:rsid w:val="77880830"/>
    <w:rsid w:val="77FE635D"/>
    <w:rsid w:val="78346CEC"/>
    <w:rsid w:val="783A4D18"/>
    <w:rsid w:val="784443B5"/>
    <w:rsid w:val="786F17CF"/>
    <w:rsid w:val="78C032E4"/>
    <w:rsid w:val="792451AD"/>
    <w:rsid w:val="7942288F"/>
    <w:rsid w:val="795D7D8E"/>
    <w:rsid w:val="79782334"/>
    <w:rsid w:val="79A838DB"/>
    <w:rsid w:val="79B07D6E"/>
    <w:rsid w:val="79EB416B"/>
    <w:rsid w:val="7A97500D"/>
    <w:rsid w:val="7ABD2CC5"/>
    <w:rsid w:val="7AEE41F0"/>
    <w:rsid w:val="7B2423AD"/>
    <w:rsid w:val="7B3F0FE4"/>
    <w:rsid w:val="7B85534E"/>
    <w:rsid w:val="7C7C095E"/>
    <w:rsid w:val="7C830D77"/>
    <w:rsid w:val="7C836D72"/>
    <w:rsid w:val="7CB43C54"/>
    <w:rsid w:val="7D205843"/>
    <w:rsid w:val="7D507ED0"/>
    <w:rsid w:val="7ED52873"/>
    <w:rsid w:val="7F236FF0"/>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35"/>
    <w:pPr>
      <w:jc w:val="center"/>
    </w:pPr>
    <w:rPr>
      <w:b/>
      <w:szCs w:val="20"/>
    </w:rPr>
  </w:style>
  <w:style w:type="paragraph" w:styleId="3">
    <w:name w:val="annotation text"/>
    <w:basedOn w:val="1"/>
    <w:link w:val="40"/>
    <w:qFormat/>
    <w:uiPriority w:val="0"/>
  </w:style>
  <w:style w:type="paragraph" w:styleId="4">
    <w:name w:val="Body Text"/>
    <w:basedOn w:val="1"/>
    <w:next w:val="5"/>
    <w:semiHidden/>
    <w:qFormat/>
    <w:uiPriority w:val="0"/>
  </w:style>
  <w:style w:type="paragraph" w:styleId="5">
    <w:name w:val="Body Text First Indent"/>
    <w:basedOn w:val="4"/>
    <w:qFormat/>
    <w:uiPriority w:val="0"/>
    <w:pPr>
      <w:ind w:firstLine="420" w:firstLineChars="100"/>
    </w:pPr>
    <w:rPr>
      <w:szCs w:val="20"/>
    </w:rPr>
  </w:style>
  <w:style w:type="paragraph" w:styleId="6">
    <w:name w:val="Body Text Indent"/>
    <w:basedOn w:val="1"/>
    <w:next w:val="7"/>
    <w:semiHidden/>
    <w:qFormat/>
    <w:uiPriority w:val="0"/>
    <w:pPr>
      <w:spacing w:after="120"/>
      <w:ind w:left="420" w:leftChars="200"/>
    </w:pPr>
  </w:style>
  <w:style w:type="paragraph" w:styleId="7">
    <w:name w:val="Body Text First Indent 2"/>
    <w:basedOn w:val="6"/>
    <w:next w:val="1"/>
    <w:unhideWhenUsed/>
    <w:qFormat/>
    <w:uiPriority w:val="99"/>
    <w:pPr>
      <w:widowControl w:val="0"/>
      <w:spacing w:before="156" w:beforeLines="50" w:after="156" w:afterLines="50" w:line="360" w:lineRule="auto"/>
      <w:ind w:left="0" w:firstLine="420" w:firstLineChars="200"/>
      <w:jc w:val="both"/>
    </w:pPr>
    <w:rPr>
      <w:rFonts w:ascii="Times New Roman" w:hAnsi="Times New Roman" w:eastAsia="宋体" w:cs="Times New Roman"/>
      <w:kern w:val="2"/>
      <w:sz w:val="24"/>
      <w:szCs w:val="24"/>
      <w:lang w:eastAsia="zh-CN"/>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pPr>
    <w:rPr>
      <w:sz w:val="18"/>
    </w:rPr>
  </w:style>
  <w:style w:type="paragraph" w:styleId="10">
    <w:name w:val="header"/>
    <w:basedOn w:val="1"/>
    <w:link w:val="39"/>
    <w:qFormat/>
    <w:uiPriority w:val="0"/>
    <w:pPr>
      <w:pBdr>
        <w:bottom w:val="single" w:color="auto" w:sz="6" w:space="1"/>
      </w:pBdr>
      <w:tabs>
        <w:tab w:val="center" w:pos="4153"/>
        <w:tab w:val="right" w:pos="8306"/>
      </w:tabs>
      <w:jc w:val="center"/>
    </w:pPr>
    <w:rPr>
      <w:sz w:val="18"/>
      <w:szCs w:val="18"/>
    </w:rPr>
  </w:style>
  <w:style w:type="paragraph" w:styleId="11">
    <w:name w:val="Body Text 2"/>
    <w:basedOn w:val="1"/>
    <w:qFormat/>
    <w:uiPriority w:val="0"/>
    <w:pPr>
      <w:spacing w:line="360" w:lineRule="auto"/>
    </w:pPr>
    <w:rPr>
      <w:sz w:val="18"/>
    </w:rPr>
  </w:style>
  <w:style w:type="paragraph" w:styleId="12">
    <w:name w:val="annotation subject"/>
    <w:basedOn w:val="3"/>
    <w:next w:val="3"/>
    <w:link w:val="41"/>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Default"/>
    <w:basedOn w:val="18"/>
    <w:next w:val="1"/>
    <w:qFormat/>
    <w:uiPriority w:val="0"/>
    <w:pPr>
      <w:widowControl w:val="0"/>
      <w:spacing w:line="360" w:lineRule="auto"/>
      <w:jc w:val="both"/>
    </w:pPr>
    <w:rPr>
      <w:rFonts w:ascii="Times New Roman" w:hAnsi="Times New Roman" w:eastAsia="宋体" w:cs="Times New Roman"/>
      <w:sz w:val="24"/>
      <w:szCs w:val="24"/>
      <w:lang w:eastAsia="zh-CN"/>
    </w:rPr>
  </w:style>
  <w:style w:type="paragraph" w:customStyle="1" w:styleId="18">
    <w:name w:val="纯文本1"/>
    <w:basedOn w:val="1"/>
    <w:qFormat/>
    <w:uiPriority w:val="0"/>
    <w:pPr>
      <w:spacing w:line="520" w:lineRule="atLeast"/>
    </w:pPr>
    <w:rPr>
      <w:rFonts w:ascii="宋体" w:hAnsi="Courier New"/>
      <w:sz w:val="28"/>
      <w:szCs w:val="20"/>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41"/>
    <w:basedOn w:val="15"/>
    <w:qFormat/>
    <w:uiPriority w:val="0"/>
    <w:rPr>
      <w:rFonts w:ascii="宋体" w:hAnsi="宋体" w:eastAsia="宋体" w:cs="宋体"/>
      <w:color w:val="000000"/>
      <w:sz w:val="32"/>
      <w:szCs w:val="32"/>
      <w:u w:val="none"/>
    </w:rPr>
  </w:style>
  <w:style w:type="character" w:customStyle="1" w:styleId="23">
    <w:name w:val="font51"/>
    <w:basedOn w:val="15"/>
    <w:qFormat/>
    <w:uiPriority w:val="0"/>
    <w:rPr>
      <w:rFonts w:ascii="宋体" w:hAnsi="宋体" w:eastAsia="宋体" w:cs="宋体"/>
      <w:color w:val="000000"/>
      <w:sz w:val="42"/>
      <w:szCs w:val="42"/>
      <w:u w:val="none"/>
    </w:rPr>
  </w:style>
  <w:style w:type="character" w:customStyle="1" w:styleId="24">
    <w:name w:val="font61"/>
    <w:basedOn w:val="15"/>
    <w:qFormat/>
    <w:uiPriority w:val="0"/>
    <w:rPr>
      <w:rFonts w:hint="default" w:ascii="Calibri" w:hAnsi="Calibri" w:cs="Calibri"/>
      <w:color w:val="000000"/>
      <w:sz w:val="32"/>
      <w:szCs w:val="32"/>
      <w:u w:val="none"/>
    </w:rPr>
  </w:style>
  <w:style w:type="character" w:customStyle="1" w:styleId="25">
    <w:name w:val="font31"/>
    <w:basedOn w:val="15"/>
    <w:qFormat/>
    <w:uiPriority w:val="0"/>
    <w:rPr>
      <w:rFonts w:hint="default" w:ascii="Times New Roman" w:hAnsi="Times New Roman" w:cs="Times New Roman"/>
      <w:color w:val="000000"/>
      <w:sz w:val="21"/>
      <w:szCs w:val="21"/>
      <w:u w:val="none"/>
    </w:rPr>
  </w:style>
  <w:style w:type="character" w:customStyle="1" w:styleId="26">
    <w:name w:val="font11"/>
    <w:basedOn w:val="15"/>
    <w:qFormat/>
    <w:uiPriority w:val="0"/>
    <w:rPr>
      <w:rFonts w:hint="eastAsia" w:ascii="宋体" w:hAnsi="宋体" w:eastAsia="宋体" w:cs="宋体"/>
      <w:color w:val="000000"/>
      <w:sz w:val="21"/>
      <w:szCs w:val="21"/>
      <w:u w:val="none"/>
    </w:rPr>
  </w:style>
  <w:style w:type="character" w:customStyle="1" w:styleId="27">
    <w:name w:val="font21"/>
    <w:basedOn w:val="15"/>
    <w:qFormat/>
    <w:uiPriority w:val="0"/>
    <w:rPr>
      <w:rFonts w:ascii="宋体" w:hAnsi="宋体" w:eastAsia="宋体" w:cs="宋体"/>
      <w:color w:val="302040"/>
      <w:sz w:val="32"/>
      <w:szCs w:val="32"/>
      <w:u w:val="none"/>
    </w:rPr>
  </w:style>
  <w:style w:type="character" w:customStyle="1" w:styleId="28">
    <w:name w:val="font71"/>
    <w:basedOn w:val="15"/>
    <w:qFormat/>
    <w:uiPriority w:val="0"/>
    <w:rPr>
      <w:rFonts w:ascii="宋体" w:hAnsi="宋体" w:eastAsia="宋体" w:cs="宋体"/>
      <w:color w:val="000000"/>
      <w:sz w:val="28"/>
      <w:szCs w:val="28"/>
      <w:u w:val="none"/>
    </w:rPr>
  </w:style>
  <w:style w:type="paragraph" w:customStyle="1" w:styleId="29">
    <w:name w:val="正文正"/>
    <w:basedOn w:val="6"/>
    <w:qFormat/>
    <w:uiPriority w:val="99"/>
    <w:pPr>
      <w:spacing w:after="0" w:line="320" w:lineRule="exact"/>
      <w:ind w:left="0" w:leftChars="0" w:firstLine="473" w:firstLineChars="225"/>
    </w:pPr>
    <w:rPr>
      <w:szCs w:val="18"/>
    </w:rPr>
  </w:style>
  <w:style w:type="paragraph" w:customStyle="1" w:styleId="30">
    <w:name w:val="1正文"/>
    <w:basedOn w:val="1"/>
    <w:qFormat/>
    <w:uiPriority w:val="0"/>
    <w:pPr>
      <w:spacing w:line="360" w:lineRule="auto"/>
      <w:ind w:firstLine="200" w:firstLineChars="200"/>
    </w:pPr>
    <w:rPr>
      <w:sz w:val="24"/>
      <w:lang w:val="en-GB"/>
    </w:rPr>
  </w:style>
  <w:style w:type="paragraph" w:customStyle="1" w:styleId="31">
    <w:name w:val="1正文段落"/>
    <w:basedOn w:val="1"/>
    <w:qFormat/>
    <w:uiPriority w:val="99"/>
    <w:pPr>
      <w:spacing w:line="360" w:lineRule="auto"/>
      <w:ind w:firstLine="200" w:firstLineChars="200"/>
    </w:pPr>
    <w:rPr>
      <w:sz w:val="24"/>
    </w:rPr>
  </w:style>
  <w:style w:type="paragraph" w:customStyle="1" w:styleId="32">
    <w:name w:val="表格"/>
    <w:basedOn w:val="1"/>
    <w:next w:val="1"/>
    <w:qFormat/>
    <w:uiPriority w:val="0"/>
    <w:pPr>
      <w:spacing w:beforeLines="10" w:afterLines="10" w:line="259" w:lineRule="auto"/>
      <w:jc w:val="center"/>
    </w:pPr>
    <w:rPr>
      <w:rFonts w:ascii="宋体"/>
      <w:szCs w:val="20"/>
    </w:rPr>
  </w:style>
  <w:style w:type="character" w:customStyle="1" w:styleId="33">
    <w:name w:val="font112"/>
    <w:basedOn w:val="15"/>
    <w:qFormat/>
    <w:uiPriority w:val="0"/>
    <w:rPr>
      <w:rFonts w:ascii="宋体" w:hAnsi="宋体" w:eastAsia="宋体" w:cs="宋体"/>
      <w:b/>
      <w:bCs/>
      <w:color w:val="000000"/>
      <w:sz w:val="34"/>
      <w:szCs w:val="34"/>
      <w:u w:val="none"/>
    </w:rPr>
  </w:style>
  <w:style w:type="character" w:customStyle="1" w:styleId="34">
    <w:name w:val="font121"/>
    <w:basedOn w:val="15"/>
    <w:qFormat/>
    <w:uiPriority w:val="0"/>
    <w:rPr>
      <w:rFonts w:ascii="宋体" w:hAnsi="宋体" w:eastAsia="宋体" w:cs="宋体"/>
      <w:color w:val="000000"/>
      <w:sz w:val="34"/>
      <w:szCs w:val="34"/>
      <w:u w:val="none"/>
    </w:rPr>
  </w:style>
  <w:style w:type="character" w:customStyle="1" w:styleId="35">
    <w:name w:val="font131"/>
    <w:basedOn w:val="15"/>
    <w:qFormat/>
    <w:uiPriority w:val="0"/>
    <w:rPr>
      <w:rFonts w:ascii="宋体" w:hAnsi="宋体" w:eastAsia="宋体" w:cs="宋体"/>
      <w:color w:val="000000"/>
      <w:sz w:val="26"/>
      <w:szCs w:val="26"/>
      <w:u w:val="none"/>
    </w:rPr>
  </w:style>
  <w:style w:type="character" w:customStyle="1" w:styleId="36">
    <w:name w:val="font81"/>
    <w:basedOn w:val="15"/>
    <w:qFormat/>
    <w:uiPriority w:val="0"/>
    <w:rPr>
      <w:rFonts w:ascii="宋体" w:hAnsi="宋体" w:eastAsia="宋体" w:cs="宋体"/>
      <w:color w:val="708080"/>
      <w:sz w:val="34"/>
      <w:szCs w:val="34"/>
      <w:u w:val="none"/>
    </w:rPr>
  </w:style>
  <w:style w:type="character" w:customStyle="1" w:styleId="37">
    <w:name w:val="font141"/>
    <w:basedOn w:val="15"/>
    <w:qFormat/>
    <w:uiPriority w:val="0"/>
    <w:rPr>
      <w:rFonts w:ascii="宋体" w:hAnsi="宋体" w:eastAsia="宋体" w:cs="宋体"/>
      <w:color w:val="000000"/>
      <w:sz w:val="22"/>
      <w:szCs w:val="22"/>
      <w:u w:val="none"/>
    </w:rPr>
  </w:style>
  <w:style w:type="character" w:customStyle="1" w:styleId="38">
    <w:name w:val="font101"/>
    <w:basedOn w:val="15"/>
    <w:qFormat/>
    <w:uiPriority w:val="0"/>
    <w:rPr>
      <w:rFonts w:ascii="宋体" w:hAnsi="宋体" w:eastAsia="宋体" w:cs="宋体"/>
      <w:color w:val="304040"/>
      <w:sz w:val="34"/>
      <w:szCs w:val="34"/>
      <w:u w:val="none"/>
    </w:rPr>
  </w:style>
  <w:style w:type="character" w:customStyle="1" w:styleId="39">
    <w:name w:val="页眉 字符"/>
    <w:basedOn w:val="15"/>
    <w:link w:val="10"/>
    <w:qFormat/>
    <w:uiPriority w:val="0"/>
    <w:rPr>
      <w:rFonts w:ascii="Arial" w:hAnsi="Arial" w:eastAsia="Arial" w:cs="Arial"/>
      <w:snapToGrid w:val="0"/>
      <w:color w:val="000000"/>
      <w:sz w:val="18"/>
      <w:szCs w:val="18"/>
      <w:lang w:eastAsia="en-US"/>
    </w:rPr>
  </w:style>
  <w:style w:type="character" w:customStyle="1" w:styleId="40">
    <w:name w:val="批注文字 字符"/>
    <w:basedOn w:val="15"/>
    <w:link w:val="3"/>
    <w:qFormat/>
    <w:uiPriority w:val="0"/>
    <w:rPr>
      <w:rFonts w:ascii="Arial" w:hAnsi="Arial" w:eastAsia="Arial" w:cs="Arial"/>
      <w:snapToGrid w:val="0"/>
      <w:color w:val="000000"/>
      <w:sz w:val="21"/>
      <w:szCs w:val="21"/>
      <w:lang w:eastAsia="en-US"/>
    </w:rPr>
  </w:style>
  <w:style w:type="character" w:customStyle="1" w:styleId="41">
    <w:name w:val="批注主题 字符"/>
    <w:basedOn w:val="40"/>
    <w:link w:val="12"/>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9326</Words>
  <Characters>9786</Characters>
  <Lines>297</Lines>
  <Paragraphs>83</Paragraphs>
  <TotalTime>52</TotalTime>
  <ScaleCrop>false</ScaleCrop>
  <LinksUpToDate>false</LinksUpToDate>
  <CharactersWithSpaces>9839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2025-08-18T05:25:00Z</dcterms:created>
  <dc:creator>lhj</dc:creator>
  <cp:lastModifiedBy>小麦啾</cp:lastModifiedBy>
  <cp:lastPrinted>2025-08-01T06:45:00Z</cp:lastPrinted>
  <dcterms:modified xsi:type="dcterms:W3CDTF">2025-10-30T02:59:37Z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2025-07-11T18:07:57Z</vt:filetime>
  </property>
  <property fmtid="{D5CDD505-2E9C-101B-9397-08002B2CF9AE}" pid="4" name="KSOTemplateDocerSaveRecord">
    <vt:lpwstr>eyJoZGlkIjoiM2Q5NDlmNDc3N2ZkYzk3ZGJmOTUwNTM0Mzc5MTVlNDMiLCJ1c2VySWQiOiIzMjQ5NjUzODcifQ==</vt:lpwstr>
  </property>
  <property fmtid="{D5CDD505-2E9C-101B-9397-08002B2CF9AE}" pid="5" name="KSOProductBuildVer">
    <vt:lpwstr>2052-12.1.0.23542</vt:lpwstr>
  </property>
  <property fmtid="{D5CDD505-2E9C-101B-9397-08002B2CF9AE}" pid="6" name="ICV">
    <vt:lpwstr>402673CC880A4485AA85D96FACEB1115</vt:lpwstr>
  </property>
</Properties>
</file>