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bidi w:val="0"/>
        <w:rPr>
          <w:rFonts w:hint="default"/>
          <w:color w:val="auto"/>
        </w:rPr>
      </w:pPr>
    </w:p>
    <w:p>
      <w:pPr>
        <w:pStyle w:val="36"/>
        <w:bidi w:val="0"/>
        <w:rPr>
          <w:rFonts w:hint="default"/>
          <w:color w:val="auto"/>
        </w:rPr>
      </w:pPr>
    </w:p>
    <w:p>
      <w:pPr>
        <w:adjustRightInd w:val="0"/>
        <w:snapToGrid w:val="0"/>
        <w:spacing w:line="240" w:lineRule="auto"/>
        <w:jc w:val="center"/>
        <w:outlineLvl w:val="0"/>
        <w:rPr>
          <w:rFonts w:hint="default" w:ascii="Times New Roman" w:hAnsi="Times New Roman" w:eastAsia="方正小标宋_GBK" w:cs="Times New Roman"/>
          <w:bCs/>
          <w:color w:val="auto"/>
          <w:sz w:val="72"/>
          <w:szCs w:val="72"/>
        </w:rPr>
      </w:pPr>
      <w:bookmarkStart w:id="0" w:name="_Hlk57883728"/>
    </w:p>
    <w:p>
      <w:pPr>
        <w:adjustRightInd w:val="0"/>
        <w:snapToGrid w:val="0"/>
        <w:spacing w:line="240" w:lineRule="auto"/>
        <w:ind w:left="0" w:leftChars="0" w:firstLine="0" w:firstLineChars="0"/>
        <w:jc w:val="center"/>
        <w:outlineLvl w:val="0"/>
        <w:rPr>
          <w:rFonts w:hint="default" w:ascii="Times New Roman" w:hAnsi="Times New Roman" w:eastAsia="方正小标宋_GBK" w:cs="Times New Roman"/>
          <w:bCs/>
          <w:color w:val="auto"/>
          <w:sz w:val="72"/>
          <w:szCs w:val="72"/>
        </w:rPr>
      </w:pPr>
      <w:bookmarkStart w:id="1" w:name="_Toc24086"/>
      <w:bookmarkStart w:id="2" w:name="_Toc26887"/>
      <w:r>
        <w:rPr>
          <w:rFonts w:hint="default" w:ascii="Times New Roman" w:hAnsi="Times New Roman" w:eastAsia="方正小标宋_GBK" w:cs="Times New Roman"/>
          <w:bCs/>
          <w:color w:val="auto"/>
          <w:sz w:val="72"/>
          <w:szCs w:val="72"/>
        </w:rPr>
        <w:t>建设项目环境影响报告表</w:t>
      </w:r>
      <w:bookmarkEnd w:id="1"/>
      <w:bookmarkEnd w:id="2"/>
    </w:p>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（生态影响类）</w:t>
      </w:r>
    </w:p>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w:t>
      </w:r>
      <w:r>
        <w:rPr>
          <w:rFonts w:hint="eastAsia" w:eastAsia="楷体_GB2312" w:cs="Times New Roman"/>
          <w:bCs/>
          <w:color w:val="auto"/>
          <w:sz w:val="32"/>
          <w:szCs w:val="32"/>
          <w:lang w:val="en-US" w:eastAsia="zh-CN"/>
        </w:rPr>
        <w:t>报批</w:t>
      </w:r>
      <w:r>
        <w:rPr>
          <w:rFonts w:hint="default" w:ascii="Times New Roman" w:hAnsi="Times New Roman" w:eastAsia="楷体_GB2312" w:cs="Times New Roman"/>
          <w:bCs/>
          <w:color w:val="auto"/>
          <w:sz w:val="32"/>
          <w:szCs w:val="32"/>
          <w:lang w:val="en-US" w:eastAsia="zh-CN"/>
        </w:rPr>
        <w:t>稿</w:t>
      </w:r>
      <w:r>
        <w:rPr>
          <w:rFonts w:hint="default" w:ascii="Times New Roman" w:hAnsi="Times New Roman" w:eastAsia="楷体_GB2312" w:cs="Times New Roman"/>
          <w:bCs/>
          <w:color w:val="auto"/>
          <w:sz w:val="32"/>
          <w:szCs w:val="32"/>
        </w:rPr>
        <w:t>）</w:t>
      </w: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bookmarkEnd w:id="0"/>
    <w:p>
      <w:pPr>
        <w:pStyle w:val="36"/>
        <w:bidi w:val="0"/>
        <w:ind w:left="0" w:leftChars="0" w:firstLine="0" w:firstLineChars="0"/>
        <w:jc w:val="both"/>
        <w:rPr>
          <w:rFonts w:hint="default" w:ascii="Times New Roman" w:hAnsi="Times New Roman" w:eastAsia="仿宋_GB2312" w:cs="Times New Roman"/>
          <w:b w:val="0"/>
          <w:bCs w:val="0"/>
          <w:color w:val="auto"/>
          <w:spacing w:val="0"/>
          <w:kern w:val="2"/>
          <w:sz w:val="32"/>
          <w:szCs w:val="32"/>
          <w:u w:val="single"/>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项目名称：</w:t>
      </w:r>
      <w:r>
        <w:rPr>
          <w:rFonts w:hint="default" w:ascii="Times New Roman" w:hAnsi="Times New Roman" w:eastAsia="仿宋_GB2312" w:cs="Times New Roman"/>
          <w:b w:val="0"/>
          <w:bCs w:val="0"/>
          <w:color w:val="auto"/>
          <w:spacing w:val="0"/>
          <w:kern w:val="2"/>
          <w:sz w:val="32"/>
          <w:szCs w:val="32"/>
          <w:u w:val="single"/>
          <w:lang w:val="en-US" w:eastAsia="zh-CN" w:bidi="ar-SA"/>
        </w:rPr>
        <w:t xml:space="preserve">      </w:t>
      </w:r>
      <w:r>
        <w:rPr>
          <w:rFonts w:hint="eastAsia" w:ascii="Times New Roman" w:hAnsi="Times New Roman" w:eastAsia="仿宋_GB2312" w:cs="Times New Roman"/>
          <w:b w:val="0"/>
          <w:bCs w:val="0"/>
          <w:color w:val="auto"/>
          <w:spacing w:val="0"/>
          <w:kern w:val="2"/>
          <w:sz w:val="32"/>
          <w:szCs w:val="32"/>
          <w:u w:val="single"/>
          <w:lang w:val="en-US" w:eastAsia="zh-CN" w:bidi="ar-SA"/>
        </w:rPr>
        <w:t xml:space="preserve">   </w:t>
      </w:r>
      <w:r>
        <w:rPr>
          <w:rFonts w:hint="default" w:ascii="Times New Roman" w:hAnsi="Times New Roman" w:eastAsia="仿宋_GB2312" w:cs="Times New Roman"/>
          <w:b w:val="0"/>
          <w:bCs w:val="0"/>
          <w:color w:val="auto"/>
          <w:spacing w:val="0"/>
          <w:kern w:val="2"/>
          <w:sz w:val="32"/>
          <w:szCs w:val="32"/>
          <w:u w:val="single"/>
          <w:lang w:val="en-US" w:eastAsia="zh-CN" w:bidi="ar-SA"/>
        </w:rPr>
        <w:t xml:space="preserve">   </w:t>
      </w:r>
      <w:r>
        <w:rPr>
          <w:rFonts w:hint="eastAsia" w:ascii="Times New Roman" w:hAnsi="Times New Roman" w:eastAsia="仿宋_GB2312" w:cs="Times New Roman"/>
          <w:b w:val="0"/>
          <w:bCs w:val="0"/>
          <w:color w:val="auto"/>
          <w:spacing w:val="0"/>
          <w:kern w:val="2"/>
          <w:sz w:val="32"/>
          <w:szCs w:val="32"/>
          <w:u w:val="single"/>
          <w:lang w:val="en-US" w:eastAsia="zh-CN" w:bidi="ar-SA"/>
        </w:rPr>
        <w:t>天湾102</w:t>
      </w:r>
      <w:r>
        <w:rPr>
          <w:rFonts w:hint="default" w:ascii="Times New Roman" w:hAnsi="Times New Roman" w:eastAsia="仿宋_GB2312" w:cs="Times New Roman"/>
          <w:b w:val="0"/>
          <w:bCs w:val="0"/>
          <w:color w:val="auto"/>
          <w:spacing w:val="0"/>
          <w:kern w:val="2"/>
          <w:sz w:val="32"/>
          <w:szCs w:val="32"/>
          <w:u w:val="single"/>
          <w:lang w:val="en-US" w:eastAsia="zh-CN" w:bidi="ar-SA"/>
        </w:rPr>
        <w:t>井勘探钻探项目</w:t>
      </w:r>
      <w:r>
        <w:rPr>
          <w:rFonts w:hint="eastAsia" w:ascii="Times New Roman" w:hAnsi="Times New Roman" w:eastAsia="仿宋_GB2312" w:cs="Times New Roman"/>
          <w:b w:val="0"/>
          <w:bCs w:val="0"/>
          <w:color w:val="auto"/>
          <w:spacing w:val="0"/>
          <w:kern w:val="2"/>
          <w:sz w:val="32"/>
          <w:szCs w:val="32"/>
          <w:u w:val="single"/>
          <w:lang w:val="en-US" w:eastAsia="zh-CN" w:bidi="ar-SA"/>
        </w:rPr>
        <w:t xml:space="preserve">      </w:t>
      </w:r>
    </w:p>
    <w:p>
      <w:pPr>
        <w:pStyle w:val="36"/>
        <w:bidi w:val="0"/>
        <w:ind w:left="0" w:leftChars="0" w:firstLine="0" w:firstLineChars="0"/>
        <w:jc w:val="both"/>
        <w:rPr>
          <w:rFonts w:hint="default" w:ascii="Times New Roman" w:hAnsi="Times New Roman" w:eastAsia="仿宋_GB2312" w:cs="Times New Roman"/>
          <w:b w:val="0"/>
          <w:bCs w:val="0"/>
          <w:color w:val="auto"/>
          <w:spacing w:val="0"/>
          <w:kern w:val="2"/>
          <w:sz w:val="32"/>
          <w:szCs w:val="32"/>
          <w:u w:val="single"/>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建设单位（盖章）：</w:t>
      </w:r>
      <w:r>
        <w:rPr>
          <w:rFonts w:hint="default" w:ascii="Times New Roman" w:hAnsi="Times New Roman" w:eastAsia="仿宋_GB2312" w:cs="Times New Roman"/>
          <w:b w:val="0"/>
          <w:bCs w:val="0"/>
          <w:color w:val="auto"/>
          <w:spacing w:val="0"/>
          <w:kern w:val="2"/>
          <w:sz w:val="32"/>
          <w:szCs w:val="32"/>
          <w:u w:val="single"/>
          <w:lang w:val="en-US" w:eastAsia="zh-CN" w:bidi="ar-SA"/>
        </w:rPr>
        <w:t>中国石油新疆油田分公司勘探事业部</w:t>
      </w:r>
    </w:p>
    <w:p>
      <w:pPr>
        <w:pStyle w:val="36"/>
        <w:bidi w:val="0"/>
        <w:ind w:left="0" w:leftChars="0" w:firstLine="0" w:firstLineChars="0"/>
        <w:jc w:val="both"/>
        <w:rPr>
          <w:rFonts w:hint="default" w:ascii="Times New Roman" w:hAnsi="Times New Roman" w:eastAsia="仿宋_GB2312" w:cs="Times New Roman"/>
          <w:b w:val="0"/>
          <w:bCs w:val="0"/>
          <w:color w:val="auto"/>
          <w:spacing w:val="0"/>
          <w:kern w:val="2"/>
          <w:sz w:val="32"/>
          <w:szCs w:val="32"/>
          <w:u w:val="single"/>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编制日期：</w:t>
      </w:r>
      <w:r>
        <w:rPr>
          <w:rFonts w:hint="default" w:ascii="Times New Roman" w:hAnsi="Times New Roman" w:eastAsia="仿宋_GB2312" w:cs="Times New Roman"/>
          <w:b w:val="0"/>
          <w:bCs w:val="0"/>
          <w:color w:val="auto"/>
          <w:spacing w:val="0"/>
          <w:kern w:val="2"/>
          <w:sz w:val="32"/>
          <w:szCs w:val="32"/>
          <w:u w:val="single"/>
          <w:lang w:val="en-US" w:eastAsia="zh-CN" w:bidi="ar-SA"/>
        </w:rPr>
        <w:t xml:space="preserve">        </w:t>
      </w:r>
      <w:r>
        <w:rPr>
          <w:rFonts w:hint="eastAsia" w:ascii="Times New Roman" w:hAnsi="Times New Roman" w:eastAsia="仿宋_GB2312" w:cs="Times New Roman"/>
          <w:b w:val="0"/>
          <w:bCs w:val="0"/>
          <w:color w:val="auto"/>
          <w:spacing w:val="0"/>
          <w:kern w:val="2"/>
          <w:sz w:val="32"/>
          <w:szCs w:val="32"/>
          <w:u w:val="single"/>
          <w:lang w:val="en-US" w:eastAsia="zh-CN" w:bidi="ar-SA"/>
        </w:rPr>
        <w:t xml:space="preserve">     </w:t>
      </w:r>
      <w:r>
        <w:rPr>
          <w:rFonts w:hint="default" w:ascii="Times New Roman" w:hAnsi="Times New Roman" w:eastAsia="仿宋_GB2312" w:cs="Times New Roman"/>
          <w:b w:val="0"/>
          <w:bCs w:val="0"/>
          <w:color w:val="auto"/>
          <w:spacing w:val="0"/>
          <w:kern w:val="2"/>
          <w:sz w:val="32"/>
          <w:szCs w:val="32"/>
          <w:u w:val="single"/>
          <w:lang w:val="en-US" w:eastAsia="zh-CN" w:bidi="ar-SA"/>
        </w:rPr>
        <w:t xml:space="preserve">     2025年</w:t>
      </w:r>
      <w:r>
        <w:rPr>
          <w:rFonts w:hint="eastAsia" w:eastAsia="仿宋_GB2312" w:cs="Times New Roman"/>
          <w:b w:val="0"/>
          <w:bCs w:val="0"/>
          <w:color w:val="auto"/>
          <w:spacing w:val="0"/>
          <w:kern w:val="2"/>
          <w:sz w:val="32"/>
          <w:szCs w:val="32"/>
          <w:u w:val="single"/>
          <w:lang w:val="en-US" w:eastAsia="zh-CN" w:bidi="ar-SA"/>
        </w:rPr>
        <w:t>10</w:t>
      </w:r>
      <w:r>
        <w:rPr>
          <w:rFonts w:hint="default" w:ascii="Times New Roman" w:hAnsi="Times New Roman" w:eastAsia="仿宋_GB2312" w:cs="Times New Roman"/>
          <w:b w:val="0"/>
          <w:bCs w:val="0"/>
          <w:color w:val="auto"/>
          <w:spacing w:val="0"/>
          <w:kern w:val="2"/>
          <w:sz w:val="32"/>
          <w:szCs w:val="32"/>
          <w:u w:val="single"/>
          <w:lang w:val="en-US" w:eastAsia="zh-CN" w:bidi="ar-SA"/>
        </w:rPr>
        <w:t>月</w:t>
      </w:r>
      <w:r>
        <w:rPr>
          <w:rFonts w:hint="eastAsia" w:ascii="Times New Roman" w:hAnsi="Times New Roman" w:eastAsia="仿宋_GB2312" w:cs="Times New Roman"/>
          <w:b w:val="0"/>
          <w:bCs w:val="0"/>
          <w:color w:val="auto"/>
          <w:spacing w:val="0"/>
          <w:kern w:val="2"/>
          <w:sz w:val="32"/>
          <w:szCs w:val="32"/>
          <w:u w:val="single"/>
          <w:lang w:val="en-US" w:eastAsia="zh-CN" w:bidi="ar-SA"/>
        </w:rPr>
        <w:t xml:space="preserve">           </w:t>
      </w:r>
    </w:p>
    <w:p>
      <w:pPr>
        <w:pStyle w:val="36"/>
        <w:bidi w:val="0"/>
        <w:jc w:val="center"/>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ind w:left="0" w:leftChars="0" w:firstLine="0" w:firstLineChars="0"/>
        <w:jc w:val="center"/>
        <w:rPr>
          <w:rFonts w:hint="default" w:ascii="Times New Roman" w:hAnsi="Times New Roman" w:eastAsia="楷体_GB2312" w:cs="Times New Roman"/>
          <w:color w:val="auto"/>
          <w:spacing w:val="0"/>
          <w:kern w:val="2"/>
          <w:sz w:val="36"/>
          <w:szCs w:val="36"/>
          <w:lang w:val="en-US" w:eastAsia="zh-CN" w:bidi="ar-SA"/>
        </w:rPr>
      </w:pPr>
      <w:r>
        <w:rPr>
          <w:rFonts w:hint="default" w:ascii="Times New Roman" w:hAnsi="Times New Roman" w:eastAsia="楷体_GB2312" w:cs="Times New Roman"/>
          <w:color w:val="auto"/>
          <w:spacing w:val="0"/>
          <w:kern w:val="2"/>
          <w:sz w:val="36"/>
          <w:szCs w:val="36"/>
          <w:lang w:val="en-US" w:eastAsia="zh-CN" w:bidi="ar-SA"/>
        </w:rPr>
        <w:t>中华人民共和国生态环境部制</w:t>
      </w:r>
    </w:p>
    <w:p>
      <w:pPr>
        <w:rPr>
          <w:rFonts w:hint="default"/>
          <w:color w:val="auto"/>
        </w:rPr>
      </w:pPr>
      <w:r>
        <w:rPr>
          <w:rFonts w:hint="default"/>
          <w:color w:val="auto"/>
        </w:rPr>
        <w:br w:type="page"/>
      </w:r>
    </w:p>
    <w:p>
      <w:pPr>
        <w:pStyle w:val="36"/>
        <w:bidi w:val="0"/>
        <w:rPr>
          <w:rFonts w:hint="default"/>
          <w:color w:val="auto"/>
        </w:rPr>
        <w:sectPr>
          <w:headerReference r:id="rId5" w:type="default"/>
          <w:footerReference r:id="rId6" w:type="default"/>
          <w:pgSz w:w="11906" w:h="16838"/>
          <w:pgMar w:top="1417" w:right="1587" w:bottom="1417"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rPr>
          <w:rFonts w:hint="default" w:ascii="Times New Roman" w:hAnsi="Times New Roman" w:eastAsia="黑体" w:cs="Times New Roman"/>
          <w:b w:val="0"/>
          <w:bCs/>
          <w:color w:val="auto"/>
          <w:sz w:val="30"/>
          <w:szCs w:val="30"/>
        </w:rPr>
      </w:pPr>
      <w:bookmarkStart w:id="3" w:name="_Toc302"/>
      <w:r>
        <w:rPr>
          <w:rFonts w:hint="default" w:ascii="Times New Roman" w:hAnsi="Times New Roman" w:eastAsia="黑体" w:cs="Times New Roman"/>
          <w:b w:val="0"/>
          <w:bCs/>
          <w:color w:val="auto"/>
          <w:sz w:val="30"/>
          <w:szCs w:val="30"/>
        </w:rPr>
        <w:t>一、建设项目基本情况</w:t>
      </w:r>
      <w:bookmarkEnd w:id="3"/>
    </w:p>
    <w:tbl>
      <w:tblPr>
        <w:tblStyle w:val="24"/>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507"/>
        <w:gridCol w:w="2432"/>
        <w:gridCol w:w="1637"/>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33" w:type="dxa"/>
            <w:gridSpan w:val="2"/>
            <w:vAlign w:val="center"/>
          </w:tcPr>
          <w:p>
            <w:pPr>
              <w:pStyle w:val="53"/>
              <w:bidi w:val="0"/>
              <w:spacing w:line="240" w:lineRule="auto"/>
              <w:rPr>
                <w:rFonts w:hint="default"/>
                <w:color w:val="auto"/>
              </w:rPr>
            </w:pPr>
            <w:r>
              <w:rPr>
                <w:rFonts w:hint="default"/>
                <w:color w:val="auto"/>
              </w:rPr>
              <w:t>建设项目名称</w:t>
            </w:r>
          </w:p>
        </w:tc>
        <w:tc>
          <w:tcPr>
            <w:tcW w:w="6958" w:type="dxa"/>
            <w:gridSpan w:val="3"/>
            <w:vAlign w:val="center"/>
          </w:tcPr>
          <w:p>
            <w:pPr>
              <w:pStyle w:val="53"/>
              <w:bidi w:val="0"/>
              <w:spacing w:line="240" w:lineRule="auto"/>
              <w:rPr>
                <w:rFonts w:hint="default"/>
                <w:color w:val="auto"/>
              </w:rPr>
            </w:pPr>
            <w:r>
              <w:rPr>
                <w:rFonts w:hint="default"/>
                <w:color w:val="auto"/>
              </w:rPr>
              <w:t>天湾102井勘探钻探项目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33" w:type="dxa"/>
            <w:gridSpan w:val="2"/>
            <w:vAlign w:val="center"/>
          </w:tcPr>
          <w:p>
            <w:pPr>
              <w:pStyle w:val="53"/>
              <w:bidi w:val="0"/>
              <w:spacing w:line="240" w:lineRule="auto"/>
              <w:rPr>
                <w:rFonts w:hint="default"/>
                <w:color w:val="auto"/>
              </w:rPr>
            </w:pPr>
            <w:r>
              <w:rPr>
                <w:rFonts w:hint="default"/>
                <w:color w:val="auto"/>
              </w:rPr>
              <w:t>项目代码</w:t>
            </w:r>
          </w:p>
        </w:tc>
        <w:tc>
          <w:tcPr>
            <w:tcW w:w="6958" w:type="dxa"/>
            <w:gridSpan w:val="3"/>
            <w:vAlign w:val="center"/>
          </w:tcPr>
          <w:p>
            <w:pPr>
              <w:pStyle w:val="53"/>
              <w:bidi w:val="0"/>
              <w:spacing w:line="240" w:lineRule="auto"/>
              <w:rPr>
                <w:rFonts w:hint="default"/>
                <w:color w:val="auto"/>
              </w:rPr>
            </w:pPr>
            <w:r>
              <w:rPr>
                <w:rFonts w:hint="default"/>
                <w:color w:val="auto"/>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33" w:type="dxa"/>
            <w:gridSpan w:val="2"/>
            <w:vAlign w:val="center"/>
          </w:tcPr>
          <w:p>
            <w:pPr>
              <w:pStyle w:val="53"/>
              <w:bidi w:val="0"/>
              <w:spacing w:line="240" w:lineRule="auto"/>
              <w:rPr>
                <w:rFonts w:hint="default"/>
                <w:color w:val="auto"/>
              </w:rPr>
            </w:pPr>
            <w:r>
              <w:rPr>
                <w:rFonts w:hint="default"/>
                <w:color w:val="auto"/>
              </w:rPr>
              <w:t>建设单位联系人</w:t>
            </w:r>
          </w:p>
        </w:tc>
        <w:tc>
          <w:tcPr>
            <w:tcW w:w="2432" w:type="dxa"/>
            <w:vAlign w:val="center"/>
          </w:tcPr>
          <w:p>
            <w:pPr>
              <w:pStyle w:val="53"/>
              <w:bidi w:val="0"/>
              <w:spacing w:line="240" w:lineRule="auto"/>
              <w:rPr>
                <w:rFonts w:hint="eastAsia" w:eastAsia="宋体"/>
                <w:color w:val="auto"/>
                <w:lang w:eastAsia="zh-CN"/>
              </w:rPr>
            </w:pPr>
            <w:r>
              <w:rPr>
                <w:rFonts w:hint="default"/>
                <w:color w:val="auto"/>
              </w:rPr>
              <w:t>徐</w:t>
            </w:r>
            <w:r>
              <w:rPr>
                <w:rFonts w:hint="eastAsia"/>
                <w:color w:val="auto"/>
                <w:lang w:val="en-US" w:eastAsia="zh-CN"/>
              </w:rPr>
              <w:t>工</w:t>
            </w:r>
          </w:p>
        </w:tc>
        <w:tc>
          <w:tcPr>
            <w:tcW w:w="1637" w:type="dxa"/>
            <w:vAlign w:val="center"/>
          </w:tcPr>
          <w:p>
            <w:pPr>
              <w:pStyle w:val="53"/>
              <w:bidi w:val="0"/>
              <w:spacing w:line="240" w:lineRule="auto"/>
              <w:rPr>
                <w:rFonts w:hint="default"/>
                <w:color w:val="auto"/>
              </w:rPr>
            </w:pPr>
            <w:r>
              <w:rPr>
                <w:rFonts w:hint="default"/>
                <w:color w:val="auto"/>
              </w:rPr>
              <w:t>联系方式</w:t>
            </w:r>
          </w:p>
        </w:tc>
        <w:tc>
          <w:tcPr>
            <w:tcW w:w="2889" w:type="dxa"/>
            <w:vAlign w:val="center"/>
          </w:tcPr>
          <w:p>
            <w:pPr>
              <w:pStyle w:val="53"/>
              <w:bidi w:val="0"/>
              <w:spacing w:line="240" w:lineRule="auto"/>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33" w:type="dxa"/>
            <w:gridSpan w:val="2"/>
            <w:vAlign w:val="center"/>
          </w:tcPr>
          <w:p>
            <w:pPr>
              <w:pStyle w:val="53"/>
              <w:bidi w:val="0"/>
              <w:spacing w:line="240" w:lineRule="auto"/>
              <w:rPr>
                <w:rFonts w:hint="default"/>
                <w:color w:val="auto"/>
              </w:rPr>
            </w:pPr>
            <w:r>
              <w:rPr>
                <w:rFonts w:hint="default"/>
                <w:color w:val="auto"/>
              </w:rPr>
              <w:t>建设地点</w:t>
            </w:r>
          </w:p>
        </w:tc>
        <w:tc>
          <w:tcPr>
            <w:tcW w:w="6958" w:type="dxa"/>
            <w:gridSpan w:val="3"/>
            <w:vAlign w:val="center"/>
          </w:tcPr>
          <w:p>
            <w:pPr>
              <w:pStyle w:val="53"/>
              <w:bidi w:val="0"/>
              <w:spacing w:line="240" w:lineRule="auto"/>
              <w:rPr>
                <w:rFonts w:hint="default"/>
                <w:color w:val="auto"/>
                <w:lang w:val="en-US" w:eastAsia="zh-CN"/>
              </w:rPr>
            </w:pPr>
            <w:r>
              <w:rPr>
                <w:rFonts w:hint="eastAsia"/>
                <w:color w:val="auto"/>
              </w:rPr>
              <w:t>新疆维吾尔自治区昌吉回族自治州玛纳斯县</w:t>
            </w:r>
            <w:r>
              <w:rPr>
                <w:rFonts w:hint="eastAsia"/>
                <w:color w:val="auto"/>
                <w:lang w:val="en-US" w:eastAsia="zh-CN"/>
              </w:rPr>
              <w:t>清水河乡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33" w:type="dxa"/>
            <w:gridSpan w:val="2"/>
            <w:vAlign w:val="center"/>
          </w:tcPr>
          <w:p>
            <w:pPr>
              <w:pStyle w:val="53"/>
              <w:bidi w:val="0"/>
              <w:spacing w:line="240" w:lineRule="auto"/>
              <w:rPr>
                <w:rFonts w:hint="default"/>
                <w:color w:val="auto"/>
              </w:rPr>
            </w:pPr>
            <w:r>
              <w:rPr>
                <w:rFonts w:hint="default"/>
                <w:color w:val="auto"/>
              </w:rPr>
              <w:t>地理坐标</w:t>
            </w:r>
          </w:p>
        </w:tc>
        <w:tc>
          <w:tcPr>
            <w:tcW w:w="6958" w:type="dxa"/>
            <w:gridSpan w:val="3"/>
            <w:vAlign w:val="center"/>
          </w:tcPr>
          <w:p>
            <w:pPr>
              <w:pStyle w:val="53"/>
              <w:bidi w:val="0"/>
              <w:spacing w:line="240" w:lineRule="auto"/>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33" w:type="dxa"/>
            <w:gridSpan w:val="2"/>
            <w:vAlign w:val="center"/>
          </w:tcPr>
          <w:p>
            <w:pPr>
              <w:pStyle w:val="53"/>
              <w:bidi w:val="0"/>
              <w:spacing w:line="240" w:lineRule="auto"/>
              <w:rPr>
                <w:rFonts w:hint="default"/>
                <w:color w:val="auto"/>
              </w:rPr>
            </w:pPr>
            <w:r>
              <w:rPr>
                <w:rFonts w:hint="default"/>
                <w:color w:val="auto"/>
              </w:rPr>
              <w:t>建设项目</w:t>
            </w:r>
          </w:p>
          <w:p>
            <w:pPr>
              <w:pStyle w:val="53"/>
              <w:bidi w:val="0"/>
              <w:spacing w:line="240" w:lineRule="auto"/>
              <w:rPr>
                <w:rFonts w:hint="default"/>
                <w:color w:val="auto"/>
              </w:rPr>
            </w:pPr>
            <w:r>
              <w:rPr>
                <w:rFonts w:hint="default"/>
                <w:color w:val="auto"/>
              </w:rPr>
              <w:t>行业类别</w:t>
            </w:r>
          </w:p>
        </w:tc>
        <w:tc>
          <w:tcPr>
            <w:tcW w:w="2432" w:type="dxa"/>
            <w:vAlign w:val="center"/>
          </w:tcPr>
          <w:p>
            <w:pPr>
              <w:pStyle w:val="53"/>
              <w:bidi w:val="0"/>
              <w:spacing w:line="240" w:lineRule="auto"/>
              <w:rPr>
                <w:rFonts w:hint="default"/>
                <w:color w:val="auto"/>
              </w:rPr>
            </w:pPr>
            <w:r>
              <w:rPr>
                <w:rFonts w:hint="default"/>
                <w:color w:val="auto"/>
              </w:rPr>
              <w:t>四十六、专业技术服务业99陆地矿产资源地质勘查（含油气资源勘探）</w:t>
            </w:r>
          </w:p>
        </w:tc>
        <w:tc>
          <w:tcPr>
            <w:tcW w:w="1637" w:type="dxa"/>
            <w:vAlign w:val="center"/>
          </w:tcPr>
          <w:p>
            <w:pPr>
              <w:pStyle w:val="53"/>
              <w:bidi w:val="0"/>
              <w:spacing w:line="240" w:lineRule="auto"/>
              <w:rPr>
                <w:rFonts w:hint="default"/>
                <w:color w:val="auto"/>
              </w:rPr>
            </w:pPr>
            <w:r>
              <w:rPr>
                <w:rFonts w:hint="default"/>
                <w:color w:val="auto"/>
              </w:rPr>
              <w:t>用地面积（m</w:t>
            </w:r>
            <w:r>
              <w:rPr>
                <w:rFonts w:hint="default"/>
                <w:color w:val="auto"/>
                <w:vertAlign w:val="superscript"/>
              </w:rPr>
              <w:t>2</w:t>
            </w:r>
            <w:r>
              <w:rPr>
                <w:rFonts w:hint="default"/>
                <w:color w:val="auto"/>
              </w:rPr>
              <w:t>）/长度（km）</w:t>
            </w:r>
          </w:p>
        </w:tc>
        <w:tc>
          <w:tcPr>
            <w:tcW w:w="2889" w:type="dxa"/>
            <w:vAlign w:val="center"/>
          </w:tcPr>
          <w:p>
            <w:pPr>
              <w:pStyle w:val="53"/>
              <w:bidi w:val="0"/>
              <w:spacing w:line="240" w:lineRule="auto"/>
              <w:rPr>
                <w:rFonts w:hint="default"/>
                <w:color w:val="auto"/>
              </w:rPr>
            </w:pPr>
            <w:r>
              <w:rPr>
                <w:rFonts w:hint="eastAsia"/>
                <w:color w:val="auto"/>
                <w:lang w:val="en-US" w:eastAsia="zh-CN"/>
              </w:rPr>
              <w:t>113153</w:t>
            </w:r>
            <w:r>
              <w:rPr>
                <w:rFonts w:hint="default"/>
                <w:color w:val="auto"/>
              </w:rPr>
              <w:t>（临时用地）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33" w:type="dxa"/>
            <w:gridSpan w:val="2"/>
            <w:vAlign w:val="center"/>
          </w:tcPr>
          <w:p>
            <w:pPr>
              <w:pStyle w:val="53"/>
              <w:bidi w:val="0"/>
              <w:spacing w:line="240" w:lineRule="auto"/>
              <w:rPr>
                <w:rFonts w:hint="default"/>
                <w:color w:val="auto"/>
              </w:rPr>
            </w:pPr>
            <w:r>
              <w:rPr>
                <w:rFonts w:hint="default"/>
                <w:color w:val="auto"/>
              </w:rPr>
              <w:t>建设性质</w:t>
            </w:r>
          </w:p>
        </w:tc>
        <w:tc>
          <w:tcPr>
            <w:tcW w:w="2432" w:type="dxa"/>
            <w:vAlign w:val="center"/>
          </w:tcPr>
          <w:p>
            <w:pPr>
              <w:pStyle w:val="53"/>
              <w:bidi w:val="0"/>
              <w:spacing w:line="240" w:lineRule="auto"/>
              <w:jc w:val="left"/>
              <w:rPr>
                <w:rFonts w:hint="eastAsia"/>
                <w:color w:val="auto"/>
              </w:rPr>
            </w:pPr>
            <w:r>
              <w:rPr>
                <w:rFonts w:hint="eastAsia"/>
                <w:color w:val="auto"/>
              </w:rPr>
              <w:sym w:font="Wingdings 2" w:char="0052"/>
            </w:r>
            <w:r>
              <w:rPr>
                <w:rFonts w:hint="eastAsia"/>
                <w:color w:val="auto"/>
              </w:rPr>
              <w:t>新建（迁建）</w:t>
            </w:r>
          </w:p>
          <w:p>
            <w:pPr>
              <w:pStyle w:val="53"/>
              <w:bidi w:val="0"/>
              <w:spacing w:line="240" w:lineRule="auto"/>
              <w:jc w:val="left"/>
              <w:rPr>
                <w:rFonts w:hint="eastAsia"/>
                <w:color w:val="auto"/>
              </w:rPr>
            </w:pPr>
            <w:r>
              <w:rPr>
                <w:rFonts w:hint="eastAsia"/>
                <w:color w:val="auto"/>
              </w:rPr>
              <w:t>□改建</w:t>
            </w:r>
          </w:p>
          <w:p>
            <w:pPr>
              <w:pStyle w:val="53"/>
              <w:bidi w:val="0"/>
              <w:spacing w:line="240" w:lineRule="auto"/>
              <w:jc w:val="left"/>
              <w:rPr>
                <w:rFonts w:hint="eastAsia"/>
                <w:color w:val="auto"/>
              </w:rPr>
            </w:pPr>
            <w:r>
              <w:rPr>
                <w:rFonts w:hint="eastAsia"/>
                <w:color w:val="auto"/>
              </w:rPr>
              <w:t>□扩建</w:t>
            </w:r>
          </w:p>
          <w:p>
            <w:pPr>
              <w:pStyle w:val="53"/>
              <w:bidi w:val="0"/>
              <w:spacing w:line="240" w:lineRule="auto"/>
              <w:jc w:val="left"/>
              <w:rPr>
                <w:rFonts w:hint="eastAsia"/>
                <w:color w:val="auto"/>
              </w:rPr>
            </w:pPr>
            <w:r>
              <w:rPr>
                <w:rFonts w:hint="eastAsia"/>
                <w:color w:val="auto"/>
              </w:rPr>
              <w:t>□技术改造</w:t>
            </w:r>
          </w:p>
        </w:tc>
        <w:tc>
          <w:tcPr>
            <w:tcW w:w="1637" w:type="dxa"/>
            <w:vAlign w:val="center"/>
          </w:tcPr>
          <w:p>
            <w:pPr>
              <w:pStyle w:val="53"/>
              <w:bidi w:val="0"/>
              <w:spacing w:line="240" w:lineRule="auto"/>
              <w:rPr>
                <w:rFonts w:hint="eastAsia"/>
                <w:color w:val="auto"/>
              </w:rPr>
            </w:pPr>
            <w:r>
              <w:rPr>
                <w:rFonts w:hint="eastAsia"/>
                <w:color w:val="auto"/>
              </w:rPr>
              <w:t>建设项目</w:t>
            </w:r>
          </w:p>
          <w:p>
            <w:pPr>
              <w:pStyle w:val="53"/>
              <w:bidi w:val="0"/>
              <w:spacing w:line="240" w:lineRule="auto"/>
              <w:rPr>
                <w:rFonts w:hint="eastAsia"/>
                <w:color w:val="auto"/>
              </w:rPr>
            </w:pPr>
            <w:r>
              <w:rPr>
                <w:rFonts w:hint="eastAsia"/>
                <w:color w:val="auto"/>
              </w:rPr>
              <w:t>申报情形</w:t>
            </w:r>
          </w:p>
        </w:tc>
        <w:tc>
          <w:tcPr>
            <w:tcW w:w="2889" w:type="dxa"/>
            <w:vAlign w:val="center"/>
          </w:tcPr>
          <w:p>
            <w:pPr>
              <w:pStyle w:val="53"/>
              <w:bidi w:val="0"/>
              <w:spacing w:line="240" w:lineRule="auto"/>
              <w:jc w:val="left"/>
              <w:rPr>
                <w:rFonts w:hint="eastAsia"/>
                <w:color w:val="auto"/>
              </w:rPr>
            </w:pPr>
            <w:r>
              <w:rPr>
                <w:rFonts w:hint="eastAsia"/>
                <w:color w:val="auto"/>
              </w:rPr>
              <w:sym w:font="Wingdings 2" w:char="0052"/>
            </w:r>
            <w:r>
              <w:rPr>
                <w:rFonts w:hint="eastAsia"/>
                <w:color w:val="auto"/>
              </w:rPr>
              <w:t>首次申报项目</w:t>
            </w:r>
          </w:p>
          <w:p>
            <w:pPr>
              <w:pStyle w:val="53"/>
              <w:bidi w:val="0"/>
              <w:spacing w:line="240" w:lineRule="auto"/>
              <w:jc w:val="left"/>
              <w:rPr>
                <w:rFonts w:hint="eastAsia"/>
                <w:color w:val="auto"/>
              </w:rPr>
            </w:pPr>
            <w:r>
              <w:rPr>
                <w:rFonts w:hint="eastAsia"/>
                <w:color w:val="auto"/>
              </w:rPr>
              <w:t>□不予批准后再次申报项目</w:t>
            </w:r>
          </w:p>
          <w:p>
            <w:pPr>
              <w:pStyle w:val="53"/>
              <w:bidi w:val="0"/>
              <w:spacing w:line="240" w:lineRule="auto"/>
              <w:jc w:val="left"/>
              <w:rPr>
                <w:rFonts w:hint="eastAsia"/>
                <w:color w:val="auto"/>
              </w:rPr>
            </w:pPr>
            <w:r>
              <w:rPr>
                <w:rFonts w:hint="eastAsia"/>
                <w:color w:val="auto"/>
              </w:rPr>
              <w:t>□超五年重新审核项目</w:t>
            </w:r>
          </w:p>
          <w:p>
            <w:pPr>
              <w:pStyle w:val="53"/>
              <w:bidi w:val="0"/>
              <w:spacing w:line="240" w:lineRule="auto"/>
              <w:jc w:val="left"/>
              <w:rPr>
                <w:rFonts w:hint="eastAsia"/>
                <w:color w:val="auto"/>
              </w:rPr>
            </w:pPr>
            <w:r>
              <w:rPr>
                <w:rFonts w:hint="eastAsia"/>
                <w:color w:val="auto"/>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33" w:type="dxa"/>
            <w:gridSpan w:val="2"/>
            <w:vAlign w:val="center"/>
          </w:tcPr>
          <w:p>
            <w:pPr>
              <w:pStyle w:val="53"/>
              <w:bidi w:val="0"/>
              <w:spacing w:line="240" w:lineRule="auto"/>
              <w:rPr>
                <w:rFonts w:hint="default"/>
                <w:color w:val="auto"/>
              </w:rPr>
            </w:pPr>
            <w:r>
              <w:rPr>
                <w:rFonts w:hint="default"/>
                <w:color w:val="auto"/>
              </w:rPr>
              <w:t>项目审批（核准/备案）部门</w:t>
            </w:r>
          </w:p>
        </w:tc>
        <w:tc>
          <w:tcPr>
            <w:tcW w:w="2432" w:type="dxa"/>
            <w:vAlign w:val="center"/>
          </w:tcPr>
          <w:p>
            <w:pPr>
              <w:pStyle w:val="53"/>
              <w:bidi w:val="0"/>
              <w:spacing w:line="240" w:lineRule="auto"/>
              <w:rPr>
                <w:rFonts w:hint="default"/>
                <w:color w:val="auto"/>
              </w:rPr>
            </w:pPr>
            <w:r>
              <w:rPr>
                <w:rFonts w:hint="default"/>
                <w:color w:val="auto"/>
              </w:rPr>
              <w:t>无</w:t>
            </w:r>
          </w:p>
        </w:tc>
        <w:tc>
          <w:tcPr>
            <w:tcW w:w="1637" w:type="dxa"/>
            <w:vAlign w:val="center"/>
          </w:tcPr>
          <w:p>
            <w:pPr>
              <w:pStyle w:val="53"/>
              <w:bidi w:val="0"/>
              <w:spacing w:line="240" w:lineRule="auto"/>
              <w:rPr>
                <w:rFonts w:hint="default"/>
                <w:color w:val="auto"/>
              </w:rPr>
            </w:pPr>
            <w:r>
              <w:rPr>
                <w:rFonts w:hint="default"/>
                <w:color w:val="auto"/>
              </w:rPr>
              <w:t>项目审批（核准/备案）文号</w:t>
            </w:r>
          </w:p>
        </w:tc>
        <w:tc>
          <w:tcPr>
            <w:tcW w:w="2889" w:type="dxa"/>
            <w:vAlign w:val="center"/>
          </w:tcPr>
          <w:p>
            <w:pPr>
              <w:pStyle w:val="53"/>
              <w:bidi w:val="0"/>
              <w:spacing w:line="240" w:lineRule="auto"/>
              <w:rPr>
                <w:rFonts w:hint="default"/>
                <w:color w:val="auto"/>
              </w:rPr>
            </w:pPr>
            <w:r>
              <w:rPr>
                <w:rFonts w:hint="default"/>
                <w:color w:val="auto"/>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33" w:type="dxa"/>
            <w:gridSpan w:val="2"/>
            <w:vAlign w:val="center"/>
          </w:tcPr>
          <w:p>
            <w:pPr>
              <w:pStyle w:val="53"/>
              <w:bidi w:val="0"/>
              <w:spacing w:line="240" w:lineRule="auto"/>
              <w:rPr>
                <w:rFonts w:hint="default"/>
                <w:color w:val="auto"/>
              </w:rPr>
            </w:pPr>
            <w:r>
              <w:rPr>
                <w:rFonts w:hint="default"/>
                <w:color w:val="auto"/>
              </w:rPr>
              <w:t>总投资</w:t>
            </w:r>
          </w:p>
          <w:p>
            <w:pPr>
              <w:pStyle w:val="53"/>
              <w:bidi w:val="0"/>
              <w:spacing w:line="240" w:lineRule="auto"/>
              <w:rPr>
                <w:rFonts w:hint="default"/>
                <w:color w:val="auto"/>
              </w:rPr>
            </w:pPr>
            <w:r>
              <w:rPr>
                <w:rFonts w:hint="default"/>
                <w:color w:val="auto"/>
              </w:rPr>
              <w:t>（万元）</w:t>
            </w:r>
          </w:p>
        </w:tc>
        <w:tc>
          <w:tcPr>
            <w:tcW w:w="2432" w:type="dxa"/>
            <w:vAlign w:val="center"/>
          </w:tcPr>
          <w:p>
            <w:pPr>
              <w:pStyle w:val="53"/>
              <w:bidi w:val="0"/>
              <w:spacing w:line="240" w:lineRule="auto"/>
              <w:rPr>
                <w:rFonts w:hint="default"/>
                <w:color w:val="auto"/>
                <w:lang w:val="en-US"/>
              </w:rPr>
            </w:pPr>
            <w:r>
              <w:rPr>
                <w:rFonts w:hint="default"/>
                <w:color w:val="auto"/>
                <w:lang w:val="en-US"/>
              </w:rPr>
              <w:t>12000</w:t>
            </w:r>
          </w:p>
        </w:tc>
        <w:tc>
          <w:tcPr>
            <w:tcW w:w="1637" w:type="dxa"/>
            <w:vAlign w:val="center"/>
          </w:tcPr>
          <w:p>
            <w:pPr>
              <w:pStyle w:val="53"/>
              <w:bidi w:val="0"/>
              <w:spacing w:line="240" w:lineRule="auto"/>
              <w:rPr>
                <w:rFonts w:hint="default"/>
                <w:color w:val="auto"/>
              </w:rPr>
            </w:pPr>
            <w:r>
              <w:rPr>
                <w:rFonts w:hint="default"/>
                <w:color w:val="auto"/>
              </w:rPr>
              <w:t>环保投资</w:t>
            </w:r>
          </w:p>
          <w:p>
            <w:pPr>
              <w:pStyle w:val="53"/>
              <w:bidi w:val="0"/>
              <w:spacing w:line="240" w:lineRule="auto"/>
              <w:rPr>
                <w:rFonts w:hint="default"/>
                <w:color w:val="auto"/>
              </w:rPr>
            </w:pPr>
            <w:r>
              <w:rPr>
                <w:rFonts w:hint="default"/>
                <w:color w:val="auto"/>
              </w:rPr>
              <w:t>（万元）</w:t>
            </w:r>
          </w:p>
        </w:tc>
        <w:tc>
          <w:tcPr>
            <w:tcW w:w="2889" w:type="dxa"/>
            <w:vAlign w:val="center"/>
          </w:tcPr>
          <w:p>
            <w:pPr>
              <w:pStyle w:val="53"/>
              <w:bidi w:val="0"/>
              <w:spacing w:line="240" w:lineRule="auto"/>
              <w:rPr>
                <w:rFonts w:hint="default"/>
                <w:color w:val="auto"/>
                <w:lang w:val="en-US" w:eastAsia="zh-CN"/>
              </w:rPr>
            </w:pPr>
            <w:r>
              <w:rPr>
                <w:rFonts w:hint="eastAsia"/>
                <w:color w:val="auto"/>
                <w:lang w:val="en-US" w:eastAsia="zh-CN"/>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33" w:type="dxa"/>
            <w:gridSpan w:val="2"/>
            <w:vAlign w:val="center"/>
          </w:tcPr>
          <w:p>
            <w:pPr>
              <w:pStyle w:val="53"/>
              <w:bidi w:val="0"/>
              <w:spacing w:line="240" w:lineRule="auto"/>
              <w:rPr>
                <w:rFonts w:hint="default"/>
                <w:color w:val="auto"/>
              </w:rPr>
            </w:pPr>
            <w:r>
              <w:rPr>
                <w:rFonts w:hint="default"/>
                <w:color w:val="auto"/>
              </w:rPr>
              <w:t>环保投资占比（%）</w:t>
            </w:r>
          </w:p>
        </w:tc>
        <w:tc>
          <w:tcPr>
            <w:tcW w:w="2432" w:type="dxa"/>
            <w:vAlign w:val="center"/>
          </w:tcPr>
          <w:p>
            <w:pPr>
              <w:pStyle w:val="53"/>
              <w:bidi w:val="0"/>
              <w:spacing w:line="240" w:lineRule="auto"/>
              <w:rPr>
                <w:rFonts w:hint="default"/>
                <w:color w:val="auto"/>
                <w:lang w:val="en-US" w:eastAsia="zh-CN"/>
              </w:rPr>
            </w:pPr>
            <w:r>
              <w:rPr>
                <w:rFonts w:hint="eastAsia"/>
                <w:color w:val="auto"/>
                <w:lang w:val="en-US" w:eastAsia="zh-CN"/>
              </w:rPr>
              <w:t>3.04</w:t>
            </w:r>
          </w:p>
        </w:tc>
        <w:tc>
          <w:tcPr>
            <w:tcW w:w="1637" w:type="dxa"/>
            <w:vAlign w:val="center"/>
          </w:tcPr>
          <w:p>
            <w:pPr>
              <w:pStyle w:val="53"/>
              <w:bidi w:val="0"/>
              <w:spacing w:line="240" w:lineRule="auto"/>
              <w:rPr>
                <w:rFonts w:hint="default"/>
                <w:color w:val="auto"/>
              </w:rPr>
            </w:pPr>
            <w:r>
              <w:rPr>
                <w:rFonts w:hint="default"/>
                <w:color w:val="auto"/>
              </w:rPr>
              <w:t>施工工期</w:t>
            </w:r>
          </w:p>
        </w:tc>
        <w:tc>
          <w:tcPr>
            <w:tcW w:w="2889" w:type="dxa"/>
            <w:vAlign w:val="center"/>
          </w:tcPr>
          <w:p>
            <w:pPr>
              <w:pStyle w:val="53"/>
              <w:bidi w:val="0"/>
              <w:spacing w:line="240" w:lineRule="auto"/>
              <w:rPr>
                <w:rFonts w:hint="default"/>
                <w:color w:val="auto"/>
              </w:rPr>
            </w:pPr>
            <w:r>
              <w:rPr>
                <w:rFonts w:hint="default"/>
                <w:color w:val="auto"/>
              </w:rPr>
              <w:t>钻井期345天</w:t>
            </w:r>
          </w:p>
          <w:p>
            <w:pPr>
              <w:pStyle w:val="53"/>
              <w:bidi w:val="0"/>
              <w:spacing w:line="240" w:lineRule="auto"/>
              <w:rPr>
                <w:rFonts w:hint="default"/>
                <w:color w:val="auto"/>
              </w:rPr>
            </w:pPr>
            <w:r>
              <w:rPr>
                <w:rFonts w:hint="default"/>
                <w:color w:val="auto"/>
              </w:rPr>
              <w:t>试油期</w:t>
            </w:r>
            <w:r>
              <w:rPr>
                <w:rFonts w:hint="eastAsia"/>
                <w:color w:val="auto"/>
                <w:lang w:val="en-US" w:eastAsia="zh-CN"/>
              </w:rPr>
              <w:t>240</w:t>
            </w:r>
            <w:r>
              <w:rPr>
                <w:rFonts w:hint="default"/>
                <w:color w:val="auto"/>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33" w:type="dxa"/>
            <w:gridSpan w:val="2"/>
            <w:vAlign w:val="center"/>
          </w:tcPr>
          <w:p>
            <w:pPr>
              <w:pStyle w:val="53"/>
              <w:bidi w:val="0"/>
              <w:spacing w:line="240" w:lineRule="auto"/>
              <w:rPr>
                <w:rFonts w:hint="default"/>
                <w:color w:val="auto"/>
              </w:rPr>
            </w:pPr>
            <w:r>
              <w:rPr>
                <w:rFonts w:hint="default"/>
                <w:color w:val="auto"/>
              </w:rPr>
              <w:t>是否开工建设</w:t>
            </w:r>
          </w:p>
        </w:tc>
        <w:tc>
          <w:tcPr>
            <w:tcW w:w="6958" w:type="dxa"/>
            <w:gridSpan w:val="3"/>
            <w:vAlign w:val="center"/>
          </w:tcPr>
          <w:p>
            <w:pPr>
              <w:pStyle w:val="53"/>
              <w:bidi w:val="0"/>
              <w:spacing w:line="240" w:lineRule="auto"/>
              <w:jc w:val="both"/>
              <w:rPr>
                <w:rFonts w:hint="eastAsia"/>
                <w:color w:val="auto"/>
              </w:rPr>
            </w:pPr>
            <w:r>
              <w:rPr>
                <w:rFonts w:hint="eastAsia"/>
                <w:color w:val="auto"/>
              </w:rPr>
              <w:sym w:font="Wingdings 2" w:char="0052"/>
            </w:r>
            <w:r>
              <w:rPr>
                <w:rFonts w:hint="eastAsia"/>
                <w:color w:val="auto"/>
              </w:rPr>
              <w:t>否</w:t>
            </w:r>
          </w:p>
          <w:p>
            <w:pPr>
              <w:pStyle w:val="53"/>
              <w:bidi w:val="0"/>
              <w:spacing w:line="240" w:lineRule="auto"/>
              <w:jc w:val="left"/>
              <w:rPr>
                <w:rFonts w:hint="default"/>
                <w:color w:val="auto"/>
              </w:rPr>
            </w:pPr>
            <w:r>
              <w:rPr>
                <w:rFonts w:hint="eastAsia"/>
                <w:color w:val="auto"/>
              </w:rPr>
              <w:t>□是：</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33" w:type="dxa"/>
            <w:gridSpan w:val="2"/>
            <w:vAlign w:val="center"/>
          </w:tcPr>
          <w:p>
            <w:pPr>
              <w:pStyle w:val="53"/>
              <w:bidi w:val="0"/>
              <w:spacing w:line="240" w:lineRule="auto"/>
              <w:rPr>
                <w:rFonts w:hint="default"/>
                <w:color w:val="auto"/>
              </w:rPr>
            </w:pPr>
            <w:r>
              <w:rPr>
                <w:rFonts w:hint="default"/>
                <w:color w:val="auto"/>
              </w:rPr>
              <w:t>专项评价</w:t>
            </w:r>
          </w:p>
          <w:p>
            <w:pPr>
              <w:pStyle w:val="53"/>
              <w:bidi w:val="0"/>
              <w:spacing w:line="240" w:lineRule="auto"/>
              <w:rPr>
                <w:rFonts w:hint="default"/>
                <w:color w:val="auto"/>
              </w:rPr>
            </w:pPr>
            <w:r>
              <w:rPr>
                <w:rFonts w:hint="default"/>
                <w:color w:val="auto"/>
              </w:rPr>
              <w:t>设置情况</w:t>
            </w:r>
          </w:p>
        </w:tc>
        <w:tc>
          <w:tcPr>
            <w:tcW w:w="6958" w:type="dxa"/>
            <w:gridSpan w:val="3"/>
            <w:vAlign w:val="center"/>
          </w:tcPr>
          <w:p>
            <w:pPr>
              <w:pStyle w:val="53"/>
              <w:bidi w:val="0"/>
              <w:spacing w:line="240" w:lineRule="auto"/>
              <w:rPr>
                <w:rFonts w:hint="default"/>
                <w:color w:val="auto"/>
                <w:lang w:val="en-US" w:eastAsia="zh-CN"/>
              </w:rPr>
            </w:pP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33" w:type="dxa"/>
            <w:gridSpan w:val="2"/>
            <w:vAlign w:val="center"/>
          </w:tcPr>
          <w:p>
            <w:pPr>
              <w:pStyle w:val="53"/>
              <w:bidi w:val="0"/>
              <w:spacing w:line="240" w:lineRule="auto"/>
              <w:rPr>
                <w:rFonts w:hint="default"/>
                <w:color w:val="auto"/>
              </w:rPr>
            </w:pPr>
            <w:r>
              <w:rPr>
                <w:rFonts w:hint="default"/>
                <w:color w:val="auto"/>
              </w:rPr>
              <w:t>规划情况</w:t>
            </w:r>
          </w:p>
        </w:tc>
        <w:tc>
          <w:tcPr>
            <w:tcW w:w="6958" w:type="dxa"/>
            <w:gridSpan w:val="3"/>
            <w:shd w:val="clear" w:color="auto" w:fill="auto"/>
            <w:vAlign w:val="center"/>
          </w:tcPr>
          <w:p>
            <w:pPr>
              <w:pStyle w:val="59"/>
              <w:bidi w:val="0"/>
              <w:spacing w:line="240" w:lineRule="auto"/>
              <w:rPr>
                <w:rFonts w:hint="default"/>
                <w:color w:val="auto"/>
              </w:rPr>
            </w:pPr>
            <w:r>
              <w:rPr>
                <w:rFonts w:hint="eastAsia"/>
                <w:color w:val="auto"/>
                <w:lang w:val="en-US" w:eastAsia="zh-CN"/>
              </w:rPr>
              <w:t>1.</w:t>
            </w:r>
            <w:r>
              <w:rPr>
                <w:rFonts w:hint="default"/>
                <w:color w:val="auto"/>
              </w:rPr>
              <w:t>规划名称：《新疆维吾尔自治区矿产资源总体规划</w:t>
            </w:r>
            <w:r>
              <w:rPr>
                <w:rFonts w:hint="eastAsia"/>
                <w:color w:val="auto"/>
                <w:lang w:eastAsia="zh-CN"/>
              </w:rPr>
              <w:t>（</w:t>
            </w:r>
            <w:r>
              <w:rPr>
                <w:rFonts w:hint="default"/>
                <w:color w:val="auto"/>
              </w:rPr>
              <w:t>2021</w:t>
            </w:r>
            <w:r>
              <w:rPr>
                <w:rFonts w:hint="eastAsia"/>
                <w:color w:val="auto"/>
                <w:lang w:eastAsia="zh-CN"/>
              </w:rPr>
              <w:t>—</w:t>
            </w:r>
            <w:r>
              <w:rPr>
                <w:rFonts w:hint="default"/>
                <w:color w:val="auto"/>
              </w:rPr>
              <w:t>2025年</w:t>
            </w:r>
            <w:r>
              <w:rPr>
                <w:rFonts w:hint="eastAsia"/>
                <w:color w:val="auto"/>
                <w:lang w:eastAsia="zh-CN"/>
              </w:rPr>
              <w:t>）</w:t>
            </w:r>
            <w:r>
              <w:rPr>
                <w:rFonts w:hint="default"/>
                <w:color w:val="auto"/>
              </w:rPr>
              <w:t>》</w:t>
            </w:r>
          </w:p>
          <w:p>
            <w:pPr>
              <w:pStyle w:val="59"/>
              <w:bidi w:val="0"/>
              <w:spacing w:line="240" w:lineRule="auto"/>
              <w:rPr>
                <w:rFonts w:hint="default"/>
                <w:color w:val="auto"/>
                <w:lang w:eastAsia="zh-CN"/>
              </w:rPr>
            </w:pPr>
            <w:r>
              <w:rPr>
                <w:rFonts w:hint="default"/>
                <w:color w:val="auto"/>
              </w:rPr>
              <w:t>审批机关：自然资源部</w:t>
            </w:r>
            <w:r>
              <w:rPr>
                <w:rFonts w:hint="default"/>
                <w:color w:val="auto"/>
                <w:lang w:eastAsia="zh-CN"/>
              </w:rPr>
              <w:t>；</w:t>
            </w:r>
          </w:p>
          <w:p>
            <w:pPr>
              <w:pStyle w:val="59"/>
              <w:bidi w:val="0"/>
              <w:spacing w:line="240" w:lineRule="auto"/>
              <w:rPr>
                <w:rFonts w:hint="eastAsia"/>
                <w:color w:val="auto"/>
                <w:lang w:eastAsia="zh-CN"/>
              </w:rPr>
            </w:pPr>
            <w:r>
              <w:rPr>
                <w:rFonts w:hint="default"/>
                <w:color w:val="auto"/>
              </w:rPr>
              <w:t>审批文号：自然资函</w:t>
            </w:r>
            <w:r>
              <w:rPr>
                <w:rFonts w:hint="default"/>
                <w:color w:val="auto"/>
                <w:lang w:val="en-US" w:eastAsia="zh-CN"/>
              </w:rPr>
              <w:t>〔</w:t>
            </w:r>
            <w:r>
              <w:rPr>
                <w:rFonts w:hint="default"/>
                <w:color w:val="auto"/>
              </w:rPr>
              <w:t>2022</w:t>
            </w:r>
            <w:r>
              <w:rPr>
                <w:rFonts w:hint="default"/>
                <w:color w:val="auto"/>
                <w:lang w:val="en-US" w:eastAsia="zh-CN"/>
              </w:rPr>
              <w:t>〕</w:t>
            </w:r>
            <w:r>
              <w:rPr>
                <w:rFonts w:hint="default"/>
                <w:color w:val="auto"/>
              </w:rPr>
              <w:t>1092号</w:t>
            </w:r>
            <w:r>
              <w:rPr>
                <w:rFonts w:hint="eastAsia"/>
                <w:color w:val="auto"/>
                <w:lang w:eastAsia="zh-CN"/>
              </w:rPr>
              <w:t>；</w:t>
            </w:r>
          </w:p>
          <w:p>
            <w:pPr>
              <w:pStyle w:val="59"/>
              <w:bidi w:val="0"/>
              <w:spacing w:line="240" w:lineRule="auto"/>
              <w:rPr>
                <w:rFonts w:hint="default"/>
                <w:color w:val="auto"/>
              </w:rPr>
            </w:pPr>
            <w:r>
              <w:rPr>
                <w:rFonts w:hint="default"/>
                <w:color w:val="auto"/>
              </w:rPr>
              <w:t>2</w:t>
            </w:r>
            <w:r>
              <w:rPr>
                <w:rFonts w:hint="eastAsia"/>
                <w:color w:val="auto"/>
                <w:lang w:val="en-US" w:eastAsia="zh-CN"/>
              </w:rPr>
              <w:t>.</w:t>
            </w:r>
            <w:r>
              <w:rPr>
                <w:rFonts w:hint="default"/>
                <w:color w:val="auto"/>
              </w:rPr>
              <w:t>规划名称：《新疆维吾尔自治区昌吉回族自治州矿产资源总体规划（2021</w:t>
            </w:r>
            <w:r>
              <w:rPr>
                <w:rFonts w:hint="default"/>
                <w:color w:val="auto"/>
                <w:lang w:eastAsia="zh-CN"/>
              </w:rPr>
              <w:t>—</w:t>
            </w:r>
            <w:r>
              <w:rPr>
                <w:rFonts w:hint="default"/>
                <w:color w:val="auto"/>
              </w:rPr>
              <w:t>2025年）》；</w:t>
            </w:r>
          </w:p>
          <w:p>
            <w:pPr>
              <w:pStyle w:val="59"/>
              <w:bidi w:val="0"/>
              <w:spacing w:line="240" w:lineRule="auto"/>
              <w:rPr>
                <w:rFonts w:hint="default"/>
                <w:color w:val="auto"/>
                <w:lang w:eastAsia="zh-CN"/>
              </w:rPr>
            </w:pPr>
            <w:r>
              <w:rPr>
                <w:rFonts w:hint="default"/>
                <w:color w:val="auto"/>
              </w:rPr>
              <w:t>规划编制单位：昌吉回族自治州人民政府</w:t>
            </w:r>
            <w:r>
              <w:rPr>
                <w:rFonts w:hint="default"/>
                <w:color w:val="auto"/>
                <w:lang w:eastAsia="zh-CN"/>
              </w:rPr>
              <w:t>；</w:t>
            </w:r>
          </w:p>
          <w:p>
            <w:pPr>
              <w:pStyle w:val="59"/>
              <w:bidi w:val="0"/>
              <w:spacing w:line="240" w:lineRule="auto"/>
              <w:rPr>
                <w:rFonts w:hint="default"/>
                <w:color w:val="auto"/>
              </w:rPr>
            </w:pPr>
            <w:r>
              <w:rPr>
                <w:rFonts w:hint="default"/>
                <w:color w:val="auto"/>
              </w:rPr>
              <w:t>3</w:t>
            </w:r>
            <w:r>
              <w:rPr>
                <w:rFonts w:hint="eastAsia"/>
                <w:color w:val="auto"/>
                <w:lang w:val="en-US" w:eastAsia="zh-CN"/>
              </w:rPr>
              <w:t>.</w:t>
            </w:r>
            <w:r>
              <w:rPr>
                <w:rFonts w:hint="default"/>
                <w:color w:val="auto"/>
              </w:rPr>
              <w:t>规划名称：《新疆油田公司</w:t>
            </w:r>
            <w:r>
              <w:rPr>
                <w:rFonts w:hint="eastAsia"/>
                <w:color w:val="auto"/>
                <w:lang w:eastAsia="zh-CN"/>
              </w:rPr>
              <w:t>“</w:t>
            </w:r>
            <w:r>
              <w:rPr>
                <w:rFonts w:hint="default"/>
                <w:color w:val="auto"/>
              </w:rPr>
              <w:t>十四五</w:t>
            </w:r>
            <w:r>
              <w:rPr>
                <w:rFonts w:hint="eastAsia"/>
                <w:color w:val="auto"/>
                <w:lang w:eastAsia="zh-CN"/>
              </w:rPr>
              <w:t>”</w:t>
            </w:r>
            <w:r>
              <w:rPr>
                <w:rFonts w:hint="default"/>
                <w:color w:val="auto"/>
              </w:rPr>
              <w:t>发展规划》；</w:t>
            </w:r>
          </w:p>
          <w:p>
            <w:pPr>
              <w:pStyle w:val="59"/>
              <w:bidi w:val="0"/>
              <w:spacing w:line="240" w:lineRule="auto"/>
              <w:rPr>
                <w:rFonts w:hint="default"/>
                <w:color w:val="auto"/>
                <w:lang w:val="en-US" w:eastAsia="zh-CN"/>
              </w:rPr>
            </w:pPr>
            <w:r>
              <w:rPr>
                <w:rFonts w:hint="default"/>
                <w:color w:val="auto"/>
              </w:rPr>
              <w:t>规划编制单位：中国石油新疆油田分公司开发公司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5" w:hRule="atLeast"/>
        </w:trPr>
        <w:tc>
          <w:tcPr>
            <w:tcW w:w="426" w:type="dxa"/>
            <w:vAlign w:val="center"/>
          </w:tcPr>
          <w:p>
            <w:pPr>
              <w:pStyle w:val="53"/>
              <w:bidi w:val="0"/>
              <w:spacing w:line="240" w:lineRule="auto"/>
              <w:rPr>
                <w:rFonts w:hint="default"/>
                <w:color w:val="auto"/>
              </w:rPr>
            </w:pPr>
            <w:r>
              <w:rPr>
                <w:rFonts w:hint="default"/>
                <w:color w:val="auto"/>
              </w:rPr>
              <w:t>规划环境影响</w:t>
            </w:r>
          </w:p>
          <w:p>
            <w:pPr>
              <w:pStyle w:val="53"/>
              <w:bidi w:val="0"/>
              <w:spacing w:line="240" w:lineRule="auto"/>
              <w:rPr>
                <w:rFonts w:hint="default"/>
                <w:color w:val="auto"/>
              </w:rPr>
            </w:pPr>
            <w:r>
              <w:rPr>
                <w:rFonts w:hint="default"/>
                <w:color w:val="auto"/>
              </w:rPr>
              <w:t>评价情况</w:t>
            </w:r>
          </w:p>
        </w:tc>
        <w:tc>
          <w:tcPr>
            <w:tcW w:w="8465" w:type="dxa"/>
            <w:gridSpan w:val="4"/>
            <w:shd w:val="clear" w:color="auto" w:fill="auto"/>
            <w:vAlign w:val="center"/>
          </w:tcPr>
          <w:p>
            <w:pPr>
              <w:pStyle w:val="59"/>
              <w:bidi w:val="0"/>
              <w:rPr>
                <w:rFonts w:hint="default"/>
                <w:color w:val="auto"/>
              </w:rPr>
            </w:pPr>
            <w:r>
              <w:rPr>
                <w:rFonts w:hint="eastAsia"/>
                <w:color w:val="auto"/>
                <w:lang w:val="en-US" w:eastAsia="zh-CN"/>
              </w:rPr>
              <w:t>1.环评文件名称</w:t>
            </w:r>
            <w:r>
              <w:rPr>
                <w:rFonts w:hint="default"/>
                <w:color w:val="auto"/>
              </w:rPr>
              <w:t>：《新疆维吾尔自治区矿产资源总体规划</w:t>
            </w:r>
            <w:r>
              <w:rPr>
                <w:rFonts w:hint="default"/>
                <w:color w:val="auto"/>
                <w:lang w:eastAsia="zh-CN"/>
              </w:rPr>
              <w:t>（</w:t>
            </w:r>
            <w:r>
              <w:rPr>
                <w:rFonts w:hint="default"/>
                <w:color w:val="auto"/>
                <w:lang w:val="en-US" w:eastAsia="zh-CN"/>
              </w:rPr>
              <w:t>2021</w:t>
            </w:r>
            <w:r>
              <w:rPr>
                <w:rFonts w:hint="eastAsia"/>
                <w:color w:val="auto"/>
                <w:lang w:val="en-US" w:eastAsia="zh-CN"/>
              </w:rPr>
              <w:t>—</w:t>
            </w:r>
            <w:r>
              <w:rPr>
                <w:rFonts w:hint="default"/>
                <w:color w:val="auto"/>
                <w:lang w:val="en-US" w:eastAsia="zh-CN"/>
              </w:rPr>
              <w:t>2025年</w:t>
            </w:r>
            <w:r>
              <w:rPr>
                <w:rFonts w:hint="default"/>
                <w:color w:val="auto"/>
                <w:lang w:eastAsia="zh-CN"/>
              </w:rPr>
              <w:t>）</w:t>
            </w:r>
            <w:r>
              <w:rPr>
                <w:rFonts w:hint="default"/>
                <w:color w:val="auto"/>
              </w:rPr>
              <w:t>环境影响报告书》；</w:t>
            </w:r>
          </w:p>
          <w:p>
            <w:pPr>
              <w:pStyle w:val="59"/>
              <w:bidi w:val="0"/>
              <w:rPr>
                <w:rFonts w:hint="default"/>
                <w:color w:val="auto"/>
              </w:rPr>
            </w:pPr>
            <w:r>
              <w:rPr>
                <w:rFonts w:hint="default"/>
                <w:color w:val="auto"/>
              </w:rPr>
              <w:t>审查机关：</w:t>
            </w:r>
            <w:r>
              <w:rPr>
                <w:rFonts w:hint="default"/>
                <w:color w:val="auto"/>
                <w:lang w:val="en-US" w:eastAsia="zh-CN"/>
              </w:rPr>
              <w:t>生态环境部</w:t>
            </w:r>
            <w:r>
              <w:rPr>
                <w:rFonts w:hint="default"/>
                <w:color w:val="auto"/>
              </w:rPr>
              <w:t>；</w:t>
            </w:r>
          </w:p>
          <w:p>
            <w:pPr>
              <w:pStyle w:val="59"/>
              <w:bidi w:val="0"/>
              <w:rPr>
                <w:rFonts w:hint="eastAsia"/>
                <w:color w:val="auto"/>
                <w:lang w:val="en-US" w:eastAsia="zh-CN"/>
              </w:rPr>
            </w:pPr>
            <w:r>
              <w:rPr>
                <w:rFonts w:hint="default"/>
                <w:color w:val="auto"/>
              </w:rPr>
              <w:t>审查文件名称及文号：</w:t>
            </w:r>
            <w:r>
              <w:rPr>
                <w:rFonts w:hint="default"/>
                <w:color w:val="auto"/>
                <w:lang w:val="en-US" w:eastAsia="zh-CN"/>
              </w:rPr>
              <w:t>关于《新疆维吾尔自治区矿产资源总体规划（2021</w:t>
            </w:r>
            <w:r>
              <w:rPr>
                <w:rFonts w:hint="eastAsia"/>
                <w:color w:val="auto"/>
                <w:lang w:val="en-US" w:eastAsia="zh-CN"/>
              </w:rPr>
              <w:t>—</w:t>
            </w:r>
            <w:r>
              <w:rPr>
                <w:rFonts w:hint="default"/>
                <w:color w:val="auto"/>
                <w:lang w:val="en-US" w:eastAsia="zh-CN"/>
              </w:rPr>
              <w:t>2025年）环境影响报告书》的审查意见，环审〔2022〕</w:t>
            </w:r>
            <w:r>
              <w:rPr>
                <w:rFonts w:hint="eastAsia"/>
                <w:color w:val="auto"/>
                <w:lang w:val="en-US" w:eastAsia="zh-CN"/>
              </w:rPr>
              <w:t>124</w:t>
            </w:r>
            <w:r>
              <w:rPr>
                <w:rFonts w:hint="default"/>
                <w:color w:val="auto"/>
                <w:lang w:val="en-US" w:eastAsia="zh-CN"/>
              </w:rPr>
              <w:t>号</w:t>
            </w:r>
            <w:r>
              <w:rPr>
                <w:rFonts w:hint="eastAsia"/>
                <w:color w:val="auto"/>
                <w:lang w:val="en-US" w:eastAsia="zh-CN"/>
              </w:rPr>
              <w:t>；</w:t>
            </w:r>
          </w:p>
          <w:p>
            <w:pPr>
              <w:pStyle w:val="59"/>
              <w:bidi w:val="0"/>
              <w:rPr>
                <w:rFonts w:hint="default"/>
                <w:color w:val="auto"/>
              </w:rPr>
            </w:pPr>
            <w:r>
              <w:rPr>
                <w:rFonts w:hint="default"/>
                <w:color w:val="auto"/>
              </w:rPr>
              <w:t>2</w:t>
            </w:r>
            <w:r>
              <w:rPr>
                <w:rFonts w:hint="eastAsia"/>
                <w:color w:val="auto"/>
                <w:lang w:eastAsia="zh-CN"/>
              </w:rPr>
              <w:t>.</w:t>
            </w:r>
            <w:r>
              <w:rPr>
                <w:rFonts w:hint="default"/>
                <w:color w:val="auto"/>
              </w:rPr>
              <w:t>环评文件名称：《新疆维吾尔自治区昌吉回族自治州矿产资源总体规划（2021—2025年）环境影响报告书》；</w:t>
            </w:r>
          </w:p>
          <w:p>
            <w:pPr>
              <w:pStyle w:val="59"/>
              <w:bidi w:val="0"/>
              <w:rPr>
                <w:rFonts w:hint="default"/>
                <w:color w:val="auto"/>
              </w:rPr>
            </w:pPr>
            <w:r>
              <w:rPr>
                <w:rFonts w:hint="default"/>
                <w:color w:val="auto"/>
              </w:rPr>
              <w:t>审查机关：昌吉回族自治州生态环境局；</w:t>
            </w:r>
          </w:p>
          <w:p>
            <w:pPr>
              <w:pStyle w:val="59"/>
              <w:bidi w:val="0"/>
              <w:rPr>
                <w:rFonts w:hint="default"/>
                <w:color w:val="auto"/>
              </w:rPr>
            </w:pPr>
            <w:r>
              <w:rPr>
                <w:rFonts w:hint="default"/>
                <w:color w:val="auto"/>
              </w:rPr>
              <w:t>审查文件名称及文号：关于《新疆维吾尔自治区昌吉回族自治州矿产资源总体规划（2021—2025年）环境影响报告书》的审查意见（昌州环函〔2023〕40号）。</w:t>
            </w:r>
          </w:p>
          <w:p>
            <w:pPr>
              <w:pStyle w:val="59"/>
              <w:bidi w:val="0"/>
              <w:rPr>
                <w:rFonts w:hint="default"/>
                <w:color w:val="auto"/>
              </w:rPr>
            </w:pPr>
            <w:r>
              <w:rPr>
                <w:rFonts w:hint="default"/>
                <w:color w:val="auto"/>
                <w:lang w:val="en-US" w:eastAsia="zh-CN"/>
              </w:rPr>
              <w:t>3</w:t>
            </w:r>
            <w:r>
              <w:rPr>
                <w:rFonts w:hint="eastAsia"/>
                <w:color w:val="auto"/>
                <w:lang w:val="en-US" w:eastAsia="zh-CN"/>
              </w:rPr>
              <w:t>.</w:t>
            </w:r>
            <w:r>
              <w:rPr>
                <w:rFonts w:hint="default"/>
                <w:color w:val="auto"/>
              </w:rPr>
              <w:t>环评文件名称：《新疆油田公司</w:t>
            </w:r>
            <w:r>
              <w:rPr>
                <w:rFonts w:hint="eastAsia"/>
                <w:color w:val="auto"/>
                <w:lang w:eastAsia="zh-CN"/>
              </w:rPr>
              <w:t>“</w:t>
            </w:r>
            <w:r>
              <w:rPr>
                <w:rFonts w:hint="default"/>
                <w:color w:val="auto"/>
              </w:rPr>
              <w:t>十四五</w:t>
            </w:r>
            <w:r>
              <w:rPr>
                <w:rFonts w:hint="eastAsia"/>
                <w:color w:val="auto"/>
                <w:lang w:eastAsia="zh-CN"/>
              </w:rPr>
              <w:t>”</w:t>
            </w:r>
            <w:r>
              <w:rPr>
                <w:rFonts w:hint="default"/>
                <w:color w:val="auto"/>
              </w:rPr>
              <w:t>发展规划环境影响报告书》；</w:t>
            </w:r>
          </w:p>
          <w:p>
            <w:pPr>
              <w:pStyle w:val="59"/>
              <w:bidi w:val="0"/>
              <w:rPr>
                <w:rFonts w:hint="default"/>
                <w:color w:val="auto"/>
              </w:rPr>
            </w:pPr>
            <w:r>
              <w:rPr>
                <w:rFonts w:hint="default"/>
                <w:color w:val="auto"/>
              </w:rPr>
              <w:t>审查机关：新疆维吾尔自治区生态环境厅；</w:t>
            </w:r>
          </w:p>
          <w:p>
            <w:pPr>
              <w:pStyle w:val="59"/>
              <w:bidi w:val="0"/>
              <w:rPr>
                <w:rFonts w:hint="default"/>
                <w:color w:val="auto"/>
                <w:lang w:val="en-US" w:eastAsia="zh-CN"/>
              </w:rPr>
            </w:pPr>
            <w:r>
              <w:rPr>
                <w:rFonts w:hint="default"/>
                <w:color w:val="auto"/>
                <w:lang w:val="en-US" w:eastAsia="zh-CN"/>
              </w:rPr>
              <w:t>审查文件名称及文号：关于《新疆油田公司</w:t>
            </w:r>
            <w:r>
              <w:rPr>
                <w:rFonts w:hint="eastAsia"/>
                <w:color w:val="auto"/>
                <w:lang w:val="en-US" w:eastAsia="zh-CN"/>
              </w:rPr>
              <w:t>“</w:t>
            </w:r>
            <w:r>
              <w:rPr>
                <w:rFonts w:hint="default"/>
                <w:color w:val="auto"/>
                <w:lang w:val="en-US" w:eastAsia="zh-CN"/>
              </w:rPr>
              <w:t>十四五</w:t>
            </w:r>
            <w:r>
              <w:rPr>
                <w:rFonts w:hint="eastAsia"/>
                <w:color w:val="auto"/>
                <w:lang w:val="en-US" w:eastAsia="zh-CN"/>
              </w:rPr>
              <w:t>”</w:t>
            </w:r>
            <w:r>
              <w:rPr>
                <w:rFonts w:hint="default"/>
                <w:color w:val="auto"/>
                <w:lang w:val="en-US" w:eastAsia="zh-CN"/>
              </w:rPr>
              <w:t>发展规划环境影响报告书》的审查意见（新环审〔2022〕252号）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426" w:type="dxa"/>
            <w:vAlign w:val="center"/>
          </w:tcPr>
          <w:p>
            <w:pPr>
              <w:pStyle w:val="53"/>
              <w:bidi w:val="0"/>
              <w:rPr>
                <w:rFonts w:hint="default"/>
                <w:color w:val="auto"/>
              </w:rPr>
            </w:pPr>
            <w:r>
              <w:rPr>
                <w:rFonts w:hint="default"/>
                <w:color w:val="auto"/>
              </w:rPr>
              <w:t>规划及规划环境影响评价符合性分析</w:t>
            </w:r>
          </w:p>
        </w:tc>
        <w:tc>
          <w:tcPr>
            <w:tcW w:w="8465" w:type="dxa"/>
            <w:gridSpan w:val="4"/>
            <w:vAlign w:val="center"/>
          </w:tcPr>
          <w:p>
            <w:pPr>
              <w:pStyle w:val="32"/>
              <w:numPr>
                <w:ilvl w:val="0"/>
                <w:numId w:val="5"/>
              </w:numPr>
              <w:bidi w:val="0"/>
              <w:rPr>
                <w:rFonts w:hint="eastAsia" w:ascii="Times New Roman" w:hAnsi="Times New Roman" w:eastAsia="宋体" w:cs="宋体"/>
                <w:b/>
                <w:color w:val="auto"/>
                <w:kern w:val="2"/>
                <w:sz w:val="24"/>
                <w:szCs w:val="24"/>
                <w:lang w:val="en-US" w:eastAsia="en-US" w:bidi="ar-SA"/>
              </w:rPr>
            </w:pPr>
            <w:r>
              <w:rPr>
                <w:rFonts w:hint="eastAsia" w:ascii="Times New Roman" w:hAnsi="Times New Roman" w:eastAsia="宋体" w:cs="宋体"/>
                <w:b/>
                <w:color w:val="auto"/>
                <w:kern w:val="2"/>
                <w:sz w:val="24"/>
                <w:szCs w:val="24"/>
                <w:lang w:val="en-US" w:eastAsia="en-US" w:bidi="ar-SA"/>
              </w:rPr>
              <w:t>与《新疆维吾尔自治区矿产资源总体规划（2021</w:t>
            </w:r>
            <w:r>
              <w:rPr>
                <w:rFonts w:hint="eastAsia" w:cs="宋体"/>
                <w:b/>
                <w:color w:val="auto"/>
                <w:kern w:val="2"/>
                <w:sz w:val="24"/>
                <w:szCs w:val="24"/>
                <w:lang w:val="en-US" w:eastAsia="zh-CN" w:bidi="ar-SA"/>
              </w:rPr>
              <w:t>—</w:t>
            </w:r>
            <w:r>
              <w:rPr>
                <w:rFonts w:hint="eastAsia" w:ascii="Times New Roman" w:hAnsi="Times New Roman" w:eastAsia="宋体" w:cs="宋体"/>
                <w:b/>
                <w:color w:val="auto"/>
                <w:kern w:val="2"/>
                <w:sz w:val="24"/>
                <w:szCs w:val="24"/>
                <w:lang w:val="en-US" w:eastAsia="en-US" w:bidi="ar-SA"/>
              </w:rPr>
              <w:t>2025</w:t>
            </w:r>
            <w:r>
              <w:rPr>
                <w:rFonts w:hint="eastAsia" w:ascii="Times New Roman" w:hAnsi="Times New Roman" w:eastAsia="宋体" w:cs="宋体"/>
                <w:b/>
                <w:color w:val="auto"/>
                <w:kern w:val="2"/>
                <w:sz w:val="24"/>
                <w:szCs w:val="24"/>
                <w:lang w:val="en-US" w:eastAsia="zh-CN" w:bidi="ar-SA"/>
              </w:rPr>
              <w:t>年</w:t>
            </w:r>
            <w:r>
              <w:rPr>
                <w:rFonts w:hint="eastAsia" w:ascii="Times New Roman" w:hAnsi="Times New Roman" w:eastAsia="宋体" w:cs="宋体"/>
                <w:b/>
                <w:color w:val="auto"/>
                <w:kern w:val="2"/>
                <w:sz w:val="24"/>
                <w:szCs w:val="24"/>
                <w:lang w:val="en-US" w:eastAsia="en-US" w:bidi="ar-SA"/>
              </w:rPr>
              <w:t>）》</w:t>
            </w:r>
            <w:r>
              <w:rPr>
                <w:rFonts w:hint="eastAsia" w:ascii="Times New Roman" w:hAnsi="Times New Roman" w:eastAsia="宋体" w:cs="宋体"/>
                <w:b/>
                <w:color w:val="auto"/>
                <w:kern w:val="2"/>
                <w:sz w:val="24"/>
                <w:szCs w:val="24"/>
                <w:lang w:val="en-US" w:eastAsia="zh-CN" w:bidi="ar-SA"/>
              </w:rPr>
              <w:t>及规划环评</w:t>
            </w:r>
            <w:r>
              <w:rPr>
                <w:rFonts w:hint="eastAsia" w:ascii="Times New Roman" w:hAnsi="Times New Roman" w:eastAsia="宋体" w:cs="宋体"/>
                <w:b/>
                <w:color w:val="auto"/>
                <w:kern w:val="2"/>
                <w:sz w:val="24"/>
                <w:szCs w:val="24"/>
                <w:lang w:val="en-US" w:eastAsia="en-US" w:bidi="ar-SA"/>
              </w:rPr>
              <w:t>符合性分析</w:t>
            </w:r>
          </w:p>
          <w:p>
            <w:pPr>
              <w:widowControl w:val="0"/>
              <w:bidi w:val="0"/>
              <w:adjustRightInd w:val="0"/>
              <w:snapToGrid w:val="0"/>
              <w:spacing w:line="520" w:lineRule="exact"/>
              <w:ind w:firstLine="472" w:firstLineChars="200"/>
              <w:jc w:val="both"/>
              <w:rPr>
                <w:rFonts w:hint="eastAsia" w:ascii="Times New Roman" w:hAnsi="Times New Roman" w:eastAsia="宋体" w:cs="Times New Roman"/>
                <w:color w:val="auto"/>
                <w:spacing w:val="-2"/>
                <w:kern w:val="0"/>
                <w:sz w:val="24"/>
                <w:szCs w:val="24"/>
                <w:lang w:val="en-US" w:eastAsia="en-US" w:bidi="ar-SA"/>
              </w:rPr>
            </w:pPr>
            <w:r>
              <w:rPr>
                <w:rFonts w:hint="eastAsia" w:ascii="Times New Roman" w:hAnsi="Times New Roman" w:eastAsia="宋体" w:cs="Times New Roman"/>
                <w:color w:val="auto"/>
                <w:spacing w:val="-2"/>
                <w:kern w:val="0"/>
                <w:sz w:val="24"/>
                <w:szCs w:val="24"/>
                <w:lang w:val="en-US" w:eastAsia="en-US" w:bidi="ar-SA"/>
              </w:rPr>
              <w:t>《规划》依据新疆维吾尔自治区矿产资源分布特点及勘查开发利用现状，按照“深化北疆东疆，加快南疆勘查开发”的总体思路，划分为环准噶尔、环塔里木、阿尔泰、东准噶尔、西准噶尔、东天山、西天山、西南天山、西昆仑、东昆仑－阿尔金十个勘查开发区，将石油、天然气列为重点勘查开采矿种。其中，环准噶尔能源资源勘查开发区主要包括阿勒泰地区南部、昌吉回族自治州、塔城地区东部山前及沙漠腹地。本项目位于</w:t>
            </w:r>
            <w:r>
              <w:rPr>
                <w:rFonts w:hint="eastAsia" w:ascii="Times New Roman" w:hAnsi="Times New Roman" w:eastAsia="宋体" w:cs="Times New Roman"/>
                <w:color w:val="auto"/>
                <w:spacing w:val="-2"/>
                <w:kern w:val="0"/>
                <w:sz w:val="24"/>
                <w:szCs w:val="24"/>
                <w:lang w:val="en-US" w:eastAsia="zh-CN" w:bidi="ar-SA"/>
              </w:rPr>
              <w:t>昌吉回族自治州玛纳斯县，属于环</w:t>
            </w:r>
            <w:r>
              <w:rPr>
                <w:rFonts w:hint="eastAsia" w:ascii="Times New Roman" w:hAnsi="Times New Roman" w:eastAsia="宋体" w:cs="Times New Roman"/>
                <w:color w:val="auto"/>
                <w:spacing w:val="-2"/>
                <w:kern w:val="0"/>
                <w:sz w:val="24"/>
                <w:szCs w:val="24"/>
                <w:lang w:val="en-US" w:eastAsia="en-US" w:bidi="ar-SA"/>
              </w:rPr>
              <w:t>准噶尔能源矿产勘查开发区</w:t>
            </w:r>
            <w:r>
              <w:rPr>
                <w:rFonts w:hint="eastAsia" w:ascii="Times New Roman" w:hAnsi="Times New Roman" w:eastAsia="宋体" w:cs="Times New Roman"/>
                <w:color w:val="auto"/>
                <w:spacing w:val="-2"/>
                <w:kern w:val="0"/>
                <w:sz w:val="24"/>
                <w:szCs w:val="24"/>
                <w:lang w:val="en-US" w:eastAsia="zh-CN" w:bidi="ar-SA"/>
              </w:rPr>
              <w:t>、</w:t>
            </w:r>
            <w:r>
              <w:rPr>
                <w:rFonts w:hint="eastAsia" w:ascii="Times New Roman" w:hAnsi="Times New Roman" w:eastAsia="宋体" w:cs="Times New Roman"/>
                <w:color w:val="auto"/>
                <w:spacing w:val="-2"/>
                <w:kern w:val="0"/>
                <w:sz w:val="24"/>
                <w:szCs w:val="24"/>
                <w:lang w:val="en-US" w:eastAsia="en-US" w:bidi="ar-SA"/>
              </w:rPr>
              <w:t>陆地石油、天然气勘查</w:t>
            </w:r>
            <w:r>
              <w:rPr>
                <w:rFonts w:hint="eastAsia" w:ascii="Times New Roman" w:hAnsi="Times New Roman" w:eastAsia="宋体" w:cs="Times New Roman"/>
                <w:color w:val="auto"/>
                <w:spacing w:val="-2"/>
                <w:kern w:val="0"/>
                <w:sz w:val="24"/>
                <w:szCs w:val="24"/>
                <w:lang w:val="en-US" w:eastAsia="zh-CN" w:bidi="ar-SA"/>
              </w:rPr>
              <w:t>行业</w:t>
            </w:r>
            <w:r>
              <w:rPr>
                <w:rFonts w:hint="eastAsia" w:ascii="Times New Roman" w:hAnsi="Times New Roman" w:eastAsia="宋体" w:cs="Times New Roman"/>
                <w:color w:val="auto"/>
                <w:spacing w:val="-2"/>
                <w:kern w:val="0"/>
                <w:sz w:val="24"/>
                <w:szCs w:val="24"/>
                <w:lang w:val="en-US" w:eastAsia="en-US" w:bidi="ar-SA"/>
              </w:rPr>
              <w:t>，</w:t>
            </w:r>
            <w:r>
              <w:rPr>
                <w:rFonts w:hint="eastAsia" w:ascii="Times New Roman" w:hAnsi="Times New Roman" w:eastAsia="宋体" w:cs="Times New Roman"/>
                <w:color w:val="auto"/>
                <w:spacing w:val="-2"/>
                <w:kern w:val="0"/>
                <w:sz w:val="24"/>
                <w:szCs w:val="24"/>
                <w:lang w:val="en-US" w:eastAsia="zh-CN" w:bidi="ar-SA"/>
              </w:rPr>
              <w:t>项目建设</w:t>
            </w:r>
            <w:r>
              <w:rPr>
                <w:rFonts w:hint="eastAsia" w:ascii="Times New Roman" w:hAnsi="Times New Roman" w:eastAsia="宋体" w:cs="Times New Roman"/>
                <w:color w:val="auto"/>
                <w:spacing w:val="-2"/>
                <w:kern w:val="0"/>
                <w:sz w:val="24"/>
                <w:szCs w:val="24"/>
                <w:lang w:val="en-US" w:eastAsia="en-US" w:bidi="ar-SA"/>
              </w:rPr>
              <w:t>符合规划要求。</w:t>
            </w:r>
          </w:p>
          <w:p>
            <w:pPr>
              <w:widowControl w:val="0"/>
              <w:bidi w:val="0"/>
              <w:adjustRightInd w:val="0"/>
              <w:snapToGrid w:val="0"/>
              <w:spacing w:line="520" w:lineRule="exact"/>
              <w:ind w:firstLine="472" w:firstLineChars="200"/>
              <w:jc w:val="both"/>
              <w:rPr>
                <w:rFonts w:hint="eastAsia" w:ascii="Times New Roman" w:hAnsi="Times New Roman" w:eastAsia="宋体" w:cs="Times New Roman"/>
                <w:color w:val="auto"/>
                <w:spacing w:val="-2"/>
                <w:kern w:val="0"/>
                <w:sz w:val="24"/>
                <w:szCs w:val="24"/>
                <w:lang w:val="en-US" w:eastAsia="en-US" w:bidi="ar-SA"/>
              </w:rPr>
            </w:pPr>
            <w:r>
              <w:rPr>
                <w:rFonts w:hint="eastAsia" w:ascii="Times New Roman" w:hAnsi="Times New Roman" w:eastAsia="宋体" w:cs="Times New Roman"/>
                <w:color w:val="auto"/>
                <w:spacing w:val="-2"/>
                <w:kern w:val="0"/>
                <w:sz w:val="24"/>
                <w:szCs w:val="24"/>
                <w:lang w:val="en-US" w:eastAsia="en-US" w:bidi="ar-SA"/>
              </w:rPr>
              <w:t>《新疆维吾尔自治区矿产资源总体规划（2021</w:t>
            </w:r>
            <w:r>
              <w:rPr>
                <w:rFonts w:hint="eastAsia" w:ascii="Times New Roman" w:hAnsi="Times New Roman" w:eastAsia="宋体" w:cs="Times New Roman"/>
                <w:color w:val="auto"/>
                <w:spacing w:val="-2"/>
                <w:kern w:val="0"/>
                <w:sz w:val="24"/>
                <w:szCs w:val="24"/>
                <w:lang w:val="en-US" w:eastAsia="zh-CN" w:bidi="ar-SA"/>
              </w:rPr>
              <w:t>—</w:t>
            </w:r>
            <w:r>
              <w:rPr>
                <w:rFonts w:hint="eastAsia" w:ascii="Times New Roman" w:hAnsi="Times New Roman" w:eastAsia="宋体" w:cs="Times New Roman"/>
                <w:color w:val="auto"/>
                <w:spacing w:val="-2"/>
                <w:kern w:val="0"/>
                <w:sz w:val="24"/>
                <w:szCs w:val="24"/>
                <w:lang w:val="en-US" w:eastAsia="en-US" w:bidi="ar-SA"/>
              </w:rPr>
              <w:t>2025年）环境影响报告书》提出</w:t>
            </w:r>
            <w:r>
              <w:rPr>
                <w:rFonts w:hint="eastAsia" w:ascii="Times New Roman" w:hAnsi="Times New Roman" w:eastAsia="宋体" w:cs="Times New Roman"/>
                <w:color w:val="auto"/>
                <w:spacing w:val="-2"/>
                <w:kern w:val="0"/>
                <w:sz w:val="24"/>
                <w:szCs w:val="24"/>
                <w:lang w:val="en-US" w:eastAsia="zh-CN" w:bidi="ar-SA"/>
              </w:rPr>
              <w:t>：</w:t>
            </w:r>
            <w:r>
              <w:rPr>
                <w:rFonts w:hint="eastAsia" w:ascii="Times New Roman" w:hAnsi="Times New Roman" w:eastAsia="宋体" w:cs="Times New Roman"/>
                <w:color w:val="auto"/>
                <w:spacing w:val="-2"/>
                <w:kern w:val="0"/>
                <w:sz w:val="24"/>
                <w:szCs w:val="24"/>
                <w:lang w:val="en-US" w:eastAsia="en-US" w:bidi="ar-SA"/>
              </w:rPr>
              <w:t>合理控制矿产资源开发规模与强度，优先避让生态敏感区（如自然保护区、水源地等），不得占用禁止开发区域。实施污染物达标排放，落实“三同时”制度（污染防治设施与主体工程同时设计、施工、投产）。加强废水、固废、废气治理，推广清洁生产技术。对开发活动造成的生态破坏采取有效恢复措施，减少土地沙化与水土流失。</w:t>
            </w:r>
            <w:r>
              <w:rPr>
                <w:rFonts w:hint="eastAsia" w:ascii="Times New Roman" w:hAnsi="Times New Roman" w:eastAsia="宋体" w:cs="Times New Roman"/>
                <w:color w:val="auto"/>
                <w:spacing w:val="-2"/>
                <w:kern w:val="0"/>
                <w:sz w:val="24"/>
                <w:szCs w:val="24"/>
                <w:lang w:val="en-US" w:eastAsia="zh-CN" w:bidi="ar-SA"/>
              </w:rPr>
              <w:t>本</w:t>
            </w:r>
            <w:r>
              <w:rPr>
                <w:rFonts w:hint="eastAsia" w:ascii="Times New Roman" w:hAnsi="Times New Roman" w:eastAsia="宋体" w:cs="Times New Roman"/>
                <w:color w:val="auto"/>
                <w:spacing w:val="-2"/>
                <w:kern w:val="0"/>
                <w:sz w:val="24"/>
                <w:szCs w:val="24"/>
                <w:lang w:val="en-US" w:eastAsia="en-US" w:bidi="ar-SA"/>
              </w:rPr>
              <w:t>项目占地范围内不涉及自然保护区、饮用水源保护区、风景名胜区、森林公园及其他需要特别保护的环境敏感区</w:t>
            </w:r>
            <w:r>
              <w:rPr>
                <w:rFonts w:hint="eastAsia" w:ascii="Times New Roman" w:hAnsi="Times New Roman" w:eastAsia="宋体" w:cs="Times New Roman"/>
                <w:color w:val="auto"/>
                <w:spacing w:val="-2"/>
                <w:kern w:val="0"/>
                <w:sz w:val="24"/>
                <w:szCs w:val="24"/>
                <w:lang w:val="en-US" w:eastAsia="zh-CN" w:bidi="ar-SA"/>
              </w:rPr>
              <w:t>和禁止开发区域</w:t>
            </w:r>
            <w:r>
              <w:rPr>
                <w:rFonts w:hint="eastAsia" w:ascii="Times New Roman" w:hAnsi="Times New Roman" w:eastAsia="宋体" w:cs="Times New Roman"/>
                <w:color w:val="auto"/>
                <w:spacing w:val="-2"/>
                <w:kern w:val="0"/>
                <w:sz w:val="24"/>
                <w:szCs w:val="24"/>
                <w:lang w:val="en-US" w:eastAsia="en-US" w:bidi="ar-SA"/>
              </w:rPr>
              <w:t>；</w:t>
            </w:r>
            <w:r>
              <w:rPr>
                <w:rFonts w:hint="eastAsia" w:ascii="Times New Roman" w:hAnsi="Times New Roman" w:eastAsia="宋体" w:cs="Times New Roman"/>
                <w:color w:val="auto"/>
                <w:spacing w:val="-2"/>
                <w:kern w:val="0"/>
                <w:sz w:val="24"/>
                <w:szCs w:val="24"/>
                <w:lang w:val="en-US" w:eastAsia="zh-CN" w:bidi="ar-SA"/>
              </w:rPr>
              <w:t>本次环评对项目</w:t>
            </w:r>
            <w:r>
              <w:rPr>
                <w:rFonts w:hint="eastAsia" w:ascii="Times New Roman" w:hAnsi="Times New Roman" w:eastAsia="宋体" w:cs="Times New Roman"/>
                <w:color w:val="auto"/>
                <w:spacing w:val="-2"/>
                <w:kern w:val="0"/>
                <w:sz w:val="24"/>
                <w:szCs w:val="24"/>
                <w:lang w:val="en-US" w:eastAsia="en-US" w:bidi="ar-SA"/>
              </w:rPr>
              <w:t>“三废”、噪声及生态影响均提出了相应的治理或减缓措施，</w:t>
            </w:r>
            <w:r>
              <w:rPr>
                <w:rFonts w:hint="eastAsia" w:ascii="Times New Roman" w:hAnsi="Times New Roman" w:eastAsia="宋体" w:cs="Times New Roman"/>
                <w:color w:val="auto"/>
                <w:spacing w:val="-2"/>
                <w:kern w:val="0"/>
                <w:sz w:val="24"/>
                <w:szCs w:val="24"/>
                <w:lang w:val="en-US" w:eastAsia="zh-CN" w:bidi="ar-SA"/>
              </w:rPr>
              <w:t>采取措施后污染物可达标排放或得到妥善处置，</w:t>
            </w:r>
            <w:r>
              <w:rPr>
                <w:rFonts w:hint="eastAsia" w:ascii="Times New Roman" w:hAnsi="Times New Roman" w:eastAsia="宋体" w:cs="Times New Roman"/>
                <w:color w:val="auto"/>
                <w:spacing w:val="-2"/>
                <w:kern w:val="0"/>
                <w:sz w:val="24"/>
                <w:szCs w:val="24"/>
                <w:lang w:val="en-US" w:eastAsia="en-US" w:bidi="ar-SA"/>
              </w:rPr>
              <w:t>符合规划环评相关要求。</w:t>
            </w:r>
          </w:p>
          <w:p>
            <w:pPr>
              <w:pStyle w:val="32"/>
              <w:numPr>
                <w:ilvl w:val="0"/>
                <w:numId w:val="5"/>
              </w:numPr>
              <w:bidi w:val="0"/>
              <w:rPr>
                <w:rFonts w:hint="eastAsia"/>
                <w:color w:val="auto"/>
                <w:lang w:val="en-US" w:eastAsia="zh-CN"/>
              </w:rPr>
            </w:pPr>
            <w:r>
              <w:rPr>
                <w:rFonts w:hint="eastAsia"/>
                <w:color w:val="auto"/>
                <w:lang w:val="en-US" w:eastAsia="zh-CN"/>
              </w:rPr>
              <w:t>与《新疆维吾尔自治区昌吉回族自治州矿产资源总体规划（2021—2025年）》及规划环评的符合性分析</w:t>
            </w:r>
          </w:p>
          <w:p>
            <w:pPr>
              <w:widowControl w:val="0"/>
              <w:spacing w:line="500" w:lineRule="exact"/>
              <w:ind w:firstLine="480" w:firstLineChars="200"/>
              <w:jc w:val="both"/>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规划》将石油、天然气列为鼓励勘察开采的矿种。以油气、煤、地热、硅质原料、饰面石材等矿产资源勘查开发为主，重点加强准噶尔南缘、准东冲断带等地区石油、天然气、页岩气等常规能源勘查，有序开发准东、准南等地区煤炭、煤层气资源，延伸煤炭产业链，推进煤电煤化工一体化等综合资源开发，助力天山北坡城市群经济高质量发展。项目位于</w:t>
            </w:r>
            <w:r>
              <w:rPr>
                <w:rFonts w:hint="eastAsia" w:ascii="宋体" w:hAnsi="宋体" w:eastAsia="宋体" w:cs="宋体"/>
                <w:color w:val="auto"/>
                <w:kern w:val="0"/>
                <w:sz w:val="24"/>
                <w:szCs w:val="24"/>
                <w:lang w:val="en-US" w:eastAsia="zh-CN" w:bidi="ar-SA"/>
              </w:rPr>
              <w:t>新疆准噶尔盆地南缘东区油气勘查项目的探矿权范围内</w:t>
            </w:r>
            <w:r>
              <w:rPr>
                <w:rFonts w:hint="eastAsia" w:ascii="宋体" w:hAnsi="宋体" w:eastAsia="宋体" w:cs="Times New Roman"/>
                <w:color w:val="auto"/>
                <w:kern w:val="0"/>
                <w:sz w:val="24"/>
                <w:szCs w:val="24"/>
                <w:lang w:val="en-US" w:eastAsia="zh-CN" w:bidi="ar-SA"/>
              </w:rPr>
              <w:t>，属于陆地石油勘探，符合规划相关要求。项目占地范围内不涉及</w:t>
            </w:r>
            <w:r>
              <w:rPr>
                <w:rFonts w:ascii="宋体" w:hAnsi="宋体" w:eastAsia="宋体" w:cs="Times New Roman"/>
                <w:color w:val="auto"/>
                <w:kern w:val="0"/>
                <w:sz w:val="24"/>
                <w:szCs w:val="24"/>
                <w:lang w:val="en-US" w:eastAsia="zh-CN" w:bidi="ar-SA"/>
              </w:rPr>
              <w:t>自然保护区、水源保护区、风景名胜区、城市规划区、居民密集区、重要水工设施、高速公路、铁路、</w:t>
            </w:r>
            <w:r>
              <w:rPr>
                <w:rFonts w:hint="eastAsia" w:ascii="宋体" w:hAnsi="宋体" w:eastAsia="宋体" w:cs="Times New Roman"/>
                <w:color w:val="auto"/>
                <w:kern w:val="0"/>
                <w:sz w:val="24"/>
                <w:szCs w:val="24"/>
                <w:lang w:val="en-US" w:eastAsia="zh-CN" w:bidi="ar-SA"/>
              </w:rPr>
              <w:t>永久</w:t>
            </w:r>
            <w:r>
              <w:rPr>
                <w:rFonts w:ascii="宋体" w:hAnsi="宋体" w:eastAsia="宋体" w:cs="Times New Roman"/>
                <w:color w:val="auto"/>
                <w:kern w:val="0"/>
                <w:sz w:val="24"/>
                <w:szCs w:val="24"/>
                <w:lang w:val="en-US" w:eastAsia="zh-CN" w:bidi="ar-SA"/>
              </w:rPr>
              <w:t>基本农田等</w:t>
            </w:r>
            <w:r>
              <w:rPr>
                <w:rFonts w:hint="eastAsia" w:ascii="宋体" w:hAnsi="宋体" w:eastAsia="宋体" w:cs="Times New Roman"/>
                <w:color w:val="auto"/>
                <w:kern w:val="0"/>
                <w:sz w:val="24"/>
                <w:szCs w:val="24"/>
                <w:lang w:val="en-US" w:eastAsia="zh-CN" w:bidi="ar-SA"/>
              </w:rPr>
              <w:t>；施工期采取了严格的生态保护和修复措施。施工期产生的“三废”、噪声及生态影响均提出了相应的治理或减缓措施，符合规划环评的相关要求。</w:t>
            </w:r>
          </w:p>
          <w:p>
            <w:pPr>
              <w:pStyle w:val="32"/>
              <w:numPr>
                <w:ilvl w:val="0"/>
                <w:numId w:val="5"/>
              </w:numPr>
              <w:bidi w:val="0"/>
              <w:rPr>
                <w:rFonts w:hint="eastAsia"/>
                <w:color w:val="auto"/>
                <w:lang w:val="en-US" w:eastAsia="zh-CN"/>
              </w:rPr>
            </w:pPr>
            <w:r>
              <w:rPr>
                <w:rFonts w:hint="eastAsia"/>
                <w:color w:val="auto"/>
                <w:lang w:val="en-US" w:eastAsia="zh-CN"/>
              </w:rPr>
              <w:t>与《新疆油田公司“十四五”发展规划》及规划环评的符合性分析</w:t>
            </w:r>
          </w:p>
          <w:p>
            <w:pPr>
              <w:bidi w:val="0"/>
              <w:rPr>
                <w:rFonts w:hint="eastAsia" w:ascii="Times New Roman" w:hAnsi="Times New Roman" w:eastAsia="宋体" w:cs="Times New Roman"/>
                <w:color w:val="auto"/>
                <w:spacing w:val="-2"/>
                <w:kern w:val="0"/>
                <w:sz w:val="24"/>
                <w:szCs w:val="24"/>
                <w:lang w:val="en-US" w:eastAsia="zh-CN" w:bidi="ar-SA"/>
              </w:rPr>
            </w:pPr>
            <w:r>
              <w:rPr>
                <w:rFonts w:hint="eastAsia" w:ascii="Times New Roman" w:hAnsi="Times New Roman" w:eastAsia="宋体" w:cs="Times New Roman"/>
                <w:color w:val="auto"/>
                <w:spacing w:val="-2"/>
                <w:kern w:val="0"/>
                <w:sz w:val="24"/>
                <w:szCs w:val="24"/>
                <w:lang w:val="en-US" w:eastAsia="zh-CN" w:bidi="ar-SA"/>
              </w:rPr>
              <w:t>本项目部署的天湾103井属于《新疆油田公司“十四五”发展规划》中的南缘片区，符合规划要求。规划环评要求对产生的污染物采取相应的治理措施，对实施过程中产生的生态影响采取有效的减缓措施。本项目属于陆地石油勘探，施工期产生的“三废”、噪声及生态影响均提出了相应的治理或减缓措施，符合规划及规划环评相关要求。</w:t>
            </w:r>
          </w:p>
          <w:p>
            <w:pPr>
              <w:pStyle w:val="10"/>
              <w:keepNext w:val="0"/>
              <w:keepLines w:val="0"/>
              <w:pageBreakBefore w:val="0"/>
              <w:widowControl w:val="0"/>
              <w:kinsoku/>
              <w:wordWrap/>
              <w:overflowPunct/>
              <w:topLinePunct w:val="0"/>
              <w:autoSpaceDE/>
              <w:autoSpaceDN/>
              <w:bidi w:val="0"/>
              <w:adjustRightInd w:val="0"/>
              <w:snapToGrid w:val="0"/>
              <w:spacing w:line="240" w:lineRule="exact"/>
              <w:ind w:left="0" w:right="0"/>
              <w:textAlignment w:val="auto"/>
              <w:rPr>
                <w:rFonts w:hint="default"/>
                <w:color w:val="auto"/>
                <w:lang w:val="en-US" w:eastAsia="zh-CN"/>
              </w:rPr>
            </w:pPr>
            <w:r>
              <w:rPr>
                <w:rFonts w:hint="eastAsia" w:ascii="Times New Roman" w:hAnsi="Times New Roman" w:eastAsia="宋体" w:cs="Times New Roman"/>
                <w:color w:val="auto"/>
                <w:spacing w:val="-2"/>
                <w:kern w:val="0"/>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7" w:hRule="atLeast"/>
        </w:trPr>
        <w:tc>
          <w:tcPr>
            <w:tcW w:w="426" w:type="dxa"/>
            <w:vAlign w:val="center"/>
          </w:tcPr>
          <w:p>
            <w:pPr>
              <w:pStyle w:val="53"/>
              <w:bidi w:val="0"/>
              <w:rPr>
                <w:rFonts w:hint="default"/>
                <w:color w:val="auto"/>
              </w:rPr>
            </w:pPr>
            <w:bookmarkStart w:id="4" w:name="_Hlk56690880"/>
            <w:r>
              <w:rPr>
                <w:rFonts w:hint="default"/>
                <w:color w:val="auto"/>
              </w:rPr>
              <w:t>其他符合性分析</w:t>
            </w:r>
            <w:bookmarkEnd w:id="4"/>
          </w:p>
        </w:tc>
        <w:tc>
          <w:tcPr>
            <w:tcW w:w="8465" w:type="dxa"/>
            <w:gridSpan w:val="4"/>
            <w:vAlign w:val="center"/>
          </w:tcPr>
          <w:p>
            <w:pPr>
              <w:pStyle w:val="32"/>
              <w:numPr>
                <w:ilvl w:val="0"/>
                <w:numId w:val="6"/>
              </w:num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产业政策</w:t>
            </w:r>
          </w:p>
          <w:p>
            <w:pPr>
              <w:pStyle w:val="36"/>
              <w:bidi w:val="0"/>
              <w:rPr>
                <w:rFonts w:hint="default"/>
                <w:color w:val="auto"/>
              </w:rPr>
            </w:pPr>
            <w:r>
              <w:rPr>
                <w:rFonts w:hint="default"/>
                <w:color w:val="auto"/>
              </w:rPr>
              <w:t>本项目属于《产业结构调整指导目录（2024年本）》中的鼓励类——七、石油天然气——1、常规石油、天然气勘探与开采，页岩气、页岩油、致密油（气）、油砂、天然气水合物等非常规资源勘探开发，符合国家产业政策。</w:t>
            </w:r>
          </w:p>
          <w:p>
            <w:pPr>
              <w:pStyle w:val="32"/>
              <w:numPr>
                <w:ilvl w:val="0"/>
                <w:numId w:val="6"/>
              </w:numPr>
              <w:bidi w:val="0"/>
              <w:rPr>
                <w:rFonts w:hint="default" w:ascii="Times New Roman" w:hAnsi="Times New Roman" w:cs="Times New Roman"/>
                <w:color w:val="auto"/>
              </w:rPr>
            </w:pPr>
            <w:r>
              <w:rPr>
                <w:rFonts w:hint="default" w:ascii="Times New Roman" w:hAnsi="Times New Roman" w:cs="Times New Roman"/>
                <w:color w:val="auto"/>
              </w:rPr>
              <w:t>“三线一单”符合性分析</w:t>
            </w:r>
          </w:p>
          <w:p>
            <w:pPr>
              <w:pStyle w:val="31"/>
              <w:numPr>
                <w:ilvl w:val="1"/>
                <w:numId w:val="6"/>
              </w:numPr>
              <w:bidi w:val="0"/>
              <w:rPr>
                <w:rFonts w:hint="default"/>
                <w:color w:val="auto"/>
              </w:rPr>
            </w:pPr>
            <w:r>
              <w:rPr>
                <w:rFonts w:hint="default"/>
                <w:color w:val="auto"/>
              </w:rPr>
              <w:t>生态保护红线</w:t>
            </w:r>
          </w:p>
          <w:p>
            <w:pPr>
              <w:pStyle w:val="36"/>
              <w:bidi w:val="0"/>
              <w:rPr>
                <w:rFonts w:hint="default"/>
                <w:color w:val="auto"/>
                <w:lang w:val="en-US" w:eastAsia="zh-CN"/>
              </w:rPr>
            </w:pPr>
            <w:r>
              <w:rPr>
                <w:rFonts w:hint="default"/>
                <w:color w:val="auto"/>
              </w:rPr>
              <w:t>本项目所在区不属于自然保护区、风景名胜区、居民居住区、学校等环境敏感区，</w:t>
            </w:r>
            <w:r>
              <w:rPr>
                <w:rFonts w:hint="default"/>
                <w:color w:val="auto"/>
                <w:lang w:val="en-US" w:eastAsia="zh-CN"/>
              </w:rPr>
              <w:t>不占用</w:t>
            </w:r>
            <w:r>
              <w:rPr>
                <w:rFonts w:hint="default"/>
                <w:color w:val="auto"/>
              </w:rPr>
              <w:t>生态保护红线</w:t>
            </w:r>
            <w:r>
              <w:rPr>
                <w:rFonts w:hint="default"/>
                <w:color w:val="auto"/>
                <w:lang w:val="en-US" w:eastAsia="zh-CN"/>
              </w:rPr>
              <w:t>且距离生态保护红线距离较远，不会对</w:t>
            </w:r>
            <w:r>
              <w:rPr>
                <w:rFonts w:hint="eastAsia"/>
                <w:color w:val="auto"/>
                <w:lang w:val="en-US" w:eastAsia="zh-CN"/>
              </w:rPr>
              <w:t>其</w:t>
            </w:r>
            <w:r>
              <w:rPr>
                <w:rFonts w:hint="default"/>
                <w:color w:val="auto"/>
                <w:lang w:val="en-US" w:eastAsia="zh-CN"/>
              </w:rPr>
              <w:t>产生影响。项目与生态保护红线相对位置关系见附图1。</w:t>
            </w:r>
          </w:p>
          <w:p>
            <w:pPr>
              <w:pStyle w:val="31"/>
              <w:numPr>
                <w:ilvl w:val="1"/>
                <w:numId w:val="6"/>
              </w:numPr>
              <w:bidi w:val="0"/>
              <w:rPr>
                <w:rFonts w:hint="default"/>
                <w:color w:val="auto"/>
              </w:rPr>
            </w:pPr>
            <w:r>
              <w:rPr>
                <w:rFonts w:hint="default"/>
                <w:color w:val="auto"/>
              </w:rPr>
              <w:t>环境质量底线</w:t>
            </w:r>
          </w:p>
          <w:p>
            <w:pPr>
              <w:pStyle w:val="36"/>
              <w:bidi w:val="0"/>
              <w:rPr>
                <w:rFonts w:hint="default"/>
                <w:color w:val="auto"/>
              </w:rPr>
            </w:pPr>
            <w:r>
              <w:rPr>
                <w:rFonts w:hint="default"/>
                <w:color w:val="auto"/>
              </w:rPr>
              <w:t>本项目为陆地矿产资源地质勘查</w:t>
            </w:r>
            <w:r>
              <w:rPr>
                <w:rFonts w:hint="eastAsia"/>
                <w:color w:val="auto"/>
                <w:lang w:eastAsia="zh-CN"/>
              </w:rPr>
              <w:t>－</w:t>
            </w:r>
            <w:r>
              <w:rPr>
                <w:rFonts w:hint="default"/>
                <w:color w:val="auto"/>
                <w:lang w:val="en-US" w:eastAsia="zh-CN"/>
              </w:rPr>
              <w:t>油气资源</w:t>
            </w:r>
            <w:r>
              <w:rPr>
                <w:rFonts w:hint="default"/>
                <w:color w:val="auto"/>
              </w:rPr>
              <w:t>勘探项目，无运营期；钻试期产生的污染影响随施工结束而停止，对区域环境质量影响小，不会突破区域环境质量底线。</w:t>
            </w:r>
          </w:p>
          <w:p>
            <w:pPr>
              <w:pStyle w:val="31"/>
              <w:numPr>
                <w:ilvl w:val="1"/>
                <w:numId w:val="6"/>
              </w:numPr>
              <w:bidi w:val="0"/>
              <w:rPr>
                <w:rFonts w:hint="default"/>
                <w:color w:val="auto"/>
              </w:rPr>
            </w:pPr>
            <w:r>
              <w:rPr>
                <w:rFonts w:hint="default"/>
                <w:color w:val="auto"/>
              </w:rPr>
              <w:t>资源利用上线</w:t>
            </w:r>
          </w:p>
          <w:p>
            <w:pPr>
              <w:pStyle w:val="36"/>
              <w:bidi w:val="0"/>
              <w:rPr>
                <w:rFonts w:hint="default"/>
                <w:color w:val="auto"/>
              </w:rPr>
            </w:pPr>
            <w:r>
              <w:rPr>
                <w:rFonts w:hint="default"/>
                <w:color w:val="auto"/>
                <w:lang w:val="en-US" w:eastAsia="zh-CN"/>
              </w:rPr>
              <w:t>本</w:t>
            </w:r>
            <w:r>
              <w:rPr>
                <w:rFonts w:hint="default"/>
                <w:color w:val="auto"/>
              </w:rPr>
              <w:t>项目</w:t>
            </w:r>
            <w:r>
              <w:rPr>
                <w:rFonts w:hint="default"/>
                <w:color w:val="auto"/>
                <w:lang w:val="en-US" w:eastAsia="zh-CN"/>
              </w:rPr>
              <w:t>为临时占地，不会永久占用土地资源；</w:t>
            </w:r>
            <w:r>
              <w:rPr>
                <w:rFonts w:hint="default"/>
                <w:color w:val="auto"/>
              </w:rPr>
              <w:t>项目建设过程中会消耗一定量的柴油及新鲜水</w:t>
            </w:r>
            <w:r>
              <w:rPr>
                <w:rFonts w:hint="default" w:ascii="Times New Roman" w:hAnsi="Times New Roman" w:eastAsia="宋体" w:cs="Times New Roman"/>
                <w:color w:val="auto"/>
              </w:rPr>
              <w:t>，柴油外购</w:t>
            </w:r>
            <w:r>
              <w:rPr>
                <w:rFonts w:hint="eastAsia" w:ascii="Times New Roman" w:hAnsi="Times New Roman" w:eastAsia="宋体" w:cs="Times New Roman"/>
                <w:color w:val="auto"/>
                <w:lang w:val="en-US" w:eastAsia="zh-CN"/>
              </w:rPr>
              <w:t>并使用</w:t>
            </w:r>
            <w:r>
              <w:rPr>
                <w:rFonts w:hint="default" w:ascii="Times New Roman" w:hAnsi="Times New Roman" w:eastAsia="宋体" w:cs="Times New Roman"/>
                <w:color w:val="auto"/>
              </w:rPr>
              <w:t>罐车拉运至井场，</w:t>
            </w:r>
            <w:r>
              <w:rPr>
                <w:rFonts w:hint="eastAsia" w:ascii="Times New Roman" w:hAnsi="Times New Roman" w:eastAsia="宋体" w:cs="Times New Roman"/>
                <w:color w:val="auto"/>
              </w:rPr>
              <w:t>新鲜水从</w:t>
            </w:r>
            <w:r>
              <w:rPr>
                <w:rFonts w:hint="eastAsia" w:ascii="Times New Roman" w:hAnsi="Times New Roman" w:eastAsia="宋体" w:cs="Times New Roman"/>
                <w:color w:val="auto"/>
                <w:lang w:val="en-US" w:eastAsia="zh-CN"/>
              </w:rPr>
              <w:t>玛纳斯</w:t>
            </w:r>
            <w:r>
              <w:rPr>
                <w:rFonts w:hint="eastAsia" w:ascii="Times New Roman" w:hAnsi="Times New Roman" w:eastAsia="宋体" w:cs="Times New Roman"/>
                <w:color w:val="auto"/>
              </w:rPr>
              <w:t>县由罐车拉运至井场，</w:t>
            </w:r>
            <w:r>
              <w:rPr>
                <w:rFonts w:hint="eastAsia" w:ascii="Times New Roman" w:hAnsi="Times New Roman" w:eastAsia="宋体" w:cs="Times New Roman"/>
                <w:color w:val="auto"/>
                <w:lang w:val="en-US" w:eastAsia="zh-CN"/>
              </w:rPr>
              <w:t>项目</w:t>
            </w:r>
            <w:r>
              <w:rPr>
                <w:rFonts w:hint="eastAsia" w:ascii="Times New Roman" w:hAnsi="Times New Roman" w:eastAsia="宋体" w:cs="Times New Roman"/>
                <w:color w:val="auto"/>
              </w:rPr>
              <w:t>不开采地下水；</w:t>
            </w:r>
            <w:r>
              <w:rPr>
                <w:rFonts w:hint="default" w:ascii="Times New Roman" w:hAnsi="Times New Roman" w:eastAsia="宋体" w:cs="Times New Roman"/>
                <w:color w:val="auto"/>
              </w:rPr>
              <w:t>消耗量总体相对区域资源利用总量</w:t>
            </w:r>
            <w:r>
              <w:rPr>
                <w:rFonts w:hint="default" w:ascii="Times New Roman" w:hAnsi="Times New Roman" w:eastAsia="宋体" w:cs="Times New Roman"/>
                <w:color w:val="auto"/>
                <w:lang w:val="en-US" w:eastAsia="zh-CN"/>
              </w:rPr>
              <w:t>很</w:t>
            </w:r>
            <w:r>
              <w:rPr>
                <w:rFonts w:hint="default"/>
                <w:color w:val="auto"/>
                <w:lang w:val="en-US" w:eastAsia="zh-CN"/>
              </w:rPr>
              <w:t>少</w:t>
            </w:r>
            <w:r>
              <w:rPr>
                <w:rFonts w:hint="default"/>
                <w:color w:val="auto"/>
                <w:lang w:eastAsia="zh-CN"/>
              </w:rPr>
              <w:t>，</w:t>
            </w:r>
            <w:r>
              <w:rPr>
                <w:rFonts w:hint="default"/>
                <w:color w:val="auto"/>
              </w:rPr>
              <w:t>在</w:t>
            </w:r>
            <w:r>
              <w:rPr>
                <w:rFonts w:hint="default" w:ascii="Times New Roman" w:hAnsi="Times New Roman" w:eastAsia="宋体" w:cs="Times New Roman"/>
                <w:color w:val="auto"/>
              </w:rPr>
              <w:t>区域</w:t>
            </w:r>
            <w:r>
              <w:rPr>
                <w:rFonts w:hint="default"/>
                <w:color w:val="auto"/>
              </w:rPr>
              <w:t>可承受范围内，不会突破区域资源利用上线</w:t>
            </w:r>
            <w:r>
              <w:rPr>
                <w:rFonts w:hint="default"/>
                <w:color w:val="auto"/>
                <w:lang w:eastAsia="zh-CN"/>
              </w:rPr>
              <w:t>，</w:t>
            </w:r>
            <w:r>
              <w:rPr>
                <w:rFonts w:hint="default"/>
                <w:color w:val="auto"/>
              </w:rPr>
              <w:t>符合区域资源利用要求。</w:t>
            </w:r>
          </w:p>
          <w:p>
            <w:pPr>
              <w:pStyle w:val="31"/>
              <w:numPr>
                <w:ilvl w:val="1"/>
                <w:numId w:val="6"/>
              </w:numPr>
              <w:bidi w:val="0"/>
              <w:rPr>
                <w:rFonts w:hint="default" w:ascii="Times New Roman" w:hAnsi="Times New Roman" w:cs="Times New Roman"/>
                <w:color w:val="auto"/>
              </w:rPr>
            </w:pPr>
            <w:r>
              <w:rPr>
                <w:rFonts w:hint="default" w:ascii="Times New Roman" w:hAnsi="Times New Roman" w:cs="Times New Roman"/>
                <w:color w:val="auto"/>
              </w:rPr>
              <w:t>生态环境准入清单</w:t>
            </w:r>
          </w:p>
          <w:p>
            <w:pPr>
              <w:pStyle w:val="36"/>
              <w:bidi w:val="0"/>
              <w:rPr>
                <w:rFonts w:hint="default"/>
                <w:color w:val="auto"/>
                <w:lang w:val="en-US" w:eastAsia="zh-CN"/>
              </w:rPr>
            </w:pPr>
            <w:r>
              <w:rPr>
                <w:rFonts w:hint="eastAsia"/>
                <w:color w:val="auto"/>
                <w:lang w:val="en-US" w:eastAsia="zh-CN"/>
              </w:rPr>
              <w:t>天湾102井</w:t>
            </w:r>
            <w:r>
              <w:rPr>
                <w:rFonts w:hint="default"/>
                <w:color w:val="auto"/>
              </w:rPr>
              <w:t>位于《新疆维吾尔自治区生态环境分区管控动态更新成果》</w:t>
            </w:r>
            <w:r>
              <w:rPr>
                <w:rFonts w:hint="eastAsia"/>
                <w:color w:val="auto"/>
                <w:lang w:val="en-US" w:eastAsia="zh-CN"/>
              </w:rPr>
              <w:t>中的昌吉回族自治州一般管控单元，对照《昌吉回族自治州生态环境分区管控动态更新成果</w:t>
            </w:r>
            <w:r>
              <w:rPr>
                <w:rFonts w:hint="default"/>
                <w:color w:val="auto"/>
              </w:rPr>
              <w:t>》</w:t>
            </w:r>
            <w:r>
              <w:rPr>
                <w:rFonts w:hint="eastAsia"/>
                <w:color w:val="auto"/>
                <w:lang w:eastAsia="zh-CN"/>
              </w:rPr>
              <w:t>，</w:t>
            </w:r>
            <w:r>
              <w:rPr>
                <w:rFonts w:hint="eastAsia"/>
                <w:color w:val="auto"/>
                <w:lang w:val="en-US" w:eastAsia="zh-CN"/>
              </w:rPr>
              <w:t>项目所在区域属于玛纳斯县一般管控单元</w:t>
            </w:r>
            <w:r>
              <w:rPr>
                <w:rFonts w:hint="default"/>
                <w:color w:val="auto"/>
              </w:rPr>
              <w:t>，单元编码为ZH65232430001</w:t>
            </w:r>
            <w:r>
              <w:rPr>
                <w:rFonts w:hint="eastAsia"/>
                <w:color w:val="auto"/>
                <w:lang w:eastAsia="zh-CN"/>
              </w:rPr>
              <w:t>。</w:t>
            </w:r>
            <w:r>
              <w:rPr>
                <w:rFonts w:hint="eastAsia"/>
                <w:color w:val="auto"/>
                <w:lang w:val="en-US" w:eastAsia="zh-CN"/>
              </w:rPr>
              <w:t>项目</w:t>
            </w:r>
            <w:r>
              <w:rPr>
                <w:rFonts w:hint="default"/>
                <w:color w:val="auto"/>
                <w:lang w:val="en-US" w:eastAsia="zh-CN"/>
              </w:rPr>
              <w:t>在</w:t>
            </w:r>
            <w:r>
              <w:rPr>
                <w:rFonts w:hint="eastAsia"/>
                <w:color w:val="auto"/>
                <w:lang w:val="en-US" w:eastAsia="zh-CN"/>
              </w:rPr>
              <w:t>昌吉回族自治州“</w:t>
            </w:r>
            <w:r>
              <w:rPr>
                <w:rFonts w:hint="default"/>
                <w:color w:val="auto"/>
                <w:lang w:val="en-US" w:eastAsia="zh-CN"/>
              </w:rPr>
              <w:t>三线一单</w:t>
            </w:r>
            <w:r>
              <w:rPr>
                <w:rFonts w:hint="eastAsia" w:ascii="Times New Roman" w:eastAsia="宋体"/>
                <w:color w:val="auto"/>
                <w:lang w:val="en-US" w:eastAsia="zh-CN"/>
              </w:rPr>
              <w:t>”</w:t>
            </w:r>
            <w:r>
              <w:rPr>
                <w:rFonts w:hint="default"/>
                <w:color w:val="auto"/>
                <w:lang w:val="en-US" w:eastAsia="zh-CN"/>
              </w:rPr>
              <w:t>管控单元中位置</w:t>
            </w:r>
            <w:r>
              <w:rPr>
                <w:rFonts w:hint="default"/>
                <w:color w:val="auto"/>
              </w:rPr>
              <w:t>见附图</w:t>
            </w:r>
            <w:r>
              <w:rPr>
                <w:rFonts w:hint="default"/>
                <w:color w:val="auto"/>
                <w:lang w:val="en-US" w:eastAsia="zh-CN"/>
              </w:rPr>
              <w:t>2</w:t>
            </w:r>
            <w:r>
              <w:rPr>
                <w:rFonts w:hint="default"/>
                <w:color w:val="auto"/>
              </w:rPr>
              <w:t>。</w:t>
            </w:r>
            <w:r>
              <w:rPr>
                <w:rFonts w:hint="default"/>
                <w:color w:val="auto"/>
                <w:lang w:val="en-US" w:eastAsia="zh-CN"/>
              </w:rPr>
              <w:t>项目所在管控单元项目环境准入符合性分析见</w:t>
            </w:r>
            <w:r>
              <w:rPr>
                <w:rFonts w:hint="eastAsia"/>
                <w:color w:val="auto"/>
                <w:lang w:val="en-US" w:eastAsia="zh-CN"/>
              </w:rPr>
              <w:t>下表</w:t>
            </w:r>
            <w:r>
              <w:rPr>
                <w:rFonts w:hint="default"/>
                <w:color w:val="auto"/>
                <w:lang w:val="en-US" w:eastAsia="zh-CN"/>
              </w:rPr>
              <w:t>。</w:t>
            </w:r>
          </w:p>
          <w:p>
            <w:pPr>
              <w:pStyle w:val="36"/>
              <w:bidi w:val="0"/>
              <w:rPr>
                <w:rFonts w:hint="default"/>
                <w:color w:val="auto"/>
                <w:lang w:val="en-US" w:eastAsia="zh-CN"/>
              </w:rPr>
            </w:pPr>
          </w:p>
          <w:p>
            <w:pPr>
              <w:pStyle w:val="52"/>
              <w:bidi w:val="0"/>
              <w:rPr>
                <w:rFonts w:hint="default" w:ascii="Times New Roman" w:hAnsi="Times New Roman" w:cs="Times New Roman"/>
                <w:color w:val="auto"/>
                <w:lang w:val="en-US" w:eastAsia="zh-CN"/>
              </w:rPr>
            </w:pPr>
            <w:r>
              <w:rPr>
                <w:rFonts w:hint="default" w:ascii="Times New Roman" w:hAnsi="Times New Roman" w:cs="Times New Roman"/>
                <w:color w:val="auto"/>
              </w:rPr>
              <w:t>表</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SEQ 表 \* ARABIC </w:instrText>
            </w:r>
            <w:r>
              <w:rPr>
                <w:rFonts w:hint="default" w:ascii="Times New Roman" w:hAnsi="Times New Roman" w:cs="Times New Roman"/>
                <w:color w:val="auto"/>
              </w:rPr>
              <w:fldChar w:fldCharType="separate"/>
            </w:r>
            <w:r>
              <w:rPr>
                <w:rFonts w:hint="default" w:ascii="Times New Roman" w:hAnsi="Times New Roman" w:cs="Times New Roman"/>
                <w:color w:val="auto"/>
              </w:rPr>
              <w:t>1</w:t>
            </w:r>
            <w:r>
              <w:rPr>
                <w:rFonts w:hint="default" w:ascii="Times New Roman" w:hAnsi="Times New Roman" w:cs="Times New Roman"/>
                <w:color w:val="auto"/>
              </w:rPr>
              <w:fldChar w:fldCharType="end"/>
            </w:r>
            <w:r>
              <w:rPr>
                <w:rFonts w:hint="default" w:ascii="Times New Roman" w:hAnsi="Times New Roman" w:cs="Times New Roman"/>
                <w:color w:val="auto"/>
                <w:lang w:val="en-US" w:eastAsia="zh-CN"/>
              </w:rPr>
              <w:t>-1  本项目与“三线一单”分区管控要求符合性分析</w:t>
            </w:r>
          </w:p>
          <w:tbl>
            <w:tblPr>
              <w:tblStyle w:val="24"/>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28" w:type="dxa"/>
                <w:bottom w:w="0" w:type="dxa"/>
                <w:right w:w="28" w:type="dxa"/>
              </w:tblCellMar>
            </w:tblPr>
            <w:tblGrid>
              <w:gridCol w:w="841"/>
              <w:gridCol w:w="1011"/>
              <w:gridCol w:w="2878"/>
              <w:gridCol w:w="2706"/>
              <w:gridCol w:w="81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0" w:hRule="atLeast"/>
                <w:tblHeader/>
                <w:jc w:val="center"/>
              </w:trPr>
              <w:tc>
                <w:tcPr>
                  <w:tcW w:w="1122" w:type="pct"/>
                  <w:gridSpan w:val="2"/>
                  <w:tcBorders>
                    <w:tl2br w:val="nil"/>
                    <w:tr2bl w:val="nil"/>
                  </w:tcBorders>
                  <w:shd w:val="clear" w:color="auto" w:fill="auto"/>
                  <w:vAlign w:val="center"/>
                </w:tcPr>
                <w:p>
                  <w:pPr>
                    <w:pStyle w:val="33"/>
                    <w:bidi w:val="0"/>
                    <w:rPr>
                      <w:rFonts w:hint="default"/>
                      <w:color w:val="auto"/>
                      <w:lang w:val="en-US" w:eastAsia="zh-CN"/>
                    </w:rPr>
                  </w:pPr>
                  <w:r>
                    <w:rPr>
                      <w:rFonts w:hint="eastAsia"/>
                      <w:color w:val="auto"/>
                      <w:lang w:val="en-US" w:eastAsia="zh-CN"/>
                    </w:rPr>
                    <w:t>管控类别</w:t>
                  </w:r>
                </w:p>
              </w:tc>
              <w:tc>
                <w:tcPr>
                  <w:tcW w:w="1745" w:type="pct"/>
                  <w:tcBorders>
                    <w:tl2br w:val="nil"/>
                    <w:tr2bl w:val="nil"/>
                  </w:tcBorders>
                  <w:shd w:val="clear" w:color="auto" w:fill="auto"/>
                  <w:vAlign w:val="center"/>
                </w:tcPr>
                <w:p>
                  <w:pPr>
                    <w:pStyle w:val="33"/>
                    <w:bidi w:val="0"/>
                    <w:rPr>
                      <w:rFonts w:hint="default" w:ascii="Times New Roman" w:hAnsi="Times New Roman" w:eastAsia="宋体" w:cs="Times New Roman"/>
                      <w:color w:val="auto"/>
                      <w:szCs w:val="21"/>
                      <w:lang w:val="en-US"/>
                    </w:rPr>
                  </w:pPr>
                  <w:r>
                    <w:rPr>
                      <w:rFonts w:hint="default"/>
                      <w:color w:val="auto"/>
                      <w:lang w:val="en-US" w:eastAsia="zh-CN"/>
                    </w:rPr>
                    <w:t>管控要求</w:t>
                  </w:r>
                </w:p>
              </w:tc>
              <w:tc>
                <w:tcPr>
                  <w:tcW w:w="1640" w:type="pct"/>
                  <w:tcBorders>
                    <w:tl2br w:val="nil"/>
                    <w:tr2bl w:val="nil"/>
                  </w:tcBorders>
                  <w:shd w:val="clear" w:color="auto" w:fill="auto"/>
                  <w:vAlign w:val="center"/>
                </w:tcPr>
                <w:p>
                  <w:pPr>
                    <w:pStyle w:val="33"/>
                    <w:bidi w:val="0"/>
                    <w:rPr>
                      <w:rFonts w:hint="default" w:ascii="Times New Roman" w:hAnsi="Times New Roman" w:eastAsia="宋体" w:cs="Times New Roman"/>
                      <w:color w:val="auto"/>
                      <w:szCs w:val="21"/>
                      <w:lang w:val="en-US" w:eastAsia="zh-CN"/>
                    </w:rPr>
                  </w:pPr>
                  <w:r>
                    <w:rPr>
                      <w:rFonts w:hint="default"/>
                      <w:color w:val="auto"/>
                      <w:lang w:val="en-US" w:eastAsia="zh-CN"/>
                    </w:rPr>
                    <w:t>本项目情况</w:t>
                  </w:r>
                </w:p>
              </w:tc>
              <w:tc>
                <w:tcPr>
                  <w:tcW w:w="491" w:type="pct"/>
                  <w:tcBorders>
                    <w:tl2br w:val="nil"/>
                    <w:tr2bl w:val="nil"/>
                  </w:tcBorders>
                  <w:shd w:val="clear" w:color="auto" w:fill="auto"/>
                  <w:vAlign w:val="center"/>
                </w:tcPr>
                <w:p>
                  <w:pPr>
                    <w:pStyle w:val="33"/>
                    <w:bidi w:val="0"/>
                    <w:rPr>
                      <w:rFonts w:hint="default" w:ascii="Times New Roman" w:hAnsi="Times New Roman" w:eastAsia="宋体" w:cs="Times New Roman"/>
                      <w:color w:val="auto"/>
                      <w:szCs w:val="21"/>
                      <w:lang w:val="en-US" w:eastAsia="zh-CN"/>
                    </w:rPr>
                  </w:pPr>
                  <w:r>
                    <w:rPr>
                      <w:rFonts w:hint="default"/>
                      <w:color w:val="auto"/>
                      <w:lang w:val="en-US" w:eastAsia="zh-CN"/>
                    </w:rPr>
                    <w:t>符合性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0" w:hRule="atLeast"/>
                <w:jc w:val="center"/>
              </w:trPr>
              <w:tc>
                <w:tcPr>
                  <w:tcW w:w="509" w:type="pct"/>
                  <w:vMerge w:val="restart"/>
                  <w:tcBorders>
                    <w:tl2br w:val="nil"/>
                    <w:tr2bl w:val="nil"/>
                  </w:tcBorders>
                  <w:shd w:val="clear" w:color="auto" w:fill="auto"/>
                  <w:vAlign w:val="center"/>
                </w:tcPr>
                <w:p>
                  <w:pPr>
                    <w:pStyle w:val="33"/>
                    <w:bidi w:val="0"/>
                    <w:rPr>
                      <w:rFonts w:hint="default" w:eastAsia="宋体"/>
                      <w:color w:val="auto"/>
                      <w:lang w:val="en-US" w:eastAsia="zh-CN"/>
                    </w:rPr>
                  </w:pPr>
                  <w:r>
                    <w:rPr>
                      <w:rFonts w:hint="eastAsia"/>
                      <w:color w:val="auto"/>
                      <w:lang w:val="en-US" w:eastAsia="zh-CN"/>
                    </w:rPr>
                    <w:t>昌吉回族自治州总体管控要求</w:t>
                  </w:r>
                </w:p>
              </w:tc>
              <w:tc>
                <w:tcPr>
                  <w:tcW w:w="613" w:type="pct"/>
                  <w:tcBorders>
                    <w:tl2br w:val="nil"/>
                    <w:tr2bl w:val="nil"/>
                  </w:tcBorders>
                  <w:shd w:val="clear" w:color="auto" w:fill="auto"/>
                  <w:vAlign w:val="center"/>
                </w:tcPr>
                <w:p>
                  <w:pPr>
                    <w:pStyle w:val="33"/>
                    <w:bidi w:val="0"/>
                    <w:rPr>
                      <w:rFonts w:hint="eastAsia"/>
                      <w:color w:val="auto"/>
                      <w:lang w:val="en-US" w:eastAsia="zh-CN"/>
                    </w:rPr>
                  </w:pPr>
                  <w:r>
                    <w:rPr>
                      <w:rFonts w:hint="default"/>
                      <w:color w:val="auto"/>
                    </w:rPr>
                    <w:t>空间布局约束</w:t>
                  </w:r>
                </w:p>
              </w:tc>
              <w:tc>
                <w:tcPr>
                  <w:tcW w:w="1745" w:type="pct"/>
                  <w:tcBorders>
                    <w:tl2br w:val="nil"/>
                    <w:tr2bl w:val="nil"/>
                  </w:tcBorders>
                  <w:shd w:val="clear" w:color="auto" w:fill="auto"/>
                  <w:vAlign w:val="center"/>
                </w:tcPr>
                <w:p>
                  <w:pPr>
                    <w:pStyle w:val="33"/>
                    <w:bidi w:val="0"/>
                    <w:rPr>
                      <w:rFonts w:hint="default"/>
                      <w:color w:val="auto"/>
                      <w:lang w:val="en-US" w:eastAsia="zh-CN"/>
                    </w:rPr>
                  </w:pPr>
                  <w:r>
                    <w:rPr>
                      <w:rFonts w:hint="eastAsia"/>
                      <w:color w:val="auto"/>
                      <w:lang w:val="en-US" w:eastAsia="zh-CN"/>
                    </w:rPr>
                    <w:t>提出禁止开发建设活动、限制开发建设活动的要求；不符合空间布局要求活动的退出要求</w:t>
                  </w:r>
                </w:p>
              </w:tc>
              <w:tc>
                <w:tcPr>
                  <w:tcW w:w="1640" w:type="pct"/>
                  <w:tcBorders>
                    <w:tl2br w:val="nil"/>
                    <w:tr2bl w:val="nil"/>
                  </w:tcBorders>
                  <w:shd w:val="clear" w:color="auto" w:fill="auto"/>
                  <w:vAlign w:val="center"/>
                </w:tcPr>
                <w:p>
                  <w:pPr>
                    <w:pStyle w:val="33"/>
                    <w:bidi w:val="0"/>
                    <w:rPr>
                      <w:rFonts w:hint="default"/>
                      <w:color w:val="auto"/>
                      <w:lang w:val="en-US" w:eastAsia="zh-CN"/>
                    </w:rPr>
                  </w:pPr>
                  <w:r>
                    <w:rPr>
                      <w:rFonts w:hint="eastAsia"/>
                      <w:color w:val="auto"/>
                      <w:lang w:val="en-US" w:eastAsia="zh-CN"/>
                    </w:rPr>
                    <w:t>本项目不属于禁止开发、限制开发的建设活动；符合空间布局要求</w:t>
                  </w:r>
                </w:p>
              </w:tc>
              <w:tc>
                <w:tcPr>
                  <w:tcW w:w="491" w:type="pct"/>
                  <w:tcBorders>
                    <w:tl2br w:val="nil"/>
                    <w:tr2bl w:val="nil"/>
                  </w:tcBorders>
                  <w:shd w:val="clear" w:color="auto" w:fill="auto"/>
                  <w:vAlign w:val="center"/>
                </w:tcPr>
                <w:p>
                  <w:pPr>
                    <w:pStyle w:val="33"/>
                    <w:bidi w:val="0"/>
                    <w:rPr>
                      <w:rFonts w:hint="default"/>
                      <w:color w:val="auto"/>
                      <w:lang w:val="en-US" w:eastAsia="zh-CN"/>
                    </w:rPr>
                  </w:pPr>
                  <w:r>
                    <w:rPr>
                      <w:rFonts w:hint="eastAsia"/>
                      <w:color w:val="auto"/>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0" w:hRule="atLeast"/>
                <w:jc w:val="center"/>
              </w:trPr>
              <w:tc>
                <w:tcPr>
                  <w:tcW w:w="509" w:type="pct"/>
                  <w:vMerge w:val="continue"/>
                  <w:tcBorders>
                    <w:tl2br w:val="nil"/>
                    <w:tr2bl w:val="nil"/>
                  </w:tcBorders>
                  <w:shd w:val="clear" w:color="auto" w:fill="auto"/>
                  <w:vAlign w:val="center"/>
                </w:tcPr>
                <w:p>
                  <w:pPr>
                    <w:pStyle w:val="33"/>
                    <w:bidi w:val="0"/>
                    <w:rPr>
                      <w:rFonts w:hint="default"/>
                      <w:color w:val="auto"/>
                    </w:rPr>
                  </w:pPr>
                </w:p>
              </w:tc>
              <w:tc>
                <w:tcPr>
                  <w:tcW w:w="613" w:type="pct"/>
                  <w:tcBorders>
                    <w:tl2br w:val="nil"/>
                    <w:tr2bl w:val="nil"/>
                  </w:tcBorders>
                  <w:shd w:val="clear" w:color="auto" w:fill="auto"/>
                  <w:vAlign w:val="center"/>
                </w:tcPr>
                <w:p>
                  <w:pPr>
                    <w:pStyle w:val="33"/>
                    <w:bidi w:val="0"/>
                    <w:rPr>
                      <w:rFonts w:hint="eastAsia"/>
                      <w:color w:val="auto"/>
                      <w:lang w:val="en-US" w:eastAsia="zh-CN"/>
                    </w:rPr>
                  </w:pPr>
                  <w:r>
                    <w:rPr>
                      <w:rFonts w:hint="default"/>
                      <w:color w:val="auto"/>
                    </w:rPr>
                    <w:t>污染物排放管控</w:t>
                  </w:r>
                </w:p>
              </w:tc>
              <w:tc>
                <w:tcPr>
                  <w:tcW w:w="1745" w:type="pct"/>
                  <w:tcBorders>
                    <w:tl2br w:val="nil"/>
                    <w:tr2bl w:val="nil"/>
                  </w:tcBorders>
                  <w:shd w:val="clear" w:color="auto" w:fill="auto"/>
                  <w:vAlign w:val="center"/>
                </w:tcPr>
                <w:p>
                  <w:pPr>
                    <w:pStyle w:val="33"/>
                    <w:bidi w:val="0"/>
                    <w:rPr>
                      <w:rFonts w:hint="default"/>
                      <w:color w:val="auto"/>
                      <w:lang w:val="en-US" w:eastAsia="zh-CN"/>
                    </w:rPr>
                  </w:pPr>
                  <w:r>
                    <w:rPr>
                      <w:rFonts w:hint="eastAsia"/>
                      <w:color w:val="auto"/>
                      <w:lang w:val="en-US" w:eastAsia="zh-CN"/>
                    </w:rPr>
                    <w:t>提出污染源排放要求和现有源提标升级改造要求</w:t>
                  </w:r>
                </w:p>
              </w:tc>
              <w:tc>
                <w:tcPr>
                  <w:tcW w:w="1640" w:type="pct"/>
                  <w:tcBorders>
                    <w:tl2br w:val="nil"/>
                    <w:tr2bl w:val="nil"/>
                  </w:tcBorders>
                  <w:shd w:val="clear" w:color="auto" w:fill="auto"/>
                  <w:vAlign w:val="center"/>
                </w:tcPr>
                <w:p>
                  <w:pPr>
                    <w:pStyle w:val="33"/>
                    <w:bidi w:val="0"/>
                    <w:rPr>
                      <w:rFonts w:hint="default"/>
                      <w:color w:val="auto"/>
                      <w:lang w:val="en-US" w:eastAsia="zh-CN"/>
                    </w:rPr>
                  </w:pPr>
                  <w:r>
                    <w:rPr>
                      <w:rFonts w:hint="eastAsia"/>
                      <w:color w:val="auto"/>
                      <w:lang w:val="en-US" w:eastAsia="zh-CN"/>
                    </w:rPr>
                    <w:t>项目无运营期；本次环评要求施工期污染</w:t>
                  </w:r>
                  <w:r>
                    <w:rPr>
                      <w:rFonts w:hint="eastAsia" w:ascii="Times New Roman" w:hAnsi="Times New Roman" w:eastAsia="宋体" w:cs="Arial"/>
                      <w:color w:val="auto"/>
                      <w:kern w:val="2"/>
                      <w:sz w:val="21"/>
                      <w:szCs w:val="21"/>
                      <w:lang w:val="en-US" w:eastAsia="zh-CN" w:bidi="ar-SA"/>
                    </w:rPr>
                    <w:t>物排放</w:t>
                  </w:r>
                  <w:r>
                    <w:rPr>
                      <w:rFonts w:hint="eastAsia"/>
                      <w:color w:val="auto"/>
                      <w:lang w:val="en-US" w:eastAsia="zh-CN"/>
                    </w:rPr>
                    <w:t>均需满足相关标准要求</w:t>
                  </w:r>
                </w:p>
              </w:tc>
              <w:tc>
                <w:tcPr>
                  <w:tcW w:w="491" w:type="pct"/>
                  <w:tcBorders>
                    <w:tl2br w:val="nil"/>
                    <w:tr2bl w:val="nil"/>
                  </w:tcBorders>
                  <w:shd w:val="clear" w:color="auto" w:fill="auto"/>
                  <w:vAlign w:val="center"/>
                </w:tcPr>
                <w:p>
                  <w:pPr>
                    <w:pStyle w:val="33"/>
                    <w:bidi w:val="0"/>
                    <w:rPr>
                      <w:rFonts w:hint="default"/>
                      <w:color w:val="auto"/>
                      <w:lang w:val="en-US" w:eastAsia="zh-CN"/>
                    </w:rPr>
                  </w:pPr>
                  <w:r>
                    <w:rPr>
                      <w:rFonts w:hint="eastAsia"/>
                      <w:color w:val="auto"/>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0" w:hRule="atLeast"/>
                <w:jc w:val="center"/>
              </w:trPr>
              <w:tc>
                <w:tcPr>
                  <w:tcW w:w="509" w:type="pct"/>
                  <w:vMerge w:val="continue"/>
                  <w:tcBorders>
                    <w:tl2br w:val="nil"/>
                    <w:tr2bl w:val="nil"/>
                  </w:tcBorders>
                  <w:shd w:val="clear" w:color="auto" w:fill="auto"/>
                  <w:vAlign w:val="center"/>
                </w:tcPr>
                <w:p>
                  <w:pPr>
                    <w:pStyle w:val="33"/>
                    <w:bidi w:val="0"/>
                    <w:rPr>
                      <w:rFonts w:hint="default"/>
                      <w:color w:val="auto"/>
                    </w:rPr>
                  </w:pPr>
                </w:p>
              </w:tc>
              <w:tc>
                <w:tcPr>
                  <w:tcW w:w="613" w:type="pct"/>
                  <w:tcBorders>
                    <w:tl2br w:val="nil"/>
                    <w:tr2bl w:val="nil"/>
                  </w:tcBorders>
                  <w:shd w:val="clear" w:color="auto" w:fill="auto"/>
                  <w:vAlign w:val="center"/>
                </w:tcPr>
                <w:p>
                  <w:pPr>
                    <w:pStyle w:val="33"/>
                    <w:bidi w:val="0"/>
                    <w:rPr>
                      <w:rFonts w:hint="eastAsia"/>
                      <w:color w:val="auto"/>
                      <w:lang w:val="en-US" w:eastAsia="zh-CN"/>
                    </w:rPr>
                  </w:pPr>
                  <w:r>
                    <w:rPr>
                      <w:rFonts w:hint="default"/>
                      <w:color w:val="auto"/>
                    </w:rPr>
                    <w:t>环境风险防控</w:t>
                  </w:r>
                </w:p>
              </w:tc>
              <w:tc>
                <w:tcPr>
                  <w:tcW w:w="1745" w:type="pct"/>
                  <w:tcBorders>
                    <w:tl2br w:val="nil"/>
                    <w:tr2bl w:val="nil"/>
                  </w:tcBorders>
                  <w:shd w:val="clear" w:color="auto" w:fill="auto"/>
                  <w:vAlign w:val="center"/>
                </w:tcPr>
                <w:p>
                  <w:pPr>
                    <w:pStyle w:val="33"/>
                    <w:bidi w:val="0"/>
                    <w:rPr>
                      <w:rFonts w:hint="default"/>
                      <w:color w:val="auto"/>
                      <w:lang w:val="en-US" w:eastAsia="zh-CN"/>
                    </w:rPr>
                  </w:pPr>
                  <w:r>
                    <w:rPr>
                      <w:rFonts w:hint="eastAsia"/>
                      <w:color w:val="auto"/>
                      <w:lang w:val="en-US" w:eastAsia="zh-CN"/>
                    </w:rPr>
                    <w:t>提出联防联控要求</w:t>
                  </w:r>
                </w:p>
              </w:tc>
              <w:tc>
                <w:tcPr>
                  <w:tcW w:w="1640" w:type="pct"/>
                  <w:tcBorders>
                    <w:tl2br w:val="nil"/>
                    <w:tr2bl w:val="nil"/>
                  </w:tcBorders>
                  <w:shd w:val="clear" w:color="auto" w:fill="auto"/>
                  <w:vAlign w:val="center"/>
                </w:tcPr>
                <w:p>
                  <w:pPr>
                    <w:pStyle w:val="33"/>
                    <w:bidi w:val="0"/>
                    <w:rPr>
                      <w:rFonts w:hint="default"/>
                      <w:color w:val="auto"/>
                      <w:lang w:val="en-US" w:eastAsia="zh-CN"/>
                    </w:rPr>
                  </w:pPr>
                  <w:r>
                    <w:rPr>
                      <w:rFonts w:hint="eastAsia"/>
                      <w:color w:val="auto"/>
                      <w:lang w:val="en-US" w:eastAsia="zh-CN"/>
                    </w:rPr>
                    <w:t>项目无运营期，施工期采取了设置放喷管线及放喷池、设置消防、应急设施、分区防渗等环境风险防控措施</w:t>
                  </w:r>
                </w:p>
              </w:tc>
              <w:tc>
                <w:tcPr>
                  <w:tcW w:w="491" w:type="pct"/>
                  <w:tcBorders>
                    <w:tl2br w:val="nil"/>
                    <w:tr2bl w:val="nil"/>
                  </w:tcBorders>
                  <w:shd w:val="clear" w:color="auto" w:fill="auto"/>
                  <w:vAlign w:val="center"/>
                </w:tcPr>
                <w:p>
                  <w:pPr>
                    <w:pStyle w:val="33"/>
                    <w:bidi w:val="0"/>
                    <w:rPr>
                      <w:rFonts w:hint="default"/>
                      <w:color w:val="auto"/>
                      <w:lang w:val="en-US" w:eastAsia="zh-CN"/>
                    </w:rPr>
                  </w:pPr>
                  <w:r>
                    <w:rPr>
                      <w:rFonts w:hint="eastAsia"/>
                      <w:color w:val="auto"/>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0" w:hRule="atLeast"/>
                <w:jc w:val="center"/>
              </w:trPr>
              <w:tc>
                <w:tcPr>
                  <w:tcW w:w="509" w:type="pct"/>
                  <w:vMerge w:val="continue"/>
                  <w:tcBorders>
                    <w:tl2br w:val="nil"/>
                    <w:tr2bl w:val="nil"/>
                  </w:tcBorders>
                  <w:shd w:val="clear" w:color="auto" w:fill="auto"/>
                  <w:vAlign w:val="center"/>
                </w:tcPr>
                <w:p>
                  <w:pPr>
                    <w:pStyle w:val="33"/>
                    <w:bidi w:val="0"/>
                    <w:rPr>
                      <w:rFonts w:hint="default"/>
                      <w:color w:val="auto"/>
                    </w:rPr>
                  </w:pPr>
                </w:p>
              </w:tc>
              <w:tc>
                <w:tcPr>
                  <w:tcW w:w="613" w:type="pct"/>
                  <w:tcBorders>
                    <w:tl2br w:val="nil"/>
                    <w:tr2bl w:val="nil"/>
                  </w:tcBorders>
                  <w:shd w:val="clear" w:color="auto" w:fill="auto"/>
                  <w:vAlign w:val="center"/>
                </w:tcPr>
                <w:p>
                  <w:pPr>
                    <w:pStyle w:val="33"/>
                    <w:bidi w:val="0"/>
                    <w:rPr>
                      <w:rFonts w:hint="eastAsia"/>
                      <w:color w:val="auto"/>
                      <w:lang w:val="en-US" w:eastAsia="zh-CN"/>
                    </w:rPr>
                  </w:pPr>
                  <w:r>
                    <w:rPr>
                      <w:rFonts w:hint="default"/>
                      <w:color w:val="auto"/>
                    </w:rPr>
                    <w:t>资源利用效率</w:t>
                  </w:r>
                </w:p>
              </w:tc>
              <w:tc>
                <w:tcPr>
                  <w:tcW w:w="1745" w:type="pct"/>
                  <w:tcBorders>
                    <w:tl2br w:val="nil"/>
                    <w:tr2bl w:val="nil"/>
                  </w:tcBorders>
                  <w:shd w:val="clear" w:color="auto" w:fill="auto"/>
                  <w:vAlign w:val="center"/>
                </w:tcPr>
                <w:p>
                  <w:pPr>
                    <w:pStyle w:val="33"/>
                    <w:bidi w:val="0"/>
                    <w:rPr>
                      <w:rFonts w:hint="default"/>
                      <w:color w:val="auto"/>
                      <w:lang w:val="en-US" w:eastAsia="zh-CN"/>
                    </w:rPr>
                  </w:pPr>
                  <w:r>
                    <w:rPr>
                      <w:rFonts w:hint="eastAsia"/>
                      <w:color w:val="auto"/>
                      <w:lang w:val="en-US" w:eastAsia="zh-CN"/>
                    </w:rPr>
                    <w:t>提出水资源利用总量及效率要求、能源利用总量及效率要求和禁燃区要求</w:t>
                  </w:r>
                </w:p>
              </w:tc>
              <w:tc>
                <w:tcPr>
                  <w:tcW w:w="1640" w:type="pct"/>
                  <w:tcBorders>
                    <w:tl2br w:val="nil"/>
                    <w:tr2bl w:val="nil"/>
                  </w:tcBorders>
                  <w:shd w:val="clear" w:color="auto" w:fill="auto"/>
                  <w:vAlign w:val="center"/>
                </w:tcPr>
                <w:p>
                  <w:pPr>
                    <w:pStyle w:val="33"/>
                    <w:bidi w:val="0"/>
                    <w:rPr>
                      <w:rFonts w:hint="default"/>
                      <w:color w:val="auto"/>
                      <w:lang w:val="en-US" w:eastAsia="zh-CN"/>
                    </w:rPr>
                  </w:pPr>
                  <w:r>
                    <w:rPr>
                      <w:rFonts w:hint="eastAsia" w:ascii="Times New Roman" w:eastAsia="宋体"/>
                      <w:color w:val="auto"/>
                      <w:lang w:val="en-US" w:eastAsia="zh-CN"/>
                    </w:rPr>
                    <w:t>项目无运营期，</w:t>
                  </w:r>
                  <w:r>
                    <w:rPr>
                      <w:rFonts w:hint="eastAsia"/>
                      <w:color w:val="auto"/>
                      <w:lang w:val="en-US" w:eastAsia="zh-CN"/>
                    </w:rPr>
                    <w:t>施工期</w:t>
                  </w:r>
                  <w:r>
                    <w:rPr>
                      <w:rFonts w:hint="default"/>
                      <w:color w:val="auto"/>
                      <w:lang w:val="en-US" w:eastAsia="zh-CN"/>
                    </w:rPr>
                    <w:t>用水量较少</w:t>
                  </w:r>
                  <w:r>
                    <w:rPr>
                      <w:rFonts w:hint="eastAsia" w:ascii="Times New Roman" w:eastAsia="宋体"/>
                      <w:color w:val="auto"/>
                      <w:lang w:val="en-US" w:eastAsia="zh-CN"/>
                    </w:rPr>
                    <w:t>；本次环评要求发电机和柴油设备能耗均需符合国家标准要求</w:t>
                  </w:r>
                </w:p>
              </w:tc>
              <w:tc>
                <w:tcPr>
                  <w:tcW w:w="491" w:type="pct"/>
                  <w:tcBorders>
                    <w:tl2br w:val="nil"/>
                    <w:tr2bl w:val="nil"/>
                  </w:tcBorders>
                  <w:shd w:val="clear" w:color="auto" w:fill="auto"/>
                  <w:vAlign w:val="center"/>
                </w:tcPr>
                <w:p>
                  <w:pPr>
                    <w:pStyle w:val="33"/>
                    <w:bidi w:val="0"/>
                    <w:rPr>
                      <w:rFonts w:hint="default"/>
                      <w:color w:val="auto"/>
                      <w:lang w:val="en-US" w:eastAsia="zh-CN"/>
                    </w:rPr>
                  </w:pPr>
                  <w:r>
                    <w:rPr>
                      <w:rFonts w:hint="eastAsia" w:ascii="Times New Roman" w:eastAsia="宋体"/>
                      <w:color w:val="auto"/>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0" w:hRule="atLeast"/>
                <w:jc w:val="center"/>
              </w:trPr>
              <w:tc>
                <w:tcPr>
                  <w:tcW w:w="509" w:type="pct"/>
                  <w:vMerge w:val="restart"/>
                  <w:tcBorders>
                    <w:tl2br w:val="nil"/>
                    <w:tr2bl w:val="nil"/>
                  </w:tcBorders>
                  <w:shd w:val="clear" w:color="auto" w:fill="auto"/>
                  <w:vAlign w:val="center"/>
                </w:tcPr>
                <w:p>
                  <w:pPr>
                    <w:pStyle w:val="33"/>
                    <w:bidi w:val="0"/>
                    <w:rPr>
                      <w:rFonts w:hint="default"/>
                      <w:color w:val="auto"/>
                    </w:rPr>
                  </w:pPr>
                  <w:bookmarkStart w:id="5" w:name="OLE_LINK1" w:colFirst="0" w:colLast="0"/>
                  <w:r>
                    <w:rPr>
                      <w:rFonts w:hint="eastAsia" w:ascii="Times New Roman" w:eastAsia="宋体"/>
                      <w:color w:val="auto"/>
                      <w:lang w:val="en-US" w:eastAsia="zh-CN"/>
                    </w:rPr>
                    <w:t>玛纳斯县一般管控单元</w:t>
                  </w:r>
                  <w:r>
                    <w:rPr>
                      <w:rFonts w:hint="eastAsia"/>
                      <w:color w:val="auto"/>
                      <w:lang w:eastAsia="zh-CN"/>
                    </w:rPr>
                    <w:t>（</w:t>
                  </w:r>
                  <w:r>
                    <w:rPr>
                      <w:rFonts w:hint="default"/>
                      <w:color w:val="auto"/>
                    </w:rPr>
                    <w:t>ZH65232430001</w:t>
                  </w:r>
                  <w:r>
                    <w:rPr>
                      <w:rFonts w:hint="eastAsia" w:eastAsia="宋体"/>
                      <w:color w:val="auto"/>
                      <w:lang w:eastAsia="zh-CN"/>
                    </w:rPr>
                    <w:t>）</w:t>
                  </w:r>
                </w:p>
              </w:tc>
              <w:tc>
                <w:tcPr>
                  <w:tcW w:w="613" w:type="pct"/>
                  <w:tcBorders>
                    <w:tl2br w:val="nil"/>
                    <w:tr2bl w:val="nil"/>
                  </w:tcBorders>
                  <w:shd w:val="clear" w:color="auto" w:fill="auto"/>
                  <w:vAlign w:val="center"/>
                </w:tcPr>
                <w:p>
                  <w:pPr>
                    <w:pStyle w:val="33"/>
                    <w:bidi w:val="0"/>
                    <w:rPr>
                      <w:rFonts w:hint="eastAsia"/>
                      <w:color w:val="auto"/>
                      <w:lang w:val="en-US" w:eastAsia="zh-CN"/>
                    </w:rPr>
                  </w:pPr>
                  <w:r>
                    <w:rPr>
                      <w:rFonts w:hint="default"/>
                      <w:color w:val="auto"/>
                    </w:rPr>
                    <w:t>空间布局约束</w:t>
                  </w:r>
                </w:p>
              </w:tc>
              <w:tc>
                <w:tcPr>
                  <w:tcW w:w="1745" w:type="pct"/>
                  <w:tcBorders>
                    <w:tl2br w:val="nil"/>
                    <w:tr2bl w:val="nil"/>
                  </w:tcBorders>
                  <w:shd w:val="clear" w:color="auto" w:fill="auto"/>
                  <w:vAlign w:val="center"/>
                </w:tcPr>
                <w:p>
                  <w:pPr>
                    <w:pStyle w:val="33"/>
                    <w:bidi w:val="0"/>
                    <w:rPr>
                      <w:color w:val="auto"/>
                    </w:rPr>
                  </w:pPr>
                  <w:r>
                    <w:rPr>
                      <w:color w:val="auto"/>
                      <w:lang w:val="en-US" w:eastAsia="zh-CN"/>
                    </w:rPr>
                    <w:t xml:space="preserve">1、应符合国土空间规划要求。 </w:t>
                  </w:r>
                </w:p>
                <w:p>
                  <w:pPr>
                    <w:pStyle w:val="33"/>
                    <w:bidi w:val="0"/>
                    <w:rPr>
                      <w:rFonts w:hint="default"/>
                      <w:color w:val="auto"/>
                    </w:rPr>
                  </w:pPr>
                  <w:r>
                    <w:rPr>
                      <w:rFonts w:hint="eastAsia"/>
                      <w:color w:val="auto"/>
                      <w:lang w:val="en-US" w:eastAsia="zh-CN"/>
                    </w:rPr>
                    <w:t>2、应符合《产业结构调整指导目录》（2024 年本）、《市场准入负面清单》（2022 年版）。</w:t>
                  </w:r>
                </w:p>
              </w:tc>
              <w:tc>
                <w:tcPr>
                  <w:tcW w:w="1640" w:type="pct"/>
                  <w:tcBorders>
                    <w:tl2br w:val="nil"/>
                    <w:tr2bl w:val="nil"/>
                  </w:tcBorders>
                  <w:shd w:val="clear" w:color="auto" w:fill="auto"/>
                  <w:vAlign w:val="center"/>
                </w:tcPr>
                <w:p>
                  <w:pPr>
                    <w:pStyle w:val="33"/>
                    <w:bidi w:val="0"/>
                    <w:rPr>
                      <w:rFonts w:hint="eastAsia"/>
                      <w:color w:val="auto"/>
                      <w:lang w:val="en-US" w:eastAsia="zh-CN"/>
                    </w:rPr>
                  </w:pPr>
                  <w:r>
                    <w:rPr>
                      <w:rFonts w:hint="eastAsia"/>
                      <w:color w:val="auto"/>
                      <w:lang w:val="en-US" w:eastAsia="zh-CN"/>
                    </w:rPr>
                    <w:t xml:space="preserve">项目不涉及国土空间规划中的：三区三线。项目属于《产业结构调整指导目录》（2024 年本）中的鼓励类项目，天湾102井所属探矿权名称：     </w:t>
                  </w:r>
                  <w:bookmarkStart w:id="86" w:name="_GoBack"/>
                  <w:bookmarkEnd w:id="86"/>
                  <w:r>
                    <w:rPr>
                      <w:rFonts w:hint="eastAsia"/>
                      <w:color w:val="auto"/>
                      <w:lang w:val="en-US" w:eastAsia="zh-CN"/>
                    </w:rPr>
                    <w:t>，探矿权许可证编号：</w:t>
                  </w:r>
                </w:p>
                <w:p>
                  <w:pPr>
                    <w:pStyle w:val="33"/>
                    <w:bidi w:val="0"/>
                    <w:rPr>
                      <w:rFonts w:hint="eastAsia"/>
                      <w:color w:val="auto"/>
                      <w:lang w:val="en-US" w:eastAsia="zh-CN"/>
                    </w:rPr>
                  </w:pPr>
                </w:p>
                <w:p>
                  <w:pPr>
                    <w:pStyle w:val="33"/>
                    <w:bidi w:val="0"/>
                    <w:rPr>
                      <w:rFonts w:hint="default"/>
                      <w:color w:val="auto"/>
                      <w:lang w:val="en-US" w:eastAsia="zh-CN"/>
                    </w:rPr>
                  </w:pPr>
                  <w:r>
                    <w:rPr>
                      <w:rFonts w:hint="eastAsia"/>
                      <w:color w:val="auto"/>
                      <w:lang w:val="en-US" w:eastAsia="zh-CN"/>
                    </w:rPr>
                    <w:t>，</w:t>
                  </w:r>
                  <w:r>
                    <w:rPr>
                      <w:rFonts w:hint="eastAsia" w:ascii="Times New Roman" w:eastAsia="宋体"/>
                      <w:color w:val="auto"/>
                      <w:lang w:val="en-US" w:eastAsia="zh-CN"/>
                    </w:rPr>
                    <w:t>符合《市场准入负面清单（2025年版）》要求</w:t>
                  </w:r>
                </w:p>
              </w:tc>
              <w:tc>
                <w:tcPr>
                  <w:tcW w:w="491" w:type="pct"/>
                  <w:tcBorders>
                    <w:tl2br w:val="nil"/>
                    <w:tr2bl w:val="nil"/>
                  </w:tcBorders>
                  <w:shd w:val="clear" w:color="auto" w:fill="auto"/>
                  <w:vAlign w:val="center"/>
                </w:tcPr>
                <w:p>
                  <w:pPr>
                    <w:pStyle w:val="33"/>
                    <w:bidi w:val="0"/>
                    <w:rPr>
                      <w:rFonts w:hint="default" w:ascii="Times New Roman" w:hAnsi="Times New Roman" w:eastAsia="宋体" w:cs="Times New Roman"/>
                      <w:color w:val="auto"/>
                      <w:szCs w:val="21"/>
                      <w:lang w:val="en-US" w:eastAsia="zh-CN"/>
                    </w:rPr>
                  </w:pPr>
                  <w:r>
                    <w:rPr>
                      <w:rFonts w:hint="default"/>
                      <w:color w:val="auto"/>
                      <w:lang w:val="en-US" w:eastAsia="zh-CN"/>
                    </w:rPr>
                    <w:t>符合</w:t>
                  </w:r>
                </w:p>
              </w:tc>
            </w:tr>
            <w:bookmarkEnd w:id="5"/>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0" w:hRule="atLeast"/>
                <w:jc w:val="center"/>
              </w:trPr>
              <w:tc>
                <w:tcPr>
                  <w:tcW w:w="509" w:type="pct"/>
                  <w:vMerge w:val="continue"/>
                  <w:tcBorders>
                    <w:tl2br w:val="nil"/>
                    <w:tr2bl w:val="nil"/>
                  </w:tcBorders>
                  <w:shd w:val="clear" w:color="auto" w:fill="auto"/>
                  <w:vAlign w:val="center"/>
                </w:tcPr>
                <w:p>
                  <w:pPr>
                    <w:pStyle w:val="33"/>
                    <w:bidi w:val="0"/>
                    <w:rPr>
                      <w:rFonts w:hint="default"/>
                      <w:color w:val="auto"/>
                    </w:rPr>
                  </w:pPr>
                </w:p>
              </w:tc>
              <w:tc>
                <w:tcPr>
                  <w:tcW w:w="613" w:type="pct"/>
                  <w:tcBorders>
                    <w:tl2br w:val="nil"/>
                    <w:tr2bl w:val="nil"/>
                  </w:tcBorders>
                  <w:shd w:val="clear" w:color="auto" w:fill="auto"/>
                  <w:vAlign w:val="center"/>
                </w:tcPr>
                <w:p>
                  <w:pPr>
                    <w:pStyle w:val="33"/>
                    <w:bidi w:val="0"/>
                    <w:rPr>
                      <w:rFonts w:hint="eastAsia"/>
                      <w:color w:val="auto"/>
                      <w:lang w:val="en-US" w:eastAsia="zh-CN"/>
                    </w:rPr>
                  </w:pPr>
                  <w:r>
                    <w:rPr>
                      <w:rFonts w:hint="default"/>
                      <w:color w:val="auto"/>
                    </w:rPr>
                    <w:t>污染物排放管控</w:t>
                  </w:r>
                </w:p>
              </w:tc>
              <w:tc>
                <w:tcPr>
                  <w:tcW w:w="1745" w:type="pct"/>
                  <w:tcBorders>
                    <w:tl2br w:val="nil"/>
                    <w:tr2bl w:val="nil"/>
                  </w:tcBorders>
                  <w:shd w:val="clear" w:color="auto" w:fill="auto"/>
                  <w:vAlign w:val="center"/>
                </w:tcPr>
                <w:p>
                  <w:pPr>
                    <w:pStyle w:val="33"/>
                    <w:bidi w:val="0"/>
                    <w:rPr>
                      <w:color w:val="auto"/>
                    </w:rPr>
                  </w:pPr>
                  <w:r>
                    <w:rPr>
                      <w:color w:val="auto"/>
                      <w:lang w:val="en-US" w:eastAsia="zh-CN"/>
                    </w:rPr>
                    <w:t xml:space="preserve">1、污染物排放执行国家和地方相关标准中普适性要求。 </w:t>
                  </w:r>
                </w:p>
                <w:p>
                  <w:pPr>
                    <w:pStyle w:val="33"/>
                    <w:bidi w:val="0"/>
                    <w:rPr>
                      <w:color w:val="auto"/>
                    </w:rPr>
                  </w:pPr>
                  <w:r>
                    <w:rPr>
                      <w:rFonts w:hint="eastAsia"/>
                      <w:color w:val="auto"/>
                      <w:lang w:val="en-US" w:eastAsia="zh-CN"/>
                    </w:rPr>
                    <w:t>2、“乌-昌-石”区域内，已实施超低排放的涉气排污单位，其实施超低排放改造的污染因子执行超低排放限值，其他污染因子执行特别排放限值和特别控制要求。</w:t>
                  </w:r>
                </w:p>
                <w:p>
                  <w:pPr>
                    <w:pStyle w:val="33"/>
                    <w:bidi w:val="0"/>
                    <w:rPr>
                      <w:color w:val="auto"/>
                    </w:rPr>
                  </w:pPr>
                  <w:r>
                    <w:rPr>
                      <w:rFonts w:hint="eastAsia"/>
                      <w:color w:val="auto"/>
                      <w:lang w:val="en-US" w:eastAsia="zh-CN"/>
                    </w:rPr>
                    <w:t>3、加强农业面源污染治理，科学合理使用化肥农药，逐步削减农业面源污染物排放量。</w:t>
                  </w:r>
                </w:p>
                <w:p>
                  <w:pPr>
                    <w:pStyle w:val="33"/>
                    <w:bidi w:val="0"/>
                    <w:rPr>
                      <w:color w:val="auto"/>
                    </w:rPr>
                  </w:pPr>
                  <w:r>
                    <w:rPr>
                      <w:rFonts w:hint="eastAsia"/>
                      <w:color w:val="auto"/>
                      <w:lang w:val="en-US" w:eastAsia="zh-CN"/>
                    </w:rPr>
                    <w:t xml:space="preserve">4、施工工地全面落实“六个百分之百”（施工工地周边围挡、物料堆放覆盖、出入车辆冲洗、施工现场地面硬化、 </w:t>
                  </w:r>
                </w:p>
                <w:p>
                  <w:pPr>
                    <w:pStyle w:val="33"/>
                    <w:bidi w:val="0"/>
                    <w:rPr>
                      <w:rFonts w:hint="default"/>
                      <w:color w:val="auto"/>
                    </w:rPr>
                  </w:pPr>
                  <w:r>
                    <w:rPr>
                      <w:rFonts w:hint="eastAsia"/>
                      <w:color w:val="auto"/>
                      <w:lang w:val="en-US" w:eastAsia="zh-CN"/>
                    </w:rPr>
                    <w:t>拆迁工地湿法作业、渣土车辆密闭运输）。</w:t>
                  </w:r>
                </w:p>
              </w:tc>
              <w:tc>
                <w:tcPr>
                  <w:tcW w:w="1640" w:type="pct"/>
                  <w:tcBorders>
                    <w:tl2br w:val="nil"/>
                    <w:tr2bl w:val="nil"/>
                  </w:tcBorders>
                  <w:shd w:val="clear" w:color="auto" w:fill="auto"/>
                  <w:vAlign w:val="center"/>
                </w:tcPr>
                <w:p>
                  <w:pPr>
                    <w:pStyle w:val="33"/>
                    <w:bidi w:val="0"/>
                    <w:rPr>
                      <w:rFonts w:hint="default"/>
                      <w:color w:val="auto"/>
                      <w:lang w:val="en-US" w:eastAsia="zh-CN"/>
                    </w:rPr>
                  </w:pPr>
                  <w:r>
                    <w:rPr>
                      <w:rFonts w:hint="default"/>
                      <w:color w:val="auto"/>
                      <w:lang w:val="en-US" w:eastAsia="zh-CN"/>
                    </w:rPr>
                    <w:t>本项目为油气资源勘探项目，施工期产生的污染影响随施工结束而消失且无运营期；</w:t>
                  </w:r>
                  <w:r>
                    <w:rPr>
                      <w:rFonts w:hint="eastAsia"/>
                      <w:color w:val="auto"/>
                      <w:lang w:val="en-US" w:eastAsia="zh-CN"/>
                    </w:rPr>
                    <w:t>项目施工期间采取了废气、废水、噪声和固废污染防治措施，各污染物</w:t>
                  </w:r>
                  <w:r>
                    <w:rPr>
                      <w:rFonts w:hint="default"/>
                      <w:color w:val="auto"/>
                      <w:lang w:val="en-US" w:eastAsia="zh-CN"/>
                    </w:rPr>
                    <w:t>均采取有效的收集和处置措施。</w:t>
                  </w:r>
                  <w:r>
                    <w:rPr>
                      <w:rFonts w:hint="eastAsia"/>
                      <w:color w:val="auto"/>
                      <w:lang w:val="en-US" w:eastAsia="zh-CN"/>
                    </w:rPr>
                    <w:t>项目施工期采取了物料堆放覆盖、施工现场地面硬化、渣土车辆密闭运输等措施</w:t>
                  </w:r>
                </w:p>
              </w:tc>
              <w:tc>
                <w:tcPr>
                  <w:tcW w:w="491" w:type="pct"/>
                  <w:tcBorders>
                    <w:tl2br w:val="nil"/>
                    <w:tr2bl w:val="nil"/>
                  </w:tcBorders>
                  <w:shd w:val="clear" w:color="auto" w:fill="auto"/>
                  <w:vAlign w:val="center"/>
                </w:tcPr>
                <w:p>
                  <w:pPr>
                    <w:pStyle w:val="33"/>
                    <w:bidi w:val="0"/>
                    <w:rPr>
                      <w:rFonts w:hint="default" w:ascii="Times New Roman" w:hAnsi="Times New Roman" w:eastAsia="宋体" w:cs="Times New Roman"/>
                      <w:color w:val="auto"/>
                      <w:szCs w:val="21"/>
                      <w:lang w:val="en-US" w:eastAsia="zh-CN"/>
                    </w:rPr>
                  </w:pPr>
                  <w:r>
                    <w:rPr>
                      <w:rFonts w:hint="default"/>
                      <w:color w:val="auto"/>
                      <w:lang w:val="en-US" w:eastAsia="zh-CN"/>
                    </w:rPr>
                    <w:t>符合</w:t>
                  </w:r>
                </w:p>
              </w:tc>
            </w:tr>
          </w:tbl>
          <w:p>
            <w:pPr>
              <w:rPr>
                <w:color w:val="auto"/>
              </w:rPr>
            </w:pPr>
          </w:p>
          <w:tbl>
            <w:tblPr>
              <w:tblStyle w:val="24"/>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28" w:type="dxa"/>
                <w:bottom w:w="0" w:type="dxa"/>
                <w:right w:w="28" w:type="dxa"/>
              </w:tblCellMar>
            </w:tblPr>
            <w:tblGrid>
              <w:gridCol w:w="841"/>
              <w:gridCol w:w="1011"/>
              <w:gridCol w:w="2878"/>
              <w:gridCol w:w="2706"/>
              <w:gridCol w:w="81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0" w:hRule="atLeast"/>
                <w:jc w:val="center"/>
              </w:trPr>
              <w:tc>
                <w:tcPr>
                  <w:tcW w:w="509" w:type="pct"/>
                  <w:vMerge w:val="restart"/>
                  <w:tcBorders>
                    <w:tl2br w:val="nil"/>
                    <w:tr2bl w:val="nil"/>
                  </w:tcBorders>
                  <w:shd w:val="clear" w:color="auto" w:fill="auto"/>
                  <w:vAlign w:val="center"/>
                </w:tcPr>
                <w:p>
                  <w:pPr>
                    <w:pStyle w:val="33"/>
                    <w:bidi w:val="0"/>
                    <w:ind w:firstLine="0" w:firstLineChars="0"/>
                    <w:rPr>
                      <w:rFonts w:hint="default" w:ascii="Times New Roman" w:hAnsi="Times New Roman" w:eastAsia="宋体" w:cs="Arial"/>
                      <w:color w:val="auto"/>
                      <w:kern w:val="2"/>
                      <w:sz w:val="21"/>
                      <w:szCs w:val="21"/>
                      <w:lang w:val="en-US" w:eastAsia="zh-CN" w:bidi="ar-SA"/>
                    </w:rPr>
                  </w:pPr>
                  <w:r>
                    <w:rPr>
                      <w:rFonts w:hint="eastAsia" w:ascii="Times New Roman" w:eastAsia="宋体"/>
                      <w:color w:val="auto"/>
                      <w:lang w:val="en-US" w:eastAsia="zh-CN"/>
                    </w:rPr>
                    <w:t>玛纳斯县一般管控单元</w:t>
                  </w:r>
                  <w:r>
                    <w:rPr>
                      <w:rFonts w:hint="eastAsia"/>
                      <w:color w:val="auto"/>
                      <w:lang w:eastAsia="zh-CN"/>
                    </w:rPr>
                    <w:t>（</w:t>
                  </w:r>
                  <w:r>
                    <w:rPr>
                      <w:rFonts w:hint="default"/>
                      <w:color w:val="auto"/>
                    </w:rPr>
                    <w:t>ZH65232430001</w:t>
                  </w:r>
                  <w:r>
                    <w:rPr>
                      <w:rFonts w:hint="eastAsia" w:eastAsia="宋体"/>
                      <w:color w:val="auto"/>
                      <w:lang w:eastAsia="zh-CN"/>
                    </w:rPr>
                    <w:t>）</w:t>
                  </w:r>
                </w:p>
              </w:tc>
              <w:tc>
                <w:tcPr>
                  <w:tcW w:w="613" w:type="pct"/>
                  <w:tcBorders>
                    <w:tl2br w:val="nil"/>
                    <w:tr2bl w:val="nil"/>
                  </w:tcBorders>
                  <w:shd w:val="clear" w:color="auto" w:fill="auto"/>
                  <w:vAlign w:val="center"/>
                </w:tcPr>
                <w:p>
                  <w:pPr>
                    <w:pStyle w:val="33"/>
                    <w:bidi w:val="0"/>
                    <w:rPr>
                      <w:rFonts w:hint="eastAsia"/>
                      <w:color w:val="auto"/>
                      <w:lang w:val="en-US" w:eastAsia="zh-CN"/>
                    </w:rPr>
                  </w:pPr>
                  <w:r>
                    <w:rPr>
                      <w:rFonts w:hint="default"/>
                      <w:color w:val="auto"/>
                    </w:rPr>
                    <w:t>环境风险防控</w:t>
                  </w:r>
                </w:p>
              </w:tc>
              <w:tc>
                <w:tcPr>
                  <w:tcW w:w="1745" w:type="pct"/>
                  <w:tcBorders>
                    <w:tl2br w:val="nil"/>
                    <w:tr2bl w:val="nil"/>
                  </w:tcBorders>
                  <w:shd w:val="clear" w:color="auto" w:fill="auto"/>
                  <w:vAlign w:val="center"/>
                </w:tcPr>
                <w:p>
                  <w:pPr>
                    <w:pStyle w:val="33"/>
                    <w:bidi w:val="0"/>
                    <w:rPr>
                      <w:color w:val="auto"/>
                    </w:rPr>
                  </w:pPr>
                  <w:r>
                    <w:rPr>
                      <w:color w:val="auto"/>
                      <w:lang w:val="en-US" w:eastAsia="zh-CN"/>
                    </w:rPr>
                    <w:t xml:space="preserve">1、执行区域生态环境保护的基本要求。 </w:t>
                  </w:r>
                </w:p>
                <w:p>
                  <w:pPr>
                    <w:pStyle w:val="33"/>
                    <w:bidi w:val="0"/>
                    <w:rPr>
                      <w:rFonts w:hint="default"/>
                      <w:color w:val="auto"/>
                      <w:lang w:val="en-US" w:eastAsia="zh-CN"/>
                    </w:rPr>
                  </w:pPr>
                  <w:r>
                    <w:rPr>
                      <w:rFonts w:hint="eastAsia"/>
                      <w:color w:val="auto"/>
                      <w:lang w:val="en-US" w:eastAsia="zh-CN"/>
                    </w:rPr>
                    <w:t>2、执行昌吉州总体准入清单中的要求。</w:t>
                  </w:r>
                </w:p>
              </w:tc>
              <w:tc>
                <w:tcPr>
                  <w:tcW w:w="1640" w:type="pct"/>
                  <w:tcBorders>
                    <w:tl2br w:val="nil"/>
                    <w:tr2bl w:val="nil"/>
                  </w:tcBorders>
                  <w:shd w:val="clear" w:color="auto" w:fill="auto"/>
                  <w:vAlign w:val="center"/>
                </w:tcPr>
                <w:p>
                  <w:pPr>
                    <w:pStyle w:val="33"/>
                    <w:bidi w:val="0"/>
                    <w:rPr>
                      <w:rFonts w:hint="default"/>
                      <w:color w:val="auto"/>
                      <w:lang w:val="en-US" w:eastAsia="zh-CN"/>
                    </w:rPr>
                  </w:pPr>
                  <w:r>
                    <w:rPr>
                      <w:rFonts w:hint="eastAsia"/>
                      <w:color w:val="auto"/>
                      <w:lang w:val="en-US" w:eastAsia="zh-CN"/>
                    </w:rPr>
                    <w:t>本项目无运营期，施工期采取了环境风险防范措施，危险废物和采出水等均可得到妥善处置，井场分区防渗。</w:t>
                  </w:r>
                  <w:r>
                    <w:rPr>
                      <w:rFonts w:hint="default"/>
                      <w:color w:val="auto"/>
                      <w:lang w:val="en-US" w:eastAsia="zh-CN"/>
                    </w:rPr>
                    <w:t>本</w:t>
                  </w:r>
                  <w:r>
                    <w:rPr>
                      <w:rFonts w:hint="eastAsia"/>
                      <w:color w:val="auto"/>
                      <w:lang w:val="en-US" w:eastAsia="zh-CN"/>
                    </w:rPr>
                    <w:t>次环评要求项目</w:t>
                  </w:r>
                  <w:r>
                    <w:rPr>
                      <w:rFonts w:hint="default"/>
                      <w:color w:val="auto"/>
                      <w:lang w:val="en-US" w:eastAsia="zh-CN"/>
                    </w:rPr>
                    <w:t>实施过程严格执行中国石油新疆油田分公司已建立的健康、安全与环境管理体系</w:t>
                  </w:r>
                  <w:r>
                    <w:rPr>
                      <w:rFonts w:hint="eastAsia"/>
                      <w:color w:val="auto"/>
                      <w:lang w:val="en-US" w:eastAsia="zh-CN"/>
                    </w:rPr>
                    <w:t>（</w:t>
                  </w:r>
                  <w:r>
                    <w:rPr>
                      <w:rFonts w:hint="default"/>
                      <w:color w:val="auto"/>
                      <w:lang w:val="en-US" w:eastAsia="zh-CN"/>
                    </w:rPr>
                    <w:t>HSE管理体系）以及《新疆油田公司勘探事业部突发环境事件应急预案》</w:t>
                  </w:r>
                </w:p>
              </w:tc>
              <w:tc>
                <w:tcPr>
                  <w:tcW w:w="491" w:type="pct"/>
                  <w:tcBorders>
                    <w:tl2br w:val="nil"/>
                    <w:tr2bl w:val="nil"/>
                  </w:tcBorders>
                  <w:shd w:val="clear" w:color="auto" w:fill="auto"/>
                  <w:vAlign w:val="center"/>
                </w:tcPr>
                <w:p>
                  <w:pPr>
                    <w:pStyle w:val="33"/>
                    <w:bidi w:val="0"/>
                    <w:rPr>
                      <w:rFonts w:hint="default" w:ascii="Times New Roman" w:hAnsi="Times New Roman" w:eastAsia="宋体" w:cs="Times New Roman"/>
                      <w:color w:val="auto"/>
                      <w:szCs w:val="21"/>
                      <w:lang w:val="en-US" w:eastAsia="zh-CN"/>
                    </w:rPr>
                  </w:pPr>
                  <w:r>
                    <w:rPr>
                      <w:rFonts w:hint="default"/>
                      <w:color w:val="auto"/>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0" w:hRule="atLeast"/>
                <w:jc w:val="center"/>
              </w:trPr>
              <w:tc>
                <w:tcPr>
                  <w:tcW w:w="509" w:type="pct"/>
                  <w:vMerge w:val="continue"/>
                  <w:tcBorders>
                    <w:tl2br w:val="nil"/>
                    <w:tr2bl w:val="nil"/>
                  </w:tcBorders>
                  <w:shd w:val="clear" w:color="auto" w:fill="auto"/>
                  <w:vAlign w:val="center"/>
                </w:tcPr>
                <w:p>
                  <w:pPr>
                    <w:pStyle w:val="33"/>
                    <w:bidi w:val="0"/>
                    <w:rPr>
                      <w:rFonts w:hint="default"/>
                      <w:color w:val="auto"/>
                    </w:rPr>
                  </w:pPr>
                </w:p>
              </w:tc>
              <w:tc>
                <w:tcPr>
                  <w:tcW w:w="613" w:type="pct"/>
                  <w:tcBorders>
                    <w:tl2br w:val="nil"/>
                    <w:tr2bl w:val="nil"/>
                  </w:tcBorders>
                  <w:shd w:val="clear" w:color="auto" w:fill="auto"/>
                  <w:vAlign w:val="center"/>
                </w:tcPr>
                <w:p>
                  <w:pPr>
                    <w:pStyle w:val="33"/>
                    <w:bidi w:val="0"/>
                    <w:rPr>
                      <w:rFonts w:hint="eastAsia"/>
                      <w:color w:val="auto"/>
                      <w:lang w:val="en-US" w:eastAsia="zh-CN"/>
                    </w:rPr>
                  </w:pPr>
                  <w:r>
                    <w:rPr>
                      <w:rFonts w:hint="default"/>
                      <w:color w:val="auto"/>
                    </w:rPr>
                    <w:t>资源利用效率</w:t>
                  </w:r>
                </w:p>
              </w:tc>
              <w:tc>
                <w:tcPr>
                  <w:tcW w:w="1745" w:type="pct"/>
                  <w:tcBorders>
                    <w:tl2br w:val="nil"/>
                    <w:tr2bl w:val="nil"/>
                  </w:tcBorders>
                  <w:shd w:val="clear" w:color="auto" w:fill="auto"/>
                  <w:vAlign w:val="center"/>
                </w:tcPr>
                <w:p>
                  <w:pPr>
                    <w:pStyle w:val="33"/>
                    <w:bidi w:val="0"/>
                    <w:rPr>
                      <w:color w:val="auto"/>
                    </w:rPr>
                  </w:pPr>
                  <w:r>
                    <w:rPr>
                      <w:color w:val="auto"/>
                      <w:lang w:val="en-US" w:eastAsia="zh-CN"/>
                    </w:rPr>
                    <w:t>1、执行区域资源能源利用的基本要求。</w:t>
                  </w:r>
                </w:p>
                <w:p>
                  <w:pPr>
                    <w:pStyle w:val="33"/>
                    <w:bidi w:val="0"/>
                    <w:rPr>
                      <w:rFonts w:hint="default"/>
                      <w:color w:val="auto"/>
                    </w:rPr>
                  </w:pPr>
                  <w:r>
                    <w:rPr>
                      <w:rFonts w:hint="eastAsia"/>
                      <w:color w:val="auto"/>
                      <w:lang w:val="en-US" w:eastAsia="zh-CN"/>
                    </w:rPr>
                    <w:t>2、执行昌吉州总体准入清单中的要求。</w:t>
                  </w:r>
                </w:p>
              </w:tc>
              <w:tc>
                <w:tcPr>
                  <w:tcW w:w="1640" w:type="pct"/>
                  <w:tcBorders>
                    <w:tl2br w:val="nil"/>
                    <w:tr2bl w:val="nil"/>
                  </w:tcBorders>
                  <w:shd w:val="clear" w:color="auto" w:fill="auto"/>
                  <w:vAlign w:val="center"/>
                </w:tcPr>
                <w:p>
                  <w:pPr>
                    <w:pStyle w:val="33"/>
                    <w:bidi w:val="0"/>
                    <w:rPr>
                      <w:rFonts w:hint="default"/>
                      <w:color w:val="auto"/>
                      <w:lang w:val="en-US" w:eastAsia="zh-CN"/>
                    </w:rPr>
                  </w:pPr>
                  <w:r>
                    <w:rPr>
                      <w:rFonts w:hint="default"/>
                      <w:color w:val="auto"/>
                      <w:lang w:val="en-US" w:eastAsia="zh-CN"/>
                    </w:rPr>
                    <w:t>本项目实施期间用水采用</w:t>
                  </w:r>
                  <w:r>
                    <w:rPr>
                      <w:rFonts w:hint="default"/>
                      <w:color w:val="auto"/>
                    </w:rPr>
                    <w:t>罐车从</w:t>
                  </w:r>
                  <w:r>
                    <w:rPr>
                      <w:rFonts w:hint="eastAsia" w:ascii="Times New Roman" w:eastAsia="宋体"/>
                      <w:color w:val="auto"/>
                      <w:lang w:val="en-US" w:eastAsia="zh-CN"/>
                    </w:rPr>
                    <w:t>玛纳斯县县城</w:t>
                  </w:r>
                  <w:r>
                    <w:rPr>
                      <w:rFonts w:hint="default"/>
                      <w:color w:val="auto"/>
                    </w:rPr>
                    <w:t>拉运至</w:t>
                  </w:r>
                  <w:r>
                    <w:rPr>
                      <w:rFonts w:hint="default"/>
                      <w:color w:val="auto"/>
                      <w:lang w:val="en-US" w:eastAsia="zh-CN"/>
                    </w:rPr>
                    <w:t>用水现场</w:t>
                  </w:r>
                  <w:r>
                    <w:rPr>
                      <w:rFonts w:hint="default"/>
                      <w:color w:val="auto"/>
                    </w:rPr>
                    <w:t>，</w:t>
                  </w:r>
                  <w:r>
                    <w:rPr>
                      <w:rFonts w:hint="default"/>
                      <w:color w:val="auto"/>
                      <w:lang w:val="en-US" w:eastAsia="zh-CN"/>
                    </w:rPr>
                    <w:t>用水量较少</w:t>
                  </w:r>
                  <w:r>
                    <w:rPr>
                      <w:rFonts w:hint="eastAsia"/>
                      <w:color w:val="auto"/>
                      <w:lang w:val="en-US" w:eastAsia="zh-CN"/>
                    </w:rPr>
                    <w:t>，不开采地下水；</w:t>
                  </w:r>
                  <w:r>
                    <w:rPr>
                      <w:rFonts w:hint="default"/>
                      <w:color w:val="auto"/>
                    </w:rPr>
                    <w:t>项目</w:t>
                  </w:r>
                  <w:r>
                    <w:rPr>
                      <w:rFonts w:hint="eastAsia"/>
                      <w:color w:val="auto"/>
                      <w:lang w:val="en-US" w:eastAsia="zh-CN"/>
                    </w:rPr>
                    <w:t>施工期使用柴油发电机和柴油设备，本次环评要求发电机和柴油设备能耗均需符合国家标准要求；项目无运营期能源消耗</w:t>
                  </w:r>
                </w:p>
              </w:tc>
              <w:tc>
                <w:tcPr>
                  <w:tcW w:w="491" w:type="pct"/>
                  <w:tcBorders>
                    <w:tl2br w:val="nil"/>
                    <w:tr2bl w:val="nil"/>
                  </w:tcBorders>
                  <w:shd w:val="clear" w:color="auto" w:fill="auto"/>
                  <w:vAlign w:val="center"/>
                </w:tcPr>
                <w:p>
                  <w:pPr>
                    <w:pStyle w:val="33"/>
                    <w:bidi w:val="0"/>
                    <w:rPr>
                      <w:rFonts w:hint="default" w:ascii="Times New Roman" w:hAnsi="Times New Roman" w:eastAsia="宋体" w:cs="Times New Roman"/>
                      <w:color w:val="auto"/>
                      <w:szCs w:val="21"/>
                    </w:rPr>
                  </w:pPr>
                  <w:r>
                    <w:rPr>
                      <w:rFonts w:hint="default"/>
                      <w:color w:val="auto"/>
                    </w:rPr>
                    <w:t>符合</w:t>
                  </w:r>
                </w:p>
              </w:tc>
            </w:tr>
          </w:tbl>
          <w:p>
            <w:pPr>
              <w:pStyle w:val="32"/>
              <w:numPr>
                <w:ilvl w:val="0"/>
                <w:numId w:val="5"/>
              </w:numPr>
              <w:bidi w:val="0"/>
              <w:ind w:left="0" w:leftChars="0" w:firstLine="471" w:firstLineChars="0"/>
              <w:rPr>
                <w:rFonts w:hint="default"/>
                <w:color w:val="auto"/>
                <w:lang w:val="en-US" w:eastAsia="zh-CN"/>
              </w:rPr>
            </w:pPr>
            <w:r>
              <w:rPr>
                <w:rFonts w:hint="default"/>
                <w:color w:val="auto"/>
                <w:lang w:val="en-US" w:eastAsia="zh-CN"/>
              </w:rPr>
              <w:t>与</w:t>
            </w:r>
            <w:r>
              <w:rPr>
                <w:rFonts w:hint="default"/>
                <w:color w:val="auto"/>
              </w:rPr>
              <w:t>《关于进一步加强石油天然气行业环境影响评价管理的通知》</w:t>
            </w:r>
            <w:r>
              <w:rPr>
                <w:rFonts w:hint="default"/>
                <w:color w:val="auto"/>
                <w:lang w:val="en-US" w:eastAsia="zh-CN"/>
              </w:rPr>
              <w:t>（环办环评函〔2019〕910号）及〈转发《关于进一步加强石油天然气行业环境影响评价的通知》的通知〉（新环环评发〔2020〕142号）符合性分析</w:t>
            </w:r>
          </w:p>
          <w:p>
            <w:pPr>
              <w:pStyle w:val="36"/>
              <w:bidi w:val="0"/>
              <w:rPr>
                <w:rFonts w:hint="default"/>
                <w:color w:val="auto"/>
                <w:lang w:val="en-US" w:eastAsia="zh-CN"/>
              </w:rPr>
            </w:pPr>
            <w:r>
              <w:rPr>
                <w:rFonts w:hint="default"/>
                <w:color w:val="auto"/>
                <w:lang w:val="en-US" w:eastAsia="zh-CN"/>
              </w:rPr>
              <w:t>本项目与</w:t>
            </w:r>
            <w:r>
              <w:rPr>
                <w:rFonts w:hint="default"/>
                <w:color w:val="auto"/>
              </w:rPr>
              <w:t>《关于进一步加强石油天然气行业环境影响评价管理的通知》</w:t>
            </w:r>
            <w:r>
              <w:rPr>
                <w:rFonts w:hint="default"/>
                <w:color w:val="auto"/>
                <w:lang w:val="en-US" w:eastAsia="zh-CN"/>
              </w:rPr>
              <w:t>（环办环评函〔2019〕910号）及〈转发《关于进一步加强石油天然气行业环境影响评价的通知》的通知〉（新环环评发〔2020〕142号）的符合性分析见</w:t>
            </w:r>
            <w:r>
              <w:rPr>
                <w:rFonts w:hint="eastAsia"/>
                <w:color w:val="auto"/>
                <w:lang w:val="en-US" w:eastAsia="zh-CN"/>
              </w:rPr>
              <w:t>下表</w:t>
            </w:r>
            <w:r>
              <w:rPr>
                <w:rFonts w:hint="default"/>
                <w:color w:val="auto"/>
                <w:lang w:val="en-US" w:eastAsia="zh-CN"/>
              </w:rPr>
              <w:t>。</w:t>
            </w:r>
          </w:p>
          <w:p>
            <w:pPr>
              <w:pStyle w:val="52"/>
              <w:bidi w:val="0"/>
              <w:rPr>
                <w:rFonts w:hint="default" w:ascii="Times New Roman" w:hAnsi="Times New Roman" w:cs="Times New Roman"/>
                <w:color w:val="auto"/>
                <w:lang w:val="en-US" w:eastAsia="zh-CN"/>
              </w:rPr>
            </w:pPr>
            <w:r>
              <w:rPr>
                <w:rFonts w:hint="default" w:ascii="Times New Roman" w:hAnsi="Times New Roman" w:cs="Times New Roman"/>
                <w:color w:val="auto"/>
              </w:rPr>
              <w:t>表</w:t>
            </w:r>
            <w:r>
              <w:rPr>
                <w:rFonts w:hint="default" w:ascii="Times New Roman" w:hAnsi="Times New Roman" w:cs="Times New Roman"/>
                <w:color w:val="auto"/>
                <w:lang w:val="en-US" w:eastAsia="zh-CN"/>
              </w:rPr>
              <w:t>1-</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SEQ 表 \* ARABIC </w:instrText>
            </w:r>
            <w:r>
              <w:rPr>
                <w:rFonts w:hint="default" w:ascii="Times New Roman" w:hAnsi="Times New Roman" w:cs="Times New Roman"/>
                <w:color w:val="auto"/>
              </w:rPr>
              <w:fldChar w:fldCharType="separate"/>
            </w:r>
            <w:r>
              <w:rPr>
                <w:rFonts w:hint="default" w:ascii="Times New Roman" w:hAnsi="Times New Roman" w:cs="Times New Roman"/>
                <w:color w:val="auto"/>
              </w:rPr>
              <w:t>2</w:t>
            </w:r>
            <w:r>
              <w:rPr>
                <w:rFonts w:hint="default" w:ascii="Times New Roman" w:hAnsi="Times New Roman" w:cs="Times New Roman"/>
                <w:color w:val="auto"/>
              </w:rPr>
              <w:fldChar w:fldCharType="end"/>
            </w:r>
            <w:r>
              <w:rPr>
                <w:rFonts w:hint="default" w:ascii="Times New Roman" w:hAnsi="Times New Roman" w:cs="Times New Roman"/>
                <w:color w:val="auto"/>
                <w:lang w:val="en-US" w:eastAsia="zh-CN"/>
              </w:rPr>
              <w:t xml:space="preserve">  本项目与《通知》相关要求符合性分析</w:t>
            </w:r>
          </w:p>
          <w:tbl>
            <w:tblPr>
              <w:tblStyle w:val="24"/>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
            <w:tblGrid>
              <w:gridCol w:w="586"/>
              <w:gridCol w:w="3011"/>
              <w:gridCol w:w="3911"/>
              <w:gridCol w:w="7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355" w:type="pct"/>
                  <w:tcBorders>
                    <w:tl2br w:val="nil"/>
                    <w:tr2bl w:val="nil"/>
                  </w:tcBorders>
                  <w:vAlign w:val="center"/>
                </w:tcPr>
                <w:p>
                  <w:pPr>
                    <w:pStyle w:val="33"/>
                    <w:bidi w:val="0"/>
                    <w:rPr>
                      <w:rFonts w:hint="default" w:ascii="Times New Roman" w:hAnsi="Times New Roman" w:cs="Times New Roman"/>
                      <w:color w:val="auto"/>
                      <w:szCs w:val="21"/>
                      <w:lang w:val="en-US" w:eastAsia="zh-CN"/>
                    </w:rPr>
                  </w:pPr>
                  <w:r>
                    <w:rPr>
                      <w:rFonts w:hint="default"/>
                      <w:color w:val="auto"/>
                      <w:lang w:val="en-US" w:eastAsia="zh-CN"/>
                    </w:rPr>
                    <w:t>序号</w:t>
                  </w:r>
                </w:p>
              </w:tc>
              <w:tc>
                <w:tcPr>
                  <w:tcW w:w="1825" w:type="pct"/>
                  <w:tcBorders>
                    <w:tl2br w:val="nil"/>
                    <w:tr2bl w:val="nil"/>
                  </w:tcBorders>
                  <w:vAlign w:val="center"/>
                </w:tcPr>
                <w:p>
                  <w:pPr>
                    <w:pStyle w:val="33"/>
                    <w:bidi w:val="0"/>
                    <w:rPr>
                      <w:rFonts w:hint="default" w:ascii="Times New Roman" w:hAnsi="Times New Roman" w:cs="Times New Roman"/>
                      <w:color w:val="auto"/>
                      <w:szCs w:val="21"/>
                      <w:lang w:val="en-US" w:eastAsia="zh-CN"/>
                    </w:rPr>
                  </w:pPr>
                  <w:r>
                    <w:rPr>
                      <w:rFonts w:hint="default"/>
                      <w:color w:val="auto"/>
                      <w:lang w:val="en-US" w:eastAsia="zh-CN"/>
                    </w:rPr>
                    <w:t>《通知》要求</w:t>
                  </w:r>
                </w:p>
              </w:tc>
              <w:tc>
                <w:tcPr>
                  <w:tcW w:w="2370" w:type="pct"/>
                  <w:tcBorders>
                    <w:tl2br w:val="nil"/>
                    <w:tr2bl w:val="nil"/>
                  </w:tcBorders>
                  <w:vAlign w:val="center"/>
                </w:tcPr>
                <w:p>
                  <w:pPr>
                    <w:pStyle w:val="33"/>
                    <w:bidi w:val="0"/>
                    <w:rPr>
                      <w:rFonts w:hint="default" w:ascii="Times New Roman" w:hAnsi="Times New Roman" w:cs="Times New Roman"/>
                      <w:color w:val="auto"/>
                      <w:szCs w:val="21"/>
                      <w:lang w:val="en-US" w:eastAsia="zh-CN"/>
                    </w:rPr>
                  </w:pPr>
                  <w:r>
                    <w:rPr>
                      <w:rFonts w:hint="default"/>
                      <w:color w:val="auto"/>
                      <w:lang w:val="en-US" w:eastAsia="zh-CN"/>
                    </w:rPr>
                    <w:t>本项目情况</w:t>
                  </w:r>
                </w:p>
              </w:tc>
              <w:tc>
                <w:tcPr>
                  <w:tcW w:w="449" w:type="pct"/>
                  <w:tcBorders>
                    <w:tl2br w:val="nil"/>
                    <w:tr2bl w:val="nil"/>
                  </w:tcBorders>
                  <w:vAlign w:val="center"/>
                </w:tcPr>
                <w:p>
                  <w:pPr>
                    <w:pStyle w:val="33"/>
                    <w:bidi w:val="0"/>
                    <w:rPr>
                      <w:rFonts w:hint="default" w:ascii="Times New Roman" w:hAnsi="Times New Roman" w:cs="Times New Roman"/>
                      <w:color w:val="auto"/>
                      <w:szCs w:val="21"/>
                      <w:lang w:val="en-US" w:eastAsia="zh-CN"/>
                    </w:rPr>
                  </w:pPr>
                  <w:r>
                    <w:rPr>
                      <w:rFonts w:hint="default"/>
                      <w:color w:val="auto"/>
                      <w:lang w:val="en-US" w:eastAsia="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355" w:type="pct"/>
                  <w:tcBorders>
                    <w:tl2br w:val="nil"/>
                    <w:tr2bl w:val="nil"/>
                  </w:tcBorders>
                  <w:vAlign w:val="center"/>
                </w:tcPr>
                <w:p>
                  <w:pPr>
                    <w:pStyle w:val="33"/>
                    <w:bidi w:val="0"/>
                    <w:rPr>
                      <w:rFonts w:hint="default" w:ascii="Times New Roman" w:hAnsi="Times New Roman" w:cs="Times New Roman"/>
                      <w:color w:val="auto"/>
                      <w:szCs w:val="21"/>
                      <w:lang w:val="en-US" w:eastAsia="zh-CN"/>
                    </w:rPr>
                  </w:pPr>
                  <w:r>
                    <w:rPr>
                      <w:rFonts w:hint="default"/>
                      <w:color w:val="auto"/>
                      <w:lang w:val="en-US" w:eastAsia="zh-CN"/>
                    </w:rPr>
                    <w:t>1</w:t>
                  </w:r>
                </w:p>
              </w:tc>
              <w:tc>
                <w:tcPr>
                  <w:tcW w:w="1825" w:type="pct"/>
                  <w:tcBorders>
                    <w:tl2br w:val="nil"/>
                    <w:tr2bl w:val="nil"/>
                  </w:tcBorders>
                  <w:vAlign w:val="center"/>
                </w:tcPr>
                <w:p>
                  <w:pPr>
                    <w:pStyle w:val="33"/>
                    <w:bidi w:val="0"/>
                    <w:rPr>
                      <w:rFonts w:hint="default" w:ascii="Times New Roman" w:hAnsi="Times New Roman" w:cs="Times New Roman"/>
                      <w:color w:val="auto"/>
                      <w:szCs w:val="21"/>
                      <w:lang w:val="en-US" w:eastAsia="zh-CN"/>
                    </w:rPr>
                  </w:pPr>
                  <w:r>
                    <w:rPr>
                      <w:rFonts w:hint="default"/>
                      <w:color w:val="auto"/>
                    </w:rPr>
                    <w:t>建设项目环评文件中应当包含钻井液、压裂液中重金属等有毒有害物质的相关信息，涉及商业秘密、技术秘密等情形的除外。</w:t>
                  </w:r>
                </w:p>
              </w:tc>
              <w:tc>
                <w:tcPr>
                  <w:tcW w:w="2370" w:type="pct"/>
                  <w:tcBorders>
                    <w:tl2br w:val="nil"/>
                    <w:tr2bl w:val="nil"/>
                  </w:tcBorders>
                  <w:vAlign w:val="center"/>
                </w:tcPr>
                <w:p>
                  <w:pPr>
                    <w:pStyle w:val="33"/>
                    <w:bidi w:val="0"/>
                    <w:rPr>
                      <w:rFonts w:hint="default" w:ascii="Times New Roman" w:hAnsi="Times New Roman" w:eastAsia="宋体" w:cs="Times New Roman"/>
                      <w:color w:val="auto"/>
                      <w:szCs w:val="21"/>
                      <w:lang w:val="en-US" w:eastAsia="zh-CN"/>
                    </w:rPr>
                  </w:pPr>
                  <w:r>
                    <w:rPr>
                      <w:rFonts w:hint="default"/>
                      <w:color w:val="auto"/>
                      <w:lang w:val="en-US" w:eastAsia="zh-CN"/>
                    </w:rPr>
                    <w:t>本项目</w:t>
                  </w:r>
                  <w:r>
                    <w:rPr>
                      <w:rFonts w:hint="eastAsia"/>
                      <w:color w:val="auto"/>
                      <w:lang w:val="en-US" w:eastAsia="zh-CN"/>
                    </w:rPr>
                    <w:t>一开和二开</w:t>
                  </w:r>
                  <w:r>
                    <w:rPr>
                      <w:rFonts w:hint="default"/>
                      <w:color w:val="auto"/>
                    </w:rPr>
                    <w:t>采用水基钻井液</w:t>
                  </w:r>
                  <w:r>
                    <w:rPr>
                      <w:rFonts w:hint="eastAsia"/>
                      <w:color w:val="auto"/>
                      <w:lang w:eastAsia="zh-CN"/>
                    </w:rPr>
                    <w:t>，</w:t>
                  </w:r>
                  <w:r>
                    <w:rPr>
                      <w:rFonts w:hint="eastAsia"/>
                      <w:color w:val="auto"/>
                      <w:lang w:val="en-US" w:eastAsia="zh-CN"/>
                    </w:rPr>
                    <w:t>三开、四开和五开采用油基钻井液</w:t>
                  </w:r>
                  <w:r>
                    <w:rPr>
                      <w:rFonts w:hint="default"/>
                      <w:color w:val="auto"/>
                      <w:lang w:eastAsia="zh-CN"/>
                    </w:rPr>
                    <w:t>，</w:t>
                  </w:r>
                  <w:r>
                    <w:rPr>
                      <w:rFonts w:hint="default"/>
                      <w:color w:val="auto"/>
                      <w:lang w:val="en-US" w:eastAsia="zh-CN"/>
                    </w:rPr>
                    <w:t>压裂液主要成分为羟丙基胍胶、氯化钾、过硫酸钠等</w:t>
                  </w:r>
                  <w:r>
                    <w:rPr>
                      <w:rFonts w:hint="eastAsia"/>
                      <w:color w:val="auto"/>
                      <w:lang w:val="en-US" w:eastAsia="zh-CN"/>
                    </w:rPr>
                    <w:t>，</w:t>
                  </w:r>
                  <w:r>
                    <w:rPr>
                      <w:rFonts w:hint="default"/>
                      <w:color w:val="auto"/>
                      <w:lang w:val="en-US" w:eastAsia="zh-CN"/>
                    </w:rPr>
                    <w:t>详细成分涉及商业秘密，不宜公开，本次环评中已</w:t>
                  </w:r>
                  <w:r>
                    <w:rPr>
                      <w:rFonts w:hint="eastAsia"/>
                      <w:color w:val="auto"/>
                      <w:lang w:val="en-US" w:eastAsia="zh-CN"/>
                    </w:rPr>
                    <w:t>简要描述</w:t>
                  </w:r>
                  <w:r>
                    <w:rPr>
                      <w:rFonts w:hint="default"/>
                      <w:color w:val="auto"/>
                      <w:lang w:val="en-US" w:eastAsia="zh-CN"/>
                    </w:rPr>
                    <w:t>相关信息</w:t>
                  </w:r>
                </w:p>
              </w:tc>
              <w:tc>
                <w:tcPr>
                  <w:tcW w:w="449" w:type="pct"/>
                  <w:tcBorders>
                    <w:tl2br w:val="nil"/>
                    <w:tr2bl w:val="nil"/>
                  </w:tcBorders>
                  <w:vAlign w:val="center"/>
                </w:tcPr>
                <w:p>
                  <w:pPr>
                    <w:pStyle w:val="33"/>
                    <w:bidi w:val="0"/>
                    <w:rPr>
                      <w:rFonts w:hint="default" w:ascii="Times New Roman" w:hAnsi="Times New Roman" w:cs="Times New Roman"/>
                      <w:color w:val="auto"/>
                      <w:szCs w:val="21"/>
                      <w:lang w:val="en-US" w:eastAsia="zh-CN"/>
                    </w:rPr>
                  </w:pPr>
                  <w:r>
                    <w:rPr>
                      <w:rFonts w:hint="default"/>
                      <w:color w:val="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355" w:type="pct"/>
                  <w:tcBorders>
                    <w:tl2br w:val="nil"/>
                    <w:tr2bl w:val="nil"/>
                  </w:tcBorders>
                  <w:vAlign w:val="center"/>
                </w:tcPr>
                <w:p>
                  <w:pPr>
                    <w:pStyle w:val="33"/>
                    <w:bidi w:val="0"/>
                    <w:rPr>
                      <w:rFonts w:hint="default" w:ascii="Times New Roman" w:hAnsi="Times New Roman" w:cs="Times New Roman"/>
                      <w:color w:val="auto"/>
                      <w:szCs w:val="21"/>
                      <w:lang w:val="en-US" w:eastAsia="zh-CN"/>
                    </w:rPr>
                  </w:pPr>
                  <w:r>
                    <w:rPr>
                      <w:rFonts w:hint="default"/>
                      <w:color w:val="auto"/>
                      <w:lang w:val="en-US" w:eastAsia="zh-CN"/>
                    </w:rPr>
                    <w:t>2</w:t>
                  </w:r>
                </w:p>
              </w:tc>
              <w:tc>
                <w:tcPr>
                  <w:tcW w:w="1825" w:type="pct"/>
                  <w:tcBorders>
                    <w:tl2br w:val="nil"/>
                    <w:tr2bl w:val="nil"/>
                  </w:tcBorders>
                  <w:vAlign w:val="center"/>
                </w:tcPr>
                <w:p>
                  <w:pPr>
                    <w:pStyle w:val="33"/>
                    <w:bidi w:val="0"/>
                    <w:rPr>
                      <w:rFonts w:hint="default" w:ascii="Times New Roman" w:hAnsi="Times New Roman" w:cs="Times New Roman"/>
                      <w:color w:val="auto"/>
                      <w:szCs w:val="21"/>
                      <w:lang w:val="en-US" w:eastAsia="zh-CN"/>
                    </w:rPr>
                  </w:pPr>
                  <w:r>
                    <w:rPr>
                      <w:rFonts w:hint="default"/>
                      <w:color w:val="auto"/>
                    </w:rPr>
                    <w:t>油气开采产生的废弃油基泥浆、含油钻屑及其他固体废物，应遵循减量化、资源化、无害化原则，按照国家和地方有关固体废物的管理规定进行处置。油气开采项目产生的危险废物，应按照《建设项目危险废物环境影响评价指南》要求评价</w:t>
                  </w:r>
                </w:p>
              </w:tc>
              <w:tc>
                <w:tcPr>
                  <w:tcW w:w="2370" w:type="pct"/>
                  <w:tcBorders>
                    <w:tl2br w:val="nil"/>
                    <w:tr2bl w:val="nil"/>
                  </w:tcBorders>
                  <w:vAlign w:val="center"/>
                </w:tcPr>
                <w:p>
                  <w:pPr>
                    <w:pStyle w:val="33"/>
                    <w:bidi w:val="0"/>
                    <w:rPr>
                      <w:rFonts w:hint="default" w:ascii="Times New Roman" w:hAnsi="Times New Roman" w:eastAsia="宋体" w:cs="Times New Roman"/>
                      <w:color w:val="auto"/>
                      <w:szCs w:val="21"/>
                      <w:lang w:val="en-US" w:eastAsia="zh-CN"/>
                    </w:rPr>
                  </w:pPr>
                  <w:r>
                    <w:rPr>
                      <w:rFonts w:hint="default"/>
                      <w:color w:val="auto"/>
                      <w:lang w:val="en-US" w:eastAsia="zh-CN"/>
                    </w:rPr>
                    <w:t>本项目井场内设有</w:t>
                  </w:r>
                  <w:r>
                    <w:rPr>
                      <w:rFonts w:hint="default"/>
                      <w:color w:val="auto"/>
                    </w:rPr>
                    <w:t>钻井液不落地设备，</w:t>
                  </w:r>
                  <w:r>
                    <w:rPr>
                      <w:rFonts w:hint="default"/>
                      <w:color w:val="auto"/>
                      <w:lang w:val="en-US" w:eastAsia="zh-CN"/>
                    </w:rPr>
                    <w:t>钻井液循环使用，符合减量化要求；施工结束后产生的未沾油防渗材料，由施工单位集中回收利用，符合资源化原则；项目产生的</w:t>
                  </w:r>
                  <w:r>
                    <w:rPr>
                      <w:rFonts w:hint="eastAsia"/>
                      <w:color w:val="auto"/>
                      <w:lang w:val="en-US" w:eastAsia="zh-CN"/>
                    </w:rPr>
                    <w:t>水基钻井岩屑</w:t>
                  </w:r>
                  <w:r>
                    <w:rPr>
                      <w:rFonts w:hint="default"/>
                      <w:color w:val="auto"/>
                      <w:lang w:val="en-US" w:eastAsia="zh-CN"/>
                    </w:rPr>
                    <w:t>集中收集后</w:t>
                  </w:r>
                  <w:r>
                    <w:rPr>
                      <w:rFonts w:hint="default"/>
                      <w:color w:val="auto"/>
                    </w:rPr>
                    <w:t>委托第三方岩屑处置单位进行处置</w:t>
                  </w:r>
                  <w:r>
                    <w:rPr>
                      <w:rFonts w:hint="default"/>
                      <w:color w:val="auto"/>
                      <w:lang w:eastAsia="zh-CN"/>
                    </w:rPr>
                    <w:t>，</w:t>
                  </w:r>
                  <w:r>
                    <w:rPr>
                      <w:rFonts w:hint="eastAsia"/>
                      <w:color w:val="auto"/>
                      <w:lang w:val="en-US" w:eastAsia="zh-CN"/>
                    </w:rPr>
                    <w:t>油基岩屑等</w:t>
                  </w:r>
                  <w:r>
                    <w:rPr>
                      <w:rFonts w:hint="default"/>
                      <w:color w:val="auto"/>
                      <w:lang w:val="en-US" w:eastAsia="zh-CN"/>
                    </w:rPr>
                    <w:t>危险废物交</w:t>
                  </w:r>
                  <w:r>
                    <w:rPr>
                      <w:rFonts w:hint="default"/>
                      <w:color w:val="auto"/>
                    </w:rPr>
                    <w:t>具有相应危险</w:t>
                  </w:r>
                  <w:r>
                    <w:rPr>
                      <w:rFonts w:hint="default"/>
                      <w:color w:val="auto"/>
                      <w:lang w:val="en-US" w:eastAsia="zh-CN"/>
                    </w:rPr>
                    <w:t>经营许可单位</w:t>
                  </w:r>
                  <w:r>
                    <w:rPr>
                      <w:rFonts w:hint="default"/>
                      <w:color w:val="auto"/>
                    </w:rPr>
                    <w:t>处置</w:t>
                  </w:r>
                  <w:r>
                    <w:rPr>
                      <w:rFonts w:hint="default"/>
                      <w:color w:val="auto"/>
                      <w:lang w:eastAsia="zh-CN"/>
                    </w:rPr>
                    <w:t>，</w:t>
                  </w:r>
                  <w:r>
                    <w:rPr>
                      <w:rFonts w:hint="default"/>
                      <w:color w:val="auto"/>
                      <w:lang w:val="en-US" w:eastAsia="zh-CN"/>
                    </w:rPr>
                    <w:t>符合无害化原则</w:t>
                  </w:r>
                </w:p>
              </w:tc>
              <w:tc>
                <w:tcPr>
                  <w:tcW w:w="449" w:type="pct"/>
                  <w:tcBorders>
                    <w:tl2br w:val="nil"/>
                    <w:tr2bl w:val="nil"/>
                  </w:tcBorders>
                  <w:vAlign w:val="center"/>
                </w:tcPr>
                <w:p>
                  <w:pPr>
                    <w:pStyle w:val="33"/>
                    <w:bidi w:val="0"/>
                    <w:rPr>
                      <w:rFonts w:hint="default" w:ascii="Times New Roman" w:hAnsi="Times New Roman" w:cs="Times New Roman"/>
                      <w:color w:val="auto"/>
                      <w:szCs w:val="21"/>
                      <w:lang w:val="en-US" w:eastAsia="zh-CN"/>
                    </w:rPr>
                  </w:pPr>
                  <w:r>
                    <w:rPr>
                      <w:rFonts w:hint="default"/>
                      <w:color w:val="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355" w:type="pct"/>
                  <w:tcBorders>
                    <w:tl2br w:val="nil"/>
                    <w:tr2bl w:val="nil"/>
                  </w:tcBorders>
                  <w:vAlign w:val="center"/>
                </w:tcPr>
                <w:p>
                  <w:pPr>
                    <w:pStyle w:val="33"/>
                    <w:bidi w:val="0"/>
                    <w:rPr>
                      <w:rFonts w:hint="default" w:ascii="Times New Roman" w:hAnsi="Times New Roman" w:cs="Times New Roman"/>
                      <w:color w:val="auto"/>
                      <w:szCs w:val="21"/>
                      <w:lang w:val="en-US" w:eastAsia="zh-CN"/>
                    </w:rPr>
                  </w:pPr>
                  <w:r>
                    <w:rPr>
                      <w:rFonts w:hint="default"/>
                      <w:color w:val="auto"/>
                      <w:lang w:val="en-US" w:eastAsia="zh-CN"/>
                    </w:rPr>
                    <w:t>3</w:t>
                  </w:r>
                </w:p>
              </w:tc>
              <w:tc>
                <w:tcPr>
                  <w:tcW w:w="1825" w:type="pct"/>
                  <w:tcBorders>
                    <w:tl2br w:val="nil"/>
                    <w:tr2bl w:val="nil"/>
                  </w:tcBorders>
                  <w:vAlign w:val="center"/>
                </w:tcPr>
                <w:p>
                  <w:pPr>
                    <w:pStyle w:val="33"/>
                    <w:bidi w:val="0"/>
                    <w:rPr>
                      <w:rFonts w:hint="default" w:ascii="Times New Roman" w:hAnsi="Times New Roman" w:cs="Times New Roman"/>
                      <w:color w:val="auto"/>
                      <w:szCs w:val="21"/>
                      <w:lang w:val="en-US" w:eastAsia="zh-CN"/>
                    </w:rPr>
                  </w:pPr>
                  <w:r>
                    <w:rPr>
                      <w:rFonts w:hint="default"/>
                      <w:color w:val="auto"/>
                    </w:rPr>
                    <w:t>施工期应当尽量减少施工占地、缩短施工时间、选择合理施工方式落实环境敏感区管控要求以及其他生态环境保护措施，降低生态环境影响。选用低噪声设备，避免噪声扰民。施工结束后，应当及时落实环评提出的生态保护措施。</w:t>
                  </w:r>
                </w:p>
              </w:tc>
              <w:tc>
                <w:tcPr>
                  <w:tcW w:w="2370" w:type="pct"/>
                  <w:tcBorders>
                    <w:tl2br w:val="nil"/>
                    <w:tr2bl w:val="nil"/>
                  </w:tcBorders>
                  <w:vAlign w:val="center"/>
                </w:tcPr>
                <w:p>
                  <w:pPr>
                    <w:pStyle w:val="33"/>
                    <w:bidi w:val="0"/>
                    <w:rPr>
                      <w:rFonts w:hint="default" w:ascii="Times New Roman" w:hAnsi="Times New Roman" w:cs="Times New Roman"/>
                      <w:color w:val="auto"/>
                      <w:szCs w:val="21"/>
                      <w:lang w:val="en-US" w:eastAsia="zh-CN"/>
                    </w:rPr>
                  </w:pPr>
                  <w:r>
                    <w:rPr>
                      <w:rFonts w:hint="default"/>
                      <w:color w:val="auto"/>
                      <w:lang w:val="en-US" w:eastAsia="zh-CN"/>
                    </w:rPr>
                    <w:t>本次环评提出施工期尽量减少占地、缩短施工时间的要求</w:t>
                  </w:r>
                  <w:r>
                    <w:rPr>
                      <w:rFonts w:hint="default"/>
                      <w:color w:val="auto"/>
                    </w:rPr>
                    <w:t>。</w:t>
                  </w:r>
                  <w:r>
                    <w:rPr>
                      <w:rFonts w:hint="default"/>
                      <w:color w:val="auto"/>
                      <w:lang w:val="en-US" w:eastAsia="zh-CN"/>
                    </w:rPr>
                    <w:t>项目不涉及生态环境敏感区。项目实施过程采用</w:t>
                  </w:r>
                  <w:r>
                    <w:rPr>
                      <w:rFonts w:hint="default"/>
                      <w:color w:val="auto"/>
                    </w:rPr>
                    <w:t>低噪声设备</w:t>
                  </w:r>
                  <w:r>
                    <w:rPr>
                      <w:rFonts w:hint="default"/>
                      <w:color w:val="auto"/>
                      <w:lang w:eastAsia="zh-CN"/>
                    </w:rPr>
                    <w:t>；</w:t>
                  </w:r>
                  <w:r>
                    <w:rPr>
                      <w:rFonts w:hint="default"/>
                      <w:color w:val="auto"/>
                      <w:lang w:val="en-US" w:eastAsia="zh-CN"/>
                    </w:rPr>
                    <w:t>项目结束后</w:t>
                  </w:r>
                  <w:r>
                    <w:rPr>
                      <w:rFonts w:hint="default"/>
                      <w:color w:val="auto"/>
                    </w:rPr>
                    <w:t>，</w:t>
                  </w:r>
                  <w:r>
                    <w:rPr>
                      <w:rFonts w:hint="default"/>
                      <w:color w:val="auto"/>
                      <w:lang w:val="en-US" w:eastAsia="zh-CN"/>
                    </w:rPr>
                    <w:t>对临时占地范围进行及时清理、平整，严格落实本次环评中提出的生态保护措施。</w:t>
                  </w:r>
                </w:p>
              </w:tc>
              <w:tc>
                <w:tcPr>
                  <w:tcW w:w="449" w:type="pct"/>
                  <w:tcBorders>
                    <w:tl2br w:val="nil"/>
                    <w:tr2bl w:val="nil"/>
                  </w:tcBorders>
                  <w:vAlign w:val="center"/>
                </w:tcPr>
                <w:p>
                  <w:pPr>
                    <w:pStyle w:val="33"/>
                    <w:bidi w:val="0"/>
                    <w:rPr>
                      <w:rFonts w:hint="default" w:ascii="Times New Roman" w:hAnsi="Times New Roman" w:cs="Times New Roman"/>
                      <w:color w:val="auto"/>
                      <w:szCs w:val="21"/>
                      <w:lang w:val="en-US" w:eastAsia="zh-CN"/>
                    </w:rPr>
                  </w:pPr>
                  <w:r>
                    <w:rPr>
                      <w:rFonts w:hint="default"/>
                      <w:color w:val="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355" w:type="pct"/>
                  <w:tcBorders>
                    <w:tl2br w:val="nil"/>
                    <w:tr2bl w:val="nil"/>
                  </w:tcBorders>
                  <w:vAlign w:val="center"/>
                </w:tcPr>
                <w:p>
                  <w:pPr>
                    <w:pStyle w:val="33"/>
                    <w:bidi w:val="0"/>
                    <w:rPr>
                      <w:rFonts w:hint="default" w:ascii="Times New Roman" w:hAnsi="Times New Roman" w:cs="Times New Roman"/>
                      <w:color w:val="auto"/>
                      <w:szCs w:val="21"/>
                      <w:lang w:val="en-US" w:eastAsia="zh-CN"/>
                    </w:rPr>
                  </w:pPr>
                  <w:r>
                    <w:rPr>
                      <w:rFonts w:hint="default"/>
                      <w:color w:val="auto"/>
                      <w:lang w:val="en-US" w:eastAsia="zh-CN"/>
                    </w:rPr>
                    <w:t>4</w:t>
                  </w:r>
                </w:p>
              </w:tc>
              <w:tc>
                <w:tcPr>
                  <w:tcW w:w="1825" w:type="pct"/>
                  <w:tcBorders>
                    <w:tl2br w:val="nil"/>
                    <w:tr2bl w:val="nil"/>
                  </w:tcBorders>
                  <w:vAlign w:val="center"/>
                </w:tcPr>
                <w:p>
                  <w:pPr>
                    <w:pStyle w:val="33"/>
                    <w:bidi w:val="0"/>
                    <w:rPr>
                      <w:rFonts w:hint="default" w:ascii="Times New Roman" w:hAnsi="Times New Roman" w:cs="Times New Roman"/>
                      <w:color w:val="auto"/>
                      <w:szCs w:val="21"/>
                      <w:lang w:val="en-US" w:eastAsia="zh-CN"/>
                    </w:rPr>
                  </w:pPr>
                  <w:r>
                    <w:rPr>
                      <w:rFonts w:hint="default"/>
                      <w:color w:val="auto"/>
                    </w:rPr>
                    <w:t>油气企业应当加强风险防控，按规定编制突发环境事件应急预案，报所在地生态环境主管部门备案。</w:t>
                  </w:r>
                </w:p>
              </w:tc>
              <w:tc>
                <w:tcPr>
                  <w:tcW w:w="2370" w:type="pct"/>
                  <w:tcBorders>
                    <w:tl2br w:val="nil"/>
                    <w:tr2bl w:val="nil"/>
                  </w:tcBorders>
                  <w:vAlign w:val="center"/>
                </w:tcPr>
                <w:p>
                  <w:pPr>
                    <w:pStyle w:val="33"/>
                    <w:bidi w:val="0"/>
                    <w:rPr>
                      <w:rFonts w:hint="default" w:ascii="Times New Roman" w:hAnsi="Times New Roman" w:eastAsia="宋体" w:cs="Times New Roman"/>
                      <w:color w:val="auto"/>
                      <w:szCs w:val="21"/>
                      <w:lang w:val="en-US" w:eastAsia="zh-CN"/>
                    </w:rPr>
                  </w:pPr>
                  <w:r>
                    <w:rPr>
                      <w:rFonts w:hint="default"/>
                      <w:color w:val="auto"/>
                    </w:rPr>
                    <w:t>中国石油新疆油田分公司勘探事业部</w:t>
                  </w:r>
                  <w:r>
                    <w:rPr>
                      <w:rFonts w:hint="eastAsia"/>
                      <w:color w:val="auto"/>
                      <w:lang w:val="en-US" w:eastAsia="zh-CN"/>
                    </w:rPr>
                    <w:t>已编制</w:t>
                  </w:r>
                  <w:r>
                    <w:rPr>
                      <w:rFonts w:hint="default"/>
                      <w:color w:val="auto"/>
                    </w:rPr>
                    <w:t>《中国石油新疆油田分公司勘探事业部突发环境事件应急预案》</w:t>
                  </w:r>
                  <w:r>
                    <w:rPr>
                      <w:rFonts w:hint="eastAsia"/>
                      <w:color w:val="auto"/>
                      <w:lang w:val="en-US" w:eastAsia="zh-CN"/>
                    </w:rPr>
                    <w:t>并报</w:t>
                  </w:r>
                  <w:r>
                    <w:rPr>
                      <w:rFonts w:hint="default"/>
                      <w:color w:val="auto"/>
                    </w:rPr>
                    <w:t>所在地生态环境主管部门备案</w:t>
                  </w:r>
                </w:p>
              </w:tc>
              <w:tc>
                <w:tcPr>
                  <w:tcW w:w="449" w:type="pct"/>
                  <w:tcBorders>
                    <w:tl2br w:val="nil"/>
                    <w:tr2bl w:val="nil"/>
                  </w:tcBorders>
                  <w:vAlign w:val="center"/>
                </w:tcPr>
                <w:p>
                  <w:pPr>
                    <w:pStyle w:val="33"/>
                    <w:bidi w:val="0"/>
                    <w:rPr>
                      <w:rFonts w:hint="default" w:ascii="Times New Roman" w:hAnsi="Times New Roman" w:cs="Times New Roman"/>
                      <w:color w:val="auto"/>
                      <w:szCs w:val="21"/>
                      <w:lang w:val="en-US" w:eastAsia="zh-CN"/>
                    </w:rPr>
                  </w:pPr>
                  <w:r>
                    <w:rPr>
                      <w:rFonts w:hint="default"/>
                      <w:color w:val="auto"/>
                      <w:lang w:val="en-US" w:eastAsia="zh-CN"/>
                    </w:rPr>
                    <w:t>符合</w:t>
                  </w:r>
                </w:p>
              </w:tc>
            </w:tr>
          </w:tbl>
          <w:p>
            <w:pPr>
              <w:pStyle w:val="32"/>
              <w:numPr>
                <w:ilvl w:val="0"/>
                <w:numId w:val="5"/>
              </w:numPr>
              <w:bidi w:val="0"/>
              <w:ind w:left="0" w:leftChars="0" w:firstLine="471" w:firstLineChars="0"/>
              <w:rPr>
                <w:rFonts w:hint="default"/>
                <w:color w:val="auto"/>
                <w:lang w:val="en-US" w:eastAsia="zh-CN"/>
              </w:rPr>
            </w:pPr>
            <w:r>
              <w:rPr>
                <w:rFonts w:hint="eastAsia"/>
                <w:color w:val="auto"/>
                <w:lang w:val="en-US" w:eastAsia="zh-CN"/>
              </w:rPr>
              <w:t>项目</w:t>
            </w:r>
            <w:r>
              <w:rPr>
                <w:rFonts w:hint="default"/>
                <w:color w:val="auto"/>
                <w:lang w:val="en-US" w:eastAsia="zh-CN"/>
              </w:rPr>
              <w:t>与</w:t>
            </w:r>
            <w:r>
              <w:rPr>
                <w:rFonts w:hint="default"/>
                <w:color w:val="auto"/>
              </w:rPr>
              <w:t>《石油天然气开采业污染防治技术政策》</w:t>
            </w:r>
            <w:r>
              <w:rPr>
                <w:rFonts w:hint="default"/>
                <w:color w:val="auto"/>
                <w:lang w:val="en-US" w:eastAsia="zh-CN"/>
              </w:rPr>
              <w:t>符合性分析</w:t>
            </w:r>
          </w:p>
          <w:p>
            <w:pPr>
              <w:pStyle w:val="36"/>
              <w:bidi w:val="0"/>
              <w:rPr>
                <w:rFonts w:hint="default"/>
                <w:color w:val="auto"/>
                <w:lang w:val="en-US" w:eastAsia="zh-CN"/>
              </w:rPr>
            </w:pPr>
            <w:r>
              <w:rPr>
                <w:rFonts w:hint="default"/>
                <w:color w:val="auto"/>
                <w:lang w:val="en-US" w:eastAsia="zh-CN"/>
              </w:rPr>
              <w:t>本项目与</w:t>
            </w:r>
            <w:r>
              <w:rPr>
                <w:rFonts w:hint="default"/>
                <w:color w:val="auto"/>
              </w:rPr>
              <w:t>《石油天然气开采业污染防治技术政策》</w:t>
            </w:r>
            <w:r>
              <w:rPr>
                <w:rFonts w:hint="default"/>
                <w:color w:val="auto"/>
                <w:lang w:val="en-US" w:eastAsia="zh-CN"/>
              </w:rPr>
              <w:t>符合性分析见</w:t>
            </w:r>
            <w:r>
              <w:rPr>
                <w:rFonts w:hint="eastAsia"/>
                <w:color w:val="auto"/>
                <w:lang w:val="en-US" w:eastAsia="zh-CN"/>
              </w:rPr>
              <w:t>下表</w:t>
            </w:r>
            <w:r>
              <w:rPr>
                <w:rFonts w:hint="default"/>
                <w:color w:val="auto"/>
                <w:lang w:val="en-US" w:eastAsia="zh-CN"/>
              </w:rPr>
              <w:t>。</w:t>
            </w:r>
          </w:p>
          <w:p>
            <w:pPr>
              <w:pStyle w:val="52"/>
              <w:bidi w:val="0"/>
              <w:rPr>
                <w:rFonts w:hint="default" w:ascii="Times New Roman" w:hAnsi="Times New Roman" w:cs="Times New Roman"/>
                <w:color w:val="auto"/>
                <w:lang w:val="en-US" w:eastAsia="zh-CN"/>
              </w:rPr>
            </w:pPr>
            <w:r>
              <w:rPr>
                <w:rFonts w:hint="default" w:ascii="Times New Roman" w:hAnsi="Times New Roman" w:cs="Times New Roman"/>
                <w:color w:val="auto"/>
              </w:rPr>
              <w:t>表</w:t>
            </w:r>
            <w:r>
              <w:rPr>
                <w:rFonts w:hint="default" w:ascii="Times New Roman" w:hAnsi="Times New Roman" w:cs="Times New Roman"/>
                <w:color w:val="auto"/>
                <w:lang w:val="en-US" w:eastAsia="zh-CN"/>
              </w:rPr>
              <w:t>1-</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SEQ 表 \* ARABIC </w:instrText>
            </w:r>
            <w:r>
              <w:rPr>
                <w:rFonts w:hint="default" w:ascii="Times New Roman" w:hAnsi="Times New Roman" w:cs="Times New Roman"/>
                <w:color w:val="auto"/>
              </w:rPr>
              <w:fldChar w:fldCharType="separate"/>
            </w:r>
            <w:r>
              <w:rPr>
                <w:rFonts w:hint="default" w:ascii="Times New Roman" w:hAnsi="Times New Roman" w:cs="Times New Roman"/>
                <w:color w:val="auto"/>
              </w:rPr>
              <w:t>3</w:t>
            </w:r>
            <w:r>
              <w:rPr>
                <w:rFonts w:hint="default" w:ascii="Times New Roman" w:hAnsi="Times New Roman" w:cs="Times New Roman"/>
                <w:color w:val="auto"/>
              </w:rPr>
              <w:fldChar w:fldCharType="end"/>
            </w:r>
            <w:r>
              <w:rPr>
                <w:rFonts w:hint="default" w:ascii="Times New Roman" w:hAnsi="Times New Roman" w:cs="Times New Roman"/>
                <w:color w:val="auto"/>
                <w:lang w:val="en-US" w:eastAsia="zh-CN"/>
              </w:rPr>
              <w:t xml:space="preserve">  本项目与</w:t>
            </w:r>
            <w:r>
              <w:rPr>
                <w:rFonts w:hint="default" w:ascii="Times New Roman" w:hAnsi="Times New Roman" w:cs="Times New Roman"/>
                <w:color w:val="auto"/>
              </w:rPr>
              <w:t>《石油天然气开采业污染防治技术政策》</w:t>
            </w:r>
            <w:r>
              <w:rPr>
                <w:rFonts w:hint="default" w:ascii="Times New Roman" w:hAnsi="Times New Roman" w:cs="Times New Roman"/>
                <w:color w:val="auto"/>
                <w:lang w:val="en-US" w:eastAsia="zh-CN"/>
              </w:rPr>
              <w:t>符合性分析</w:t>
            </w:r>
          </w:p>
          <w:tbl>
            <w:tblPr>
              <w:tblStyle w:val="24"/>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28"/>
              <w:gridCol w:w="3894"/>
              <w:gridCol w:w="3033"/>
              <w:gridCol w:w="7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28" w:type="dxa"/>
                  <w:tcBorders>
                    <w:tl2br w:val="nil"/>
                    <w:tr2bl w:val="nil"/>
                  </w:tcBorders>
                  <w:vAlign w:val="center"/>
                </w:tcPr>
                <w:p>
                  <w:pPr>
                    <w:pStyle w:val="33"/>
                    <w:bidi w:val="0"/>
                    <w:rPr>
                      <w:rFonts w:hint="default"/>
                      <w:color w:val="auto"/>
                      <w:lang w:val="en-US" w:eastAsia="zh-CN"/>
                    </w:rPr>
                  </w:pPr>
                  <w:r>
                    <w:rPr>
                      <w:rFonts w:hint="default"/>
                      <w:color w:val="auto"/>
                      <w:lang w:val="en-US" w:eastAsia="zh-CN"/>
                    </w:rPr>
                    <w:t>序号</w:t>
                  </w:r>
                </w:p>
              </w:tc>
              <w:tc>
                <w:tcPr>
                  <w:tcW w:w="3894" w:type="dxa"/>
                  <w:tcBorders>
                    <w:tl2br w:val="nil"/>
                    <w:tr2bl w:val="nil"/>
                  </w:tcBorders>
                  <w:vAlign w:val="center"/>
                </w:tcPr>
                <w:p>
                  <w:pPr>
                    <w:pStyle w:val="33"/>
                    <w:bidi w:val="0"/>
                    <w:rPr>
                      <w:rFonts w:hint="default"/>
                      <w:color w:val="auto"/>
                      <w:lang w:val="en-US" w:eastAsia="zh-CN"/>
                    </w:rPr>
                  </w:pPr>
                  <w:r>
                    <w:rPr>
                      <w:rFonts w:hint="default"/>
                      <w:color w:val="auto"/>
                      <w:lang w:val="en-US" w:eastAsia="zh-CN"/>
                    </w:rPr>
                    <w:t>文件要求</w:t>
                  </w:r>
                </w:p>
              </w:tc>
              <w:tc>
                <w:tcPr>
                  <w:tcW w:w="3033" w:type="dxa"/>
                  <w:tcBorders>
                    <w:tl2br w:val="nil"/>
                    <w:tr2bl w:val="nil"/>
                  </w:tcBorders>
                  <w:vAlign w:val="center"/>
                </w:tcPr>
                <w:p>
                  <w:pPr>
                    <w:pStyle w:val="33"/>
                    <w:bidi w:val="0"/>
                    <w:rPr>
                      <w:rFonts w:hint="default"/>
                      <w:color w:val="auto"/>
                      <w:lang w:val="en-US" w:eastAsia="zh-CN"/>
                    </w:rPr>
                  </w:pPr>
                  <w:r>
                    <w:rPr>
                      <w:rFonts w:hint="default"/>
                      <w:color w:val="auto"/>
                      <w:lang w:val="en-US" w:eastAsia="zh-CN"/>
                    </w:rPr>
                    <w:t>本项目情况</w:t>
                  </w:r>
                </w:p>
              </w:tc>
              <w:tc>
                <w:tcPr>
                  <w:tcW w:w="794" w:type="dxa"/>
                  <w:tcBorders>
                    <w:tl2br w:val="nil"/>
                    <w:tr2bl w:val="nil"/>
                  </w:tcBorders>
                  <w:vAlign w:val="center"/>
                </w:tcPr>
                <w:p>
                  <w:pPr>
                    <w:pStyle w:val="33"/>
                    <w:bidi w:val="0"/>
                    <w:rPr>
                      <w:rFonts w:hint="default"/>
                      <w:color w:val="auto"/>
                      <w:lang w:val="en-US" w:eastAsia="zh-CN"/>
                    </w:rPr>
                  </w:pPr>
                  <w:r>
                    <w:rPr>
                      <w:rFonts w:hint="default"/>
                      <w:color w:val="auto"/>
                      <w:lang w:val="en-US" w:eastAsia="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28" w:type="dxa"/>
                  <w:tcBorders>
                    <w:tl2br w:val="nil"/>
                    <w:tr2bl w:val="nil"/>
                  </w:tcBorders>
                  <w:vAlign w:val="center"/>
                </w:tcPr>
                <w:p>
                  <w:pPr>
                    <w:pStyle w:val="33"/>
                    <w:bidi w:val="0"/>
                    <w:rPr>
                      <w:rFonts w:hint="default"/>
                      <w:color w:val="auto"/>
                      <w:lang w:val="en-US" w:eastAsia="zh-CN"/>
                    </w:rPr>
                  </w:pPr>
                  <w:r>
                    <w:rPr>
                      <w:rFonts w:hint="eastAsia"/>
                      <w:color w:val="auto"/>
                      <w:lang w:val="en-US" w:eastAsia="zh-CN"/>
                    </w:rPr>
                    <w:t>1</w:t>
                  </w:r>
                </w:p>
              </w:tc>
              <w:tc>
                <w:tcPr>
                  <w:tcW w:w="3894" w:type="dxa"/>
                  <w:tcBorders>
                    <w:tl2br w:val="nil"/>
                    <w:tr2bl w:val="nil"/>
                  </w:tcBorders>
                  <w:vAlign w:val="center"/>
                </w:tcPr>
                <w:p>
                  <w:pPr>
                    <w:pStyle w:val="33"/>
                    <w:bidi w:val="0"/>
                    <w:rPr>
                      <w:rFonts w:hint="default"/>
                      <w:color w:val="auto"/>
                      <w:lang w:val="en-US" w:eastAsia="zh-CN"/>
                    </w:rPr>
                  </w:pPr>
                  <w:r>
                    <w:rPr>
                      <w:rFonts w:hint="eastAsia"/>
                      <w:color w:val="auto"/>
                      <w:lang w:val="en-US" w:eastAsia="zh-CN"/>
                    </w:rPr>
                    <w:t>在开发过程中，适宜注水开采的油气田，应将采出水处理满足标准后回注。</w:t>
                  </w:r>
                </w:p>
              </w:tc>
              <w:tc>
                <w:tcPr>
                  <w:tcW w:w="3033" w:type="dxa"/>
                  <w:vMerge w:val="restart"/>
                  <w:tcBorders>
                    <w:tl2br w:val="nil"/>
                    <w:tr2bl w:val="nil"/>
                  </w:tcBorders>
                  <w:vAlign w:val="center"/>
                </w:tcPr>
                <w:p>
                  <w:pPr>
                    <w:pStyle w:val="33"/>
                    <w:bidi w:val="0"/>
                    <w:rPr>
                      <w:rFonts w:hint="default"/>
                      <w:color w:val="auto"/>
                      <w:lang w:val="en-US" w:eastAsia="zh-CN"/>
                    </w:rPr>
                  </w:pPr>
                  <w:r>
                    <w:rPr>
                      <w:rFonts w:hint="default"/>
                      <w:color w:val="auto"/>
                      <w:lang w:val="en-US" w:eastAsia="zh-CN"/>
                    </w:rPr>
                    <w:t>本项目钻井液循环使用，洗井废水、压裂返排液使用罐车拉运至采油一厂车89处理站</w:t>
                  </w:r>
                  <w:r>
                    <w:rPr>
                      <w:rFonts w:hint="eastAsia"/>
                      <w:color w:val="auto"/>
                      <w:lang w:val="en-US" w:eastAsia="zh-CN"/>
                    </w:rPr>
                    <w:t>处理达到《碎屑岩油藏注水水质指标技术要求及分析方法》（SY/T5329-2022）的相关标准后全部回注油藏，</w:t>
                  </w:r>
                  <w:r>
                    <w:rPr>
                      <w:rFonts w:hint="default"/>
                      <w:color w:val="auto"/>
                      <w:lang w:val="en-US" w:eastAsia="zh-CN"/>
                    </w:rPr>
                    <w:t>项目无废水外排</w:t>
                  </w:r>
                  <w:r>
                    <w:rPr>
                      <w:rFonts w:hint="eastAsia"/>
                      <w:color w:val="auto"/>
                      <w:lang w:val="en-US" w:eastAsia="zh-CN"/>
                    </w:rPr>
                    <w:t>。</w:t>
                  </w:r>
                </w:p>
              </w:tc>
              <w:tc>
                <w:tcPr>
                  <w:tcW w:w="794" w:type="dxa"/>
                  <w:vMerge w:val="restart"/>
                  <w:tcBorders>
                    <w:tl2br w:val="nil"/>
                    <w:tr2bl w:val="nil"/>
                  </w:tcBorders>
                  <w:vAlign w:val="center"/>
                </w:tcPr>
                <w:p>
                  <w:pPr>
                    <w:pStyle w:val="33"/>
                    <w:bidi w:val="0"/>
                    <w:rPr>
                      <w:rFonts w:hint="default"/>
                      <w:color w:val="auto"/>
                      <w:lang w:val="en-US" w:eastAsia="zh-CN"/>
                    </w:rPr>
                  </w:pPr>
                  <w:r>
                    <w:rPr>
                      <w:rFonts w:hint="default"/>
                      <w:color w:val="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28" w:type="dxa"/>
                  <w:tcBorders>
                    <w:tl2br w:val="nil"/>
                    <w:tr2bl w:val="nil"/>
                  </w:tcBorders>
                  <w:vAlign w:val="center"/>
                </w:tcPr>
                <w:p>
                  <w:pPr>
                    <w:pStyle w:val="33"/>
                    <w:bidi w:val="0"/>
                    <w:rPr>
                      <w:rFonts w:hint="default"/>
                      <w:color w:val="auto"/>
                      <w:lang w:val="en-US" w:eastAsia="zh-CN"/>
                    </w:rPr>
                  </w:pPr>
                  <w:r>
                    <w:rPr>
                      <w:rFonts w:hint="eastAsia"/>
                      <w:color w:val="auto"/>
                      <w:lang w:val="en-US" w:eastAsia="zh-CN"/>
                    </w:rPr>
                    <w:t>2</w:t>
                  </w:r>
                </w:p>
              </w:tc>
              <w:tc>
                <w:tcPr>
                  <w:tcW w:w="3894" w:type="dxa"/>
                  <w:tcBorders>
                    <w:tl2br w:val="nil"/>
                    <w:tr2bl w:val="nil"/>
                  </w:tcBorders>
                  <w:vAlign w:val="center"/>
                </w:tcPr>
                <w:p>
                  <w:pPr>
                    <w:pStyle w:val="33"/>
                    <w:bidi w:val="0"/>
                    <w:rPr>
                      <w:rFonts w:hint="default"/>
                      <w:color w:val="auto"/>
                      <w:lang w:val="en-US" w:eastAsia="zh-CN"/>
                    </w:rPr>
                  </w:pPr>
                  <w:r>
                    <w:rPr>
                      <w:rFonts w:hint="default"/>
                      <w:color w:val="auto"/>
                      <w:lang w:val="en-US" w:eastAsia="zh-CN"/>
                    </w:rPr>
                    <w:t>在钻井和井下作业过程中，鼓励污油、污水进入生产流程循环利用，未进入生产流程的污油、污水应采用固液分离、废水处理一体化装置等处理后达标外排</w:t>
                  </w:r>
                </w:p>
              </w:tc>
              <w:tc>
                <w:tcPr>
                  <w:tcW w:w="3033" w:type="dxa"/>
                  <w:vMerge w:val="continue"/>
                  <w:tcBorders>
                    <w:tl2br w:val="nil"/>
                    <w:tr2bl w:val="nil"/>
                  </w:tcBorders>
                  <w:vAlign w:val="center"/>
                </w:tcPr>
                <w:p>
                  <w:pPr>
                    <w:pStyle w:val="33"/>
                    <w:bidi w:val="0"/>
                    <w:rPr>
                      <w:rFonts w:hint="default"/>
                      <w:color w:val="auto"/>
                      <w:lang w:val="en-US" w:eastAsia="zh-CN"/>
                    </w:rPr>
                  </w:pPr>
                </w:p>
              </w:tc>
              <w:tc>
                <w:tcPr>
                  <w:tcW w:w="794" w:type="dxa"/>
                  <w:vMerge w:val="continue"/>
                  <w:tcBorders>
                    <w:tl2br w:val="nil"/>
                    <w:tr2bl w:val="nil"/>
                  </w:tcBorders>
                  <w:vAlign w:val="center"/>
                </w:tcPr>
                <w:p>
                  <w:pPr>
                    <w:pStyle w:val="33"/>
                    <w:bidi w:val="0"/>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28" w:type="dxa"/>
                  <w:tcBorders>
                    <w:tl2br w:val="nil"/>
                    <w:tr2bl w:val="nil"/>
                  </w:tcBorders>
                  <w:vAlign w:val="center"/>
                </w:tcPr>
                <w:p>
                  <w:pPr>
                    <w:pStyle w:val="33"/>
                    <w:bidi w:val="0"/>
                    <w:rPr>
                      <w:rFonts w:hint="default"/>
                      <w:color w:val="auto"/>
                      <w:lang w:val="en-US" w:eastAsia="zh-CN"/>
                    </w:rPr>
                  </w:pPr>
                  <w:r>
                    <w:rPr>
                      <w:rFonts w:hint="eastAsia"/>
                      <w:color w:val="auto"/>
                      <w:lang w:val="en-US" w:eastAsia="zh-CN"/>
                    </w:rPr>
                    <w:t>3</w:t>
                  </w:r>
                </w:p>
              </w:tc>
              <w:tc>
                <w:tcPr>
                  <w:tcW w:w="3894" w:type="dxa"/>
                  <w:tcBorders>
                    <w:tl2br w:val="nil"/>
                    <w:tr2bl w:val="nil"/>
                  </w:tcBorders>
                  <w:vAlign w:val="center"/>
                </w:tcPr>
                <w:p>
                  <w:pPr>
                    <w:pStyle w:val="33"/>
                    <w:bidi w:val="0"/>
                    <w:rPr>
                      <w:rFonts w:hint="default"/>
                      <w:color w:val="auto"/>
                      <w:lang w:val="en-US" w:eastAsia="zh-CN"/>
                    </w:rPr>
                  </w:pPr>
                  <w:r>
                    <w:rPr>
                      <w:rFonts w:hint="default"/>
                      <w:color w:val="auto"/>
                    </w:rPr>
                    <w:t>油气田企业应制定环境保护管理规定，建立并运行健康、安全与环境管理体系；加强油气田建设、勘探开发过程的环境监督管理。在开发过程中，企业应加强油气井套管的检测和维护，防止油气泄漏污染地下水；建立环境保护人员培训制度；油气田企业应对勘探开发过程进行环境风险因素识别，制定突发环境事件应急预案并定期进行演练。采取环境风险防范和应急措施，防止发生由突发性油气泄漏产生的环境事故</w:t>
                  </w:r>
                </w:p>
              </w:tc>
              <w:tc>
                <w:tcPr>
                  <w:tcW w:w="3033" w:type="dxa"/>
                  <w:tcBorders>
                    <w:tl2br w:val="nil"/>
                    <w:tr2bl w:val="nil"/>
                  </w:tcBorders>
                  <w:vAlign w:val="center"/>
                </w:tcPr>
                <w:p>
                  <w:pPr>
                    <w:pStyle w:val="33"/>
                    <w:bidi w:val="0"/>
                    <w:rPr>
                      <w:rFonts w:hint="default"/>
                      <w:color w:val="auto"/>
                      <w:lang w:val="en-US" w:eastAsia="zh-CN"/>
                    </w:rPr>
                  </w:pPr>
                  <w:r>
                    <w:rPr>
                      <w:rFonts w:hint="eastAsia"/>
                      <w:color w:val="auto"/>
                    </w:rPr>
                    <w:t>钻井过程中使用水泥固井，用套管将含水层与井筒分隔开，加强油井套管的检测和维护，井场采取了符合规范的防渗措施，防止油气泄漏污染地下水；环境风险防范执行《中国石油新疆油田分公司勘探事业部突发环境事件应急预案》，同时落实中国石油新疆油田分公司已建立的健康、安全与环境（HSE）管理体系</w:t>
                  </w:r>
                  <w:r>
                    <w:rPr>
                      <w:rFonts w:hint="eastAsia"/>
                      <w:color w:val="auto"/>
                      <w:lang w:eastAsia="zh-CN"/>
                    </w:rPr>
                    <w:t>；</w:t>
                  </w:r>
                </w:p>
              </w:tc>
              <w:tc>
                <w:tcPr>
                  <w:tcW w:w="794" w:type="dxa"/>
                  <w:tcBorders>
                    <w:tl2br w:val="nil"/>
                    <w:tr2bl w:val="nil"/>
                  </w:tcBorders>
                  <w:vAlign w:val="center"/>
                </w:tcPr>
                <w:p>
                  <w:pPr>
                    <w:pStyle w:val="33"/>
                    <w:bidi w:val="0"/>
                    <w:rPr>
                      <w:rFonts w:hint="default"/>
                      <w:color w:val="auto"/>
                      <w:lang w:val="en-US" w:eastAsia="zh-CN"/>
                    </w:rPr>
                  </w:pPr>
                  <w:r>
                    <w:rPr>
                      <w:rFonts w:hint="default"/>
                      <w:color w:val="auto"/>
                      <w:lang w:val="en-US" w:eastAsia="zh-CN"/>
                    </w:rPr>
                    <w:t>符合</w:t>
                  </w:r>
                </w:p>
              </w:tc>
            </w:tr>
          </w:tbl>
          <w:p>
            <w:pPr>
              <w:pStyle w:val="32"/>
              <w:numPr>
                <w:ilvl w:val="0"/>
                <w:numId w:val="5"/>
              </w:numPr>
              <w:bidi w:val="0"/>
              <w:ind w:left="0" w:leftChars="0" w:firstLine="471" w:firstLineChars="0"/>
              <w:rPr>
                <w:rFonts w:hint="default"/>
                <w:color w:val="auto"/>
                <w:lang w:val="en-US" w:eastAsia="zh-CN"/>
              </w:rPr>
            </w:pPr>
            <w:r>
              <w:rPr>
                <w:rFonts w:hint="eastAsia" w:ascii="Times New Roman" w:hAnsi="Times New Roman" w:eastAsia="宋体" w:cs="Times New Roman"/>
                <w:b/>
                <w:bCs/>
                <w:color w:val="auto"/>
                <w:kern w:val="2"/>
                <w:sz w:val="24"/>
                <w:szCs w:val="24"/>
                <w:highlight w:val="none"/>
                <w:lang w:val="en-US" w:eastAsia="zh-CN" w:bidi="ar-SA"/>
              </w:rPr>
              <w:t>项目与《新疆维吾尔自治区煤炭石油天然气开发环境保护条例》等的符合性分析</w:t>
            </w:r>
          </w:p>
          <w:p>
            <w:pPr>
              <w:keepNext w:val="0"/>
              <w:keepLines w:val="0"/>
              <w:pageBreakBefore w:val="0"/>
              <w:kinsoku/>
              <w:wordWrap/>
              <w:overflowPunct/>
              <w:topLinePunct w:val="0"/>
              <w:autoSpaceDE w:val="0"/>
              <w:autoSpaceDN w:val="0"/>
              <w:bidi w:val="0"/>
              <w:adjustRightInd/>
              <w:snapToGrid/>
              <w:spacing w:line="520" w:lineRule="exact"/>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新疆维吾尔自治区煤炭石油天然气开发环境保护条例》第八条规定：禁止在水源涵养区、地下水源、饮用水源、自然保护区、风景名胜区、森林公园、重要湿地及人群密集区等生态敏感区域内进行煤炭、石油、天然气开发；第十条规定煤炭、石油、天然气开发项目其大气、水体、固体废物等污染防治设施与主体工程同时设计、同时施工、同时投产使用。</w:t>
            </w:r>
          </w:p>
          <w:p>
            <w:pPr>
              <w:keepNext w:val="0"/>
              <w:keepLines w:val="0"/>
              <w:pageBreakBefore w:val="0"/>
              <w:kinsoku/>
              <w:wordWrap/>
              <w:overflowPunct/>
              <w:topLinePunct w:val="0"/>
              <w:autoSpaceDE w:val="0"/>
              <w:autoSpaceDN w:val="0"/>
              <w:bidi w:val="0"/>
              <w:adjustRightInd/>
              <w:snapToGrid/>
              <w:spacing w:line="520" w:lineRule="exact"/>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本项目</w:t>
            </w:r>
            <w:r>
              <w:rPr>
                <w:rFonts w:hint="eastAsia" w:ascii="Times New Roman" w:hAnsi="Times New Roman" w:eastAsia="宋体" w:cs="Times New Roman"/>
                <w:color w:val="auto"/>
                <w:kern w:val="0"/>
                <w:sz w:val="24"/>
                <w:lang w:val="en-US" w:eastAsia="zh-CN"/>
              </w:rPr>
              <w:t>不涉及</w:t>
            </w:r>
            <w:r>
              <w:rPr>
                <w:rFonts w:hint="default" w:ascii="Times New Roman" w:hAnsi="Times New Roman" w:eastAsia="宋体" w:cs="Times New Roman"/>
                <w:color w:val="auto"/>
                <w:kern w:val="0"/>
                <w:sz w:val="24"/>
              </w:rPr>
              <w:t>水源涵养区、地下水源、饮用水源、自然保护区、风景名胜区、森林公园、重要湿地及人群密集区等生态敏感区域；</w:t>
            </w:r>
            <w:r>
              <w:rPr>
                <w:rFonts w:hint="eastAsia" w:ascii="Times New Roman" w:hAnsi="Times New Roman" w:eastAsia="宋体" w:cs="Times New Roman"/>
                <w:color w:val="auto"/>
                <w:kern w:val="0"/>
                <w:sz w:val="24"/>
                <w:lang w:val="en-US" w:eastAsia="zh-CN"/>
              </w:rPr>
              <w:t>项目现阶段已设计</w:t>
            </w:r>
            <w:r>
              <w:rPr>
                <w:rFonts w:hint="default" w:ascii="Times New Roman" w:hAnsi="Times New Roman" w:eastAsia="宋体" w:cs="Times New Roman"/>
                <w:color w:val="auto"/>
                <w:kern w:val="0"/>
                <w:sz w:val="24"/>
              </w:rPr>
              <w:t>大气、水体、固体废物等污染防治</w:t>
            </w:r>
            <w:r>
              <w:rPr>
                <w:rFonts w:hint="eastAsia" w:ascii="Times New Roman" w:hAnsi="Times New Roman" w:eastAsia="宋体" w:cs="Times New Roman"/>
                <w:color w:val="auto"/>
                <w:kern w:val="0"/>
                <w:sz w:val="24"/>
                <w:lang w:val="en-US" w:eastAsia="zh-CN"/>
              </w:rPr>
              <w:t>设施</w:t>
            </w:r>
            <w:r>
              <w:rPr>
                <w:rFonts w:hint="default" w:ascii="Times New Roman" w:hAnsi="Times New Roman" w:eastAsia="宋体" w:cs="Times New Roman"/>
                <w:color w:val="auto"/>
                <w:kern w:val="0"/>
                <w:sz w:val="24"/>
              </w:rPr>
              <w:t>，</w:t>
            </w:r>
            <w:r>
              <w:rPr>
                <w:rFonts w:hint="eastAsia" w:ascii="Times New Roman" w:hAnsi="Times New Roman" w:eastAsia="宋体" w:cs="Times New Roman"/>
                <w:color w:val="auto"/>
                <w:kern w:val="0"/>
                <w:sz w:val="24"/>
                <w:lang w:val="en-US" w:eastAsia="zh-CN"/>
              </w:rPr>
              <w:t>本次环评要求钻井和试油工程实施前须配备相应环保设施，施工过程</w:t>
            </w:r>
            <w:r>
              <w:rPr>
                <w:rFonts w:hint="eastAsia" w:cs="Times New Roman"/>
                <w:color w:val="auto"/>
                <w:kern w:val="0"/>
                <w:sz w:val="24"/>
                <w:lang w:val="en-US" w:eastAsia="zh-CN"/>
              </w:rPr>
              <w:t>中</w:t>
            </w:r>
            <w:r>
              <w:rPr>
                <w:rFonts w:hint="eastAsia" w:ascii="Times New Roman" w:hAnsi="Times New Roman" w:eastAsia="宋体" w:cs="Times New Roman"/>
                <w:color w:val="auto"/>
                <w:kern w:val="0"/>
                <w:sz w:val="24"/>
                <w:lang w:val="en-US" w:eastAsia="zh-CN"/>
              </w:rPr>
              <w:t>确保环保设施正常、有效运行。结束后环保设施随施工设施撤离后，场地应进行清理、平整，废水、固废得到妥善处置，现场无遗留。采取以上措施后，</w:t>
            </w:r>
            <w:r>
              <w:rPr>
                <w:rFonts w:hint="default" w:ascii="Times New Roman" w:hAnsi="Times New Roman" w:eastAsia="宋体" w:cs="Times New Roman"/>
                <w:color w:val="auto"/>
                <w:kern w:val="0"/>
                <w:sz w:val="24"/>
              </w:rPr>
              <w:t>项目符合《条例》</w:t>
            </w:r>
            <w:r>
              <w:rPr>
                <w:rFonts w:hint="eastAsia" w:ascii="Times New Roman" w:hAnsi="Times New Roman" w:eastAsia="宋体" w:cs="Times New Roman"/>
                <w:color w:val="auto"/>
                <w:kern w:val="0"/>
                <w:sz w:val="24"/>
                <w:lang w:val="en-US" w:eastAsia="zh-CN"/>
              </w:rPr>
              <w:t>相关</w:t>
            </w:r>
            <w:r>
              <w:rPr>
                <w:rFonts w:hint="default" w:ascii="Times New Roman" w:hAnsi="Times New Roman" w:eastAsia="宋体" w:cs="Times New Roman"/>
                <w:color w:val="auto"/>
                <w:kern w:val="0"/>
                <w:sz w:val="24"/>
              </w:rPr>
              <w:t>要求。</w:t>
            </w:r>
          </w:p>
          <w:p>
            <w:pPr>
              <w:pStyle w:val="32"/>
              <w:numPr>
                <w:ilvl w:val="0"/>
                <w:numId w:val="5"/>
              </w:numPr>
              <w:bidi w:val="0"/>
              <w:ind w:left="0" w:leftChars="0" w:firstLine="471" w:firstLineChars="0"/>
              <w:rPr>
                <w:rFonts w:hint="default"/>
                <w:color w:val="auto"/>
                <w:lang w:val="en-US" w:eastAsia="zh-CN"/>
              </w:rPr>
            </w:pPr>
            <w:r>
              <w:rPr>
                <w:rFonts w:hint="default"/>
                <w:color w:val="auto"/>
                <w:lang w:val="en-US" w:eastAsia="zh-CN"/>
              </w:rPr>
              <w:t>与《新疆维吾尔自治区重点行业生态环境准入条件（2024年）》符合性分析</w:t>
            </w:r>
          </w:p>
          <w:p>
            <w:pPr>
              <w:pStyle w:val="36"/>
              <w:bidi w:val="0"/>
              <w:rPr>
                <w:rFonts w:hint="default"/>
                <w:color w:val="auto"/>
                <w:lang w:val="en-US" w:eastAsia="zh-CN"/>
              </w:rPr>
            </w:pPr>
            <w:r>
              <w:rPr>
                <w:rFonts w:hint="default"/>
                <w:color w:val="auto"/>
                <w:lang w:val="en-US" w:eastAsia="zh-CN"/>
              </w:rPr>
              <w:t>本项目与</w:t>
            </w:r>
            <w:r>
              <w:rPr>
                <w:rFonts w:hint="default"/>
                <w:color w:val="auto"/>
              </w:rPr>
              <w:t>《新疆维吾尔自治区重点行业生态环境准入条件（2024年）》</w:t>
            </w:r>
            <w:r>
              <w:rPr>
                <w:rFonts w:hint="default"/>
                <w:color w:val="auto"/>
                <w:lang w:val="en-US" w:eastAsia="zh-CN"/>
              </w:rPr>
              <w:t>符合性分析见</w:t>
            </w:r>
            <w:r>
              <w:rPr>
                <w:rFonts w:hint="eastAsia" w:ascii="Times New Roman" w:eastAsia="宋体"/>
                <w:color w:val="auto"/>
                <w:lang w:val="en-US" w:eastAsia="zh-CN"/>
              </w:rPr>
              <w:t>下表</w:t>
            </w:r>
            <w:r>
              <w:rPr>
                <w:rFonts w:hint="default"/>
                <w:color w:val="auto"/>
                <w:lang w:val="en-US" w:eastAsia="zh-CN"/>
              </w:rPr>
              <w:t>。</w:t>
            </w:r>
          </w:p>
          <w:p>
            <w:pPr>
              <w:pStyle w:val="52"/>
              <w:bidi w:val="0"/>
              <w:rPr>
                <w:rFonts w:hint="default" w:ascii="Times New Roman" w:hAnsi="Times New Roman" w:cs="Times New Roman"/>
                <w:color w:val="auto"/>
                <w:spacing w:val="-11"/>
                <w:sz w:val="21"/>
                <w:lang w:val="en-US" w:eastAsia="zh-CN"/>
              </w:rPr>
            </w:pPr>
            <w:r>
              <w:rPr>
                <w:rFonts w:hint="default" w:ascii="Times New Roman" w:hAnsi="Times New Roman" w:cs="Times New Roman"/>
                <w:color w:val="auto"/>
                <w:spacing w:val="-11"/>
                <w:sz w:val="21"/>
              </w:rPr>
              <w:t>表</w:t>
            </w:r>
            <w:r>
              <w:rPr>
                <w:rFonts w:hint="default" w:ascii="Times New Roman" w:hAnsi="Times New Roman" w:cs="Times New Roman"/>
                <w:color w:val="auto"/>
                <w:spacing w:val="-11"/>
                <w:sz w:val="21"/>
                <w:lang w:val="en-US" w:eastAsia="zh-CN"/>
              </w:rPr>
              <w:t>1-</w:t>
            </w:r>
            <w:r>
              <w:rPr>
                <w:rFonts w:hint="default" w:ascii="Times New Roman" w:hAnsi="Times New Roman" w:cs="Times New Roman"/>
                <w:color w:val="auto"/>
                <w:spacing w:val="-11"/>
                <w:sz w:val="21"/>
              </w:rPr>
              <w:fldChar w:fldCharType="begin"/>
            </w:r>
            <w:r>
              <w:rPr>
                <w:rFonts w:hint="default" w:ascii="Times New Roman" w:hAnsi="Times New Roman" w:cs="Times New Roman"/>
                <w:color w:val="auto"/>
                <w:spacing w:val="-11"/>
                <w:sz w:val="21"/>
              </w:rPr>
              <w:instrText xml:space="preserve"> SEQ 表 \* ARABIC </w:instrText>
            </w:r>
            <w:r>
              <w:rPr>
                <w:rFonts w:hint="default" w:ascii="Times New Roman" w:hAnsi="Times New Roman" w:cs="Times New Roman"/>
                <w:color w:val="auto"/>
                <w:spacing w:val="-11"/>
                <w:sz w:val="21"/>
              </w:rPr>
              <w:fldChar w:fldCharType="separate"/>
            </w:r>
            <w:r>
              <w:rPr>
                <w:rFonts w:hint="default" w:ascii="Times New Roman" w:hAnsi="Times New Roman" w:cs="Times New Roman"/>
                <w:color w:val="auto"/>
                <w:spacing w:val="-11"/>
                <w:sz w:val="21"/>
              </w:rPr>
              <w:t>4</w:t>
            </w:r>
            <w:r>
              <w:rPr>
                <w:rFonts w:hint="default" w:ascii="Times New Roman" w:hAnsi="Times New Roman" w:cs="Times New Roman"/>
                <w:color w:val="auto"/>
                <w:spacing w:val="-11"/>
                <w:sz w:val="21"/>
              </w:rPr>
              <w:fldChar w:fldCharType="end"/>
            </w:r>
            <w:r>
              <w:rPr>
                <w:rFonts w:hint="default" w:ascii="Times New Roman" w:hAnsi="Times New Roman" w:cs="Times New Roman"/>
                <w:color w:val="auto"/>
                <w:spacing w:val="-11"/>
                <w:sz w:val="21"/>
                <w:lang w:val="en-US" w:eastAsia="zh-CN"/>
              </w:rPr>
              <w:t xml:space="preserve">  本项目与</w:t>
            </w:r>
            <w:r>
              <w:rPr>
                <w:rFonts w:hint="default" w:ascii="Times New Roman" w:hAnsi="Times New Roman" w:cs="Times New Roman"/>
                <w:color w:val="auto"/>
                <w:spacing w:val="-11"/>
                <w:sz w:val="21"/>
              </w:rPr>
              <w:t>《新疆维吾尔自治区重点行业生态环境准入条件（2024年）》</w:t>
            </w:r>
            <w:r>
              <w:rPr>
                <w:rFonts w:hint="default" w:ascii="Times New Roman" w:hAnsi="Times New Roman" w:cs="Times New Roman"/>
                <w:color w:val="auto"/>
                <w:spacing w:val="-11"/>
                <w:sz w:val="21"/>
                <w:lang w:val="en-US" w:eastAsia="zh-CN"/>
              </w:rPr>
              <w:t>符合性分析</w:t>
            </w:r>
          </w:p>
          <w:tbl>
            <w:tblPr>
              <w:tblStyle w:val="24"/>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6"/>
              <w:gridCol w:w="3743"/>
              <w:gridCol w:w="3064"/>
              <w:gridCol w:w="8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361" w:type="pct"/>
                  <w:tcBorders>
                    <w:tl2br w:val="nil"/>
                    <w:tr2bl w:val="nil"/>
                  </w:tcBorders>
                  <w:vAlign w:val="center"/>
                </w:tcPr>
                <w:p>
                  <w:pPr>
                    <w:pStyle w:val="33"/>
                    <w:bidi w:val="0"/>
                    <w:rPr>
                      <w:rFonts w:hint="default"/>
                      <w:color w:val="auto"/>
                      <w:lang w:val="en-US" w:eastAsia="zh-CN"/>
                    </w:rPr>
                  </w:pPr>
                  <w:r>
                    <w:rPr>
                      <w:rFonts w:hint="default"/>
                      <w:color w:val="auto"/>
                      <w:lang w:val="en-US" w:eastAsia="zh-CN"/>
                    </w:rPr>
                    <w:t>序号</w:t>
                  </w:r>
                </w:p>
              </w:tc>
              <w:tc>
                <w:tcPr>
                  <w:tcW w:w="2269" w:type="pct"/>
                  <w:tcBorders>
                    <w:tl2br w:val="nil"/>
                    <w:tr2bl w:val="nil"/>
                  </w:tcBorders>
                  <w:vAlign w:val="center"/>
                </w:tcPr>
                <w:p>
                  <w:pPr>
                    <w:pStyle w:val="33"/>
                    <w:bidi w:val="0"/>
                    <w:rPr>
                      <w:rFonts w:hint="default"/>
                      <w:color w:val="auto"/>
                      <w:lang w:val="en-US" w:eastAsia="zh-CN"/>
                    </w:rPr>
                  </w:pPr>
                  <w:r>
                    <w:rPr>
                      <w:rFonts w:hint="default"/>
                      <w:color w:val="auto"/>
                      <w:lang w:val="en-US" w:eastAsia="zh-CN"/>
                    </w:rPr>
                    <w:t>文件要求</w:t>
                  </w:r>
                </w:p>
              </w:tc>
              <w:tc>
                <w:tcPr>
                  <w:tcW w:w="1857" w:type="pct"/>
                  <w:tcBorders>
                    <w:tl2br w:val="nil"/>
                    <w:tr2bl w:val="nil"/>
                  </w:tcBorders>
                  <w:vAlign w:val="center"/>
                </w:tcPr>
                <w:p>
                  <w:pPr>
                    <w:pStyle w:val="33"/>
                    <w:bidi w:val="0"/>
                    <w:rPr>
                      <w:rFonts w:hint="default"/>
                      <w:color w:val="auto"/>
                      <w:lang w:val="en-US" w:eastAsia="zh-CN"/>
                    </w:rPr>
                  </w:pPr>
                  <w:r>
                    <w:rPr>
                      <w:rFonts w:hint="default"/>
                      <w:color w:val="auto"/>
                      <w:lang w:val="en-US" w:eastAsia="zh-CN"/>
                    </w:rPr>
                    <w:t>本项目情况</w:t>
                  </w:r>
                </w:p>
              </w:tc>
              <w:tc>
                <w:tcPr>
                  <w:tcW w:w="511" w:type="pct"/>
                  <w:tcBorders>
                    <w:tl2br w:val="nil"/>
                    <w:tr2bl w:val="nil"/>
                  </w:tcBorders>
                  <w:vAlign w:val="center"/>
                </w:tcPr>
                <w:p>
                  <w:pPr>
                    <w:pStyle w:val="33"/>
                    <w:bidi w:val="0"/>
                    <w:rPr>
                      <w:rFonts w:hint="default"/>
                      <w:color w:val="auto"/>
                      <w:lang w:val="en-US" w:eastAsia="zh-CN"/>
                    </w:rPr>
                  </w:pPr>
                  <w:r>
                    <w:rPr>
                      <w:rFonts w:hint="default"/>
                      <w:color w:val="auto"/>
                      <w:lang w:val="en-US" w:eastAsia="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361" w:type="pct"/>
                  <w:tcBorders>
                    <w:tl2br w:val="nil"/>
                    <w:tr2bl w:val="nil"/>
                  </w:tcBorders>
                  <w:vAlign w:val="center"/>
                </w:tcPr>
                <w:p>
                  <w:pPr>
                    <w:pStyle w:val="33"/>
                    <w:bidi w:val="0"/>
                    <w:rPr>
                      <w:rFonts w:hint="default"/>
                      <w:color w:val="auto"/>
                      <w:lang w:val="en-US" w:eastAsia="zh-CN"/>
                    </w:rPr>
                  </w:pPr>
                  <w:r>
                    <w:rPr>
                      <w:rFonts w:hint="default"/>
                      <w:color w:val="auto"/>
                      <w:lang w:val="en-US" w:eastAsia="zh-CN"/>
                    </w:rPr>
                    <w:t>1</w:t>
                  </w:r>
                </w:p>
              </w:tc>
              <w:tc>
                <w:tcPr>
                  <w:tcW w:w="2269" w:type="pct"/>
                  <w:tcBorders>
                    <w:tl2br w:val="nil"/>
                    <w:tr2bl w:val="nil"/>
                  </w:tcBorders>
                  <w:vAlign w:val="center"/>
                </w:tcPr>
                <w:p>
                  <w:pPr>
                    <w:pStyle w:val="33"/>
                    <w:bidi w:val="0"/>
                    <w:rPr>
                      <w:rFonts w:hint="default"/>
                      <w:color w:val="auto"/>
                      <w:lang w:val="en-US" w:eastAsia="zh-CN"/>
                    </w:rPr>
                  </w:pPr>
                  <w:r>
                    <w:rPr>
                      <w:rFonts w:hint="default"/>
                      <w:color w:val="auto"/>
                    </w:rPr>
                    <w:t>施工期应当尽量减少施工占地、严格控制施工作业面积、缩短施工时间、选择合理施工方式、落实环境敏感区管控要求以及其他生态环境保护措施，有效降低生态环境影响。</w:t>
                  </w:r>
                </w:p>
              </w:tc>
              <w:tc>
                <w:tcPr>
                  <w:tcW w:w="1857" w:type="pct"/>
                  <w:tcBorders>
                    <w:tl2br w:val="nil"/>
                    <w:tr2bl w:val="nil"/>
                  </w:tcBorders>
                  <w:vAlign w:val="center"/>
                </w:tcPr>
                <w:p>
                  <w:pPr>
                    <w:pStyle w:val="33"/>
                    <w:bidi w:val="0"/>
                    <w:rPr>
                      <w:rFonts w:hint="default"/>
                      <w:color w:val="auto"/>
                      <w:lang w:val="en-US" w:eastAsia="zh-CN"/>
                    </w:rPr>
                  </w:pPr>
                  <w:r>
                    <w:rPr>
                      <w:rFonts w:hint="eastAsia"/>
                      <w:color w:val="auto"/>
                      <w:lang w:val="en-US" w:eastAsia="zh-CN"/>
                    </w:rPr>
                    <w:t>本项目</w:t>
                  </w:r>
                  <w:r>
                    <w:rPr>
                      <w:rFonts w:hint="eastAsia"/>
                      <w:color w:val="auto"/>
                    </w:rPr>
                    <w:t>井场</w:t>
                  </w:r>
                  <w:r>
                    <w:rPr>
                      <w:rFonts w:hint="eastAsia"/>
                      <w:color w:val="auto"/>
                      <w:lang w:eastAsia="zh-CN"/>
                    </w:rPr>
                    <w:t>、</w:t>
                  </w:r>
                  <w:r>
                    <w:rPr>
                      <w:rFonts w:hint="eastAsia"/>
                      <w:color w:val="auto"/>
                      <w:lang w:val="en-US" w:eastAsia="zh-CN"/>
                    </w:rPr>
                    <w:t>道路及生活营地的</w:t>
                  </w:r>
                  <w:r>
                    <w:rPr>
                      <w:rFonts w:hint="eastAsia"/>
                      <w:color w:val="auto"/>
                    </w:rPr>
                    <w:t>临时占地规模从土地资源节约方面考虑，尽可能缩小占地面积和作业带宽度。</w:t>
                  </w:r>
                </w:p>
              </w:tc>
              <w:tc>
                <w:tcPr>
                  <w:tcW w:w="511" w:type="pct"/>
                  <w:tcBorders>
                    <w:tl2br w:val="nil"/>
                    <w:tr2bl w:val="nil"/>
                  </w:tcBorders>
                  <w:vAlign w:val="center"/>
                </w:tcPr>
                <w:p>
                  <w:pPr>
                    <w:pStyle w:val="33"/>
                    <w:bidi w:val="0"/>
                    <w:rPr>
                      <w:rFonts w:hint="default"/>
                      <w:color w:val="auto"/>
                      <w:lang w:val="en-US" w:eastAsia="zh-CN"/>
                    </w:rPr>
                  </w:pPr>
                  <w:r>
                    <w:rPr>
                      <w:rFonts w:hint="default"/>
                      <w:color w:val="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361" w:type="pct"/>
                  <w:tcBorders>
                    <w:tl2br w:val="nil"/>
                    <w:tr2bl w:val="nil"/>
                  </w:tcBorders>
                  <w:vAlign w:val="center"/>
                </w:tcPr>
                <w:p>
                  <w:pPr>
                    <w:pStyle w:val="33"/>
                    <w:bidi w:val="0"/>
                    <w:rPr>
                      <w:rFonts w:hint="default"/>
                      <w:color w:val="auto"/>
                      <w:lang w:val="en-US" w:eastAsia="zh-CN"/>
                    </w:rPr>
                  </w:pPr>
                  <w:r>
                    <w:rPr>
                      <w:rFonts w:hint="default"/>
                      <w:color w:val="auto"/>
                      <w:lang w:val="en-US" w:eastAsia="zh-CN"/>
                    </w:rPr>
                    <w:t>2</w:t>
                  </w:r>
                </w:p>
              </w:tc>
              <w:tc>
                <w:tcPr>
                  <w:tcW w:w="2269" w:type="pct"/>
                  <w:tcBorders>
                    <w:tl2br w:val="nil"/>
                    <w:tr2bl w:val="nil"/>
                  </w:tcBorders>
                  <w:vAlign w:val="center"/>
                </w:tcPr>
                <w:p>
                  <w:pPr>
                    <w:pStyle w:val="33"/>
                    <w:bidi w:val="0"/>
                    <w:rPr>
                      <w:rFonts w:hint="default"/>
                      <w:color w:val="auto"/>
                    </w:rPr>
                  </w:pPr>
                  <w:r>
                    <w:rPr>
                      <w:rFonts w:hint="default"/>
                      <w:color w:val="auto"/>
                    </w:rPr>
                    <w:t>钻井及储层改造应采用环境友好的油田化学助剂、酸化液、压裂液、钻井液，配备完善的固控设备，钻井液循环率应达到95%以上，压裂废液、酸化废液等井下作业废水应100%返排入罐。</w:t>
                  </w:r>
                </w:p>
              </w:tc>
              <w:tc>
                <w:tcPr>
                  <w:tcW w:w="1857" w:type="pct"/>
                  <w:tcBorders>
                    <w:tl2br w:val="nil"/>
                    <w:tr2bl w:val="nil"/>
                  </w:tcBorders>
                  <w:vAlign w:val="center"/>
                </w:tcPr>
                <w:p>
                  <w:pPr>
                    <w:pStyle w:val="33"/>
                    <w:bidi w:val="0"/>
                    <w:rPr>
                      <w:rFonts w:hint="default"/>
                      <w:color w:val="auto"/>
                      <w:lang w:val="en-US" w:eastAsia="zh-CN"/>
                    </w:rPr>
                  </w:pPr>
                  <w:r>
                    <w:rPr>
                      <w:rFonts w:hint="default"/>
                      <w:color w:val="auto"/>
                      <w:lang w:val="en-US" w:eastAsia="zh-CN"/>
                    </w:rPr>
                    <w:t>本项目</w:t>
                  </w:r>
                  <w:r>
                    <w:rPr>
                      <w:rFonts w:hint="eastAsia"/>
                      <w:color w:val="auto"/>
                      <w:lang w:val="en-US" w:eastAsia="zh-CN"/>
                    </w:rPr>
                    <w:t>井场设有不落地系统，</w:t>
                  </w:r>
                  <w:r>
                    <w:rPr>
                      <w:rFonts w:hint="default"/>
                      <w:color w:val="auto"/>
                      <w:lang w:val="en-US" w:eastAsia="zh-CN"/>
                    </w:rPr>
                    <w:t>使用固控设备和不落地系统对钻井液进行处理后循环使用；洗井废水、压裂返排液等井下作业废水100%入罐，废水不外排。</w:t>
                  </w:r>
                </w:p>
              </w:tc>
              <w:tc>
                <w:tcPr>
                  <w:tcW w:w="511" w:type="pct"/>
                  <w:tcBorders>
                    <w:tl2br w:val="nil"/>
                    <w:tr2bl w:val="nil"/>
                  </w:tcBorders>
                  <w:vAlign w:val="center"/>
                </w:tcPr>
                <w:p>
                  <w:pPr>
                    <w:pStyle w:val="33"/>
                    <w:bidi w:val="0"/>
                    <w:rPr>
                      <w:rFonts w:hint="default"/>
                      <w:color w:val="auto"/>
                      <w:lang w:val="en-US" w:eastAsia="zh-CN"/>
                    </w:rPr>
                  </w:pPr>
                  <w:r>
                    <w:rPr>
                      <w:rFonts w:hint="default"/>
                      <w:color w:val="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361" w:type="pct"/>
                  <w:tcBorders>
                    <w:tl2br w:val="nil"/>
                    <w:tr2bl w:val="nil"/>
                  </w:tcBorders>
                  <w:vAlign w:val="center"/>
                </w:tcPr>
                <w:p>
                  <w:pPr>
                    <w:pStyle w:val="33"/>
                    <w:bidi w:val="0"/>
                    <w:rPr>
                      <w:rFonts w:hint="default"/>
                      <w:color w:val="auto"/>
                      <w:lang w:val="en-US" w:eastAsia="zh-CN"/>
                    </w:rPr>
                  </w:pPr>
                  <w:r>
                    <w:rPr>
                      <w:rFonts w:hint="default"/>
                      <w:color w:val="auto"/>
                      <w:lang w:val="en-US" w:eastAsia="zh-CN"/>
                    </w:rPr>
                    <w:t>3</w:t>
                  </w:r>
                </w:p>
              </w:tc>
              <w:tc>
                <w:tcPr>
                  <w:tcW w:w="2269" w:type="pct"/>
                  <w:tcBorders>
                    <w:tl2br w:val="nil"/>
                    <w:tr2bl w:val="nil"/>
                  </w:tcBorders>
                  <w:vAlign w:val="center"/>
                </w:tcPr>
                <w:p>
                  <w:pPr>
                    <w:pStyle w:val="33"/>
                    <w:bidi w:val="0"/>
                    <w:rPr>
                      <w:rFonts w:hint="default"/>
                      <w:color w:val="auto"/>
                    </w:rPr>
                  </w:pPr>
                  <w:r>
                    <w:rPr>
                      <w:rFonts w:hint="default"/>
                      <w:color w:val="auto"/>
                    </w:rPr>
                    <w:t>废弃钻井泥浆及岩屑应采取“泥浆不落地”工艺，勘探、开发过程产生的落地原油回收率应达到100%。废弃水基钻井泥浆及岩屑经“泥浆不落地”设备处理后，固相优先综合利用。</w:t>
                  </w:r>
                </w:p>
              </w:tc>
              <w:tc>
                <w:tcPr>
                  <w:tcW w:w="1857" w:type="pct"/>
                  <w:tcBorders>
                    <w:tl2br w:val="nil"/>
                    <w:tr2bl w:val="nil"/>
                  </w:tcBorders>
                  <w:vAlign w:val="center"/>
                </w:tcPr>
                <w:p>
                  <w:pPr>
                    <w:pStyle w:val="33"/>
                    <w:bidi w:val="0"/>
                    <w:rPr>
                      <w:rFonts w:hint="default"/>
                      <w:color w:val="auto"/>
                      <w:lang w:val="en-US" w:eastAsia="zh-CN"/>
                    </w:rPr>
                  </w:pPr>
                  <w:r>
                    <w:rPr>
                      <w:rFonts w:hint="default"/>
                      <w:color w:val="auto"/>
                      <w:lang w:val="en-US" w:eastAsia="zh-CN"/>
                    </w:rPr>
                    <w:t>本项目井场设有钻井泥浆不落地系统，同时对井场进行分区防渗，确保不产生落地原油；钻井不落地系统分离出的</w:t>
                  </w:r>
                  <w:r>
                    <w:rPr>
                      <w:rFonts w:hint="eastAsia"/>
                      <w:color w:val="auto"/>
                      <w:lang w:val="en-US" w:eastAsia="zh-CN"/>
                    </w:rPr>
                    <w:t>水基钻井岩屑</w:t>
                  </w:r>
                  <w:r>
                    <w:rPr>
                      <w:rFonts w:hint="default"/>
                      <w:color w:val="auto"/>
                      <w:lang w:val="en-US" w:eastAsia="zh-CN"/>
                    </w:rPr>
                    <w:t>进罐收集后交第三方岩屑处置单位进行处置后再利用</w:t>
                  </w:r>
                  <w:r>
                    <w:rPr>
                      <w:rFonts w:hint="eastAsia"/>
                      <w:color w:val="auto"/>
                      <w:lang w:val="en-US" w:eastAsia="zh-CN"/>
                    </w:rPr>
                    <w:t>；油基岩屑进罐收集后交具有相应危险经营许可单位处置</w:t>
                  </w:r>
                  <w:r>
                    <w:rPr>
                      <w:rFonts w:hint="default"/>
                      <w:color w:val="auto"/>
                      <w:lang w:val="en-US" w:eastAsia="zh-CN"/>
                    </w:rPr>
                    <w:t>。</w:t>
                  </w:r>
                </w:p>
              </w:tc>
              <w:tc>
                <w:tcPr>
                  <w:tcW w:w="511" w:type="pct"/>
                  <w:tcBorders>
                    <w:tl2br w:val="nil"/>
                    <w:tr2bl w:val="nil"/>
                  </w:tcBorders>
                  <w:vAlign w:val="center"/>
                </w:tcPr>
                <w:p>
                  <w:pPr>
                    <w:pStyle w:val="33"/>
                    <w:bidi w:val="0"/>
                    <w:rPr>
                      <w:rFonts w:hint="default"/>
                      <w:color w:val="auto"/>
                      <w:lang w:val="en-US" w:eastAsia="zh-CN"/>
                    </w:rPr>
                  </w:pPr>
                  <w:r>
                    <w:rPr>
                      <w:rFonts w:hint="default"/>
                      <w:color w:val="auto"/>
                      <w:lang w:val="en-US" w:eastAsia="zh-CN"/>
                    </w:rPr>
                    <w:t>符合</w:t>
                  </w:r>
                </w:p>
              </w:tc>
            </w:tr>
          </w:tbl>
          <w:p>
            <w:pPr>
              <w:pStyle w:val="32"/>
              <w:numPr>
                <w:ilvl w:val="0"/>
                <w:numId w:val="5"/>
              </w:numPr>
              <w:bidi w:val="0"/>
              <w:ind w:left="0" w:leftChars="0" w:firstLine="471" w:firstLineChars="0"/>
              <w:rPr>
                <w:rFonts w:hint="default"/>
                <w:color w:val="auto"/>
                <w:lang w:val="en-US" w:eastAsia="zh-CN"/>
              </w:rPr>
            </w:pPr>
            <w:r>
              <w:rPr>
                <w:rFonts w:hint="default"/>
                <w:color w:val="auto"/>
                <w:lang w:val="en-US" w:eastAsia="zh-CN"/>
              </w:rPr>
              <w:t>与</w:t>
            </w:r>
            <w:r>
              <w:rPr>
                <w:rFonts w:hint="default"/>
                <w:color w:val="auto"/>
              </w:rPr>
              <w:t>《新疆生态环境保护“十四五”规划》</w:t>
            </w:r>
            <w:r>
              <w:rPr>
                <w:rFonts w:hint="default"/>
                <w:color w:val="auto"/>
                <w:lang w:val="en-US" w:eastAsia="zh-CN"/>
              </w:rPr>
              <w:t>符合性分析</w:t>
            </w:r>
          </w:p>
          <w:p>
            <w:pPr>
              <w:pStyle w:val="36"/>
              <w:bidi w:val="0"/>
              <w:rPr>
                <w:rFonts w:hint="default"/>
                <w:color w:val="auto"/>
                <w:lang w:val="en-US" w:eastAsia="zh-CN"/>
              </w:rPr>
            </w:pPr>
            <w:r>
              <w:rPr>
                <w:rFonts w:hint="default"/>
                <w:color w:val="auto"/>
                <w:lang w:val="en-US" w:eastAsia="zh-CN"/>
              </w:rPr>
              <w:t>《新疆生态环境保护“十四五”规划》提出“坚决遏制‘两高’项目盲目发展，严格执行能源、矿产资源开发自治区人民政府‘一支笔’审批制度、环境保护‘一票否决’制度，落实‘三线一单’生态环境分区管控要求，守住生态保护红线、环境质量底线和资源利用上线，实施生态环境准入清单管控”</w:t>
            </w:r>
            <w:r>
              <w:rPr>
                <w:rFonts w:hint="eastAsia"/>
                <w:color w:val="auto"/>
                <w:lang w:val="en-US" w:eastAsia="zh-CN"/>
              </w:rPr>
              <w:t>；加强应急监测装备配置，定期开展应急演练，增强实战能力。</w:t>
            </w:r>
          </w:p>
          <w:p>
            <w:pPr>
              <w:pStyle w:val="36"/>
              <w:bidi w:val="0"/>
              <w:rPr>
                <w:rFonts w:hint="default"/>
                <w:color w:val="auto"/>
                <w:lang w:val="en-US" w:eastAsia="zh-CN"/>
              </w:rPr>
            </w:pPr>
            <w:r>
              <w:rPr>
                <w:rFonts w:hint="default"/>
                <w:color w:val="auto"/>
                <w:lang w:val="en-US" w:eastAsia="zh-CN"/>
              </w:rPr>
              <w:t>陆地石油勘探项目不属于“高污染、高环境风险产品”的工业项目；</w:t>
            </w:r>
            <w:r>
              <w:rPr>
                <w:rFonts w:hint="eastAsia"/>
                <w:color w:val="auto"/>
                <w:lang w:val="en-US" w:eastAsia="zh-CN"/>
              </w:rPr>
              <w:t>本项目为油气资源勘探项目，</w:t>
            </w:r>
            <w:r>
              <w:rPr>
                <w:rFonts w:hint="default"/>
                <w:color w:val="auto"/>
                <w:lang w:val="en-US" w:eastAsia="zh-CN"/>
              </w:rPr>
              <w:t>不涉及生态敏感区，不涉及生态保护红线，“三废”及噪声对区域环境质量影响小，不会突破区域环境质量底线；新鲜水和柴油消耗不会突破区域资源利用上线，符合昌吉回族自治州生态环境准入清单的要求。</w:t>
            </w:r>
            <w:r>
              <w:rPr>
                <w:rFonts w:hint="eastAsia"/>
                <w:color w:val="auto"/>
                <w:lang w:val="en-US" w:eastAsia="zh-CN"/>
              </w:rPr>
              <w:t>本项目</w:t>
            </w:r>
            <w:r>
              <w:rPr>
                <w:rFonts w:hint="default"/>
                <w:color w:val="auto"/>
                <w:lang w:val="en-US" w:eastAsia="zh-CN"/>
              </w:rPr>
              <w:t>环境风险防范执行《中国石油新疆油田分公司勘探事业部突发环境事件应急预案》，并定期进行应急演练工作。</w:t>
            </w:r>
          </w:p>
          <w:p>
            <w:pPr>
              <w:pStyle w:val="36"/>
              <w:bidi w:val="0"/>
              <w:rPr>
                <w:rFonts w:hint="eastAsia"/>
                <w:color w:val="auto"/>
                <w:lang w:val="en-US" w:eastAsia="zh-CN"/>
              </w:rPr>
            </w:pPr>
            <w:r>
              <w:rPr>
                <w:rFonts w:hint="eastAsia"/>
                <w:color w:val="auto"/>
                <w:lang w:val="en-US" w:eastAsia="zh-CN"/>
              </w:rPr>
              <w:t>综上，本项目符合《新疆生态环境保护“十四五”规划》要求。</w:t>
            </w:r>
          </w:p>
          <w:p>
            <w:pPr>
              <w:widowControl w:val="0"/>
              <w:numPr>
                <w:ilvl w:val="0"/>
                <w:numId w:val="5"/>
              </w:numPr>
              <w:tabs>
                <w:tab w:val="left" w:pos="0"/>
              </w:tabs>
              <w:bidi w:val="0"/>
              <w:adjustRightInd w:val="0"/>
              <w:snapToGrid w:val="0"/>
              <w:spacing w:before="200" w:after="200" w:line="520" w:lineRule="exact"/>
              <w:ind w:left="0" w:firstLine="471" w:firstLineChars="0"/>
              <w:jc w:val="both"/>
              <w:rPr>
                <w:rFonts w:hint="eastAsia" w:ascii="Times New Roman" w:hAnsi="Times New Roman" w:eastAsia="宋体" w:cs="宋体"/>
                <w:b/>
                <w:color w:val="auto"/>
                <w:kern w:val="2"/>
                <w:sz w:val="24"/>
                <w:szCs w:val="24"/>
                <w:lang w:val="en-US" w:eastAsia="zh-CN" w:bidi="ar-SA"/>
              </w:rPr>
            </w:pPr>
            <w:r>
              <w:rPr>
                <w:rFonts w:hint="eastAsia" w:ascii="Times New Roman" w:hAnsi="Times New Roman" w:eastAsia="宋体" w:cs="宋体"/>
                <w:b/>
                <w:color w:val="auto"/>
                <w:kern w:val="2"/>
                <w:sz w:val="24"/>
                <w:szCs w:val="24"/>
                <w:lang w:val="en-US" w:eastAsia="zh-CN" w:bidi="ar-SA"/>
              </w:rPr>
              <w:t>与《昌吉回族自治州生态环境保护与建设“十四五”规划》符合性分析</w:t>
            </w:r>
          </w:p>
          <w:p>
            <w:pPr>
              <w:pStyle w:val="36"/>
              <w:bidi w:val="0"/>
              <w:rPr>
                <w:rFonts w:hint="default"/>
                <w:color w:val="auto"/>
                <w:lang w:val="en-US" w:eastAsia="zh-CN"/>
              </w:rPr>
            </w:pPr>
            <w:r>
              <w:rPr>
                <w:rFonts w:hint="eastAsia" w:ascii="Times New Roman" w:hAnsi="Times New Roman" w:eastAsia="宋体" w:cs="Times New Roman"/>
                <w:color w:val="auto"/>
                <w:spacing w:val="-2"/>
                <w:kern w:val="0"/>
                <w:sz w:val="24"/>
                <w:szCs w:val="24"/>
                <w:lang w:val="en-US" w:eastAsia="zh-CN" w:bidi="ar-SA"/>
              </w:rPr>
              <w:t>《规划》提出“十四五”时期总体目标为：“昌吉州生态环境质量得到持续改善。全州</w:t>
            </w:r>
            <w:r>
              <w:rPr>
                <w:rFonts w:hint="default" w:ascii="Times New Roman" w:hAnsi="Times New Roman" w:eastAsia="宋体" w:cs="Times New Roman"/>
                <w:color w:val="auto"/>
                <w:spacing w:val="-2"/>
                <w:kern w:val="0"/>
                <w:sz w:val="24"/>
                <w:szCs w:val="24"/>
                <w:lang w:val="en-US" w:eastAsia="zh-CN" w:bidi="ar-SA"/>
              </w:rPr>
              <w:t>PM</w:t>
            </w:r>
            <w:r>
              <w:rPr>
                <w:rFonts w:hint="default" w:ascii="Times New Roman" w:hAnsi="Times New Roman" w:eastAsia="宋体" w:cs="Times New Roman"/>
                <w:color w:val="auto"/>
                <w:spacing w:val="-2"/>
                <w:kern w:val="0"/>
                <w:sz w:val="24"/>
                <w:szCs w:val="24"/>
                <w:vertAlign w:val="subscript"/>
                <w:lang w:val="en-US" w:eastAsia="zh-CN" w:bidi="ar-SA"/>
              </w:rPr>
              <w:t>2.5</w:t>
            </w:r>
            <w:r>
              <w:rPr>
                <w:rFonts w:hint="eastAsia" w:ascii="Times New Roman" w:hAnsi="Times New Roman" w:eastAsia="宋体" w:cs="Times New Roman"/>
                <w:color w:val="auto"/>
                <w:spacing w:val="-2"/>
                <w:kern w:val="0"/>
                <w:sz w:val="24"/>
                <w:szCs w:val="24"/>
                <w:lang w:val="en-US" w:eastAsia="zh-CN" w:bidi="ar-SA"/>
              </w:rPr>
              <w:t>、</w:t>
            </w:r>
            <w:r>
              <w:rPr>
                <w:rFonts w:hint="default" w:ascii="Times New Roman" w:hAnsi="Times New Roman" w:eastAsia="宋体" w:cs="Times New Roman"/>
                <w:color w:val="auto"/>
                <w:spacing w:val="-2"/>
                <w:kern w:val="0"/>
                <w:sz w:val="24"/>
                <w:szCs w:val="24"/>
                <w:lang w:val="en-US" w:eastAsia="zh-CN" w:bidi="ar-SA"/>
              </w:rPr>
              <w:t>PM</w:t>
            </w:r>
            <w:r>
              <w:rPr>
                <w:rFonts w:hint="default" w:ascii="Times New Roman" w:hAnsi="Times New Roman" w:eastAsia="宋体" w:cs="Times New Roman"/>
                <w:color w:val="auto"/>
                <w:spacing w:val="-2"/>
                <w:kern w:val="0"/>
                <w:sz w:val="24"/>
                <w:szCs w:val="24"/>
                <w:vertAlign w:val="subscript"/>
                <w:lang w:val="en-US" w:eastAsia="zh-CN" w:bidi="ar-SA"/>
              </w:rPr>
              <w:t>10</w:t>
            </w:r>
            <w:r>
              <w:rPr>
                <w:rFonts w:hint="eastAsia" w:ascii="Times New Roman" w:hAnsi="Times New Roman" w:eastAsia="宋体" w:cs="Times New Roman"/>
                <w:color w:val="auto"/>
                <w:spacing w:val="-2"/>
                <w:kern w:val="0"/>
                <w:sz w:val="24"/>
                <w:szCs w:val="24"/>
                <w:lang w:val="en-US" w:eastAsia="zh-CN" w:bidi="ar-SA"/>
              </w:rPr>
              <w:t>浓度持续下降，空气质量稳步提升，重污染天气持续减少；水环境质量持续改善，水生态建设得到加强；土壤安全利用水平稳中求进；固体废物与化学品环境风险防控能力明显增强，环境风险有效控制；主要污染物排放总量持续减少，有效控制温室气体排放……”。本项目无运营期，施工期扬尘</w:t>
            </w:r>
            <w:r>
              <w:rPr>
                <w:rFonts w:hint="eastAsia" w:ascii="Times New Roman" w:hAnsi="Times New Roman" w:eastAsia="宋体" w:cs="Times New Roman"/>
                <w:color w:val="auto"/>
                <w:spacing w:val="-2"/>
                <w:kern w:val="0"/>
                <w:sz w:val="24"/>
                <w:szCs w:val="24"/>
                <w:vertAlign w:val="baseline"/>
                <w:lang w:val="en-US" w:eastAsia="zh-CN" w:bidi="ar-SA"/>
              </w:rPr>
              <w:t>对环境空气质量影响较小，影响时间较短；项目施工废水拉运至联合站污水处理系统处理，生活污水拉运至污水处理厂处理，均可得到妥善处置不外排；固体废物分类妥善处置；通过加强井控、设置放喷管线和放喷池、分区防渗设施、消防、应急设施、编制突发环境事件应急预案等措施，可使环境风险得到有效控制。项目伴生气燃烧后放空，可减少挥发性有机物和温室气体的排放。综上，项目符合</w:t>
            </w:r>
            <w:r>
              <w:rPr>
                <w:rFonts w:hint="eastAsia" w:ascii="Times New Roman" w:hAnsi="Times New Roman" w:eastAsia="宋体" w:cs="Times New Roman"/>
                <w:color w:val="auto"/>
                <w:spacing w:val="-2"/>
                <w:kern w:val="0"/>
                <w:sz w:val="24"/>
                <w:szCs w:val="24"/>
                <w:lang w:val="en-US" w:eastAsia="zh-CN" w:bidi="ar-SA"/>
              </w:rPr>
              <w:t>《昌吉回族自治州生态环境保护与建设“十四五”规划》相关要求。</w:t>
            </w:r>
          </w:p>
        </w:tc>
      </w:tr>
    </w:tbl>
    <w:p>
      <w:pPr>
        <w:pStyle w:val="36"/>
        <w:bidi w:val="0"/>
        <w:rPr>
          <w:rFonts w:hint="default"/>
          <w:color w:val="auto"/>
        </w:rPr>
        <w:sectPr>
          <w:footerReference r:id="rId7" w:type="default"/>
          <w:pgSz w:w="11906" w:h="16838"/>
          <w:pgMar w:top="1417" w:right="1587" w:bottom="1417"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
        <w:rPr>
          <w:rFonts w:hint="default" w:ascii="Times New Roman" w:hAnsi="Times New Roman" w:eastAsia="黑体" w:cs="Times New Roman"/>
          <w:b w:val="0"/>
          <w:bCs/>
          <w:color w:val="auto"/>
          <w:sz w:val="30"/>
          <w:szCs w:val="30"/>
        </w:rPr>
      </w:pPr>
      <w:bookmarkStart w:id="6" w:name="_Toc14899"/>
      <w:r>
        <w:rPr>
          <w:rFonts w:hint="default" w:ascii="Times New Roman" w:hAnsi="Times New Roman" w:eastAsia="黑体" w:cs="Times New Roman"/>
          <w:b w:val="0"/>
          <w:bCs/>
          <w:color w:val="auto"/>
          <w:sz w:val="30"/>
          <w:szCs w:val="30"/>
        </w:rPr>
        <w:t>二、建设内容</w:t>
      </w:r>
      <w:bookmarkEnd w:id="6"/>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trPr>
        <w:tc>
          <w:tcPr>
            <w:tcW w:w="426" w:type="dxa"/>
            <w:vAlign w:val="center"/>
          </w:tcPr>
          <w:p>
            <w:pPr>
              <w:pStyle w:val="53"/>
              <w:bidi w:val="0"/>
              <w:rPr>
                <w:rFonts w:hint="default"/>
                <w:color w:val="auto"/>
              </w:rPr>
            </w:pPr>
            <w:r>
              <w:rPr>
                <w:rFonts w:hint="default"/>
                <w:color w:val="auto"/>
              </w:rPr>
              <w:t>地理位置</w:t>
            </w:r>
          </w:p>
        </w:tc>
        <w:tc>
          <w:tcPr>
            <w:tcW w:w="8096" w:type="dxa"/>
          </w:tcPr>
          <w:p>
            <w:pPr>
              <w:pStyle w:val="36"/>
              <w:bidi w:val="0"/>
              <w:rPr>
                <w:rFonts w:hint="default"/>
                <w:color w:val="auto"/>
                <w:lang w:val="en-US" w:eastAsia="zh-CN"/>
              </w:rPr>
            </w:pPr>
            <w:r>
              <w:rPr>
                <w:rFonts w:hint="default"/>
                <w:color w:val="auto"/>
              </w:rPr>
              <w:t>本项目行政隶属于新疆维吾尔自治区</w:t>
            </w:r>
            <w:r>
              <w:rPr>
                <w:rFonts w:hint="eastAsia"/>
                <w:color w:val="auto"/>
                <w:lang w:val="en-US" w:eastAsia="zh-CN"/>
              </w:rPr>
              <w:t>昌吉回族自治州玛纳斯县境内</w:t>
            </w:r>
            <w:r>
              <w:rPr>
                <w:rFonts w:hint="default"/>
                <w:color w:val="auto"/>
              </w:rPr>
              <w:t>，</w:t>
            </w:r>
            <w:r>
              <w:rPr>
                <w:rFonts w:hint="eastAsia"/>
                <w:color w:val="auto"/>
                <w:lang w:val="en-US" w:eastAsia="zh-CN"/>
              </w:rPr>
              <w:t>天湾102井井场东北</w:t>
            </w:r>
            <w:r>
              <w:rPr>
                <w:rFonts w:hint="default"/>
                <w:color w:val="auto"/>
              </w:rPr>
              <w:t>距</w:t>
            </w:r>
            <w:r>
              <w:rPr>
                <w:rFonts w:hint="eastAsia"/>
                <w:color w:val="auto"/>
                <w:lang w:val="en-US" w:eastAsia="zh-CN"/>
              </w:rPr>
              <w:t>玛纳斯县县城直线距离</w:t>
            </w:r>
            <w:r>
              <w:rPr>
                <w:rFonts w:hint="default"/>
                <w:color w:val="auto"/>
              </w:rPr>
              <w:t>约</w:t>
            </w:r>
            <w:r>
              <w:rPr>
                <w:rFonts w:hint="eastAsia"/>
                <w:color w:val="auto"/>
                <w:lang w:val="en-US" w:eastAsia="zh-CN"/>
              </w:rPr>
              <w:t>30</w:t>
            </w:r>
            <w:r>
              <w:rPr>
                <w:rFonts w:hint="default"/>
                <w:color w:val="auto"/>
              </w:rPr>
              <w:t>km</w:t>
            </w:r>
            <w:r>
              <w:rPr>
                <w:rFonts w:hint="default"/>
                <w:color w:val="auto"/>
                <w:lang w:eastAsia="zh-CN"/>
              </w:rPr>
              <w:t>。</w:t>
            </w:r>
            <w:r>
              <w:rPr>
                <w:rFonts w:hint="eastAsia"/>
                <w:color w:val="auto"/>
                <w:lang w:val="en-US" w:eastAsia="zh-CN"/>
              </w:rPr>
              <w:t>项目井场东、南、西、北侧均为草地，探临道路南端连接现状道路，交通便利。</w:t>
            </w:r>
          </w:p>
          <w:p>
            <w:pPr>
              <w:pStyle w:val="36"/>
              <w:bidi w:val="0"/>
              <w:rPr>
                <w:rFonts w:hint="default"/>
                <w:color w:val="auto"/>
              </w:rPr>
            </w:pPr>
            <w:r>
              <w:rPr>
                <w:rFonts w:hint="default"/>
                <w:color w:val="auto"/>
                <w:lang w:val="en-US" w:eastAsia="zh-CN"/>
              </w:rPr>
              <w:t>本项目</w:t>
            </w:r>
            <w:r>
              <w:rPr>
                <w:rFonts w:hint="default"/>
                <w:color w:val="auto"/>
              </w:rPr>
              <w:t>井位坐标见</w:t>
            </w:r>
            <w:r>
              <w:rPr>
                <w:rFonts w:hint="eastAsia" w:ascii="Times New Roman" w:eastAsia="宋体"/>
                <w:color w:val="auto"/>
                <w:lang w:val="en-US" w:eastAsia="zh-CN"/>
              </w:rPr>
              <w:t>下表</w:t>
            </w:r>
            <w:r>
              <w:rPr>
                <w:rFonts w:hint="default"/>
                <w:color w:val="auto"/>
              </w:rPr>
              <w:t>，区域位置见附图3</w:t>
            </w:r>
            <w:r>
              <w:rPr>
                <w:rFonts w:hint="default"/>
                <w:color w:val="auto"/>
                <w:lang w:eastAsia="zh-CN"/>
              </w:rPr>
              <w:t>，</w:t>
            </w:r>
            <w:r>
              <w:rPr>
                <w:rFonts w:hint="default"/>
                <w:color w:val="auto"/>
                <w:lang w:val="en-US" w:eastAsia="zh-CN"/>
              </w:rPr>
              <w:t>地理位置见附图4</w:t>
            </w:r>
            <w:r>
              <w:rPr>
                <w:rFonts w:hint="default"/>
                <w:color w:val="auto"/>
              </w:rPr>
              <w:t>。</w:t>
            </w:r>
          </w:p>
          <w:p>
            <w:pPr>
              <w:pStyle w:val="52"/>
              <w:bidi w:val="0"/>
              <w:rPr>
                <w:rFonts w:hint="default"/>
                <w:color w:val="auto"/>
              </w:rPr>
            </w:pPr>
            <w:r>
              <w:rPr>
                <w:rFonts w:hint="default"/>
                <w:color w:val="auto"/>
              </w:rPr>
              <w:t>表</w:t>
            </w:r>
            <w:r>
              <w:rPr>
                <w:rFonts w:hint="default"/>
                <w:color w:val="auto"/>
                <w:lang w:val="en-US" w:eastAsia="zh-CN"/>
              </w:rPr>
              <w:t>2-</w:t>
            </w:r>
            <w:r>
              <w:rPr>
                <w:rFonts w:hint="default"/>
                <w:color w:val="auto"/>
              </w:rPr>
              <w:t xml:space="preserve">1  </w:t>
            </w:r>
            <w:r>
              <w:rPr>
                <w:rFonts w:hint="default"/>
                <w:color w:val="auto"/>
                <w:lang w:val="en-US" w:eastAsia="zh-CN"/>
              </w:rPr>
              <w:t>项目</w:t>
            </w:r>
            <w:r>
              <w:rPr>
                <w:rFonts w:hint="default"/>
                <w:color w:val="auto"/>
              </w:rPr>
              <w:t>井位坐标</w:t>
            </w:r>
            <w:r>
              <w:rPr>
                <w:rFonts w:hint="default"/>
                <w:color w:val="auto"/>
                <w:lang w:val="en-US" w:eastAsia="zh-CN"/>
              </w:rPr>
              <w:t>一览表</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202"/>
              <w:gridCol w:w="1485"/>
              <w:gridCol w:w="1481"/>
              <w:gridCol w:w="1798"/>
              <w:gridCol w:w="19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63" w:type="pct"/>
                  <w:vMerge w:val="restart"/>
                  <w:tcBorders>
                    <w:tl2br w:val="nil"/>
                    <w:tr2bl w:val="nil"/>
                  </w:tcBorders>
                  <w:vAlign w:val="center"/>
                </w:tcPr>
                <w:p>
                  <w:pPr>
                    <w:pStyle w:val="33"/>
                    <w:bidi w:val="0"/>
                    <w:rPr>
                      <w:rFonts w:hint="default"/>
                      <w:color w:val="auto"/>
                    </w:rPr>
                  </w:pPr>
                  <w:bookmarkStart w:id="7" w:name="_Hlk175918775"/>
                  <w:r>
                    <w:rPr>
                      <w:rFonts w:hint="default"/>
                      <w:color w:val="auto"/>
                    </w:rPr>
                    <w:t>井号</w:t>
                  </w:r>
                </w:p>
              </w:tc>
              <w:tc>
                <w:tcPr>
                  <w:tcW w:w="1882" w:type="pct"/>
                  <w:gridSpan w:val="2"/>
                  <w:tcBorders>
                    <w:tl2br w:val="nil"/>
                    <w:tr2bl w:val="nil"/>
                  </w:tcBorders>
                  <w:vAlign w:val="center"/>
                </w:tcPr>
                <w:p>
                  <w:pPr>
                    <w:pStyle w:val="33"/>
                    <w:bidi w:val="0"/>
                    <w:rPr>
                      <w:rFonts w:hint="default"/>
                      <w:color w:val="auto"/>
                      <w:lang w:val="en-US" w:eastAsia="zh-CN"/>
                    </w:rPr>
                  </w:pPr>
                  <w:r>
                    <w:rPr>
                      <w:rFonts w:hint="default"/>
                      <w:color w:val="auto"/>
                    </w:rPr>
                    <w:t>大地</w:t>
                  </w:r>
                  <w:r>
                    <w:rPr>
                      <w:rFonts w:hint="eastAsia"/>
                      <w:color w:val="auto"/>
                      <w:lang w:val="en-US" w:eastAsia="zh-CN"/>
                    </w:rPr>
                    <w:t>2000坐标</w:t>
                  </w:r>
                </w:p>
              </w:tc>
              <w:tc>
                <w:tcPr>
                  <w:tcW w:w="2353" w:type="pct"/>
                  <w:gridSpan w:val="2"/>
                  <w:tcBorders>
                    <w:tl2br w:val="nil"/>
                    <w:tr2bl w:val="nil"/>
                  </w:tcBorders>
                  <w:vAlign w:val="center"/>
                </w:tcPr>
                <w:p>
                  <w:pPr>
                    <w:pStyle w:val="33"/>
                    <w:bidi w:val="0"/>
                    <w:rPr>
                      <w:rFonts w:hint="default"/>
                      <w:color w:val="auto"/>
                    </w:rPr>
                  </w:pPr>
                  <w:r>
                    <w:rPr>
                      <w:rFonts w:hint="default"/>
                      <w:color w:val="auto"/>
                    </w:rPr>
                    <w:t>经纬度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63" w:type="pct"/>
                  <w:vMerge w:val="continue"/>
                  <w:tcBorders>
                    <w:tl2br w:val="nil"/>
                    <w:tr2bl w:val="nil"/>
                  </w:tcBorders>
                  <w:vAlign w:val="center"/>
                </w:tcPr>
                <w:p>
                  <w:pPr>
                    <w:pStyle w:val="33"/>
                    <w:bidi w:val="0"/>
                    <w:rPr>
                      <w:rFonts w:hint="default"/>
                      <w:color w:val="auto"/>
                    </w:rPr>
                  </w:pPr>
                </w:p>
              </w:tc>
              <w:tc>
                <w:tcPr>
                  <w:tcW w:w="942" w:type="pct"/>
                  <w:tcBorders>
                    <w:tl2br w:val="nil"/>
                    <w:tr2bl w:val="nil"/>
                  </w:tcBorders>
                  <w:vAlign w:val="center"/>
                </w:tcPr>
                <w:p>
                  <w:pPr>
                    <w:pStyle w:val="33"/>
                    <w:bidi w:val="0"/>
                    <w:rPr>
                      <w:rFonts w:hint="default"/>
                      <w:color w:val="auto"/>
                    </w:rPr>
                  </w:pPr>
                  <w:r>
                    <w:rPr>
                      <w:rFonts w:hint="default"/>
                      <w:color w:val="auto"/>
                    </w:rPr>
                    <w:t>Y</w:t>
                  </w:r>
                </w:p>
              </w:tc>
              <w:tc>
                <w:tcPr>
                  <w:tcW w:w="940" w:type="pct"/>
                  <w:tcBorders>
                    <w:tl2br w:val="nil"/>
                    <w:tr2bl w:val="nil"/>
                  </w:tcBorders>
                  <w:vAlign w:val="center"/>
                </w:tcPr>
                <w:p>
                  <w:pPr>
                    <w:pStyle w:val="33"/>
                    <w:bidi w:val="0"/>
                    <w:rPr>
                      <w:rFonts w:hint="default"/>
                      <w:color w:val="auto"/>
                    </w:rPr>
                  </w:pPr>
                  <w:r>
                    <w:rPr>
                      <w:rFonts w:hint="default"/>
                      <w:color w:val="auto"/>
                    </w:rPr>
                    <w:t>X</w:t>
                  </w:r>
                </w:p>
              </w:tc>
              <w:tc>
                <w:tcPr>
                  <w:tcW w:w="1141" w:type="pct"/>
                  <w:tcBorders>
                    <w:tl2br w:val="nil"/>
                    <w:tr2bl w:val="nil"/>
                  </w:tcBorders>
                  <w:vAlign w:val="center"/>
                </w:tcPr>
                <w:p>
                  <w:pPr>
                    <w:pStyle w:val="33"/>
                    <w:bidi w:val="0"/>
                    <w:rPr>
                      <w:rFonts w:hint="default"/>
                      <w:color w:val="auto"/>
                      <w:lang w:val="en-US" w:eastAsia="zh-CN"/>
                    </w:rPr>
                  </w:pPr>
                  <w:r>
                    <w:rPr>
                      <w:rFonts w:hint="eastAsia"/>
                      <w:color w:val="auto"/>
                      <w:lang w:val="en-US" w:eastAsia="zh-CN"/>
                    </w:rPr>
                    <w:t>东经</w:t>
                  </w:r>
                </w:p>
              </w:tc>
              <w:tc>
                <w:tcPr>
                  <w:tcW w:w="1212" w:type="pct"/>
                  <w:tcBorders>
                    <w:tl2br w:val="nil"/>
                    <w:tr2bl w:val="nil"/>
                  </w:tcBorders>
                  <w:vAlign w:val="center"/>
                </w:tcPr>
                <w:p>
                  <w:pPr>
                    <w:pStyle w:val="33"/>
                    <w:bidi w:val="0"/>
                    <w:rPr>
                      <w:rFonts w:hint="eastAsia"/>
                      <w:color w:val="auto"/>
                      <w:lang w:val="en-US" w:eastAsia="zh-CN"/>
                    </w:rPr>
                  </w:pPr>
                  <w:r>
                    <w:rPr>
                      <w:rFonts w:hint="eastAsia"/>
                      <w:color w:val="auto"/>
                      <w:lang w:val="en-US" w:eastAsia="zh-CN"/>
                    </w:rPr>
                    <w:t>北纬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63" w:type="pct"/>
                  <w:tcBorders>
                    <w:tl2br w:val="nil"/>
                    <w:tr2bl w:val="nil"/>
                  </w:tcBorders>
                  <w:vAlign w:val="center"/>
                </w:tcPr>
                <w:p>
                  <w:pPr>
                    <w:pStyle w:val="33"/>
                    <w:bidi w:val="0"/>
                    <w:rPr>
                      <w:rFonts w:hint="default"/>
                      <w:color w:val="auto"/>
                    </w:rPr>
                  </w:pPr>
                  <w:r>
                    <w:rPr>
                      <w:rFonts w:hint="eastAsia"/>
                      <w:color w:val="auto"/>
                      <w:lang w:val="en-US" w:eastAsia="zh-CN"/>
                    </w:rPr>
                    <w:t>天湾102井</w:t>
                  </w:r>
                </w:p>
              </w:tc>
              <w:tc>
                <w:tcPr>
                  <w:tcW w:w="942" w:type="pct"/>
                  <w:tcBorders>
                    <w:tl2br w:val="nil"/>
                    <w:tr2bl w:val="nil"/>
                  </w:tcBorders>
                  <w:vAlign w:val="center"/>
                </w:tcPr>
                <w:p>
                  <w:pPr>
                    <w:pStyle w:val="33"/>
                    <w:bidi w:val="0"/>
                    <w:rPr>
                      <w:rFonts w:hint="default"/>
                      <w:color w:val="auto"/>
                      <w:lang w:val="en-US" w:eastAsia="zh-CN"/>
                    </w:rPr>
                  </w:pPr>
                </w:p>
              </w:tc>
              <w:tc>
                <w:tcPr>
                  <w:tcW w:w="940" w:type="pct"/>
                  <w:tcBorders>
                    <w:tl2br w:val="nil"/>
                    <w:tr2bl w:val="nil"/>
                  </w:tcBorders>
                  <w:vAlign w:val="center"/>
                </w:tcPr>
                <w:p>
                  <w:pPr>
                    <w:pStyle w:val="33"/>
                    <w:bidi w:val="0"/>
                    <w:rPr>
                      <w:rFonts w:hint="eastAsia"/>
                      <w:color w:val="auto"/>
                      <w:lang w:val="en-US" w:eastAsia="zh-CN"/>
                    </w:rPr>
                  </w:pPr>
                </w:p>
              </w:tc>
              <w:tc>
                <w:tcPr>
                  <w:tcW w:w="1141" w:type="pct"/>
                  <w:tcBorders>
                    <w:tl2br w:val="nil"/>
                    <w:tr2bl w:val="nil"/>
                  </w:tcBorders>
                  <w:shd w:val="clear" w:color="auto" w:fill="auto"/>
                  <w:vAlign w:val="center"/>
                </w:tcPr>
                <w:p>
                  <w:pPr>
                    <w:pStyle w:val="33"/>
                    <w:bidi w:val="0"/>
                    <w:rPr>
                      <w:rFonts w:hint="default"/>
                      <w:color w:val="auto"/>
                      <w:lang w:val="en-US" w:eastAsia="zh-CN"/>
                    </w:rPr>
                  </w:pPr>
                </w:p>
              </w:tc>
              <w:tc>
                <w:tcPr>
                  <w:tcW w:w="1212" w:type="pct"/>
                  <w:tcBorders>
                    <w:tl2br w:val="nil"/>
                    <w:tr2bl w:val="nil"/>
                  </w:tcBorders>
                  <w:vAlign w:val="center"/>
                </w:tcPr>
                <w:p>
                  <w:pPr>
                    <w:pStyle w:val="33"/>
                    <w:bidi w:val="0"/>
                    <w:rPr>
                      <w:rFonts w:hint="default"/>
                      <w:color w:val="auto"/>
                      <w:lang w:val="en-US" w:eastAsia="zh-CN"/>
                    </w:rPr>
                  </w:pPr>
                </w:p>
              </w:tc>
            </w:tr>
            <w:bookmarkEnd w:id="7"/>
          </w:tbl>
          <w:p>
            <w:pPr>
              <w:pStyle w:val="11"/>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pStyle w:val="53"/>
              <w:bidi w:val="0"/>
              <w:rPr>
                <w:rFonts w:hint="default"/>
                <w:color w:val="auto"/>
              </w:rPr>
            </w:pPr>
            <w:bookmarkStart w:id="8" w:name="_Hlk136793942"/>
            <w:r>
              <w:rPr>
                <w:rFonts w:hint="default"/>
                <w:color w:val="auto"/>
              </w:rPr>
              <w:t>项目组成及规模</w:t>
            </w:r>
          </w:p>
        </w:tc>
        <w:tc>
          <w:tcPr>
            <w:tcW w:w="8096" w:type="dxa"/>
          </w:tcPr>
          <w:p>
            <w:pPr>
              <w:pStyle w:val="36"/>
              <w:bidi w:val="0"/>
              <w:rPr>
                <w:rFonts w:hint="default"/>
                <w:color w:val="auto"/>
              </w:rPr>
            </w:pPr>
            <w:r>
              <w:rPr>
                <w:rFonts w:hint="default"/>
                <w:color w:val="auto"/>
              </w:rPr>
              <w:t>本次部署1口</w:t>
            </w:r>
            <w:r>
              <w:rPr>
                <w:rFonts w:hint="eastAsia"/>
                <w:color w:val="auto"/>
                <w:lang w:val="en-US" w:eastAsia="zh-CN"/>
              </w:rPr>
              <w:t>勘探</w:t>
            </w:r>
            <w:r>
              <w:rPr>
                <w:rFonts w:hint="default"/>
                <w:color w:val="auto"/>
              </w:rPr>
              <w:t>井</w:t>
            </w:r>
            <w:r>
              <w:rPr>
                <w:rFonts w:hint="default"/>
                <w:color w:val="auto"/>
                <w:lang w:eastAsia="zh-CN"/>
              </w:rPr>
              <w:t>，</w:t>
            </w:r>
            <w:r>
              <w:rPr>
                <w:rFonts w:hint="eastAsia"/>
                <w:color w:val="auto"/>
                <w:lang w:val="en-US" w:eastAsia="zh-CN"/>
              </w:rPr>
              <w:t>井号为天湾102</w:t>
            </w:r>
            <w:r>
              <w:rPr>
                <w:rFonts w:hint="default"/>
                <w:color w:val="auto"/>
                <w:lang w:eastAsia="zh-CN"/>
              </w:rPr>
              <w:t>，</w:t>
            </w:r>
            <w:r>
              <w:rPr>
                <w:rFonts w:hint="eastAsia"/>
                <w:color w:val="auto"/>
                <w:lang w:val="en-US" w:eastAsia="zh-CN"/>
              </w:rPr>
              <w:t>设计</w:t>
            </w:r>
            <w:r>
              <w:rPr>
                <w:rFonts w:hint="default"/>
                <w:color w:val="auto"/>
                <w:lang w:val="en-US" w:eastAsia="zh-CN"/>
              </w:rPr>
              <w:t>井深</w:t>
            </w:r>
            <w:r>
              <w:rPr>
                <w:rFonts w:hint="eastAsia"/>
                <w:color w:val="auto"/>
                <w:lang w:val="en-US" w:eastAsia="zh-CN"/>
              </w:rPr>
              <w:t>8750</w:t>
            </w:r>
            <w:r>
              <w:rPr>
                <w:rFonts w:hint="default"/>
                <w:color w:val="auto"/>
                <w:lang w:val="en-US" w:eastAsia="zh-CN"/>
              </w:rPr>
              <w:t>m，采用</w:t>
            </w:r>
            <w:r>
              <w:rPr>
                <w:rFonts w:hint="eastAsia"/>
                <w:color w:val="auto"/>
                <w:lang w:val="en-US" w:eastAsia="zh-CN"/>
              </w:rPr>
              <w:t>五</w:t>
            </w:r>
            <w:r>
              <w:rPr>
                <w:rFonts w:hint="default"/>
                <w:color w:val="auto"/>
                <w:lang w:val="en-US" w:eastAsia="zh-CN"/>
              </w:rPr>
              <w:t>开直井井身结构。项目</w:t>
            </w:r>
            <w:r>
              <w:rPr>
                <w:rFonts w:hint="default"/>
                <w:color w:val="auto"/>
              </w:rPr>
              <w:t>工程组成情况</w:t>
            </w:r>
            <w:r>
              <w:rPr>
                <w:rFonts w:hint="default"/>
                <w:color w:val="auto"/>
                <w:lang w:val="en-US" w:eastAsia="zh-CN"/>
              </w:rPr>
              <w:t>详见</w:t>
            </w:r>
            <w:r>
              <w:rPr>
                <w:rFonts w:hint="eastAsia" w:ascii="Times New Roman" w:eastAsia="宋体"/>
                <w:color w:val="auto"/>
                <w:lang w:val="en-US" w:eastAsia="zh-CN"/>
              </w:rPr>
              <w:t>下表</w:t>
            </w:r>
            <w:r>
              <w:rPr>
                <w:rFonts w:hint="default"/>
                <w:color w:val="auto"/>
              </w:rPr>
              <w:t>。</w:t>
            </w:r>
          </w:p>
          <w:p>
            <w:pPr>
              <w:pStyle w:val="52"/>
              <w:bidi w:val="0"/>
              <w:rPr>
                <w:rFonts w:hint="default"/>
                <w:color w:val="auto"/>
              </w:rPr>
            </w:pPr>
            <w:bookmarkStart w:id="9" w:name="_Ref19637151"/>
            <w:r>
              <w:rPr>
                <w:rFonts w:hint="default"/>
                <w:color w:val="auto"/>
              </w:rPr>
              <w:t>表</w:t>
            </w:r>
            <w:bookmarkEnd w:id="9"/>
            <w:r>
              <w:rPr>
                <w:rFonts w:hint="default"/>
                <w:color w:val="auto"/>
                <w:lang w:val="en-US" w:eastAsia="zh-CN"/>
              </w:rPr>
              <w:t>2-</w:t>
            </w:r>
            <w:r>
              <w:rPr>
                <w:rFonts w:hint="default"/>
                <w:color w:val="auto"/>
              </w:rPr>
              <w:t xml:space="preserve">2  </w:t>
            </w:r>
            <w:r>
              <w:rPr>
                <w:rFonts w:hint="default"/>
                <w:color w:val="auto"/>
                <w:lang w:val="en-US" w:eastAsia="zh-CN"/>
              </w:rPr>
              <w:t>本项目</w:t>
            </w:r>
            <w:r>
              <w:rPr>
                <w:rFonts w:hint="default"/>
                <w:color w:val="auto"/>
              </w:rPr>
              <w:t>工程组成一览表</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8" w:type="dxa"/>
                <w:bottom w:w="0" w:type="dxa"/>
                <w:right w:w="28" w:type="dxa"/>
              </w:tblCellMar>
            </w:tblPr>
            <w:tblGrid>
              <w:gridCol w:w="585"/>
              <w:gridCol w:w="498"/>
              <w:gridCol w:w="1101"/>
              <w:gridCol w:w="569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tblHeader/>
                <w:jc w:val="center"/>
              </w:trPr>
              <w:tc>
                <w:tcPr>
                  <w:tcW w:w="1386" w:type="pct"/>
                  <w:gridSpan w:val="3"/>
                  <w:vAlign w:val="center"/>
                </w:tcPr>
                <w:p>
                  <w:pPr>
                    <w:pStyle w:val="33"/>
                    <w:bidi w:val="0"/>
                    <w:rPr>
                      <w:rFonts w:hint="default"/>
                      <w:color w:val="auto"/>
                    </w:rPr>
                  </w:pPr>
                  <w:bookmarkStart w:id="10" w:name="_Hlk176172371"/>
                  <w:r>
                    <w:rPr>
                      <w:rFonts w:hint="default"/>
                      <w:color w:val="auto"/>
                    </w:rPr>
                    <w:t>工程组成</w:t>
                  </w:r>
                </w:p>
              </w:tc>
              <w:tc>
                <w:tcPr>
                  <w:tcW w:w="3613" w:type="pct"/>
                  <w:vAlign w:val="center"/>
                </w:tcPr>
                <w:p>
                  <w:pPr>
                    <w:pStyle w:val="33"/>
                    <w:bidi w:val="0"/>
                    <w:rPr>
                      <w:rFonts w:hint="default"/>
                      <w:color w:val="auto"/>
                    </w:rPr>
                  </w:pPr>
                  <w:r>
                    <w:rPr>
                      <w:rFonts w:hint="default"/>
                      <w:color w:val="auto"/>
                    </w:rPr>
                    <w:t>工程内容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1" w:type="pct"/>
                  <w:vMerge w:val="restart"/>
                  <w:vAlign w:val="center"/>
                </w:tcPr>
                <w:p>
                  <w:pPr>
                    <w:pStyle w:val="33"/>
                    <w:bidi w:val="0"/>
                    <w:rPr>
                      <w:rFonts w:hint="default"/>
                      <w:color w:val="auto"/>
                    </w:rPr>
                  </w:pPr>
                  <w:r>
                    <w:rPr>
                      <w:rFonts w:hint="default"/>
                      <w:color w:val="auto"/>
                    </w:rPr>
                    <w:t>主体工程</w:t>
                  </w:r>
                </w:p>
              </w:tc>
              <w:tc>
                <w:tcPr>
                  <w:tcW w:w="1014" w:type="pct"/>
                  <w:gridSpan w:val="2"/>
                  <w:vAlign w:val="center"/>
                </w:tcPr>
                <w:p>
                  <w:pPr>
                    <w:pStyle w:val="33"/>
                    <w:bidi w:val="0"/>
                    <w:rPr>
                      <w:rFonts w:hint="default"/>
                      <w:color w:val="auto"/>
                    </w:rPr>
                  </w:pPr>
                  <w:r>
                    <w:rPr>
                      <w:rFonts w:hint="default"/>
                      <w:color w:val="auto"/>
                    </w:rPr>
                    <w:t>钻前工程</w:t>
                  </w:r>
                </w:p>
              </w:tc>
              <w:tc>
                <w:tcPr>
                  <w:tcW w:w="3613" w:type="pct"/>
                  <w:vAlign w:val="center"/>
                </w:tcPr>
                <w:p>
                  <w:pPr>
                    <w:pStyle w:val="33"/>
                    <w:bidi w:val="0"/>
                    <w:rPr>
                      <w:rFonts w:hint="default"/>
                      <w:color w:val="auto"/>
                    </w:rPr>
                  </w:pPr>
                  <w:r>
                    <w:rPr>
                      <w:rFonts w:hint="default"/>
                      <w:color w:val="auto"/>
                    </w:rPr>
                    <w:t>井场平整、钻机基础建设、探临道路建设以及设备进场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1" w:type="pct"/>
                  <w:vMerge w:val="continue"/>
                  <w:vAlign w:val="center"/>
                </w:tcPr>
                <w:p>
                  <w:pPr>
                    <w:pStyle w:val="33"/>
                    <w:bidi w:val="0"/>
                    <w:rPr>
                      <w:rFonts w:hint="default"/>
                      <w:color w:val="auto"/>
                    </w:rPr>
                  </w:pPr>
                  <w:bookmarkStart w:id="11" w:name="_Hlk186369386"/>
                </w:p>
              </w:tc>
              <w:tc>
                <w:tcPr>
                  <w:tcW w:w="1014" w:type="pct"/>
                  <w:gridSpan w:val="2"/>
                  <w:vAlign w:val="center"/>
                </w:tcPr>
                <w:p>
                  <w:pPr>
                    <w:pStyle w:val="33"/>
                    <w:bidi w:val="0"/>
                    <w:rPr>
                      <w:rFonts w:hint="default"/>
                      <w:color w:val="auto"/>
                    </w:rPr>
                  </w:pPr>
                  <w:r>
                    <w:rPr>
                      <w:rFonts w:hint="default"/>
                      <w:color w:val="auto"/>
                    </w:rPr>
                    <w:t>钻井工程</w:t>
                  </w:r>
                </w:p>
              </w:tc>
              <w:tc>
                <w:tcPr>
                  <w:tcW w:w="3613" w:type="pct"/>
                  <w:vAlign w:val="center"/>
                </w:tcPr>
                <w:p>
                  <w:pPr>
                    <w:pStyle w:val="33"/>
                    <w:bidi w:val="0"/>
                    <w:rPr>
                      <w:rFonts w:hint="default"/>
                      <w:color w:val="auto"/>
                    </w:rPr>
                  </w:pPr>
                  <w:r>
                    <w:rPr>
                      <w:rFonts w:hint="eastAsia"/>
                      <w:color w:val="auto"/>
                      <w:lang w:val="en-US" w:eastAsia="zh-CN"/>
                    </w:rPr>
                    <w:t>天湾102井</w:t>
                  </w:r>
                  <w:r>
                    <w:rPr>
                      <w:rFonts w:hint="default"/>
                      <w:color w:val="auto"/>
                    </w:rPr>
                    <w:t>钻井进尺为</w:t>
                  </w:r>
                  <w:r>
                    <w:rPr>
                      <w:rFonts w:hint="eastAsia"/>
                      <w:color w:val="auto"/>
                      <w:lang w:val="en-US" w:eastAsia="zh-CN"/>
                    </w:rPr>
                    <w:t>8750</w:t>
                  </w:r>
                  <w:r>
                    <w:rPr>
                      <w:rFonts w:hint="default"/>
                      <w:color w:val="auto"/>
                    </w:rPr>
                    <w:t>m，采用</w:t>
                  </w:r>
                  <w:r>
                    <w:rPr>
                      <w:rFonts w:hint="eastAsia"/>
                      <w:color w:val="auto"/>
                      <w:lang w:val="en-US" w:eastAsia="zh-CN"/>
                    </w:rPr>
                    <w:t>五</w:t>
                  </w:r>
                  <w:r>
                    <w:rPr>
                      <w:rFonts w:hint="default"/>
                      <w:color w:val="auto"/>
                    </w:rPr>
                    <w:t>开直井井身结构，</w:t>
                  </w:r>
                  <w:r>
                    <w:rPr>
                      <w:rFonts w:hint="eastAsia"/>
                      <w:color w:val="auto"/>
                      <w:lang w:val="en-US" w:eastAsia="zh-CN"/>
                    </w:rPr>
                    <w:t>一开和二开</w:t>
                  </w:r>
                  <w:r>
                    <w:rPr>
                      <w:rFonts w:hint="default"/>
                      <w:color w:val="auto"/>
                    </w:rPr>
                    <w:t>采用水基钻井液，</w:t>
                  </w:r>
                  <w:r>
                    <w:rPr>
                      <w:rFonts w:hint="eastAsia"/>
                      <w:color w:val="auto"/>
                      <w:lang w:val="en-US" w:eastAsia="zh-CN"/>
                    </w:rPr>
                    <w:t>三开、四开和五开采用油基钻井液，</w:t>
                  </w:r>
                  <w:r>
                    <w:rPr>
                      <w:rFonts w:hint="default"/>
                      <w:color w:val="auto"/>
                      <w:lang w:val="en-US" w:eastAsia="zh-CN"/>
                    </w:rPr>
                    <w:t>采用ZJ</w:t>
                  </w:r>
                  <w:r>
                    <w:rPr>
                      <w:rFonts w:hint="eastAsia"/>
                      <w:color w:val="auto"/>
                      <w:lang w:val="en-US" w:eastAsia="zh-CN"/>
                    </w:rPr>
                    <w:t>9</w:t>
                  </w:r>
                  <w:r>
                    <w:rPr>
                      <w:rFonts w:hint="default"/>
                      <w:color w:val="auto"/>
                      <w:lang w:val="en-US" w:eastAsia="zh-CN"/>
                    </w:rPr>
                    <w:t>0D</w:t>
                  </w:r>
                  <w:r>
                    <w:rPr>
                      <w:rFonts w:hint="eastAsia"/>
                      <w:color w:val="auto"/>
                      <w:lang w:val="en-US" w:eastAsia="zh-CN"/>
                    </w:rPr>
                    <w:t>B</w:t>
                  </w:r>
                  <w:r>
                    <w:rPr>
                      <w:rFonts w:hint="default"/>
                      <w:color w:val="auto"/>
                      <w:lang w:val="en-US" w:eastAsia="zh-CN"/>
                    </w:rPr>
                    <w:t>钻机，</w:t>
                  </w:r>
                  <w:r>
                    <w:rPr>
                      <w:rFonts w:hint="default"/>
                      <w:color w:val="auto"/>
                    </w:rPr>
                    <w:t>钻井期34</w:t>
                  </w:r>
                  <w:r>
                    <w:rPr>
                      <w:rFonts w:hint="eastAsia"/>
                      <w:color w:val="auto"/>
                      <w:lang w:val="en-US" w:eastAsia="zh-CN"/>
                    </w:rPr>
                    <w:t>5</w:t>
                  </w:r>
                  <w:r>
                    <w:rPr>
                      <w:rFonts w:hint="default"/>
                      <w:color w:val="auto"/>
                    </w:rPr>
                    <w:t>天，施工人数35人</w:t>
                  </w:r>
                </w:p>
              </w:tc>
            </w:tr>
            <w:bookmarkEnd w:id="11"/>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1" w:type="pct"/>
                  <w:vMerge w:val="continue"/>
                  <w:vAlign w:val="center"/>
                </w:tcPr>
                <w:p>
                  <w:pPr>
                    <w:pStyle w:val="33"/>
                    <w:bidi w:val="0"/>
                    <w:rPr>
                      <w:rFonts w:hint="default"/>
                      <w:color w:val="auto"/>
                    </w:rPr>
                  </w:pPr>
                </w:p>
              </w:tc>
              <w:tc>
                <w:tcPr>
                  <w:tcW w:w="1014" w:type="pct"/>
                  <w:gridSpan w:val="2"/>
                  <w:vAlign w:val="center"/>
                </w:tcPr>
                <w:p>
                  <w:pPr>
                    <w:pStyle w:val="33"/>
                    <w:bidi w:val="0"/>
                    <w:rPr>
                      <w:rFonts w:hint="default"/>
                      <w:color w:val="auto"/>
                    </w:rPr>
                  </w:pPr>
                  <w:r>
                    <w:rPr>
                      <w:rFonts w:hint="default"/>
                      <w:color w:val="auto"/>
                    </w:rPr>
                    <w:t>试油工程</w:t>
                  </w:r>
                </w:p>
              </w:tc>
              <w:tc>
                <w:tcPr>
                  <w:tcW w:w="3613" w:type="pct"/>
                  <w:vAlign w:val="center"/>
                </w:tcPr>
                <w:p>
                  <w:pPr>
                    <w:pStyle w:val="33"/>
                    <w:bidi w:val="0"/>
                    <w:rPr>
                      <w:rFonts w:hint="default"/>
                      <w:color w:val="auto"/>
                    </w:rPr>
                  </w:pPr>
                  <w:r>
                    <w:rPr>
                      <w:rFonts w:hint="default"/>
                      <w:color w:val="auto"/>
                      <w:lang w:val="en-US" w:eastAsia="zh-CN"/>
                    </w:rPr>
                    <w:t>开展</w:t>
                  </w:r>
                  <w:r>
                    <w:rPr>
                      <w:rFonts w:hint="default"/>
                      <w:color w:val="auto"/>
                    </w:rPr>
                    <w:t>试油准备、储层改造和试油</w:t>
                  </w:r>
                  <w:r>
                    <w:rPr>
                      <w:rFonts w:hint="default"/>
                      <w:color w:val="auto"/>
                      <w:lang w:val="en-US" w:eastAsia="zh-CN"/>
                    </w:rPr>
                    <w:t>工作</w:t>
                  </w:r>
                  <w:r>
                    <w:rPr>
                      <w:rFonts w:hint="default"/>
                      <w:color w:val="auto"/>
                    </w:rPr>
                    <w:t>，其中试油准备包括通井、洗井和试压工作，储层改造包括射孔和压裂；</w:t>
                  </w:r>
                  <w:r>
                    <w:rPr>
                      <w:rFonts w:hint="default"/>
                      <w:color w:val="auto"/>
                      <w:lang w:val="en-US" w:eastAsia="zh-CN"/>
                    </w:rPr>
                    <w:t>试油过程</w:t>
                  </w:r>
                  <w:r>
                    <w:rPr>
                      <w:rFonts w:hint="default"/>
                      <w:color w:val="auto"/>
                    </w:rPr>
                    <w:t>记录</w:t>
                  </w:r>
                  <w:r>
                    <w:rPr>
                      <w:rFonts w:hint="default"/>
                      <w:color w:val="auto"/>
                      <w:lang w:val="en-US" w:eastAsia="zh-CN"/>
                    </w:rPr>
                    <w:t>勘探参数，如温度、气压、</w:t>
                  </w:r>
                  <w:r>
                    <w:rPr>
                      <w:rFonts w:hint="default"/>
                      <w:color w:val="auto"/>
                    </w:rPr>
                    <w:t>油气产量；试油期</w:t>
                  </w:r>
                  <w:r>
                    <w:rPr>
                      <w:rFonts w:hint="eastAsia"/>
                      <w:color w:val="auto"/>
                      <w:lang w:val="en-US" w:eastAsia="zh-CN"/>
                    </w:rPr>
                    <w:t>240</w:t>
                  </w:r>
                  <w:r>
                    <w:rPr>
                      <w:rFonts w:hint="default"/>
                      <w:color w:val="auto"/>
                    </w:rPr>
                    <w:t>天，施工人数2人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1" w:type="pct"/>
                  <w:vMerge w:val="continue"/>
                  <w:vAlign w:val="center"/>
                </w:tcPr>
                <w:p>
                  <w:pPr>
                    <w:pStyle w:val="33"/>
                    <w:bidi w:val="0"/>
                    <w:rPr>
                      <w:rFonts w:hint="default"/>
                      <w:color w:val="auto"/>
                    </w:rPr>
                  </w:pPr>
                </w:p>
              </w:tc>
              <w:tc>
                <w:tcPr>
                  <w:tcW w:w="1014" w:type="pct"/>
                  <w:gridSpan w:val="2"/>
                  <w:vAlign w:val="center"/>
                </w:tcPr>
                <w:p>
                  <w:pPr>
                    <w:pStyle w:val="33"/>
                    <w:bidi w:val="0"/>
                    <w:rPr>
                      <w:rFonts w:hint="default"/>
                      <w:color w:val="auto"/>
                    </w:rPr>
                  </w:pPr>
                  <w:r>
                    <w:rPr>
                      <w:rFonts w:hint="default"/>
                      <w:color w:val="auto"/>
                    </w:rPr>
                    <w:t>完井</w:t>
                  </w:r>
                </w:p>
              </w:tc>
              <w:tc>
                <w:tcPr>
                  <w:tcW w:w="3613" w:type="pct"/>
                  <w:vAlign w:val="center"/>
                </w:tcPr>
                <w:p>
                  <w:pPr>
                    <w:pStyle w:val="33"/>
                    <w:bidi w:val="0"/>
                    <w:rPr>
                      <w:rFonts w:hint="default"/>
                      <w:color w:val="auto"/>
                    </w:rPr>
                  </w:pPr>
                  <w:r>
                    <w:rPr>
                      <w:rFonts w:hint="default"/>
                      <w:color w:val="auto"/>
                    </w:rPr>
                    <w:t>根据试油结果进行关井或封井作业，最后撤去所有</w:t>
                  </w:r>
                  <w:r>
                    <w:rPr>
                      <w:rFonts w:hint="default"/>
                      <w:color w:val="auto"/>
                      <w:lang w:val="en-US" w:eastAsia="zh-CN"/>
                    </w:rPr>
                    <w:t>施工</w:t>
                  </w:r>
                  <w:r>
                    <w:rPr>
                      <w:rFonts w:hint="default"/>
                      <w:color w:val="auto"/>
                    </w:rPr>
                    <w:t>设施，清理、平整井场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1" w:type="pct"/>
                  <w:vMerge w:val="restart"/>
                  <w:vAlign w:val="center"/>
                </w:tcPr>
                <w:p>
                  <w:pPr>
                    <w:pStyle w:val="33"/>
                    <w:bidi w:val="0"/>
                    <w:rPr>
                      <w:rFonts w:hint="default"/>
                      <w:color w:val="auto"/>
                    </w:rPr>
                  </w:pPr>
                  <w:r>
                    <w:rPr>
                      <w:rFonts w:hint="default"/>
                      <w:color w:val="auto"/>
                    </w:rPr>
                    <w:t>辅助工程</w:t>
                  </w:r>
                </w:p>
              </w:tc>
              <w:tc>
                <w:tcPr>
                  <w:tcW w:w="1014" w:type="pct"/>
                  <w:gridSpan w:val="2"/>
                  <w:vAlign w:val="center"/>
                </w:tcPr>
                <w:p>
                  <w:pPr>
                    <w:pStyle w:val="33"/>
                    <w:bidi w:val="0"/>
                    <w:rPr>
                      <w:rFonts w:hint="default"/>
                      <w:color w:val="auto"/>
                    </w:rPr>
                  </w:pPr>
                  <w:r>
                    <w:rPr>
                      <w:rFonts w:hint="default"/>
                      <w:color w:val="auto"/>
                    </w:rPr>
                    <w:t>放喷设施</w:t>
                  </w:r>
                </w:p>
              </w:tc>
              <w:tc>
                <w:tcPr>
                  <w:tcW w:w="3613" w:type="pct"/>
                  <w:vAlign w:val="center"/>
                </w:tcPr>
                <w:p>
                  <w:pPr>
                    <w:pStyle w:val="33"/>
                    <w:bidi w:val="0"/>
                    <w:rPr>
                      <w:rFonts w:hint="default"/>
                      <w:color w:val="auto"/>
                    </w:rPr>
                  </w:pPr>
                  <w:r>
                    <w:rPr>
                      <w:rFonts w:hint="default"/>
                      <w:color w:val="auto"/>
                    </w:rPr>
                    <w:t>井场左右两侧各设置1条放喷管线，在井场一侧预留应急放喷池位置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1" w:type="pct"/>
                  <w:vMerge w:val="continue"/>
                  <w:vAlign w:val="center"/>
                </w:tcPr>
                <w:p>
                  <w:pPr>
                    <w:pStyle w:val="33"/>
                    <w:bidi w:val="0"/>
                    <w:rPr>
                      <w:rFonts w:hint="default"/>
                      <w:color w:val="auto"/>
                    </w:rPr>
                  </w:pPr>
                </w:p>
              </w:tc>
              <w:tc>
                <w:tcPr>
                  <w:tcW w:w="1014" w:type="pct"/>
                  <w:gridSpan w:val="2"/>
                  <w:shd w:val="clear" w:color="auto" w:fill="auto"/>
                  <w:vAlign w:val="center"/>
                </w:tcPr>
                <w:p>
                  <w:pPr>
                    <w:pStyle w:val="33"/>
                    <w:bidi w:val="0"/>
                    <w:rPr>
                      <w:rFonts w:hint="eastAsia"/>
                      <w:color w:val="auto"/>
                      <w:lang w:val="en-US" w:eastAsia="zh-CN"/>
                    </w:rPr>
                  </w:pPr>
                  <w:r>
                    <w:rPr>
                      <w:rFonts w:hint="eastAsia"/>
                      <w:color w:val="auto"/>
                      <w:lang w:eastAsia="zh-CN"/>
                    </w:rPr>
                    <w:t>探临道路</w:t>
                  </w:r>
                </w:p>
              </w:tc>
              <w:tc>
                <w:tcPr>
                  <w:tcW w:w="3613" w:type="pct"/>
                  <w:shd w:val="clear" w:color="auto" w:fill="auto"/>
                  <w:vAlign w:val="center"/>
                </w:tcPr>
                <w:p>
                  <w:pPr>
                    <w:pStyle w:val="33"/>
                    <w:bidi w:val="0"/>
                    <w:rPr>
                      <w:rFonts w:hint="default"/>
                      <w:color w:val="auto"/>
                      <w:lang w:val="en-US" w:eastAsia="zh-CN"/>
                    </w:rPr>
                  </w:pPr>
                  <w:r>
                    <w:rPr>
                      <w:rFonts w:hint="default"/>
                      <w:color w:val="auto"/>
                    </w:rPr>
                    <w:t>新建井场探临道路</w:t>
                  </w:r>
                  <w:r>
                    <w:rPr>
                      <w:rFonts w:hint="eastAsia"/>
                      <w:color w:val="auto"/>
                      <w:lang w:val="en-US" w:eastAsia="zh-CN"/>
                    </w:rPr>
                    <w:t>长5767</w:t>
                  </w:r>
                  <w:r>
                    <w:rPr>
                      <w:rFonts w:hint="default"/>
                      <w:color w:val="auto"/>
                    </w:rPr>
                    <w:t>m、</w:t>
                  </w:r>
                  <w:r>
                    <w:rPr>
                      <w:rFonts w:hint="eastAsia"/>
                      <w:color w:val="auto"/>
                      <w:lang w:val="en-US" w:eastAsia="zh-CN"/>
                    </w:rPr>
                    <w:t>平均</w:t>
                  </w:r>
                  <w:r>
                    <w:rPr>
                      <w:rFonts w:hint="default"/>
                      <w:color w:val="auto"/>
                    </w:rPr>
                    <w:t>宽度</w:t>
                  </w:r>
                  <w:r>
                    <w:rPr>
                      <w:rFonts w:hint="eastAsia"/>
                      <w:color w:val="auto"/>
                      <w:lang w:val="en-US" w:eastAsia="zh-CN"/>
                    </w:rPr>
                    <w:t>14.1</w:t>
                  </w:r>
                  <w:r>
                    <w:rPr>
                      <w:rFonts w:hint="default"/>
                      <w:color w:val="auto"/>
                    </w:rPr>
                    <w:t>m</w:t>
                  </w:r>
                  <w:r>
                    <w:rPr>
                      <w:rFonts w:hint="eastAsia"/>
                      <w:color w:val="auto"/>
                      <w:lang w:eastAsia="zh-CN"/>
                    </w:rPr>
                    <w:t>，</w:t>
                  </w:r>
                  <w:r>
                    <w:rPr>
                      <w:rFonts w:hint="default"/>
                      <w:color w:val="auto"/>
                    </w:rPr>
                    <w:t>采用砂石路面</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1" w:type="pct"/>
                  <w:vMerge w:val="restart"/>
                  <w:vAlign w:val="center"/>
                </w:tcPr>
                <w:p>
                  <w:pPr>
                    <w:pStyle w:val="33"/>
                    <w:bidi w:val="0"/>
                    <w:rPr>
                      <w:rFonts w:hint="default"/>
                      <w:color w:val="auto"/>
                    </w:rPr>
                  </w:pPr>
                  <w:r>
                    <w:rPr>
                      <w:rFonts w:hint="default"/>
                      <w:color w:val="auto"/>
                    </w:rPr>
                    <w:t>公用工程</w:t>
                  </w:r>
                </w:p>
              </w:tc>
              <w:tc>
                <w:tcPr>
                  <w:tcW w:w="1014" w:type="pct"/>
                  <w:gridSpan w:val="2"/>
                  <w:vAlign w:val="center"/>
                </w:tcPr>
                <w:p>
                  <w:pPr>
                    <w:pStyle w:val="33"/>
                    <w:bidi w:val="0"/>
                    <w:rPr>
                      <w:rFonts w:hint="default"/>
                      <w:color w:val="auto"/>
                    </w:rPr>
                  </w:pPr>
                  <w:r>
                    <w:rPr>
                      <w:rFonts w:hint="default"/>
                      <w:color w:val="auto"/>
                    </w:rPr>
                    <w:t>供配电</w:t>
                  </w:r>
                </w:p>
              </w:tc>
              <w:tc>
                <w:tcPr>
                  <w:tcW w:w="3613" w:type="pct"/>
                  <w:vAlign w:val="center"/>
                </w:tcPr>
                <w:p>
                  <w:pPr>
                    <w:pStyle w:val="33"/>
                    <w:bidi w:val="0"/>
                    <w:rPr>
                      <w:rFonts w:hint="eastAsia"/>
                      <w:color w:val="auto"/>
                      <w:lang w:eastAsia="zh-CN"/>
                    </w:rPr>
                  </w:pPr>
                  <w:r>
                    <w:rPr>
                      <w:rFonts w:hint="eastAsia"/>
                      <w:color w:val="auto"/>
                    </w:rPr>
                    <w:t>井场用电由柴油发电机供给；外购柴油由罐车从</w:t>
                  </w:r>
                  <w:r>
                    <w:rPr>
                      <w:rFonts w:hint="eastAsia"/>
                      <w:color w:val="auto"/>
                      <w:lang w:val="en-US" w:eastAsia="zh-CN"/>
                    </w:rPr>
                    <w:t>玛纳斯县</w:t>
                  </w:r>
                  <w:r>
                    <w:rPr>
                      <w:rFonts w:hint="eastAsia"/>
                      <w:color w:val="auto"/>
                    </w:rPr>
                    <w:t>拉运至井场，井场设置柴油储罐区，储罐区内设置3</w:t>
                  </w:r>
                  <w:r>
                    <w:rPr>
                      <w:color w:val="auto"/>
                    </w:rPr>
                    <w:t>0</w:t>
                  </w:r>
                  <w:r>
                    <w:rPr>
                      <w:rFonts w:hint="eastAsia"/>
                      <w:color w:val="auto"/>
                    </w:rPr>
                    <w:t>m</w:t>
                  </w:r>
                  <w:r>
                    <w:rPr>
                      <w:color w:val="auto"/>
                      <w:vertAlign w:val="superscript"/>
                    </w:rPr>
                    <w:t>3</w:t>
                  </w:r>
                  <w:r>
                    <w:rPr>
                      <w:rFonts w:hint="eastAsia"/>
                      <w:color w:val="auto"/>
                    </w:rPr>
                    <w:t>的柴油储罐，日常储备柴油</w:t>
                  </w:r>
                  <w:r>
                    <w:rPr>
                      <w:color w:val="auto"/>
                    </w:rPr>
                    <w:t>2</w:t>
                  </w:r>
                  <w:r>
                    <w:rPr>
                      <w:rFonts w:hint="eastAsia"/>
                      <w:color w:val="auto"/>
                    </w:rPr>
                    <w:t>0t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1" w:type="pct"/>
                  <w:vMerge w:val="continue"/>
                  <w:vAlign w:val="center"/>
                </w:tcPr>
                <w:p>
                  <w:pPr>
                    <w:pStyle w:val="33"/>
                    <w:bidi w:val="0"/>
                    <w:rPr>
                      <w:rFonts w:hint="default"/>
                      <w:color w:val="auto"/>
                    </w:rPr>
                  </w:pPr>
                </w:p>
              </w:tc>
              <w:tc>
                <w:tcPr>
                  <w:tcW w:w="1014" w:type="pct"/>
                  <w:gridSpan w:val="2"/>
                  <w:vAlign w:val="center"/>
                </w:tcPr>
                <w:p>
                  <w:pPr>
                    <w:pStyle w:val="33"/>
                    <w:bidi w:val="0"/>
                    <w:rPr>
                      <w:rFonts w:hint="default"/>
                      <w:color w:val="auto"/>
                    </w:rPr>
                  </w:pPr>
                  <w:r>
                    <w:rPr>
                      <w:rFonts w:hint="default"/>
                      <w:color w:val="auto"/>
                    </w:rPr>
                    <w:t>给排水</w:t>
                  </w:r>
                </w:p>
              </w:tc>
              <w:tc>
                <w:tcPr>
                  <w:tcW w:w="3613" w:type="pct"/>
                  <w:vAlign w:val="center"/>
                </w:tcPr>
                <w:p>
                  <w:pPr>
                    <w:pStyle w:val="33"/>
                    <w:bidi w:val="0"/>
                    <w:rPr>
                      <w:rFonts w:hint="default"/>
                      <w:color w:val="auto"/>
                      <w:lang w:eastAsia="zh-CN"/>
                    </w:rPr>
                  </w:pPr>
                  <w:r>
                    <w:rPr>
                      <w:rFonts w:hint="default"/>
                      <w:color w:val="auto"/>
                    </w:rPr>
                    <w:t>施工期用水主要为洗井用水</w:t>
                  </w:r>
                  <w:r>
                    <w:rPr>
                      <w:rFonts w:hint="eastAsia"/>
                      <w:color w:val="auto"/>
                      <w:lang w:val="en-US" w:eastAsia="zh-CN"/>
                    </w:rPr>
                    <w:t>和生活用水</w:t>
                  </w:r>
                  <w:r>
                    <w:rPr>
                      <w:rFonts w:hint="default"/>
                      <w:color w:val="auto"/>
                    </w:rPr>
                    <w:t>，</w:t>
                  </w:r>
                  <w:r>
                    <w:rPr>
                      <w:rFonts w:hint="eastAsia"/>
                      <w:color w:val="auto"/>
                      <w:lang w:val="en-US" w:eastAsia="zh-CN"/>
                    </w:rPr>
                    <w:t>自</w:t>
                  </w:r>
                  <w:r>
                    <w:rPr>
                      <w:rFonts w:hint="eastAsia" w:ascii="Times New Roman" w:eastAsia="宋体"/>
                      <w:color w:val="auto"/>
                      <w:lang w:val="en-US" w:eastAsia="zh-CN"/>
                    </w:rPr>
                    <w:t>玛纳斯县县城</w:t>
                  </w:r>
                  <w:r>
                    <w:rPr>
                      <w:rFonts w:hint="eastAsia"/>
                      <w:color w:val="auto"/>
                      <w:lang w:val="en-US" w:eastAsia="zh-CN"/>
                    </w:rPr>
                    <w:t>由</w:t>
                  </w:r>
                  <w:r>
                    <w:rPr>
                      <w:rFonts w:hint="default"/>
                      <w:color w:val="auto"/>
                    </w:rPr>
                    <w:t>罐车拉运至</w:t>
                  </w:r>
                  <w:r>
                    <w:rPr>
                      <w:rFonts w:hint="eastAsia"/>
                      <w:color w:val="auto"/>
                      <w:lang w:val="en-US" w:eastAsia="zh-CN"/>
                    </w:rPr>
                    <w:t>井场</w:t>
                  </w:r>
                  <w:r>
                    <w:rPr>
                      <w:rFonts w:hint="default"/>
                      <w:color w:val="auto"/>
                    </w:rPr>
                    <w:t>；洗井废水和压裂返排液</w:t>
                  </w:r>
                  <w:r>
                    <w:rPr>
                      <w:rFonts w:hint="default"/>
                      <w:color w:val="auto"/>
                      <w:lang w:val="en-US" w:eastAsia="zh-CN"/>
                    </w:rPr>
                    <w:t>设置</w:t>
                  </w:r>
                  <w:r>
                    <w:rPr>
                      <w:rFonts w:hint="default"/>
                      <w:color w:val="auto"/>
                    </w:rPr>
                    <w:t>试油废水储罐</w:t>
                  </w:r>
                  <w:r>
                    <w:rPr>
                      <w:rFonts w:hint="default"/>
                      <w:color w:val="auto"/>
                      <w:lang w:val="en-US" w:eastAsia="zh-CN"/>
                    </w:rPr>
                    <w:t>储存</w:t>
                  </w:r>
                  <w:r>
                    <w:rPr>
                      <w:rFonts w:hint="eastAsia"/>
                      <w:color w:val="auto"/>
                      <w:lang w:val="en-US" w:eastAsia="zh-CN"/>
                    </w:rPr>
                    <w:t>；</w:t>
                  </w:r>
                  <w:r>
                    <w:rPr>
                      <w:rFonts w:hint="eastAsia"/>
                      <w:color w:val="auto"/>
                    </w:rPr>
                    <w:t>生活污水排至生活营地临时防渗收集池暂存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1" w:type="pct"/>
                  <w:vMerge w:val="restart"/>
                  <w:vAlign w:val="center"/>
                </w:tcPr>
                <w:p>
                  <w:pPr>
                    <w:pStyle w:val="33"/>
                    <w:bidi w:val="0"/>
                    <w:rPr>
                      <w:rFonts w:hint="default"/>
                      <w:color w:val="auto"/>
                    </w:rPr>
                  </w:pPr>
                  <w:r>
                    <w:rPr>
                      <w:rFonts w:hint="default"/>
                      <w:color w:val="auto"/>
                    </w:rPr>
                    <w:t>环保工程</w:t>
                  </w:r>
                </w:p>
              </w:tc>
              <w:tc>
                <w:tcPr>
                  <w:tcW w:w="316" w:type="pct"/>
                  <w:vMerge w:val="restart"/>
                  <w:tcBorders>
                    <w:right w:val="single" w:color="auto" w:sz="4" w:space="0"/>
                  </w:tcBorders>
                  <w:vAlign w:val="center"/>
                </w:tcPr>
                <w:p>
                  <w:pPr>
                    <w:pStyle w:val="33"/>
                    <w:bidi w:val="0"/>
                    <w:rPr>
                      <w:rFonts w:hint="default"/>
                      <w:color w:val="auto"/>
                    </w:rPr>
                  </w:pPr>
                  <w:r>
                    <w:rPr>
                      <w:rFonts w:hint="default"/>
                      <w:color w:val="auto"/>
                    </w:rPr>
                    <w:t>废气</w:t>
                  </w:r>
                </w:p>
              </w:tc>
              <w:tc>
                <w:tcPr>
                  <w:tcW w:w="698" w:type="pct"/>
                  <w:tcBorders>
                    <w:left w:val="single" w:color="auto" w:sz="4" w:space="0"/>
                  </w:tcBorders>
                  <w:shd w:val="clear" w:color="auto" w:fill="auto"/>
                  <w:vAlign w:val="center"/>
                </w:tcPr>
                <w:p>
                  <w:pPr>
                    <w:pStyle w:val="33"/>
                    <w:bidi w:val="0"/>
                    <w:rPr>
                      <w:rFonts w:hint="default"/>
                      <w:color w:val="auto"/>
                      <w:lang w:val="en-US" w:eastAsia="zh-CN"/>
                    </w:rPr>
                  </w:pPr>
                  <w:r>
                    <w:rPr>
                      <w:rFonts w:hint="default"/>
                      <w:color w:val="auto"/>
                    </w:rPr>
                    <w:t>施工扬尘</w:t>
                  </w:r>
                </w:p>
              </w:tc>
              <w:tc>
                <w:tcPr>
                  <w:tcW w:w="3613" w:type="pct"/>
                  <w:shd w:val="clear" w:color="auto" w:fill="auto"/>
                  <w:vAlign w:val="center"/>
                </w:tcPr>
                <w:p>
                  <w:pPr>
                    <w:pStyle w:val="33"/>
                    <w:bidi w:val="0"/>
                    <w:rPr>
                      <w:rFonts w:hint="default"/>
                      <w:color w:val="auto"/>
                      <w:lang w:val="en-US" w:eastAsia="zh-CN"/>
                    </w:rPr>
                  </w:pPr>
                  <w:r>
                    <w:rPr>
                      <w:rFonts w:hint="default"/>
                      <w:color w:val="auto"/>
                    </w:rPr>
                    <w:t>对易起尘物料进行遮盖；</w:t>
                  </w:r>
                  <w:r>
                    <w:rPr>
                      <w:rFonts w:hint="eastAsia" w:ascii="Times New Roman" w:eastAsia="宋体"/>
                      <w:color w:val="auto"/>
                      <w:lang w:val="en-US" w:eastAsia="zh-CN"/>
                    </w:rPr>
                    <w:t>设置</w:t>
                  </w:r>
                  <w:r>
                    <w:rPr>
                      <w:rFonts w:hint="default"/>
                      <w:color w:val="auto"/>
                    </w:rPr>
                    <w:t>水基</w:t>
                  </w:r>
                  <w:r>
                    <w:rPr>
                      <w:rFonts w:hint="eastAsia"/>
                      <w:color w:val="auto"/>
                      <w:lang w:val="en-US" w:eastAsia="zh-CN"/>
                    </w:rPr>
                    <w:t>和油基</w:t>
                  </w:r>
                  <w:r>
                    <w:rPr>
                      <w:rFonts w:hint="default"/>
                      <w:color w:val="auto"/>
                    </w:rPr>
                    <w:t>钻井岩屑</w:t>
                  </w:r>
                  <w:r>
                    <w:rPr>
                      <w:rFonts w:hint="eastAsia"/>
                      <w:color w:val="auto"/>
                      <w:lang w:val="en-US" w:eastAsia="zh-CN"/>
                    </w:rPr>
                    <w:t>专用收集</w:t>
                  </w:r>
                  <w:r>
                    <w:rPr>
                      <w:rFonts w:hint="default"/>
                      <w:color w:val="auto"/>
                    </w:rPr>
                    <w:t>罐，</w:t>
                  </w:r>
                  <w:r>
                    <w:rPr>
                      <w:rFonts w:hint="eastAsia"/>
                      <w:color w:val="auto"/>
                      <w:lang w:val="en-US" w:eastAsia="zh-CN"/>
                    </w:rPr>
                    <w:t>岩屑</w:t>
                  </w:r>
                  <w:r>
                    <w:rPr>
                      <w:rFonts w:hint="default"/>
                      <w:color w:val="auto"/>
                    </w:rPr>
                    <w:t>及时清运，不长期存储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1" w:type="pct"/>
                  <w:vMerge w:val="continue"/>
                  <w:vAlign w:val="center"/>
                </w:tcPr>
                <w:p>
                  <w:pPr>
                    <w:pStyle w:val="33"/>
                    <w:bidi w:val="0"/>
                    <w:rPr>
                      <w:rFonts w:hint="default"/>
                      <w:color w:val="auto"/>
                    </w:rPr>
                  </w:pPr>
                </w:p>
              </w:tc>
              <w:tc>
                <w:tcPr>
                  <w:tcW w:w="316" w:type="pct"/>
                  <w:vMerge w:val="continue"/>
                  <w:tcBorders>
                    <w:right w:val="single" w:color="auto" w:sz="4" w:space="0"/>
                  </w:tcBorders>
                  <w:vAlign w:val="center"/>
                </w:tcPr>
                <w:p>
                  <w:pPr>
                    <w:pStyle w:val="33"/>
                    <w:bidi w:val="0"/>
                    <w:rPr>
                      <w:rFonts w:hint="default"/>
                      <w:color w:val="auto"/>
                    </w:rPr>
                  </w:pPr>
                </w:p>
              </w:tc>
              <w:tc>
                <w:tcPr>
                  <w:tcW w:w="698" w:type="pct"/>
                  <w:tcBorders>
                    <w:left w:val="single" w:color="auto" w:sz="4" w:space="0"/>
                  </w:tcBorders>
                  <w:vAlign w:val="center"/>
                </w:tcPr>
                <w:p>
                  <w:pPr>
                    <w:pStyle w:val="33"/>
                    <w:bidi w:val="0"/>
                    <w:rPr>
                      <w:rFonts w:hint="default"/>
                      <w:color w:val="auto"/>
                      <w:lang w:val="en-US" w:eastAsia="zh-CN"/>
                    </w:rPr>
                  </w:pPr>
                  <w:r>
                    <w:rPr>
                      <w:rFonts w:hint="default"/>
                      <w:color w:val="auto"/>
                      <w:lang w:val="en-US" w:eastAsia="zh-CN"/>
                    </w:rPr>
                    <w:t>柴油机、发电机燃</w:t>
                  </w:r>
                  <w:r>
                    <w:rPr>
                      <w:rFonts w:hint="eastAsia"/>
                      <w:color w:val="auto"/>
                      <w:lang w:val="en-US" w:eastAsia="zh-CN"/>
                    </w:rPr>
                    <w:t>油</w:t>
                  </w:r>
                  <w:r>
                    <w:rPr>
                      <w:rFonts w:hint="default"/>
                      <w:color w:val="auto"/>
                      <w:lang w:val="en-US" w:eastAsia="zh-CN"/>
                    </w:rPr>
                    <w:t>废气</w:t>
                  </w:r>
                </w:p>
              </w:tc>
              <w:tc>
                <w:tcPr>
                  <w:tcW w:w="3613" w:type="pct"/>
                  <w:vAlign w:val="center"/>
                </w:tcPr>
                <w:p>
                  <w:pPr>
                    <w:pStyle w:val="33"/>
                    <w:bidi w:val="0"/>
                    <w:rPr>
                      <w:rFonts w:hint="default"/>
                      <w:color w:val="auto"/>
                      <w:lang w:val="en-US" w:eastAsia="zh-CN"/>
                    </w:rPr>
                  </w:pPr>
                  <w:r>
                    <w:rPr>
                      <w:rFonts w:hint="default"/>
                      <w:color w:val="auto"/>
                      <w:lang w:val="en-US" w:eastAsia="zh-CN"/>
                    </w:rPr>
                    <w:t>加强设备维护管理，使用合格燃油</w:t>
                  </w:r>
                </w:p>
              </w:tc>
            </w:tr>
          </w:tbl>
          <w:p>
            <w:pPr>
              <w:rPr>
                <w:color w:val="auto"/>
              </w:rPr>
            </w:pP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8" w:type="dxa"/>
                <w:bottom w:w="0" w:type="dxa"/>
                <w:right w:w="28" w:type="dxa"/>
              </w:tblCellMar>
            </w:tblPr>
            <w:tblGrid>
              <w:gridCol w:w="583"/>
              <w:gridCol w:w="498"/>
              <w:gridCol w:w="1229"/>
              <w:gridCol w:w="556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0" w:type="pct"/>
                  <w:vMerge w:val="restart"/>
                  <w:vAlign w:val="center"/>
                </w:tcPr>
                <w:p>
                  <w:pPr>
                    <w:pStyle w:val="33"/>
                    <w:bidi w:val="0"/>
                    <w:rPr>
                      <w:rFonts w:hint="default"/>
                      <w:color w:val="auto"/>
                    </w:rPr>
                  </w:pPr>
                  <w:r>
                    <w:rPr>
                      <w:rFonts w:hint="default"/>
                      <w:color w:val="auto"/>
                    </w:rPr>
                    <w:t>环保工程</w:t>
                  </w:r>
                </w:p>
              </w:tc>
              <w:tc>
                <w:tcPr>
                  <w:tcW w:w="316" w:type="pct"/>
                  <w:vMerge w:val="restart"/>
                  <w:tcBorders>
                    <w:right w:val="single" w:color="auto" w:sz="4" w:space="0"/>
                  </w:tcBorders>
                  <w:vAlign w:val="center"/>
                </w:tcPr>
                <w:p>
                  <w:pPr>
                    <w:pStyle w:val="33"/>
                    <w:bidi w:val="0"/>
                    <w:rPr>
                      <w:rFonts w:hint="default" w:ascii="Times New Roman" w:hAnsi="Times New Roman" w:eastAsia="宋体" w:cs="Arial"/>
                      <w:color w:val="auto"/>
                      <w:kern w:val="2"/>
                      <w:sz w:val="21"/>
                      <w:szCs w:val="21"/>
                      <w:lang w:val="en-US" w:eastAsia="zh-CN" w:bidi="ar-SA"/>
                    </w:rPr>
                  </w:pPr>
                  <w:r>
                    <w:rPr>
                      <w:rFonts w:hint="default"/>
                      <w:color w:val="auto"/>
                    </w:rPr>
                    <w:t>废气</w:t>
                  </w:r>
                </w:p>
              </w:tc>
              <w:tc>
                <w:tcPr>
                  <w:tcW w:w="780" w:type="pct"/>
                  <w:tcBorders>
                    <w:left w:val="single" w:color="auto" w:sz="4" w:space="0"/>
                  </w:tcBorders>
                  <w:vAlign w:val="center"/>
                </w:tcPr>
                <w:p>
                  <w:pPr>
                    <w:pStyle w:val="33"/>
                    <w:bidi w:val="0"/>
                    <w:rPr>
                      <w:rFonts w:hint="default"/>
                      <w:color w:val="auto"/>
                      <w:lang w:val="en-US" w:eastAsia="zh-CN"/>
                    </w:rPr>
                  </w:pPr>
                  <w:r>
                    <w:rPr>
                      <w:rFonts w:hint="default"/>
                      <w:color w:val="auto"/>
                      <w:lang w:val="en-US" w:eastAsia="zh-CN"/>
                    </w:rPr>
                    <w:t>机械及车辆尾气</w:t>
                  </w:r>
                </w:p>
              </w:tc>
              <w:tc>
                <w:tcPr>
                  <w:tcW w:w="3533" w:type="pct"/>
                  <w:vAlign w:val="center"/>
                </w:tcPr>
                <w:p>
                  <w:pPr>
                    <w:pStyle w:val="33"/>
                    <w:bidi w:val="0"/>
                    <w:rPr>
                      <w:rFonts w:hint="default"/>
                      <w:color w:val="auto"/>
                      <w:lang w:val="en-US" w:eastAsia="zh-CN"/>
                    </w:rPr>
                  </w:pPr>
                  <w:r>
                    <w:rPr>
                      <w:rFonts w:hint="default"/>
                      <w:color w:val="auto"/>
                      <w:lang w:val="en-US" w:eastAsia="zh-CN"/>
                    </w:rPr>
                    <w:t>使用合格燃油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0" w:type="pct"/>
                  <w:vMerge w:val="continue"/>
                  <w:vAlign w:val="center"/>
                </w:tcPr>
                <w:p>
                  <w:pPr>
                    <w:pStyle w:val="33"/>
                    <w:bidi w:val="0"/>
                    <w:rPr>
                      <w:rFonts w:hint="default"/>
                      <w:color w:val="auto"/>
                    </w:rPr>
                  </w:pPr>
                </w:p>
              </w:tc>
              <w:tc>
                <w:tcPr>
                  <w:tcW w:w="316" w:type="pct"/>
                  <w:vMerge w:val="continue"/>
                  <w:tcBorders>
                    <w:right w:val="single" w:color="auto" w:sz="4" w:space="0"/>
                  </w:tcBorders>
                  <w:vAlign w:val="center"/>
                </w:tcPr>
                <w:p>
                  <w:pPr>
                    <w:pStyle w:val="33"/>
                    <w:bidi w:val="0"/>
                    <w:rPr>
                      <w:rFonts w:hint="default"/>
                      <w:color w:val="auto"/>
                    </w:rPr>
                  </w:pPr>
                </w:p>
              </w:tc>
              <w:tc>
                <w:tcPr>
                  <w:tcW w:w="780" w:type="pct"/>
                  <w:tcBorders>
                    <w:left w:val="single" w:color="auto" w:sz="4" w:space="0"/>
                  </w:tcBorders>
                  <w:shd w:val="clear" w:color="auto" w:fill="auto"/>
                  <w:vAlign w:val="center"/>
                </w:tcPr>
                <w:p>
                  <w:pPr>
                    <w:pStyle w:val="33"/>
                    <w:bidi w:val="0"/>
                    <w:rPr>
                      <w:rFonts w:hint="default"/>
                      <w:color w:val="auto"/>
                      <w:lang w:val="en-US" w:eastAsia="zh-CN"/>
                    </w:rPr>
                  </w:pPr>
                  <w:r>
                    <w:rPr>
                      <w:rFonts w:hint="default"/>
                      <w:color w:val="auto"/>
                    </w:rPr>
                    <w:t>伴生气</w:t>
                  </w:r>
                </w:p>
              </w:tc>
              <w:tc>
                <w:tcPr>
                  <w:tcW w:w="3533" w:type="pct"/>
                  <w:shd w:val="clear" w:color="auto" w:fill="auto"/>
                  <w:vAlign w:val="center"/>
                </w:tcPr>
                <w:p>
                  <w:pPr>
                    <w:pStyle w:val="33"/>
                    <w:bidi w:val="0"/>
                    <w:rPr>
                      <w:rFonts w:hint="default"/>
                      <w:color w:val="auto"/>
                      <w:lang w:val="en-US" w:eastAsia="zh-CN"/>
                    </w:rPr>
                  </w:pPr>
                  <w:r>
                    <w:rPr>
                      <w:rFonts w:hint="default"/>
                      <w:color w:val="auto"/>
                    </w:rPr>
                    <w:t>由排气管线充分燃烧后放空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0" w:type="pct"/>
                  <w:vMerge w:val="continue"/>
                  <w:vAlign w:val="center"/>
                </w:tcPr>
                <w:p>
                  <w:pPr>
                    <w:pStyle w:val="33"/>
                    <w:bidi w:val="0"/>
                    <w:rPr>
                      <w:rFonts w:hint="default"/>
                      <w:color w:val="auto"/>
                    </w:rPr>
                  </w:pPr>
                </w:p>
              </w:tc>
              <w:tc>
                <w:tcPr>
                  <w:tcW w:w="316" w:type="pct"/>
                  <w:vMerge w:val="continue"/>
                  <w:tcBorders>
                    <w:right w:val="single" w:color="auto" w:sz="4" w:space="0"/>
                  </w:tcBorders>
                  <w:vAlign w:val="center"/>
                </w:tcPr>
                <w:p>
                  <w:pPr>
                    <w:pStyle w:val="33"/>
                    <w:bidi w:val="0"/>
                    <w:rPr>
                      <w:rFonts w:hint="default"/>
                      <w:color w:val="auto"/>
                    </w:rPr>
                  </w:pPr>
                </w:p>
              </w:tc>
              <w:tc>
                <w:tcPr>
                  <w:tcW w:w="780" w:type="pct"/>
                  <w:tcBorders>
                    <w:left w:val="single" w:color="auto" w:sz="4" w:space="0"/>
                  </w:tcBorders>
                  <w:vAlign w:val="center"/>
                </w:tcPr>
                <w:p>
                  <w:pPr>
                    <w:pStyle w:val="33"/>
                    <w:bidi w:val="0"/>
                    <w:rPr>
                      <w:rFonts w:hint="default"/>
                      <w:color w:val="auto"/>
                    </w:rPr>
                  </w:pPr>
                  <w:r>
                    <w:rPr>
                      <w:rFonts w:hint="default"/>
                      <w:color w:val="auto"/>
                    </w:rPr>
                    <w:t>无组织挥发烃类</w:t>
                  </w:r>
                </w:p>
              </w:tc>
              <w:tc>
                <w:tcPr>
                  <w:tcW w:w="3533" w:type="pct"/>
                  <w:vAlign w:val="center"/>
                </w:tcPr>
                <w:p>
                  <w:pPr>
                    <w:pStyle w:val="33"/>
                    <w:bidi w:val="0"/>
                    <w:rPr>
                      <w:rFonts w:hint="default"/>
                      <w:color w:val="auto"/>
                      <w:lang w:val="en-US" w:eastAsia="zh-CN"/>
                    </w:rPr>
                  </w:pPr>
                  <w:r>
                    <w:rPr>
                      <w:rFonts w:hint="default"/>
                      <w:color w:val="auto"/>
                      <w:lang w:val="en-US" w:eastAsia="zh-CN"/>
                    </w:rPr>
                    <w:t>采出液</w:t>
                  </w:r>
                  <w:r>
                    <w:rPr>
                      <w:rFonts w:hint="default"/>
                      <w:color w:val="auto"/>
                    </w:rPr>
                    <w:t>采取密闭装载方式；柴油</w:t>
                  </w:r>
                  <w:r>
                    <w:rPr>
                      <w:rFonts w:hint="eastAsia"/>
                      <w:color w:val="auto"/>
                      <w:lang w:val="en-US" w:eastAsia="zh-CN"/>
                    </w:rPr>
                    <w:t>在</w:t>
                  </w:r>
                  <w:r>
                    <w:rPr>
                      <w:rFonts w:hint="default"/>
                      <w:color w:val="auto"/>
                    </w:rPr>
                    <w:t>储罐</w:t>
                  </w:r>
                  <w:r>
                    <w:rPr>
                      <w:rFonts w:hint="default"/>
                      <w:color w:val="auto"/>
                      <w:lang w:val="en-US" w:eastAsia="zh-CN"/>
                    </w:rPr>
                    <w:t>密闭</w:t>
                  </w:r>
                  <w:r>
                    <w:rPr>
                      <w:rFonts w:hint="eastAsia"/>
                      <w:color w:val="auto"/>
                      <w:lang w:val="en-US" w:eastAsia="zh-CN"/>
                    </w:rPr>
                    <w:t>储存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0" w:type="pct"/>
                  <w:vMerge w:val="continue"/>
                  <w:vAlign w:val="center"/>
                </w:tcPr>
                <w:p>
                  <w:pPr>
                    <w:pStyle w:val="33"/>
                    <w:bidi w:val="0"/>
                    <w:rPr>
                      <w:rFonts w:hint="default"/>
                      <w:color w:val="auto"/>
                    </w:rPr>
                  </w:pPr>
                </w:p>
              </w:tc>
              <w:tc>
                <w:tcPr>
                  <w:tcW w:w="316" w:type="pct"/>
                  <w:vMerge w:val="restart"/>
                  <w:tcBorders>
                    <w:right w:val="single" w:color="auto" w:sz="4" w:space="0"/>
                  </w:tcBorders>
                  <w:vAlign w:val="center"/>
                </w:tcPr>
                <w:p>
                  <w:pPr>
                    <w:pStyle w:val="33"/>
                    <w:bidi w:val="0"/>
                    <w:rPr>
                      <w:rFonts w:hint="default"/>
                      <w:color w:val="auto"/>
                    </w:rPr>
                  </w:pPr>
                  <w:r>
                    <w:rPr>
                      <w:rFonts w:hint="default"/>
                      <w:color w:val="auto"/>
                    </w:rPr>
                    <w:t>废水</w:t>
                  </w:r>
                </w:p>
              </w:tc>
              <w:tc>
                <w:tcPr>
                  <w:tcW w:w="780" w:type="pct"/>
                  <w:tcBorders>
                    <w:left w:val="single" w:color="auto" w:sz="4" w:space="0"/>
                  </w:tcBorders>
                  <w:vAlign w:val="center"/>
                </w:tcPr>
                <w:p>
                  <w:pPr>
                    <w:pStyle w:val="33"/>
                    <w:bidi w:val="0"/>
                    <w:rPr>
                      <w:rFonts w:hint="default"/>
                      <w:color w:val="auto"/>
                    </w:rPr>
                  </w:pPr>
                  <w:r>
                    <w:rPr>
                      <w:rFonts w:hint="default"/>
                      <w:color w:val="auto"/>
                    </w:rPr>
                    <w:t>生活污水</w:t>
                  </w:r>
                </w:p>
              </w:tc>
              <w:tc>
                <w:tcPr>
                  <w:tcW w:w="3533" w:type="pct"/>
                  <w:vAlign w:val="center"/>
                </w:tcPr>
                <w:p>
                  <w:pPr>
                    <w:pStyle w:val="33"/>
                    <w:bidi w:val="0"/>
                    <w:rPr>
                      <w:rFonts w:hint="default"/>
                      <w:color w:val="auto"/>
                      <w:lang w:val="en-US"/>
                    </w:rPr>
                  </w:pPr>
                  <w:r>
                    <w:rPr>
                      <w:rFonts w:hint="eastAsia"/>
                      <w:color w:val="auto"/>
                      <w:lang w:val="en-US" w:eastAsia="zh-CN"/>
                    </w:rPr>
                    <w:t>排入防渗收集池，定期由吸污车运至玛纳斯县污水处理厂处置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0" w:type="pct"/>
                  <w:vMerge w:val="continue"/>
                  <w:vAlign w:val="center"/>
                </w:tcPr>
                <w:p>
                  <w:pPr>
                    <w:pStyle w:val="33"/>
                    <w:bidi w:val="0"/>
                    <w:rPr>
                      <w:rFonts w:hint="default"/>
                      <w:color w:val="auto"/>
                    </w:rPr>
                  </w:pPr>
                </w:p>
              </w:tc>
              <w:tc>
                <w:tcPr>
                  <w:tcW w:w="316" w:type="pct"/>
                  <w:vMerge w:val="continue"/>
                  <w:tcBorders>
                    <w:right w:val="single" w:color="auto" w:sz="4" w:space="0"/>
                  </w:tcBorders>
                  <w:vAlign w:val="center"/>
                </w:tcPr>
                <w:p>
                  <w:pPr>
                    <w:pStyle w:val="33"/>
                    <w:bidi w:val="0"/>
                    <w:rPr>
                      <w:rFonts w:hint="default"/>
                      <w:color w:val="auto"/>
                    </w:rPr>
                  </w:pPr>
                </w:p>
              </w:tc>
              <w:tc>
                <w:tcPr>
                  <w:tcW w:w="780" w:type="pct"/>
                  <w:tcBorders>
                    <w:left w:val="single" w:color="auto" w:sz="4" w:space="0"/>
                  </w:tcBorders>
                  <w:vAlign w:val="center"/>
                </w:tcPr>
                <w:p>
                  <w:pPr>
                    <w:pStyle w:val="33"/>
                    <w:bidi w:val="0"/>
                    <w:rPr>
                      <w:rFonts w:hint="default"/>
                      <w:color w:val="auto"/>
                    </w:rPr>
                  </w:pPr>
                  <w:r>
                    <w:rPr>
                      <w:rFonts w:hint="default"/>
                      <w:color w:val="auto"/>
                    </w:rPr>
                    <w:t>洗井废水</w:t>
                  </w:r>
                  <w:r>
                    <w:rPr>
                      <w:rFonts w:hint="eastAsia"/>
                      <w:color w:val="auto"/>
                      <w:lang w:eastAsia="zh-CN"/>
                    </w:rPr>
                    <w:t>、</w:t>
                  </w:r>
                  <w:r>
                    <w:rPr>
                      <w:rFonts w:hint="default"/>
                      <w:color w:val="auto"/>
                    </w:rPr>
                    <w:t>压裂返排液</w:t>
                  </w:r>
                </w:p>
              </w:tc>
              <w:tc>
                <w:tcPr>
                  <w:tcW w:w="3533" w:type="pct"/>
                  <w:vAlign w:val="center"/>
                </w:tcPr>
                <w:p>
                  <w:pPr>
                    <w:pStyle w:val="33"/>
                    <w:bidi w:val="0"/>
                    <w:rPr>
                      <w:rFonts w:hint="default"/>
                      <w:color w:val="auto"/>
                    </w:rPr>
                  </w:pPr>
                  <w:r>
                    <w:rPr>
                      <w:rFonts w:hint="default"/>
                      <w:color w:val="auto"/>
                    </w:rPr>
                    <w:t>采用专用储罐收集后送至采油一厂车89处理站处置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0" w:type="pct"/>
                  <w:vMerge w:val="continue"/>
                  <w:vAlign w:val="center"/>
                </w:tcPr>
                <w:p>
                  <w:pPr>
                    <w:pStyle w:val="33"/>
                    <w:bidi w:val="0"/>
                    <w:rPr>
                      <w:rFonts w:hint="default"/>
                      <w:color w:val="auto"/>
                    </w:rPr>
                  </w:pPr>
                </w:p>
              </w:tc>
              <w:tc>
                <w:tcPr>
                  <w:tcW w:w="316" w:type="pct"/>
                  <w:tcBorders>
                    <w:right w:val="single" w:color="auto" w:sz="4" w:space="0"/>
                  </w:tcBorders>
                  <w:vAlign w:val="center"/>
                </w:tcPr>
                <w:p>
                  <w:pPr>
                    <w:pStyle w:val="33"/>
                    <w:bidi w:val="0"/>
                    <w:rPr>
                      <w:rFonts w:hint="default"/>
                      <w:color w:val="auto"/>
                    </w:rPr>
                  </w:pPr>
                  <w:r>
                    <w:rPr>
                      <w:rFonts w:hint="default"/>
                      <w:color w:val="auto"/>
                    </w:rPr>
                    <w:t>噪声</w:t>
                  </w:r>
                </w:p>
              </w:tc>
              <w:tc>
                <w:tcPr>
                  <w:tcW w:w="780" w:type="pct"/>
                  <w:tcBorders>
                    <w:left w:val="single" w:color="auto" w:sz="4" w:space="0"/>
                  </w:tcBorders>
                  <w:vAlign w:val="center"/>
                </w:tcPr>
                <w:p>
                  <w:pPr>
                    <w:pStyle w:val="33"/>
                    <w:bidi w:val="0"/>
                    <w:rPr>
                      <w:rFonts w:hint="default"/>
                      <w:color w:val="auto"/>
                    </w:rPr>
                  </w:pPr>
                  <w:r>
                    <w:rPr>
                      <w:rFonts w:hint="default"/>
                      <w:color w:val="auto"/>
                      <w:lang w:val="en-US" w:eastAsia="zh-CN"/>
                    </w:rPr>
                    <w:t>施工设备</w:t>
                  </w:r>
                  <w:r>
                    <w:rPr>
                      <w:rFonts w:hint="default"/>
                      <w:color w:val="auto"/>
                    </w:rPr>
                    <w:t>噪声</w:t>
                  </w:r>
                </w:p>
              </w:tc>
              <w:tc>
                <w:tcPr>
                  <w:tcW w:w="3533" w:type="pct"/>
                  <w:vAlign w:val="center"/>
                </w:tcPr>
                <w:p>
                  <w:pPr>
                    <w:pStyle w:val="33"/>
                    <w:bidi w:val="0"/>
                    <w:rPr>
                      <w:rFonts w:hint="default"/>
                      <w:color w:val="auto"/>
                    </w:rPr>
                  </w:pPr>
                  <w:r>
                    <w:rPr>
                      <w:rFonts w:hint="default"/>
                      <w:color w:val="auto"/>
                    </w:rPr>
                    <w:t>选用低噪声设备，设备底部进行基础减震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0" w:type="pct"/>
                  <w:vMerge w:val="continue"/>
                  <w:vAlign w:val="center"/>
                </w:tcPr>
                <w:p>
                  <w:pPr>
                    <w:pStyle w:val="33"/>
                    <w:bidi w:val="0"/>
                    <w:rPr>
                      <w:rFonts w:hint="default"/>
                      <w:color w:val="auto"/>
                    </w:rPr>
                  </w:pPr>
                </w:p>
              </w:tc>
              <w:tc>
                <w:tcPr>
                  <w:tcW w:w="316" w:type="pct"/>
                  <w:vMerge w:val="restart"/>
                  <w:tcBorders>
                    <w:right w:val="single" w:color="auto" w:sz="4" w:space="0"/>
                  </w:tcBorders>
                  <w:vAlign w:val="center"/>
                </w:tcPr>
                <w:p>
                  <w:pPr>
                    <w:pStyle w:val="33"/>
                    <w:bidi w:val="0"/>
                    <w:rPr>
                      <w:rFonts w:hint="default"/>
                      <w:color w:val="auto"/>
                    </w:rPr>
                  </w:pPr>
                  <w:r>
                    <w:rPr>
                      <w:rFonts w:hint="default"/>
                      <w:color w:val="auto"/>
                    </w:rPr>
                    <w:t>固体废物</w:t>
                  </w:r>
                </w:p>
              </w:tc>
              <w:tc>
                <w:tcPr>
                  <w:tcW w:w="780" w:type="pct"/>
                  <w:tcBorders>
                    <w:left w:val="single" w:color="auto" w:sz="4" w:space="0"/>
                  </w:tcBorders>
                  <w:vAlign w:val="center"/>
                </w:tcPr>
                <w:p>
                  <w:pPr>
                    <w:pStyle w:val="33"/>
                    <w:bidi w:val="0"/>
                    <w:rPr>
                      <w:rFonts w:hint="default"/>
                      <w:color w:val="auto"/>
                    </w:rPr>
                  </w:pPr>
                  <w:r>
                    <w:rPr>
                      <w:rFonts w:hint="default"/>
                      <w:color w:val="auto"/>
                    </w:rPr>
                    <w:t>钻井</w:t>
                  </w:r>
                </w:p>
                <w:p>
                  <w:pPr>
                    <w:pStyle w:val="33"/>
                    <w:bidi w:val="0"/>
                    <w:rPr>
                      <w:rFonts w:hint="default"/>
                      <w:color w:val="auto"/>
                    </w:rPr>
                  </w:pPr>
                  <w:r>
                    <w:rPr>
                      <w:rFonts w:hint="default"/>
                      <w:color w:val="auto"/>
                    </w:rPr>
                    <w:t>岩屑</w:t>
                  </w:r>
                </w:p>
              </w:tc>
              <w:tc>
                <w:tcPr>
                  <w:tcW w:w="3533" w:type="pct"/>
                  <w:vAlign w:val="center"/>
                </w:tcPr>
                <w:p>
                  <w:pPr>
                    <w:pStyle w:val="33"/>
                    <w:bidi w:val="0"/>
                    <w:rPr>
                      <w:rFonts w:hint="default"/>
                      <w:color w:val="auto"/>
                      <w:lang w:val="en-US" w:eastAsia="zh-CN"/>
                    </w:rPr>
                  </w:pPr>
                  <w:r>
                    <w:rPr>
                      <w:rFonts w:hint="default"/>
                      <w:color w:val="auto"/>
                      <w:lang w:val="en-US" w:eastAsia="zh-CN"/>
                    </w:rPr>
                    <w:t>井场配有</w:t>
                  </w:r>
                  <w:r>
                    <w:rPr>
                      <w:rFonts w:hint="default"/>
                      <w:color w:val="auto"/>
                    </w:rPr>
                    <w:t>钻井液不落地设备，钻井过程中分离出的水基钻井岩屑暂存于岩屑储罐中，委托</w:t>
                  </w:r>
                  <w:r>
                    <w:rPr>
                      <w:rFonts w:hint="default"/>
                      <w:color w:val="auto"/>
                      <w:lang w:val="en-US" w:eastAsia="zh-CN"/>
                    </w:rPr>
                    <w:t>第三方</w:t>
                  </w:r>
                  <w:r>
                    <w:rPr>
                      <w:rFonts w:hint="default"/>
                      <w:color w:val="auto"/>
                    </w:rPr>
                    <w:t>岩屑处置单位及时清运、处置</w:t>
                  </w:r>
                  <w:r>
                    <w:rPr>
                      <w:rFonts w:hint="eastAsia"/>
                      <w:color w:val="auto"/>
                      <w:lang w:eastAsia="zh-CN"/>
                    </w:rPr>
                    <w:t>；</w:t>
                  </w:r>
                  <w:r>
                    <w:rPr>
                      <w:rFonts w:hint="eastAsia"/>
                      <w:color w:val="auto"/>
                      <w:lang w:val="en-US" w:eastAsia="zh-CN"/>
                    </w:rPr>
                    <w:t>分离出的油基钻井岩屑进罐收集后交具有相应危险经营许可单位及时清运、处置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0" w:type="pct"/>
                  <w:vMerge w:val="continue"/>
                  <w:vAlign w:val="center"/>
                </w:tcPr>
                <w:p>
                  <w:pPr>
                    <w:pStyle w:val="33"/>
                    <w:bidi w:val="0"/>
                    <w:rPr>
                      <w:rFonts w:hint="default"/>
                      <w:color w:val="auto"/>
                    </w:rPr>
                  </w:pPr>
                </w:p>
              </w:tc>
              <w:tc>
                <w:tcPr>
                  <w:tcW w:w="316" w:type="pct"/>
                  <w:vMerge w:val="continue"/>
                  <w:tcBorders>
                    <w:right w:val="single" w:color="auto" w:sz="4" w:space="0"/>
                  </w:tcBorders>
                  <w:vAlign w:val="center"/>
                </w:tcPr>
                <w:p>
                  <w:pPr>
                    <w:pStyle w:val="33"/>
                    <w:bidi w:val="0"/>
                    <w:rPr>
                      <w:rFonts w:hint="default"/>
                      <w:color w:val="auto"/>
                    </w:rPr>
                  </w:pPr>
                </w:p>
              </w:tc>
              <w:tc>
                <w:tcPr>
                  <w:tcW w:w="780" w:type="pct"/>
                  <w:tcBorders>
                    <w:left w:val="single" w:color="auto" w:sz="4" w:space="0"/>
                  </w:tcBorders>
                  <w:vAlign w:val="center"/>
                </w:tcPr>
                <w:p>
                  <w:pPr>
                    <w:pStyle w:val="33"/>
                    <w:bidi w:val="0"/>
                    <w:rPr>
                      <w:rFonts w:hint="eastAsia" w:eastAsia="宋体"/>
                      <w:color w:val="auto"/>
                      <w:lang w:eastAsia="zh-CN"/>
                    </w:rPr>
                  </w:pPr>
                  <w:r>
                    <w:rPr>
                      <w:rFonts w:hint="default"/>
                      <w:color w:val="auto"/>
                    </w:rPr>
                    <w:t>废防渗材料、废润滑油、废润滑油桶</w:t>
                  </w:r>
                  <w:r>
                    <w:rPr>
                      <w:rFonts w:hint="eastAsia"/>
                      <w:color w:val="auto"/>
                      <w:lang w:eastAsia="zh-CN"/>
                    </w:rPr>
                    <w:t>、</w:t>
                  </w:r>
                  <w:r>
                    <w:rPr>
                      <w:rFonts w:hint="default"/>
                      <w:color w:val="auto"/>
                      <w:lang w:val="en-US" w:eastAsia="zh-CN"/>
                    </w:rPr>
                    <w:t>废含油抹布和劳保用品</w:t>
                  </w:r>
                </w:p>
              </w:tc>
              <w:tc>
                <w:tcPr>
                  <w:tcW w:w="3533" w:type="pct"/>
                  <w:vAlign w:val="center"/>
                </w:tcPr>
                <w:p>
                  <w:pPr>
                    <w:pStyle w:val="33"/>
                    <w:bidi w:val="0"/>
                    <w:rPr>
                      <w:rFonts w:hint="default"/>
                      <w:color w:val="auto"/>
                    </w:rPr>
                  </w:pPr>
                  <w:r>
                    <w:rPr>
                      <w:rFonts w:hint="default"/>
                      <w:color w:val="auto"/>
                    </w:rPr>
                    <w:t>井场设</w:t>
                  </w:r>
                  <w:r>
                    <w:rPr>
                      <w:rFonts w:hint="default"/>
                      <w:color w:val="auto"/>
                      <w:lang w:val="en-US" w:eastAsia="zh-CN"/>
                    </w:rPr>
                    <w:t>有</w:t>
                  </w:r>
                  <w:r>
                    <w:rPr>
                      <w:rFonts w:hint="default"/>
                      <w:color w:val="auto"/>
                    </w:rPr>
                    <w:t>1座危险废物贮存点</w:t>
                  </w:r>
                  <w:r>
                    <w:rPr>
                      <w:rFonts w:hint="eastAsia"/>
                      <w:color w:val="auto"/>
                      <w:lang w:eastAsia="zh-CN"/>
                    </w:rPr>
                    <w:t>，</w:t>
                  </w:r>
                  <w:r>
                    <w:rPr>
                      <w:rFonts w:hint="eastAsia"/>
                      <w:color w:val="auto"/>
                      <w:lang w:val="en-US" w:eastAsia="zh-CN"/>
                    </w:rPr>
                    <w:t>用于</w:t>
                  </w:r>
                  <w:r>
                    <w:rPr>
                      <w:rFonts w:hint="default"/>
                      <w:color w:val="auto"/>
                    </w:rPr>
                    <w:t>分区暂存沾油废防渗材料、废润滑油及废润滑油桶</w:t>
                  </w:r>
                  <w:r>
                    <w:rPr>
                      <w:rFonts w:hint="eastAsia"/>
                      <w:color w:val="auto"/>
                      <w:lang w:eastAsia="zh-CN"/>
                    </w:rPr>
                    <w:t>、</w:t>
                  </w:r>
                  <w:r>
                    <w:rPr>
                      <w:rFonts w:hint="default"/>
                      <w:color w:val="auto"/>
                      <w:lang w:val="en-US" w:eastAsia="zh-CN"/>
                    </w:rPr>
                    <w:t>废含油抹布和劳保用品</w:t>
                  </w:r>
                  <w:r>
                    <w:rPr>
                      <w:rFonts w:hint="eastAsia"/>
                      <w:color w:val="auto"/>
                      <w:lang w:val="en-US" w:eastAsia="zh-CN"/>
                    </w:rPr>
                    <w:t>等</w:t>
                  </w:r>
                  <w:r>
                    <w:rPr>
                      <w:rFonts w:hint="default"/>
                      <w:color w:val="auto"/>
                    </w:rPr>
                    <w:t>危险废物，定期由具有相应危险废物资质的单位进行接收、转运和处置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0" w:type="pct"/>
                  <w:vMerge w:val="continue"/>
                  <w:vAlign w:val="center"/>
                </w:tcPr>
                <w:p>
                  <w:pPr>
                    <w:pStyle w:val="33"/>
                    <w:bidi w:val="0"/>
                    <w:rPr>
                      <w:rFonts w:hint="default"/>
                      <w:color w:val="auto"/>
                    </w:rPr>
                  </w:pPr>
                </w:p>
              </w:tc>
              <w:tc>
                <w:tcPr>
                  <w:tcW w:w="316" w:type="pct"/>
                  <w:vMerge w:val="continue"/>
                  <w:tcBorders>
                    <w:right w:val="single" w:color="auto" w:sz="4" w:space="0"/>
                  </w:tcBorders>
                  <w:vAlign w:val="center"/>
                </w:tcPr>
                <w:p>
                  <w:pPr>
                    <w:pStyle w:val="33"/>
                    <w:bidi w:val="0"/>
                    <w:rPr>
                      <w:rFonts w:hint="default"/>
                      <w:color w:val="auto"/>
                    </w:rPr>
                  </w:pPr>
                </w:p>
              </w:tc>
              <w:tc>
                <w:tcPr>
                  <w:tcW w:w="780" w:type="pct"/>
                  <w:tcBorders>
                    <w:left w:val="single" w:color="auto" w:sz="4" w:space="0"/>
                  </w:tcBorders>
                  <w:vAlign w:val="center"/>
                </w:tcPr>
                <w:p>
                  <w:pPr>
                    <w:pStyle w:val="33"/>
                    <w:bidi w:val="0"/>
                    <w:rPr>
                      <w:rFonts w:hint="default"/>
                      <w:color w:val="auto"/>
                    </w:rPr>
                  </w:pPr>
                  <w:r>
                    <w:rPr>
                      <w:rFonts w:hint="default"/>
                      <w:color w:val="auto"/>
                    </w:rPr>
                    <w:t>生活垃圾</w:t>
                  </w:r>
                </w:p>
              </w:tc>
              <w:tc>
                <w:tcPr>
                  <w:tcW w:w="3533" w:type="pct"/>
                  <w:vAlign w:val="center"/>
                </w:tcPr>
                <w:p>
                  <w:pPr>
                    <w:pStyle w:val="33"/>
                    <w:bidi w:val="0"/>
                    <w:rPr>
                      <w:rFonts w:hint="default"/>
                      <w:color w:val="auto"/>
                    </w:rPr>
                  </w:pPr>
                  <w:r>
                    <w:rPr>
                      <w:rFonts w:hint="eastAsia"/>
                      <w:color w:val="auto"/>
                    </w:rPr>
                    <w:t>生活</w:t>
                  </w:r>
                  <w:r>
                    <w:rPr>
                      <w:rFonts w:hint="eastAsia"/>
                      <w:color w:val="auto"/>
                      <w:lang w:val="en-US" w:eastAsia="zh-CN"/>
                    </w:rPr>
                    <w:t>垃圾集中收集在垃圾</w:t>
                  </w:r>
                  <w:r>
                    <w:rPr>
                      <w:rFonts w:hint="eastAsia"/>
                      <w:color w:val="auto"/>
                    </w:rPr>
                    <w:t>箱</w:t>
                  </w:r>
                  <w:r>
                    <w:rPr>
                      <w:rFonts w:hint="eastAsia"/>
                      <w:color w:val="auto"/>
                      <w:lang w:val="en-US" w:eastAsia="zh-CN"/>
                    </w:rPr>
                    <w:t>中</w:t>
                  </w:r>
                  <w:r>
                    <w:rPr>
                      <w:rFonts w:hint="eastAsia"/>
                      <w:color w:val="auto"/>
                    </w:rPr>
                    <w:t>，</w:t>
                  </w:r>
                  <w:r>
                    <w:rPr>
                      <w:rFonts w:hint="eastAsia"/>
                      <w:color w:val="auto"/>
                      <w:lang w:val="en-US" w:eastAsia="zh-CN"/>
                    </w:rPr>
                    <w:t>定期</w:t>
                  </w:r>
                  <w:r>
                    <w:rPr>
                      <w:rFonts w:hint="eastAsia"/>
                      <w:color w:val="auto"/>
                    </w:rPr>
                    <w:t>清运至玛纳斯县生活垃圾填埋场处置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0" w:type="pct"/>
                  <w:vMerge w:val="continue"/>
                  <w:vAlign w:val="center"/>
                </w:tcPr>
                <w:p>
                  <w:pPr>
                    <w:pStyle w:val="33"/>
                    <w:bidi w:val="0"/>
                    <w:rPr>
                      <w:rFonts w:hint="default"/>
                      <w:color w:val="auto"/>
                    </w:rPr>
                  </w:pPr>
                </w:p>
              </w:tc>
              <w:tc>
                <w:tcPr>
                  <w:tcW w:w="1096" w:type="pct"/>
                  <w:gridSpan w:val="2"/>
                  <w:vAlign w:val="center"/>
                </w:tcPr>
                <w:p>
                  <w:pPr>
                    <w:pStyle w:val="33"/>
                    <w:bidi w:val="0"/>
                    <w:rPr>
                      <w:rFonts w:hint="default"/>
                      <w:color w:val="auto"/>
                    </w:rPr>
                  </w:pPr>
                  <w:r>
                    <w:rPr>
                      <w:rFonts w:hint="default"/>
                      <w:color w:val="auto"/>
                    </w:rPr>
                    <w:t>生态措施</w:t>
                  </w:r>
                </w:p>
              </w:tc>
              <w:tc>
                <w:tcPr>
                  <w:tcW w:w="3533" w:type="pct"/>
                  <w:vAlign w:val="center"/>
                </w:tcPr>
                <w:p>
                  <w:pPr>
                    <w:pStyle w:val="33"/>
                    <w:bidi w:val="0"/>
                    <w:rPr>
                      <w:rFonts w:hint="default"/>
                      <w:color w:val="auto"/>
                    </w:rPr>
                  </w:pPr>
                  <w:r>
                    <w:rPr>
                      <w:rFonts w:hint="default"/>
                      <w:color w:val="auto"/>
                    </w:rPr>
                    <w:t>施工结束后及时对临时占地进行清理、平整，植被自然恢复</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0" w:type="pct"/>
                  <w:vMerge w:val="continue"/>
                  <w:vAlign w:val="center"/>
                </w:tcPr>
                <w:p>
                  <w:pPr>
                    <w:pStyle w:val="33"/>
                    <w:bidi w:val="0"/>
                    <w:rPr>
                      <w:rFonts w:hint="default"/>
                      <w:color w:val="auto"/>
                    </w:rPr>
                  </w:pPr>
                </w:p>
              </w:tc>
              <w:tc>
                <w:tcPr>
                  <w:tcW w:w="316" w:type="pct"/>
                  <w:vMerge w:val="restart"/>
                  <w:vAlign w:val="center"/>
                </w:tcPr>
                <w:p>
                  <w:pPr>
                    <w:pStyle w:val="33"/>
                    <w:bidi w:val="0"/>
                    <w:rPr>
                      <w:rFonts w:hint="default"/>
                      <w:color w:val="auto"/>
                      <w:lang w:val="en-US" w:eastAsia="zh-CN"/>
                    </w:rPr>
                  </w:pPr>
                  <w:r>
                    <w:rPr>
                      <w:rFonts w:hint="default"/>
                      <w:color w:val="auto"/>
                      <w:lang w:val="en-US" w:eastAsia="zh-CN"/>
                    </w:rPr>
                    <w:t>环境风险</w:t>
                  </w:r>
                </w:p>
              </w:tc>
              <w:tc>
                <w:tcPr>
                  <w:tcW w:w="780" w:type="pct"/>
                  <w:shd w:val="clear" w:color="auto" w:fill="auto"/>
                  <w:vAlign w:val="center"/>
                </w:tcPr>
                <w:p>
                  <w:pPr>
                    <w:pStyle w:val="33"/>
                    <w:bidi w:val="0"/>
                    <w:rPr>
                      <w:rFonts w:hint="default"/>
                      <w:color w:val="auto"/>
                      <w:lang w:val="en-US" w:eastAsia="zh-CN"/>
                    </w:rPr>
                  </w:pPr>
                  <w:r>
                    <w:rPr>
                      <w:rFonts w:hint="default"/>
                      <w:color w:val="auto"/>
                    </w:rPr>
                    <w:t>H</w:t>
                  </w:r>
                  <w:r>
                    <w:rPr>
                      <w:rFonts w:hint="default"/>
                      <w:color w:val="auto"/>
                      <w:vertAlign w:val="subscript"/>
                    </w:rPr>
                    <w:t>2</w:t>
                  </w:r>
                  <w:r>
                    <w:rPr>
                      <w:rFonts w:hint="default"/>
                      <w:color w:val="auto"/>
                    </w:rPr>
                    <w:t>S监测</w:t>
                  </w:r>
                </w:p>
              </w:tc>
              <w:tc>
                <w:tcPr>
                  <w:tcW w:w="3533" w:type="pct"/>
                  <w:vAlign w:val="center"/>
                </w:tcPr>
                <w:p>
                  <w:pPr>
                    <w:pStyle w:val="33"/>
                    <w:bidi w:val="0"/>
                    <w:rPr>
                      <w:rFonts w:hint="eastAsia" w:eastAsia="宋体"/>
                      <w:color w:val="auto"/>
                      <w:lang w:eastAsia="zh-CN"/>
                    </w:rPr>
                  </w:pPr>
                  <w:r>
                    <w:rPr>
                      <w:rFonts w:hint="eastAsia"/>
                      <w:color w:val="auto"/>
                      <w:lang w:eastAsia="zh-CN"/>
                    </w:rPr>
                    <w:t>设置四合一监控报警仪、井控设备、网络设施、工艺参数实时监控系统、视频监控系统；职工佩戴油田通用的便携式四合一有毒有害气体监控报警仪</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0" w:type="pct"/>
                  <w:vMerge w:val="continue"/>
                  <w:vAlign w:val="center"/>
                </w:tcPr>
                <w:p>
                  <w:pPr>
                    <w:pStyle w:val="33"/>
                    <w:bidi w:val="0"/>
                    <w:rPr>
                      <w:rFonts w:hint="default"/>
                      <w:color w:val="auto"/>
                    </w:rPr>
                  </w:pPr>
                </w:p>
              </w:tc>
              <w:tc>
                <w:tcPr>
                  <w:tcW w:w="316" w:type="pct"/>
                  <w:vMerge w:val="continue"/>
                  <w:vAlign w:val="center"/>
                </w:tcPr>
                <w:p>
                  <w:pPr>
                    <w:pStyle w:val="33"/>
                    <w:bidi w:val="0"/>
                    <w:rPr>
                      <w:rFonts w:hint="default"/>
                      <w:color w:val="auto"/>
                    </w:rPr>
                  </w:pPr>
                </w:p>
              </w:tc>
              <w:tc>
                <w:tcPr>
                  <w:tcW w:w="780" w:type="pct"/>
                  <w:shd w:val="clear" w:color="auto" w:fill="auto"/>
                  <w:vAlign w:val="center"/>
                </w:tcPr>
                <w:p>
                  <w:pPr>
                    <w:pStyle w:val="33"/>
                    <w:bidi w:val="0"/>
                    <w:rPr>
                      <w:rFonts w:hint="default"/>
                      <w:color w:val="auto"/>
                      <w:lang w:val="en-US" w:eastAsia="zh-CN"/>
                    </w:rPr>
                  </w:pPr>
                  <w:r>
                    <w:rPr>
                      <w:rFonts w:hint="default"/>
                      <w:color w:val="auto"/>
                    </w:rPr>
                    <w:t>放喷设施</w:t>
                  </w:r>
                </w:p>
              </w:tc>
              <w:tc>
                <w:tcPr>
                  <w:tcW w:w="3533" w:type="pct"/>
                  <w:vAlign w:val="center"/>
                </w:tcPr>
                <w:p>
                  <w:pPr>
                    <w:pStyle w:val="33"/>
                    <w:bidi w:val="0"/>
                    <w:rPr>
                      <w:rFonts w:hint="default"/>
                      <w:color w:val="auto"/>
                    </w:rPr>
                  </w:pPr>
                  <w:r>
                    <w:rPr>
                      <w:rFonts w:hint="default"/>
                      <w:color w:val="auto"/>
                    </w:rPr>
                    <w:t>井场左右两侧各设置1条放喷管线，预留应急放喷池位置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0" w:type="pct"/>
                  <w:vMerge w:val="restart"/>
                  <w:vAlign w:val="center"/>
                </w:tcPr>
                <w:p>
                  <w:pPr>
                    <w:pStyle w:val="33"/>
                    <w:bidi w:val="0"/>
                    <w:rPr>
                      <w:rFonts w:hint="default"/>
                      <w:color w:val="auto"/>
                    </w:rPr>
                  </w:pPr>
                  <w:r>
                    <w:rPr>
                      <w:rFonts w:hint="default"/>
                      <w:color w:val="auto"/>
                    </w:rPr>
                    <w:t>依托工程</w:t>
                  </w:r>
                </w:p>
              </w:tc>
              <w:tc>
                <w:tcPr>
                  <w:tcW w:w="1096" w:type="pct"/>
                  <w:gridSpan w:val="2"/>
                  <w:vAlign w:val="center"/>
                </w:tcPr>
                <w:p>
                  <w:pPr>
                    <w:pStyle w:val="33"/>
                    <w:bidi w:val="0"/>
                    <w:rPr>
                      <w:rFonts w:hint="default"/>
                      <w:color w:val="auto"/>
                    </w:rPr>
                  </w:pPr>
                  <w:r>
                    <w:rPr>
                      <w:rFonts w:hint="default"/>
                      <w:color w:val="auto"/>
                    </w:rPr>
                    <w:t>试油废水</w:t>
                  </w:r>
                </w:p>
              </w:tc>
              <w:tc>
                <w:tcPr>
                  <w:tcW w:w="3533" w:type="pct"/>
                  <w:vAlign w:val="center"/>
                </w:tcPr>
                <w:p>
                  <w:pPr>
                    <w:pStyle w:val="33"/>
                    <w:bidi w:val="0"/>
                    <w:rPr>
                      <w:rFonts w:hint="default"/>
                      <w:color w:val="auto"/>
                    </w:rPr>
                  </w:pPr>
                  <w:r>
                    <w:rPr>
                      <w:rFonts w:hint="default"/>
                      <w:color w:val="auto"/>
                      <w:lang w:val="en-US" w:eastAsia="zh-CN"/>
                    </w:rPr>
                    <w:t>试油废水（洗井废水和压裂返排液）</w:t>
                  </w:r>
                  <w:r>
                    <w:rPr>
                      <w:rFonts w:hint="default"/>
                      <w:color w:val="auto"/>
                    </w:rPr>
                    <w:t>由罐车送至采油一厂车89处理站处置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0" w:type="pct"/>
                  <w:vMerge w:val="continue"/>
                  <w:vAlign w:val="center"/>
                </w:tcPr>
                <w:p>
                  <w:pPr>
                    <w:pStyle w:val="33"/>
                    <w:bidi w:val="0"/>
                    <w:rPr>
                      <w:rFonts w:hint="default"/>
                      <w:color w:val="auto"/>
                    </w:rPr>
                  </w:pPr>
                </w:p>
              </w:tc>
              <w:tc>
                <w:tcPr>
                  <w:tcW w:w="1096" w:type="pct"/>
                  <w:gridSpan w:val="2"/>
                  <w:vAlign w:val="center"/>
                </w:tcPr>
                <w:p>
                  <w:pPr>
                    <w:pStyle w:val="33"/>
                    <w:bidi w:val="0"/>
                    <w:rPr>
                      <w:rFonts w:hint="default"/>
                      <w:color w:val="auto"/>
                    </w:rPr>
                  </w:pPr>
                  <w:r>
                    <w:rPr>
                      <w:rFonts w:hint="default"/>
                      <w:color w:val="auto"/>
                    </w:rPr>
                    <w:t>采出液</w:t>
                  </w:r>
                </w:p>
              </w:tc>
              <w:tc>
                <w:tcPr>
                  <w:tcW w:w="3533" w:type="pct"/>
                  <w:vAlign w:val="center"/>
                </w:tcPr>
                <w:p>
                  <w:pPr>
                    <w:pStyle w:val="33"/>
                    <w:bidi w:val="0"/>
                    <w:rPr>
                      <w:rFonts w:hint="default"/>
                      <w:color w:val="auto"/>
                    </w:rPr>
                  </w:pPr>
                  <w:r>
                    <w:rPr>
                      <w:rFonts w:hint="default"/>
                      <w:color w:val="auto"/>
                      <w:lang w:val="en-US" w:eastAsia="zh-CN"/>
                    </w:rPr>
                    <w:t>采出液</w:t>
                  </w:r>
                  <w:r>
                    <w:rPr>
                      <w:rFonts w:hint="default"/>
                      <w:color w:val="auto"/>
                    </w:rPr>
                    <w:t>由罐车送至采油一厂车89处理站处置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0" w:type="pct"/>
                  <w:vMerge w:val="continue"/>
                  <w:vAlign w:val="center"/>
                </w:tcPr>
                <w:p>
                  <w:pPr>
                    <w:pStyle w:val="33"/>
                    <w:bidi w:val="0"/>
                    <w:rPr>
                      <w:rFonts w:hint="default"/>
                      <w:color w:val="auto"/>
                    </w:rPr>
                  </w:pPr>
                </w:p>
              </w:tc>
              <w:tc>
                <w:tcPr>
                  <w:tcW w:w="1096" w:type="pct"/>
                  <w:gridSpan w:val="2"/>
                  <w:vAlign w:val="center"/>
                </w:tcPr>
                <w:p>
                  <w:pPr>
                    <w:pStyle w:val="33"/>
                    <w:bidi w:val="0"/>
                    <w:rPr>
                      <w:rFonts w:hint="default"/>
                      <w:color w:val="auto"/>
                      <w:lang w:val="en-US" w:eastAsia="zh-CN"/>
                    </w:rPr>
                  </w:pPr>
                  <w:r>
                    <w:rPr>
                      <w:rFonts w:hint="eastAsia"/>
                      <w:color w:val="auto"/>
                      <w:lang w:val="en-US" w:eastAsia="zh-CN"/>
                    </w:rPr>
                    <w:t>生活污水</w:t>
                  </w:r>
                </w:p>
              </w:tc>
              <w:tc>
                <w:tcPr>
                  <w:tcW w:w="3533" w:type="pct"/>
                  <w:shd w:val="clear" w:color="auto" w:fill="auto"/>
                  <w:vAlign w:val="center"/>
                </w:tcPr>
                <w:p>
                  <w:pPr>
                    <w:pStyle w:val="33"/>
                    <w:bidi w:val="0"/>
                    <w:rPr>
                      <w:rFonts w:hint="default"/>
                      <w:color w:val="auto"/>
                      <w:lang w:val="en-US" w:eastAsia="zh-CN"/>
                    </w:rPr>
                  </w:pPr>
                  <w:r>
                    <w:rPr>
                      <w:rFonts w:hint="eastAsia"/>
                      <w:color w:val="auto"/>
                    </w:rPr>
                    <w:t>由吸污车运至玛纳斯县污水处理厂处理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0" w:type="pct"/>
                  <w:vMerge w:val="continue"/>
                  <w:vAlign w:val="center"/>
                </w:tcPr>
                <w:p>
                  <w:pPr>
                    <w:pStyle w:val="33"/>
                    <w:bidi w:val="0"/>
                    <w:rPr>
                      <w:rFonts w:hint="default"/>
                      <w:color w:val="auto"/>
                    </w:rPr>
                  </w:pPr>
                </w:p>
              </w:tc>
              <w:tc>
                <w:tcPr>
                  <w:tcW w:w="1096" w:type="pct"/>
                  <w:gridSpan w:val="2"/>
                  <w:vAlign w:val="center"/>
                </w:tcPr>
                <w:p>
                  <w:pPr>
                    <w:pStyle w:val="33"/>
                    <w:bidi w:val="0"/>
                    <w:rPr>
                      <w:rFonts w:hint="default"/>
                      <w:color w:val="auto"/>
                      <w:lang w:val="en-US" w:eastAsia="zh-CN"/>
                    </w:rPr>
                  </w:pPr>
                  <w:r>
                    <w:rPr>
                      <w:rFonts w:hint="eastAsia"/>
                      <w:color w:val="auto"/>
                      <w:lang w:val="en-US" w:eastAsia="zh-CN"/>
                    </w:rPr>
                    <w:t>生活垃圾</w:t>
                  </w:r>
                </w:p>
              </w:tc>
              <w:tc>
                <w:tcPr>
                  <w:tcW w:w="3533" w:type="pct"/>
                  <w:shd w:val="clear" w:color="auto" w:fill="auto"/>
                  <w:vAlign w:val="center"/>
                </w:tcPr>
                <w:p>
                  <w:pPr>
                    <w:pStyle w:val="33"/>
                    <w:bidi w:val="0"/>
                    <w:rPr>
                      <w:rFonts w:hint="default"/>
                      <w:color w:val="auto"/>
                      <w:lang w:val="en-US" w:eastAsia="zh-CN"/>
                    </w:rPr>
                  </w:pPr>
                  <w:r>
                    <w:rPr>
                      <w:rFonts w:hint="eastAsia"/>
                      <w:color w:val="auto"/>
                    </w:rPr>
                    <w:t>定期清运至玛纳斯县生活垃圾填埋场处置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0" w:type="pct"/>
                  <w:vMerge w:val="continue"/>
                  <w:vAlign w:val="center"/>
                </w:tcPr>
                <w:p>
                  <w:pPr>
                    <w:pStyle w:val="33"/>
                    <w:bidi w:val="0"/>
                    <w:rPr>
                      <w:rFonts w:hint="default"/>
                      <w:color w:val="auto"/>
                    </w:rPr>
                  </w:pPr>
                </w:p>
              </w:tc>
              <w:tc>
                <w:tcPr>
                  <w:tcW w:w="1096" w:type="pct"/>
                  <w:gridSpan w:val="2"/>
                  <w:vAlign w:val="center"/>
                </w:tcPr>
                <w:p>
                  <w:pPr>
                    <w:pStyle w:val="33"/>
                    <w:bidi w:val="0"/>
                    <w:rPr>
                      <w:rFonts w:hint="default"/>
                      <w:color w:val="auto"/>
                    </w:rPr>
                  </w:pPr>
                  <w:r>
                    <w:rPr>
                      <w:rFonts w:hint="default"/>
                      <w:color w:val="auto"/>
                    </w:rPr>
                    <w:t>水基钻井岩屑</w:t>
                  </w:r>
                </w:p>
              </w:tc>
              <w:tc>
                <w:tcPr>
                  <w:tcW w:w="3533" w:type="pct"/>
                  <w:vAlign w:val="center"/>
                </w:tcPr>
                <w:p>
                  <w:pPr>
                    <w:pStyle w:val="33"/>
                    <w:bidi w:val="0"/>
                    <w:rPr>
                      <w:rFonts w:hint="default"/>
                      <w:color w:val="auto"/>
                    </w:rPr>
                  </w:pPr>
                  <w:r>
                    <w:rPr>
                      <w:rFonts w:hint="default"/>
                      <w:color w:val="auto"/>
                    </w:rPr>
                    <w:t>委托</w:t>
                  </w:r>
                  <w:r>
                    <w:rPr>
                      <w:rFonts w:hint="default"/>
                      <w:color w:val="auto"/>
                      <w:lang w:val="en-US" w:eastAsia="zh-CN"/>
                    </w:rPr>
                    <w:t>第三方</w:t>
                  </w:r>
                  <w:r>
                    <w:rPr>
                      <w:rFonts w:hint="default"/>
                      <w:color w:val="auto"/>
                    </w:rPr>
                    <w:t>岩屑处置单位处置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0" w:type="pct"/>
                  <w:vMerge w:val="continue"/>
                  <w:vAlign w:val="center"/>
                </w:tcPr>
                <w:p>
                  <w:pPr>
                    <w:pStyle w:val="33"/>
                    <w:bidi w:val="0"/>
                    <w:rPr>
                      <w:rFonts w:hint="default"/>
                      <w:color w:val="auto"/>
                    </w:rPr>
                  </w:pPr>
                </w:p>
              </w:tc>
              <w:tc>
                <w:tcPr>
                  <w:tcW w:w="1096" w:type="pct"/>
                  <w:gridSpan w:val="2"/>
                  <w:vAlign w:val="center"/>
                </w:tcPr>
                <w:p>
                  <w:pPr>
                    <w:pStyle w:val="33"/>
                    <w:bidi w:val="0"/>
                    <w:rPr>
                      <w:rFonts w:hint="default"/>
                      <w:color w:val="auto"/>
                      <w:lang w:val="en-US" w:eastAsia="zh-CN"/>
                    </w:rPr>
                  </w:pPr>
                  <w:r>
                    <w:rPr>
                      <w:rFonts w:hint="eastAsia"/>
                      <w:color w:val="auto"/>
                      <w:lang w:val="en-US" w:eastAsia="zh-CN"/>
                    </w:rPr>
                    <w:t>油基钻井岩屑</w:t>
                  </w:r>
                </w:p>
              </w:tc>
              <w:tc>
                <w:tcPr>
                  <w:tcW w:w="3533" w:type="pct"/>
                  <w:vAlign w:val="center"/>
                </w:tcPr>
                <w:p>
                  <w:pPr>
                    <w:pStyle w:val="33"/>
                    <w:bidi w:val="0"/>
                    <w:rPr>
                      <w:rFonts w:hint="default"/>
                      <w:color w:val="auto"/>
                      <w:lang w:val="en-US" w:eastAsia="zh-CN"/>
                    </w:rPr>
                  </w:pPr>
                  <w:r>
                    <w:rPr>
                      <w:rFonts w:hint="eastAsia"/>
                      <w:color w:val="auto"/>
                      <w:lang w:val="en-US" w:eastAsia="zh-CN"/>
                    </w:rPr>
                    <w:t>委托具有相应危废资质单位清运、处置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370" w:type="pct"/>
                  <w:vMerge w:val="continue"/>
                  <w:vAlign w:val="center"/>
                </w:tcPr>
                <w:p>
                  <w:pPr>
                    <w:pStyle w:val="33"/>
                    <w:bidi w:val="0"/>
                    <w:rPr>
                      <w:rFonts w:hint="default"/>
                      <w:color w:val="auto"/>
                    </w:rPr>
                  </w:pPr>
                </w:p>
              </w:tc>
              <w:tc>
                <w:tcPr>
                  <w:tcW w:w="1096" w:type="pct"/>
                  <w:gridSpan w:val="2"/>
                  <w:vAlign w:val="center"/>
                </w:tcPr>
                <w:p>
                  <w:pPr>
                    <w:pStyle w:val="33"/>
                    <w:bidi w:val="0"/>
                    <w:rPr>
                      <w:rFonts w:hint="default"/>
                      <w:color w:val="auto"/>
                    </w:rPr>
                  </w:pPr>
                  <w:r>
                    <w:rPr>
                      <w:rFonts w:hint="default"/>
                      <w:color w:val="auto"/>
                    </w:rPr>
                    <w:t>危险废物</w:t>
                  </w:r>
                </w:p>
              </w:tc>
              <w:tc>
                <w:tcPr>
                  <w:tcW w:w="3533" w:type="pct"/>
                  <w:vAlign w:val="center"/>
                </w:tcPr>
                <w:p>
                  <w:pPr>
                    <w:pStyle w:val="33"/>
                    <w:bidi w:val="0"/>
                    <w:rPr>
                      <w:rFonts w:hint="eastAsia"/>
                      <w:color w:val="auto"/>
                      <w:lang w:val="en-US" w:eastAsia="zh-CN"/>
                    </w:rPr>
                  </w:pPr>
                  <w:r>
                    <w:rPr>
                      <w:rFonts w:hint="eastAsia"/>
                      <w:color w:val="auto"/>
                      <w:lang w:val="en-US" w:eastAsia="zh-CN"/>
                    </w:rPr>
                    <w:t>油基钻井岩屑、</w:t>
                  </w:r>
                  <w:r>
                    <w:rPr>
                      <w:rFonts w:hint="default"/>
                      <w:color w:val="auto"/>
                    </w:rPr>
                    <w:t>沾油废防渗材料、废润滑油及废润滑油桶</w:t>
                  </w:r>
                  <w:r>
                    <w:rPr>
                      <w:rFonts w:hint="eastAsia"/>
                      <w:color w:val="auto"/>
                      <w:lang w:eastAsia="zh-CN"/>
                    </w:rPr>
                    <w:t>、</w:t>
                  </w:r>
                  <w:r>
                    <w:rPr>
                      <w:rFonts w:hint="default"/>
                      <w:color w:val="auto"/>
                      <w:lang w:val="en-US" w:eastAsia="zh-CN"/>
                    </w:rPr>
                    <w:t>废含油抹布和劳保用品</w:t>
                  </w:r>
                  <w:r>
                    <w:rPr>
                      <w:rFonts w:hint="default"/>
                      <w:color w:val="auto"/>
                    </w:rPr>
                    <w:t>均属于危险废物，最终交由有相应危废处置资质的单位负责接收、转运以及处置</w:t>
                  </w:r>
                </w:p>
              </w:tc>
            </w:tr>
          </w:tbl>
          <w:p>
            <w:pPr>
              <w:pStyle w:val="53"/>
              <w:bidi w:val="0"/>
              <w:rPr>
                <w:color w:val="auto"/>
              </w:rPr>
            </w:pPr>
          </w:p>
          <w:p>
            <w:pPr>
              <w:pStyle w:val="53"/>
              <w:bidi w:val="0"/>
              <w:rPr>
                <w:color w:val="auto"/>
              </w:rPr>
            </w:pPr>
          </w:p>
          <w:p>
            <w:pPr>
              <w:pStyle w:val="53"/>
              <w:bidi w:val="0"/>
              <w:rPr>
                <w:color w:val="auto"/>
              </w:rPr>
            </w:pPr>
          </w:p>
          <w:bookmarkEnd w:id="10"/>
          <w:p>
            <w:pPr>
              <w:snapToGrid w:val="0"/>
              <w:spacing w:line="500" w:lineRule="exact"/>
              <w:ind w:firstLine="480" w:firstLineChars="200"/>
              <w:rPr>
                <w:rFonts w:hint="default" w:ascii="Times New Roman" w:hAnsi="Times New Roman" w:cs="Times New Roman"/>
                <w:color w:val="auto"/>
              </w:rPr>
            </w:pP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 w:type="dxa"/>
            <w:vAlign w:val="center"/>
          </w:tcPr>
          <w:p>
            <w:pPr>
              <w:pStyle w:val="53"/>
              <w:bidi w:val="0"/>
              <w:rPr>
                <w:rFonts w:hint="default"/>
                <w:color w:val="auto"/>
              </w:rPr>
            </w:pPr>
            <w:r>
              <w:rPr>
                <w:rFonts w:hint="default"/>
                <w:color w:val="auto"/>
              </w:rPr>
              <w:t>总平面及现场布置</w:t>
            </w:r>
          </w:p>
        </w:tc>
        <w:tc>
          <w:tcPr>
            <w:tcW w:w="8096" w:type="dxa"/>
          </w:tcPr>
          <w:p>
            <w:pPr>
              <w:pStyle w:val="32"/>
              <w:numPr>
                <w:ilvl w:val="0"/>
                <w:numId w:val="7"/>
              </w:numPr>
              <w:bidi w:val="0"/>
              <w:rPr>
                <w:rFonts w:hint="default"/>
                <w:color w:val="auto"/>
              </w:rPr>
            </w:pPr>
            <w:r>
              <w:rPr>
                <w:rFonts w:hint="default"/>
                <w:color w:val="auto"/>
              </w:rPr>
              <w:t>工程布局情况</w:t>
            </w:r>
          </w:p>
          <w:p>
            <w:pPr>
              <w:pStyle w:val="36"/>
              <w:bidi w:val="0"/>
              <w:rPr>
                <w:rFonts w:hint="eastAsia"/>
                <w:color w:val="auto"/>
                <w:lang w:val="en-US" w:eastAsia="zh-CN"/>
              </w:rPr>
            </w:pPr>
            <w:r>
              <w:rPr>
                <w:rFonts w:hint="eastAsia"/>
                <w:color w:val="auto"/>
                <w:lang w:val="en-US" w:eastAsia="zh-CN"/>
              </w:rPr>
              <w:t>天湾102井</w:t>
            </w:r>
            <w:r>
              <w:rPr>
                <w:rFonts w:hint="default"/>
                <w:color w:val="auto"/>
              </w:rPr>
              <w:t>施工现场主要为井场</w:t>
            </w:r>
            <w:r>
              <w:rPr>
                <w:rFonts w:hint="eastAsia"/>
                <w:color w:val="auto"/>
                <w:lang w:eastAsia="zh-CN"/>
              </w:rPr>
              <w:t>（</w:t>
            </w:r>
            <w:r>
              <w:rPr>
                <w:rFonts w:hint="eastAsia"/>
                <w:color w:val="auto"/>
                <w:lang w:val="en-US" w:eastAsia="zh-CN"/>
              </w:rPr>
              <w:t>根据施工时期不同用作钻井井场和试油井场</w:t>
            </w:r>
            <w:r>
              <w:rPr>
                <w:rFonts w:hint="eastAsia"/>
                <w:color w:val="auto"/>
                <w:lang w:eastAsia="zh-CN"/>
              </w:rPr>
              <w:t>）</w:t>
            </w:r>
            <w:r>
              <w:rPr>
                <w:rFonts w:hint="default"/>
                <w:color w:val="auto"/>
              </w:rPr>
              <w:t>、探临道路</w:t>
            </w:r>
            <w:r>
              <w:rPr>
                <w:rFonts w:hint="eastAsia"/>
                <w:color w:val="auto"/>
                <w:lang w:val="en-US" w:eastAsia="zh-CN"/>
              </w:rPr>
              <w:t>和生活营地（仅钻井期）</w:t>
            </w:r>
            <w:r>
              <w:rPr>
                <w:rFonts w:hint="default"/>
                <w:color w:val="auto"/>
              </w:rPr>
              <w:t>的布置</w:t>
            </w:r>
            <w:r>
              <w:rPr>
                <w:rFonts w:hint="eastAsia"/>
                <w:color w:val="auto"/>
                <w:lang w:eastAsia="zh-CN"/>
              </w:rPr>
              <w:t>。</w:t>
            </w:r>
          </w:p>
          <w:p>
            <w:pPr>
              <w:pStyle w:val="36"/>
              <w:bidi w:val="0"/>
              <w:rPr>
                <w:rFonts w:hint="default"/>
                <w:color w:val="auto"/>
                <w:lang w:val="en-US" w:eastAsia="zh-CN"/>
              </w:rPr>
            </w:pPr>
            <w:r>
              <w:rPr>
                <w:rFonts w:hint="eastAsia"/>
                <w:color w:val="auto"/>
                <w:lang w:val="en-US" w:eastAsia="zh-CN"/>
              </w:rPr>
              <w:t>钻井井场根据进场道路的位置进行布设。井场大门位于井场南侧，钻井设备以井口为中心向四周布置。生活营地位于井场西南侧约400m处；钻井结束后钻井设备撤出，改为试油井场，试油设备均在原钻井井场内布置，不新增占地。</w:t>
            </w:r>
          </w:p>
          <w:p>
            <w:pPr>
              <w:pStyle w:val="32"/>
              <w:numPr>
                <w:ilvl w:val="0"/>
                <w:numId w:val="5"/>
              </w:numPr>
              <w:bidi w:val="0"/>
              <w:rPr>
                <w:rFonts w:hint="default"/>
                <w:color w:val="auto"/>
              </w:rPr>
            </w:pPr>
            <w:r>
              <w:rPr>
                <w:rFonts w:hint="default"/>
                <w:color w:val="auto"/>
              </w:rPr>
              <w:t>施工现场布置情况</w:t>
            </w:r>
          </w:p>
          <w:p>
            <w:pPr>
              <w:pStyle w:val="36"/>
              <w:bidi w:val="0"/>
              <w:rPr>
                <w:rFonts w:hint="default"/>
                <w:color w:val="auto"/>
              </w:rPr>
            </w:pPr>
            <w:r>
              <w:rPr>
                <w:rFonts w:hint="default"/>
                <w:color w:val="auto"/>
              </w:rPr>
              <w:t>（1）钻井期井场平面布置</w:t>
            </w:r>
          </w:p>
          <w:p>
            <w:pPr>
              <w:pStyle w:val="36"/>
              <w:bidi w:val="0"/>
              <w:rPr>
                <w:rFonts w:hint="default"/>
                <w:color w:val="auto"/>
              </w:rPr>
            </w:pPr>
            <w:r>
              <w:rPr>
                <w:rFonts w:hint="default"/>
                <w:color w:val="auto"/>
              </w:rPr>
              <w:t>钻井期井场内布置有值班房、材料房、钳工房、录井房、配电房、发电房、罐区、钻井液不落地设备等。</w:t>
            </w:r>
            <w:r>
              <w:rPr>
                <w:rFonts w:hint="default"/>
                <w:color w:val="auto"/>
                <w:lang w:val="en-US" w:eastAsia="zh-CN"/>
              </w:rPr>
              <w:t>钻井井场</w:t>
            </w:r>
            <w:r>
              <w:rPr>
                <w:rFonts w:hint="default"/>
                <w:color w:val="auto"/>
              </w:rPr>
              <w:t>平面布置见附图</w:t>
            </w:r>
            <w:r>
              <w:rPr>
                <w:rFonts w:hint="default"/>
                <w:color w:val="auto"/>
                <w:lang w:val="en-US" w:eastAsia="zh-CN"/>
              </w:rPr>
              <w:t>5</w:t>
            </w:r>
            <w:r>
              <w:rPr>
                <w:rFonts w:hint="default"/>
                <w:color w:val="auto"/>
              </w:rPr>
              <w:t>。</w:t>
            </w:r>
          </w:p>
          <w:p>
            <w:pPr>
              <w:pStyle w:val="36"/>
              <w:bidi w:val="0"/>
              <w:rPr>
                <w:rFonts w:hint="default"/>
                <w:color w:val="auto"/>
              </w:rPr>
            </w:pPr>
            <w:r>
              <w:rPr>
                <w:rFonts w:hint="default"/>
                <w:color w:val="auto"/>
              </w:rPr>
              <w:t>（2）试油期井场平面布置</w:t>
            </w:r>
          </w:p>
          <w:p>
            <w:pPr>
              <w:pStyle w:val="36"/>
              <w:bidi w:val="0"/>
              <w:rPr>
                <w:rFonts w:hint="default" w:ascii="Times New Roman" w:hAnsi="Times New Roman" w:cs="Times New Roman"/>
                <w:color w:val="auto"/>
              </w:rPr>
            </w:pPr>
            <w:r>
              <w:rPr>
                <w:rFonts w:hint="default"/>
                <w:color w:val="auto"/>
              </w:rPr>
              <w:t>试油期井场内布置有井口方罐、发电房、值班房、井口放喷管线、应急放喷池、消防沙箱等设施，并在井场设置紧急集合点。</w:t>
            </w:r>
            <w:r>
              <w:rPr>
                <w:rFonts w:hint="default"/>
                <w:color w:val="auto"/>
                <w:lang w:val="en-US" w:eastAsia="zh-CN"/>
              </w:rPr>
              <w:t>试油井场</w:t>
            </w:r>
            <w:r>
              <w:rPr>
                <w:rFonts w:hint="default"/>
                <w:color w:val="auto"/>
              </w:rPr>
              <w:t>平面布置见附图</w:t>
            </w:r>
            <w:r>
              <w:rPr>
                <w:rFonts w:hint="default"/>
                <w:color w:val="auto"/>
                <w:lang w:val="en-US" w:eastAsia="zh-CN"/>
              </w:rPr>
              <w:t>6</w:t>
            </w:r>
            <w:r>
              <w:rPr>
                <w:rFonts w:hint="default"/>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 w:type="dxa"/>
            <w:vAlign w:val="center"/>
          </w:tcPr>
          <w:p>
            <w:pPr>
              <w:pStyle w:val="53"/>
              <w:bidi w:val="0"/>
              <w:rPr>
                <w:rFonts w:hint="default"/>
                <w:color w:val="auto"/>
              </w:rPr>
            </w:pPr>
            <w:r>
              <w:rPr>
                <w:rFonts w:hint="default"/>
                <w:color w:val="auto"/>
              </w:rPr>
              <w:t>施工方案</w:t>
            </w:r>
          </w:p>
        </w:tc>
        <w:tc>
          <w:tcPr>
            <w:tcW w:w="8096" w:type="dxa"/>
          </w:tcPr>
          <w:p>
            <w:pPr>
              <w:pStyle w:val="32"/>
              <w:numPr>
                <w:ilvl w:val="0"/>
                <w:numId w:val="8"/>
              </w:numPr>
              <w:bidi w:val="0"/>
              <w:rPr>
                <w:rFonts w:hint="default"/>
                <w:color w:val="auto"/>
              </w:rPr>
            </w:pPr>
            <w:r>
              <w:rPr>
                <w:rFonts w:hint="default"/>
                <w:color w:val="auto"/>
              </w:rPr>
              <w:t>施工时序及工艺</w:t>
            </w:r>
          </w:p>
          <w:p>
            <w:pPr>
              <w:pStyle w:val="36"/>
              <w:bidi w:val="0"/>
              <w:rPr>
                <w:rFonts w:hint="default"/>
                <w:color w:val="auto"/>
              </w:rPr>
            </w:pPr>
            <w:r>
              <w:rPr>
                <w:rFonts w:hint="default"/>
                <w:color w:val="auto"/>
              </w:rPr>
              <w:t>施工时序依次为钻前工程、钻井工程、试油工程和完井四个阶段</w:t>
            </w:r>
            <w:r>
              <w:rPr>
                <w:rFonts w:hint="eastAsia"/>
                <w:color w:val="auto"/>
                <w:lang w:eastAsia="zh-CN"/>
              </w:rPr>
              <w:t>，</w:t>
            </w:r>
            <w:r>
              <w:rPr>
                <w:rFonts w:hint="eastAsia"/>
                <w:color w:val="auto"/>
                <w:lang w:val="en-US" w:eastAsia="zh-CN"/>
              </w:rPr>
              <w:t>总体工艺流程及产污环节见下图</w:t>
            </w:r>
            <w:r>
              <w:rPr>
                <w:rFonts w:hint="default"/>
                <w:color w:val="auto"/>
              </w:rPr>
              <w:t>。</w:t>
            </w:r>
          </w:p>
          <w:p>
            <w:pPr>
              <w:pStyle w:val="36"/>
              <w:bidi w:val="0"/>
              <w:spacing w:line="240" w:lineRule="auto"/>
              <w:rPr>
                <w:rFonts w:hint="default"/>
                <w:color w:val="auto"/>
                <w:lang w:eastAsia="zh-CN"/>
              </w:rPr>
            </w:pPr>
            <w:r>
              <w:rPr>
                <w:rFonts w:hint="default"/>
                <w:color w:val="auto"/>
                <w:lang w:eastAsia="zh-CN"/>
              </w:rPr>
              <w:drawing>
                <wp:inline distT="0" distB="0" distL="114300" distR="114300">
                  <wp:extent cx="4345940" cy="994410"/>
                  <wp:effectExtent l="0" t="0" r="16510" b="1524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0"/>
                          <a:stretch>
                            <a:fillRect/>
                          </a:stretch>
                        </pic:blipFill>
                        <pic:spPr>
                          <a:xfrm>
                            <a:off x="0" y="0"/>
                            <a:ext cx="4345940" cy="994410"/>
                          </a:xfrm>
                          <a:prstGeom prst="rect">
                            <a:avLst/>
                          </a:prstGeom>
                        </pic:spPr>
                      </pic:pic>
                    </a:graphicData>
                  </a:graphic>
                </wp:inline>
              </w:drawing>
            </w:r>
          </w:p>
          <w:p>
            <w:pPr>
              <w:pStyle w:val="52"/>
              <w:bidi w:val="0"/>
              <w:rPr>
                <w:rFonts w:hint="default"/>
                <w:color w:val="auto"/>
              </w:rPr>
            </w:pPr>
            <w:r>
              <w:rPr>
                <w:rFonts w:hint="default"/>
                <w:color w:val="auto"/>
              </w:rPr>
              <w:t>图</w:t>
            </w:r>
            <w:r>
              <w:rPr>
                <w:rFonts w:hint="default"/>
                <w:color w:val="auto"/>
                <w:lang w:val="en-US" w:eastAsia="zh-CN"/>
              </w:rPr>
              <w:t>2-1  本项目总体</w:t>
            </w:r>
            <w:r>
              <w:rPr>
                <w:rFonts w:hint="default"/>
                <w:color w:val="auto"/>
              </w:rPr>
              <w:t>工艺流程和产污环节示意图</w:t>
            </w:r>
          </w:p>
          <w:p>
            <w:pPr>
              <w:pStyle w:val="36"/>
              <w:bidi w:val="0"/>
              <w:rPr>
                <w:rFonts w:hint="default"/>
                <w:color w:val="auto"/>
              </w:rPr>
            </w:pPr>
            <w:r>
              <w:rPr>
                <w:rFonts w:hint="default"/>
                <w:color w:val="auto"/>
              </w:rPr>
              <w:t>（1）钻前工程</w:t>
            </w:r>
          </w:p>
          <w:p>
            <w:pPr>
              <w:pStyle w:val="36"/>
              <w:bidi w:val="0"/>
              <w:rPr>
                <w:rFonts w:hint="default"/>
                <w:color w:val="auto"/>
              </w:rPr>
            </w:pPr>
            <w:r>
              <w:rPr>
                <w:rFonts w:hint="default"/>
                <w:color w:val="auto"/>
              </w:rPr>
              <w:t>包括井场平整、铺垫、钻机基础建设、探临道路</w:t>
            </w:r>
            <w:r>
              <w:rPr>
                <w:rFonts w:hint="eastAsia"/>
                <w:color w:val="auto"/>
                <w:lang w:val="en-US" w:eastAsia="zh-CN"/>
              </w:rPr>
              <w:t>和生活营地</w:t>
            </w:r>
            <w:r>
              <w:rPr>
                <w:rFonts w:hint="default"/>
                <w:color w:val="auto"/>
              </w:rPr>
              <w:t>建设，以及设备进场。</w:t>
            </w:r>
          </w:p>
          <w:p>
            <w:pPr>
              <w:pStyle w:val="36"/>
              <w:bidi w:val="0"/>
              <w:rPr>
                <w:rFonts w:hint="default"/>
                <w:color w:val="auto"/>
              </w:rPr>
            </w:pPr>
            <w:r>
              <w:rPr>
                <w:rFonts w:hint="default"/>
                <w:color w:val="auto"/>
              </w:rPr>
              <w:t>（2）钻井工程</w:t>
            </w:r>
          </w:p>
          <w:p>
            <w:pPr>
              <w:pStyle w:val="36"/>
              <w:bidi w:val="0"/>
              <w:rPr>
                <w:rFonts w:hint="default"/>
                <w:color w:val="auto"/>
              </w:rPr>
            </w:pPr>
            <w:r>
              <w:rPr>
                <w:rFonts w:hint="default"/>
                <w:color w:val="auto"/>
              </w:rPr>
              <w:t>①钻井流程</w:t>
            </w:r>
          </w:p>
          <w:p>
            <w:pPr>
              <w:pStyle w:val="36"/>
              <w:bidi w:val="0"/>
              <w:rPr>
                <w:rFonts w:hint="default"/>
                <w:color w:val="auto"/>
              </w:rPr>
            </w:pPr>
            <w:r>
              <w:rPr>
                <w:rFonts w:hint="default"/>
                <w:color w:val="auto"/>
              </w:rPr>
              <w:t>钻前准备工作完成后即可开展钻井工作。钻井是破岩和加深井眼的过程，首先埋设导管后钻达下表层套管深度后，再下入表层套管并固井试压；然后继续钻进，待安全钻达目标深度后下油层套管；施工中根据钻井设计要求，进行测井、录井、固井等其他作业。</w:t>
            </w:r>
          </w:p>
          <w:p>
            <w:pPr>
              <w:pStyle w:val="36"/>
              <w:bidi w:val="0"/>
              <w:rPr>
                <w:rFonts w:hint="default"/>
                <w:color w:val="auto"/>
              </w:rPr>
            </w:pPr>
            <w:r>
              <w:rPr>
                <w:rFonts w:hint="default"/>
                <w:color w:val="auto"/>
              </w:rPr>
              <w:t>②井身结构</w:t>
            </w:r>
          </w:p>
          <w:p>
            <w:pPr>
              <w:pStyle w:val="36"/>
              <w:bidi w:val="0"/>
              <w:rPr>
                <w:rFonts w:hint="default"/>
                <w:color w:val="auto"/>
              </w:rPr>
            </w:pPr>
            <w:r>
              <w:rPr>
                <w:rFonts w:hint="eastAsia"/>
                <w:color w:val="auto"/>
                <w:lang w:val="en-US" w:eastAsia="zh-CN"/>
              </w:rPr>
              <w:t>天湾102井</w:t>
            </w:r>
            <w:r>
              <w:rPr>
                <w:rFonts w:hint="default"/>
                <w:color w:val="auto"/>
              </w:rPr>
              <w:t>钻井进尺为</w:t>
            </w:r>
            <w:r>
              <w:rPr>
                <w:rFonts w:hint="eastAsia"/>
                <w:color w:val="auto"/>
                <w:lang w:val="en-US" w:eastAsia="zh-CN"/>
              </w:rPr>
              <w:t>8750</w:t>
            </w:r>
            <w:r>
              <w:rPr>
                <w:rFonts w:hint="default"/>
                <w:color w:val="auto"/>
              </w:rPr>
              <w:t>m，采用</w:t>
            </w:r>
            <w:r>
              <w:rPr>
                <w:rFonts w:hint="eastAsia"/>
                <w:color w:val="auto"/>
                <w:lang w:val="en-US" w:eastAsia="zh-CN"/>
              </w:rPr>
              <w:t>五</w:t>
            </w:r>
            <w:r>
              <w:rPr>
                <w:rFonts w:hint="default"/>
                <w:color w:val="auto"/>
              </w:rPr>
              <w:t>开直井井身结构，设计参数见</w:t>
            </w:r>
            <w:r>
              <w:rPr>
                <w:rFonts w:hint="eastAsia"/>
                <w:color w:val="auto"/>
                <w:lang w:val="en-US" w:eastAsia="zh-CN"/>
              </w:rPr>
              <w:t>下表</w:t>
            </w:r>
            <w:r>
              <w:rPr>
                <w:rFonts w:hint="default"/>
                <w:color w:val="auto"/>
              </w:rPr>
              <w:t>，井身结构见附图</w:t>
            </w:r>
            <w:r>
              <w:rPr>
                <w:rFonts w:hint="default"/>
                <w:color w:val="auto"/>
                <w:lang w:val="en-US" w:eastAsia="zh-CN"/>
              </w:rPr>
              <w:t>7</w:t>
            </w:r>
            <w:r>
              <w:rPr>
                <w:rFonts w:hint="default"/>
                <w:color w:val="auto"/>
              </w:rPr>
              <w:t>。</w:t>
            </w:r>
          </w:p>
          <w:p>
            <w:pPr>
              <w:pStyle w:val="52"/>
              <w:bidi w:val="0"/>
              <w:rPr>
                <w:rFonts w:hint="default"/>
                <w:color w:val="auto"/>
              </w:rPr>
            </w:pPr>
            <w:r>
              <w:rPr>
                <w:rFonts w:hint="default"/>
                <w:color w:val="auto"/>
              </w:rPr>
              <w:t>表</w:t>
            </w:r>
            <w:r>
              <w:rPr>
                <w:rFonts w:hint="default"/>
                <w:color w:val="auto"/>
                <w:lang w:val="en-US" w:eastAsia="zh-CN"/>
              </w:rPr>
              <w:t>2-</w:t>
            </w:r>
            <w:r>
              <w:rPr>
                <w:rFonts w:hint="default"/>
                <w:color w:val="auto"/>
              </w:rPr>
              <w:t>3  井身结构设计参数一览表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231"/>
              <w:gridCol w:w="1329"/>
              <w:gridCol w:w="1329"/>
              <w:gridCol w:w="1329"/>
              <w:gridCol w:w="1329"/>
              <w:gridCol w:w="13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81" w:type="pct"/>
                  <w:vAlign w:val="center"/>
                </w:tcPr>
                <w:p>
                  <w:pPr>
                    <w:pStyle w:val="33"/>
                    <w:bidi w:val="0"/>
                    <w:spacing w:line="240" w:lineRule="auto"/>
                    <w:rPr>
                      <w:rFonts w:hint="default"/>
                      <w:color w:val="auto"/>
                    </w:rPr>
                  </w:pPr>
                  <w:bookmarkStart w:id="12" w:name="_Hlk167964015"/>
                  <w:r>
                    <w:rPr>
                      <w:rFonts w:hint="default"/>
                      <w:color w:val="auto"/>
                    </w:rPr>
                    <w:t>井号</w:t>
                  </w:r>
                </w:p>
              </w:tc>
              <w:tc>
                <w:tcPr>
                  <w:tcW w:w="843" w:type="pct"/>
                  <w:tcMar>
                    <w:top w:w="57" w:type="dxa"/>
                  </w:tcMar>
                  <w:vAlign w:val="center"/>
                </w:tcPr>
                <w:p>
                  <w:pPr>
                    <w:pStyle w:val="33"/>
                    <w:bidi w:val="0"/>
                    <w:spacing w:line="240" w:lineRule="auto"/>
                    <w:rPr>
                      <w:rFonts w:hint="default"/>
                      <w:color w:val="auto"/>
                    </w:rPr>
                  </w:pPr>
                  <w:r>
                    <w:rPr>
                      <w:rFonts w:hint="default"/>
                      <w:color w:val="auto"/>
                    </w:rPr>
                    <w:t>开钻次序</w:t>
                  </w:r>
                </w:p>
              </w:tc>
              <w:tc>
                <w:tcPr>
                  <w:tcW w:w="843" w:type="pct"/>
                  <w:tcMar>
                    <w:top w:w="57" w:type="dxa"/>
                  </w:tcMar>
                  <w:vAlign w:val="center"/>
                </w:tcPr>
                <w:p>
                  <w:pPr>
                    <w:pStyle w:val="33"/>
                    <w:bidi w:val="0"/>
                    <w:spacing w:line="240" w:lineRule="auto"/>
                    <w:rPr>
                      <w:rFonts w:hint="default"/>
                      <w:color w:val="auto"/>
                    </w:rPr>
                  </w:pPr>
                  <w:r>
                    <w:rPr>
                      <w:rFonts w:hint="default"/>
                      <w:color w:val="auto"/>
                    </w:rPr>
                    <w:t>井深</w:t>
                  </w:r>
                </w:p>
                <w:p>
                  <w:pPr>
                    <w:pStyle w:val="33"/>
                    <w:bidi w:val="0"/>
                    <w:spacing w:line="240" w:lineRule="auto"/>
                    <w:rPr>
                      <w:rFonts w:hint="default"/>
                      <w:color w:val="auto"/>
                    </w:rPr>
                  </w:pPr>
                  <w:r>
                    <w:rPr>
                      <w:rFonts w:hint="eastAsia"/>
                      <w:color w:val="auto"/>
                      <w:lang w:eastAsia="zh-CN"/>
                    </w:rPr>
                    <w:t>(</w:t>
                  </w:r>
                  <w:r>
                    <w:rPr>
                      <w:rFonts w:hint="default"/>
                      <w:color w:val="auto"/>
                    </w:rPr>
                    <w:t>m</w:t>
                  </w:r>
                  <w:r>
                    <w:rPr>
                      <w:rFonts w:hint="eastAsia"/>
                      <w:color w:val="auto"/>
                      <w:lang w:eastAsia="zh-CN"/>
                    </w:rPr>
                    <w:t>)</w:t>
                  </w:r>
                </w:p>
              </w:tc>
              <w:tc>
                <w:tcPr>
                  <w:tcW w:w="843" w:type="pct"/>
                  <w:tcMar>
                    <w:top w:w="57" w:type="dxa"/>
                  </w:tcMar>
                  <w:vAlign w:val="center"/>
                </w:tcPr>
                <w:p>
                  <w:pPr>
                    <w:pStyle w:val="33"/>
                    <w:bidi w:val="0"/>
                    <w:spacing w:line="240" w:lineRule="auto"/>
                    <w:rPr>
                      <w:rFonts w:hint="default"/>
                      <w:color w:val="auto"/>
                    </w:rPr>
                  </w:pPr>
                  <w:r>
                    <w:rPr>
                      <w:rFonts w:hint="default"/>
                      <w:color w:val="auto"/>
                    </w:rPr>
                    <w:t>钻头尺寸</w:t>
                  </w:r>
                </w:p>
                <w:p>
                  <w:pPr>
                    <w:pStyle w:val="33"/>
                    <w:bidi w:val="0"/>
                    <w:spacing w:line="240" w:lineRule="auto"/>
                    <w:rPr>
                      <w:rFonts w:hint="default"/>
                      <w:color w:val="auto"/>
                    </w:rPr>
                  </w:pPr>
                  <w:r>
                    <w:rPr>
                      <w:rFonts w:hint="eastAsia"/>
                      <w:color w:val="auto"/>
                      <w:lang w:eastAsia="zh-CN"/>
                    </w:rPr>
                    <w:t>(</w:t>
                  </w:r>
                  <w:r>
                    <w:rPr>
                      <w:rFonts w:hint="default"/>
                      <w:color w:val="auto"/>
                    </w:rPr>
                    <w:t>mm</w:t>
                  </w:r>
                  <w:r>
                    <w:rPr>
                      <w:rFonts w:hint="eastAsia"/>
                      <w:color w:val="auto"/>
                      <w:lang w:eastAsia="zh-CN"/>
                    </w:rPr>
                    <w:t>)</w:t>
                  </w:r>
                </w:p>
              </w:tc>
              <w:tc>
                <w:tcPr>
                  <w:tcW w:w="843" w:type="pct"/>
                  <w:tcMar>
                    <w:top w:w="57" w:type="dxa"/>
                  </w:tcMar>
                  <w:vAlign w:val="center"/>
                </w:tcPr>
                <w:p>
                  <w:pPr>
                    <w:pStyle w:val="33"/>
                    <w:bidi w:val="0"/>
                    <w:spacing w:line="240" w:lineRule="auto"/>
                    <w:rPr>
                      <w:rFonts w:hint="default"/>
                      <w:color w:val="auto"/>
                    </w:rPr>
                  </w:pPr>
                  <w:r>
                    <w:rPr>
                      <w:rFonts w:hint="default"/>
                      <w:color w:val="auto"/>
                    </w:rPr>
                    <w:t>套管尺寸（mm）</w:t>
                  </w:r>
                </w:p>
              </w:tc>
              <w:tc>
                <w:tcPr>
                  <w:tcW w:w="845" w:type="pct"/>
                  <w:tcMar>
                    <w:top w:w="57" w:type="dxa"/>
                  </w:tcMar>
                  <w:vAlign w:val="center"/>
                </w:tcPr>
                <w:p>
                  <w:pPr>
                    <w:pStyle w:val="33"/>
                    <w:bidi w:val="0"/>
                    <w:spacing w:line="240" w:lineRule="auto"/>
                    <w:rPr>
                      <w:rFonts w:hint="default"/>
                      <w:color w:val="auto"/>
                    </w:rPr>
                  </w:pPr>
                  <w:r>
                    <w:rPr>
                      <w:rFonts w:hint="default"/>
                      <w:color w:val="auto"/>
                    </w:rPr>
                    <w:t>套管下入深度（m）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81" w:type="pct"/>
                  <w:vMerge w:val="restart"/>
                  <w:vAlign w:val="center"/>
                </w:tcPr>
                <w:p>
                  <w:pPr>
                    <w:pStyle w:val="33"/>
                    <w:bidi w:val="0"/>
                    <w:spacing w:line="240" w:lineRule="auto"/>
                    <w:rPr>
                      <w:rFonts w:hint="default"/>
                      <w:color w:val="auto"/>
                    </w:rPr>
                  </w:pPr>
                  <w:r>
                    <w:rPr>
                      <w:rFonts w:hint="eastAsia"/>
                      <w:color w:val="auto"/>
                      <w:lang w:val="en-US" w:eastAsia="zh-CN"/>
                    </w:rPr>
                    <w:t>天湾102井</w:t>
                  </w:r>
                </w:p>
              </w:tc>
              <w:tc>
                <w:tcPr>
                  <w:tcW w:w="843" w:type="pct"/>
                  <w:tcMar>
                    <w:top w:w="57" w:type="dxa"/>
                  </w:tcMar>
                  <w:vAlign w:val="center"/>
                </w:tcPr>
                <w:p>
                  <w:pPr>
                    <w:pStyle w:val="33"/>
                    <w:bidi w:val="0"/>
                    <w:spacing w:line="240" w:lineRule="auto"/>
                    <w:rPr>
                      <w:rFonts w:hint="default"/>
                      <w:color w:val="auto"/>
                    </w:rPr>
                  </w:pPr>
                  <w:r>
                    <w:rPr>
                      <w:rFonts w:hint="default"/>
                      <w:color w:val="auto"/>
                    </w:rPr>
                    <w:t>一开</w:t>
                  </w:r>
                </w:p>
              </w:tc>
              <w:tc>
                <w:tcPr>
                  <w:tcW w:w="843" w:type="pct"/>
                  <w:tcMar>
                    <w:top w:w="57" w:type="dxa"/>
                  </w:tcMar>
                  <w:vAlign w:val="center"/>
                </w:tcPr>
                <w:p>
                  <w:pPr>
                    <w:pStyle w:val="33"/>
                    <w:bidi w:val="0"/>
                    <w:spacing w:line="240" w:lineRule="auto"/>
                    <w:rPr>
                      <w:rFonts w:hint="default"/>
                      <w:color w:val="auto"/>
                      <w:lang w:val="en-US"/>
                    </w:rPr>
                  </w:pPr>
                  <w:r>
                    <w:rPr>
                      <w:rFonts w:hint="default"/>
                      <w:color w:val="auto"/>
                    </w:rPr>
                    <w:t>0</w:t>
                  </w:r>
                  <w:r>
                    <w:rPr>
                      <w:rFonts w:hint="eastAsia"/>
                      <w:color w:val="auto"/>
                      <w:lang w:eastAsia="zh-CN"/>
                    </w:rPr>
                    <w:t>~</w:t>
                  </w:r>
                  <w:r>
                    <w:rPr>
                      <w:rFonts w:hint="eastAsia"/>
                      <w:color w:val="auto"/>
                      <w:lang w:val="en-US" w:eastAsia="zh-CN"/>
                    </w:rPr>
                    <w:t>300</w:t>
                  </w:r>
                </w:p>
              </w:tc>
              <w:tc>
                <w:tcPr>
                  <w:tcW w:w="843" w:type="pct"/>
                  <w:tcMar>
                    <w:top w:w="57" w:type="dxa"/>
                  </w:tcMar>
                  <w:vAlign w:val="center"/>
                </w:tcPr>
                <w:p>
                  <w:pPr>
                    <w:pStyle w:val="33"/>
                    <w:bidi w:val="0"/>
                    <w:spacing w:line="240" w:lineRule="auto"/>
                    <w:rPr>
                      <w:rFonts w:hint="default"/>
                      <w:color w:val="auto"/>
                      <w:lang w:val="en-US" w:eastAsia="zh-CN"/>
                    </w:rPr>
                  </w:pPr>
                  <w:r>
                    <w:rPr>
                      <w:rFonts w:hint="eastAsia"/>
                      <w:color w:val="auto"/>
                      <w:lang w:val="en-US" w:eastAsia="zh-CN"/>
                    </w:rPr>
                    <w:t>762.0</w:t>
                  </w:r>
                </w:p>
              </w:tc>
              <w:tc>
                <w:tcPr>
                  <w:tcW w:w="843" w:type="pct"/>
                  <w:tcMar>
                    <w:top w:w="57" w:type="dxa"/>
                  </w:tcMar>
                  <w:vAlign w:val="center"/>
                </w:tcPr>
                <w:p>
                  <w:pPr>
                    <w:pStyle w:val="33"/>
                    <w:bidi w:val="0"/>
                    <w:spacing w:line="240" w:lineRule="auto"/>
                    <w:rPr>
                      <w:rFonts w:hint="default"/>
                      <w:color w:val="auto"/>
                      <w:lang w:val="en-US" w:eastAsia="zh-CN"/>
                    </w:rPr>
                  </w:pPr>
                  <w:r>
                    <w:rPr>
                      <w:rFonts w:hint="eastAsia"/>
                      <w:color w:val="auto"/>
                      <w:lang w:val="en-US" w:eastAsia="zh-CN"/>
                    </w:rPr>
                    <w:t>609.6</w:t>
                  </w:r>
                </w:p>
              </w:tc>
              <w:tc>
                <w:tcPr>
                  <w:tcW w:w="845" w:type="pct"/>
                  <w:tcMar>
                    <w:top w:w="57" w:type="dxa"/>
                  </w:tcMar>
                  <w:vAlign w:val="center"/>
                </w:tcPr>
                <w:p>
                  <w:pPr>
                    <w:pStyle w:val="33"/>
                    <w:bidi w:val="0"/>
                    <w:spacing w:line="240" w:lineRule="auto"/>
                    <w:rPr>
                      <w:rFonts w:hint="default"/>
                      <w:color w:val="auto"/>
                    </w:rPr>
                  </w:pPr>
                  <w:r>
                    <w:rPr>
                      <w:rFonts w:hint="eastAsia"/>
                      <w:color w:val="auto"/>
                      <w:lang w:val="en-US" w:eastAsia="zh-CN"/>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81" w:type="pct"/>
                  <w:vMerge w:val="continue"/>
                  <w:vAlign w:val="center"/>
                </w:tcPr>
                <w:p>
                  <w:pPr>
                    <w:pStyle w:val="33"/>
                    <w:bidi w:val="0"/>
                    <w:spacing w:line="240" w:lineRule="auto"/>
                    <w:rPr>
                      <w:rFonts w:hint="default"/>
                      <w:color w:val="auto"/>
                    </w:rPr>
                  </w:pPr>
                </w:p>
              </w:tc>
              <w:tc>
                <w:tcPr>
                  <w:tcW w:w="843" w:type="pct"/>
                  <w:tcMar>
                    <w:top w:w="57" w:type="dxa"/>
                  </w:tcMar>
                  <w:vAlign w:val="center"/>
                </w:tcPr>
                <w:p>
                  <w:pPr>
                    <w:pStyle w:val="33"/>
                    <w:bidi w:val="0"/>
                    <w:spacing w:line="240" w:lineRule="auto"/>
                    <w:rPr>
                      <w:rFonts w:hint="default"/>
                      <w:color w:val="auto"/>
                    </w:rPr>
                  </w:pPr>
                  <w:r>
                    <w:rPr>
                      <w:rFonts w:hint="default"/>
                      <w:color w:val="auto"/>
                    </w:rPr>
                    <w:t>二开</w:t>
                  </w:r>
                </w:p>
              </w:tc>
              <w:tc>
                <w:tcPr>
                  <w:tcW w:w="843" w:type="pct"/>
                  <w:tcMar>
                    <w:top w:w="57" w:type="dxa"/>
                  </w:tcMar>
                  <w:vAlign w:val="center"/>
                </w:tcPr>
                <w:p>
                  <w:pPr>
                    <w:pStyle w:val="33"/>
                    <w:bidi w:val="0"/>
                    <w:spacing w:line="240" w:lineRule="auto"/>
                    <w:rPr>
                      <w:rFonts w:hint="default"/>
                      <w:color w:val="auto"/>
                      <w:lang w:val="en-US" w:eastAsia="zh-CN"/>
                    </w:rPr>
                  </w:pPr>
                  <w:r>
                    <w:rPr>
                      <w:rFonts w:hint="eastAsia"/>
                      <w:color w:val="auto"/>
                      <w:lang w:eastAsia="zh-CN"/>
                    </w:rPr>
                    <w:t>~</w:t>
                  </w:r>
                  <w:r>
                    <w:rPr>
                      <w:rFonts w:hint="eastAsia"/>
                      <w:color w:val="auto"/>
                      <w:lang w:val="en-US" w:eastAsia="zh-CN"/>
                    </w:rPr>
                    <w:t>3050</w:t>
                  </w:r>
                </w:p>
              </w:tc>
              <w:tc>
                <w:tcPr>
                  <w:tcW w:w="843" w:type="pct"/>
                  <w:tcMar>
                    <w:top w:w="57" w:type="dxa"/>
                  </w:tcMar>
                  <w:vAlign w:val="center"/>
                </w:tcPr>
                <w:p>
                  <w:pPr>
                    <w:pStyle w:val="33"/>
                    <w:bidi w:val="0"/>
                    <w:spacing w:line="240" w:lineRule="auto"/>
                    <w:rPr>
                      <w:rFonts w:hint="default"/>
                      <w:color w:val="auto"/>
                      <w:lang w:val="en-US" w:eastAsia="zh-CN"/>
                    </w:rPr>
                  </w:pPr>
                  <w:r>
                    <w:rPr>
                      <w:rFonts w:hint="eastAsia"/>
                      <w:color w:val="auto"/>
                      <w:lang w:val="en-US" w:eastAsia="zh-CN"/>
                    </w:rPr>
                    <w:t>571.5</w:t>
                  </w:r>
                </w:p>
              </w:tc>
              <w:tc>
                <w:tcPr>
                  <w:tcW w:w="843" w:type="pct"/>
                  <w:tcMar>
                    <w:top w:w="57" w:type="dxa"/>
                  </w:tcMar>
                  <w:vAlign w:val="center"/>
                </w:tcPr>
                <w:p>
                  <w:pPr>
                    <w:pStyle w:val="33"/>
                    <w:bidi w:val="0"/>
                    <w:spacing w:line="240" w:lineRule="auto"/>
                    <w:rPr>
                      <w:rFonts w:hint="default"/>
                      <w:color w:val="auto"/>
                      <w:lang w:val="en-US" w:eastAsia="zh-CN"/>
                    </w:rPr>
                  </w:pPr>
                  <w:r>
                    <w:rPr>
                      <w:rFonts w:hint="eastAsia"/>
                      <w:color w:val="auto"/>
                      <w:lang w:val="en-US" w:eastAsia="zh-CN"/>
                    </w:rPr>
                    <w:t>473.1</w:t>
                  </w:r>
                </w:p>
              </w:tc>
              <w:tc>
                <w:tcPr>
                  <w:tcW w:w="845" w:type="pct"/>
                  <w:tcMar>
                    <w:top w:w="57" w:type="dxa"/>
                  </w:tcMar>
                  <w:vAlign w:val="center"/>
                </w:tcPr>
                <w:p>
                  <w:pPr>
                    <w:pStyle w:val="33"/>
                    <w:bidi w:val="0"/>
                    <w:spacing w:line="240" w:lineRule="auto"/>
                    <w:rPr>
                      <w:rFonts w:hint="default"/>
                      <w:color w:val="auto"/>
                      <w:lang w:val="en-US" w:eastAsia="zh-CN"/>
                    </w:rPr>
                  </w:pPr>
                  <w:r>
                    <w:rPr>
                      <w:rFonts w:hint="eastAsia"/>
                      <w:color w:val="auto"/>
                      <w:lang w:val="en-US" w:eastAsia="zh-CN"/>
                    </w:rPr>
                    <w:t>3050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81" w:type="pct"/>
                  <w:vMerge w:val="continue"/>
                  <w:vAlign w:val="center"/>
                </w:tcPr>
                <w:p>
                  <w:pPr>
                    <w:pStyle w:val="33"/>
                    <w:bidi w:val="0"/>
                    <w:spacing w:line="240" w:lineRule="auto"/>
                    <w:rPr>
                      <w:rFonts w:hint="default"/>
                      <w:color w:val="auto"/>
                    </w:rPr>
                  </w:pPr>
                </w:p>
              </w:tc>
              <w:tc>
                <w:tcPr>
                  <w:tcW w:w="843" w:type="pct"/>
                  <w:tcMar>
                    <w:top w:w="57" w:type="dxa"/>
                  </w:tcMar>
                  <w:vAlign w:val="center"/>
                </w:tcPr>
                <w:p>
                  <w:pPr>
                    <w:pStyle w:val="33"/>
                    <w:bidi w:val="0"/>
                    <w:spacing w:line="240" w:lineRule="auto"/>
                    <w:rPr>
                      <w:rFonts w:hint="default"/>
                      <w:color w:val="auto"/>
                    </w:rPr>
                  </w:pPr>
                  <w:r>
                    <w:rPr>
                      <w:rFonts w:hint="default"/>
                      <w:color w:val="auto"/>
                    </w:rPr>
                    <w:t>三开</w:t>
                  </w:r>
                </w:p>
              </w:tc>
              <w:tc>
                <w:tcPr>
                  <w:tcW w:w="843" w:type="pct"/>
                  <w:tcMar>
                    <w:top w:w="57" w:type="dxa"/>
                  </w:tcMar>
                  <w:vAlign w:val="center"/>
                </w:tcPr>
                <w:p>
                  <w:pPr>
                    <w:pStyle w:val="33"/>
                    <w:bidi w:val="0"/>
                    <w:spacing w:line="240" w:lineRule="auto"/>
                    <w:rPr>
                      <w:rFonts w:hint="default"/>
                      <w:color w:val="auto"/>
                      <w:lang w:val="en-US" w:eastAsia="zh-CN"/>
                    </w:rPr>
                  </w:pPr>
                  <w:r>
                    <w:rPr>
                      <w:rFonts w:hint="eastAsia"/>
                      <w:color w:val="auto"/>
                      <w:lang w:eastAsia="zh-CN"/>
                    </w:rPr>
                    <w:t>~</w:t>
                  </w:r>
                  <w:r>
                    <w:rPr>
                      <w:rFonts w:hint="eastAsia"/>
                      <w:color w:val="auto"/>
                      <w:lang w:val="en-US" w:eastAsia="zh-CN"/>
                    </w:rPr>
                    <w:t>5390</w:t>
                  </w:r>
                </w:p>
              </w:tc>
              <w:tc>
                <w:tcPr>
                  <w:tcW w:w="843" w:type="pct"/>
                  <w:tcMar>
                    <w:top w:w="57" w:type="dxa"/>
                  </w:tcMar>
                  <w:vAlign w:val="center"/>
                </w:tcPr>
                <w:p>
                  <w:pPr>
                    <w:pStyle w:val="33"/>
                    <w:bidi w:val="0"/>
                    <w:spacing w:line="240" w:lineRule="auto"/>
                    <w:rPr>
                      <w:rFonts w:hint="default"/>
                      <w:color w:val="auto"/>
                      <w:lang w:val="en-US" w:eastAsia="zh-CN"/>
                    </w:rPr>
                  </w:pPr>
                  <w:r>
                    <w:rPr>
                      <w:rFonts w:hint="eastAsia"/>
                      <w:color w:val="auto"/>
                      <w:lang w:val="en-US" w:eastAsia="zh-CN"/>
                    </w:rPr>
                    <w:t>431.8</w:t>
                  </w:r>
                </w:p>
              </w:tc>
              <w:tc>
                <w:tcPr>
                  <w:tcW w:w="843" w:type="pct"/>
                  <w:tcMar>
                    <w:top w:w="57" w:type="dxa"/>
                  </w:tcMar>
                  <w:vAlign w:val="center"/>
                </w:tcPr>
                <w:p>
                  <w:pPr>
                    <w:pStyle w:val="33"/>
                    <w:bidi w:val="0"/>
                    <w:spacing w:line="240" w:lineRule="auto"/>
                    <w:rPr>
                      <w:rFonts w:hint="default"/>
                      <w:color w:val="auto"/>
                      <w:lang w:val="en-US" w:eastAsia="zh-CN"/>
                    </w:rPr>
                  </w:pPr>
                  <w:r>
                    <w:rPr>
                      <w:rFonts w:hint="eastAsia"/>
                      <w:color w:val="auto"/>
                      <w:lang w:val="en-US" w:eastAsia="zh-CN"/>
                    </w:rPr>
                    <w:t>365.1</w:t>
                  </w:r>
                </w:p>
              </w:tc>
              <w:tc>
                <w:tcPr>
                  <w:tcW w:w="845" w:type="pct"/>
                  <w:tcMar>
                    <w:top w:w="57" w:type="dxa"/>
                  </w:tcMar>
                  <w:vAlign w:val="center"/>
                </w:tcPr>
                <w:p>
                  <w:pPr>
                    <w:pStyle w:val="33"/>
                    <w:bidi w:val="0"/>
                    <w:spacing w:line="240" w:lineRule="auto"/>
                    <w:rPr>
                      <w:rFonts w:hint="default"/>
                      <w:color w:val="auto"/>
                      <w:lang w:val="en-US" w:eastAsia="zh-CN"/>
                    </w:rPr>
                  </w:pPr>
                  <w:r>
                    <w:rPr>
                      <w:rFonts w:hint="eastAsia"/>
                      <w:color w:val="auto"/>
                      <w:lang w:val="en-US" w:eastAsia="zh-CN"/>
                    </w:rPr>
                    <w:t>5390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81" w:type="pct"/>
                  <w:vMerge w:val="continue"/>
                  <w:vAlign w:val="center"/>
                </w:tcPr>
                <w:p>
                  <w:pPr>
                    <w:pStyle w:val="33"/>
                    <w:bidi w:val="0"/>
                    <w:spacing w:line="240" w:lineRule="auto"/>
                    <w:rPr>
                      <w:rFonts w:hint="default"/>
                      <w:color w:val="auto"/>
                    </w:rPr>
                  </w:pPr>
                </w:p>
              </w:tc>
              <w:tc>
                <w:tcPr>
                  <w:tcW w:w="843" w:type="pct"/>
                  <w:tcMar>
                    <w:top w:w="57" w:type="dxa"/>
                  </w:tcMar>
                  <w:vAlign w:val="center"/>
                </w:tcPr>
                <w:p>
                  <w:pPr>
                    <w:pStyle w:val="33"/>
                    <w:bidi w:val="0"/>
                    <w:spacing w:line="240" w:lineRule="auto"/>
                    <w:rPr>
                      <w:rFonts w:hint="eastAsia"/>
                      <w:color w:val="auto"/>
                      <w:lang w:val="en-US" w:eastAsia="zh-CN"/>
                    </w:rPr>
                  </w:pPr>
                  <w:r>
                    <w:rPr>
                      <w:rFonts w:hint="eastAsia"/>
                      <w:color w:val="auto"/>
                      <w:lang w:val="en-US" w:eastAsia="zh-CN"/>
                    </w:rPr>
                    <w:t>四开</w:t>
                  </w:r>
                </w:p>
              </w:tc>
              <w:tc>
                <w:tcPr>
                  <w:tcW w:w="843" w:type="pct"/>
                  <w:tcMar>
                    <w:top w:w="57" w:type="dxa"/>
                  </w:tcMar>
                  <w:vAlign w:val="center"/>
                </w:tcPr>
                <w:p>
                  <w:pPr>
                    <w:pStyle w:val="33"/>
                    <w:bidi w:val="0"/>
                    <w:spacing w:line="240" w:lineRule="auto"/>
                    <w:rPr>
                      <w:rFonts w:hint="default"/>
                      <w:color w:val="auto"/>
                      <w:lang w:val="en-US" w:eastAsia="zh-CN"/>
                    </w:rPr>
                  </w:pPr>
                  <w:r>
                    <w:rPr>
                      <w:rFonts w:hint="eastAsia"/>
                      <w:color w:val="auto"/>
                      <w:lang w:eastAsia="zh-CN"/>
                    </w:rPr>
                    <w:t>~</w:t>
                  </w:r>
                  <w:r>
                    <w:rPr>
                      <w:rFonts w:hint="eastAsia"/>
                      <w:color w:val="auto"/>
                      <w:lang w:val="en-US" w:eastAsia="zh-CN"/>
                    </w:rPr>
                    <w:t>6700</w:t>
                  </w:r>
                </w:p>
              </w:tc>
              <w:tc>
                <w:tcPr>
                  <w:tcW w:w="843" w:type="pct"/>
                  <w:tcMar>
                    <w:top w:w="57" w:type="dxa"/>
                  </w:tcMar>
                  <w:vAlign w:val="center"/>
                </w:tcPr>
                <w:p>
                  <w:pPr>
                    <w:pStyle w:val="33"/>
                    <w:bidi w:val="0"/>
                    <w:spacing w:line="240" w:lineRule="auto"/>
                    <w:rPr>
                      <w:rFonts w:hint="default"/>
                      <w:color w:val="auto"/>
                      <w:lang w:val="en-US" w:eastAsia="zh-CN"/>
                    </w:rPr>
                  </w:pPr>
                  <w:r>
                    <w:rPr>
                      <w:rFonts w:hint="eastAsia"/>
                      <w:color w:val="auto"/>
                      <w:lang w:val="en-US" w:eastAsia="zh-CN"/>
                    </w:rPr>
                    <w:t>333.4</w:t>
                  </w:r>
                </w:p>
              </w:tc>
              <w:tc>
                <w:tcPr>
                  <w:tcW w:w="843" w:type="pct"/>
                  <w:tcMar>
                    <w:top w:w="57" w:type="dxa"/>
                  </w:tcMar>
                  <w:vAlign w:val="center"/>
                </w:tcPr>
                <w:p>
                  <w:pPr>
                    <w:pStyle w:val="33"/>
                    <w:bidi w:val="0"/>
                    <w:spacing w:line="240" w:lineRule="auto"/>
                    <w:rPr>
                      <w:rFonts w:hint="default"/>
                      <w:color w:val="auto"/>
                      <w:lang w:val="en-US" w:eastAsia="zh-CN"/>
                    </w:rPr>
                  </w:pPr>
                  <w:r>
                    <w:rPr>
                      <w:rFonts w:hint="eastAsia"/>
                      <w:color w:val="auto"/>
                      <w:lang w:val="en-US" w:eastAsia="zh-CN"/>
                    </w:rPr>
                    <w:t>273.1</w:t>
                  </w:r>
                </w:p>
              </w:tc>
              <w:tc>
                <w:tcPr>
                  <w:tcW w:w="845" w:type="pct"/>
                  <w:tcMar>
                    <w:top w:w="57" w:type="dxa"/>
                  </w:tcMar>
                  <w:vAlign w:val="center"/>
                </w:tcPr>
                <w:p>
                  <w:pPr>
                    <w:pStyle w:val="33"/>
                    <w:bidi w:val="0"/>
                    <w:spacing w:line="240" w:lineRule="auto"/>
                    <w:rPr>
                      <w:rFonts w:hint="default"/>
                      <w:color w:val="auto"/>
                      <w:lang w:val="en-US" w:eastAsia="zh-CN"/>
                    </w:rPr>
                  </w:pPr>
                  <w:r>
                    <w:rPr>
                      <w:rFonts w:hint="eastAsia"/>
                      <w:color w:val="auto"/>
                      <w:lang w:val="en-US" w:eastAsia="zh-CN"/>
                    </w:rPr>
                    <w:t>6700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81" w:type="pct"/>
                  <w:vMerge w:val="continue"/>
                  <w:vAlign w:val="center"/>
                </w:tcPr>
                <w:p>
                  <w:pPr>
                    <w:pStyle w:val="33"/>
                    <w:bidi w:val="0"/>
                    <w:spacing w:line="240" w:lineRule="auto"/>
                    <w:rPr>
                      <w:rFonts w:hint="default"/>
                      <w:color w:val="auto"/>
                    </w:rPr>
                  </w:pPr>
                </w:p>
              </w:tc>
              <w:tc>
                <w:tcPr>
                  <w:tcW w:w="843" w:type="pct"/>
                  <w:vMerge w:val="restart"/>
                  <w:tcMar>
                    <w:top w:w="57" w:type="dxa"/>
                  </w:tcMar>
                  <w:vAlign w:val="center"/>
                </w:tcPr>
                <w:p>
                  <w:pPr>
                    <w:pStyle w:val="33"/>
                    <w:bidi w:val="0"/>
                    <w:spacing w:line="240" w:lineRule="auto"/>
                    <w:rPr>
                      <w:rFonts w:hint="eastAsia"/>
                      <w:color w:val="auto"/>
                      <w:lang w:val="en-US" w:eastAsia="zh-CN"/>
                    </w:rPr>
                  </w:pPr>
                  <w:r>
                    <w:rPr>
                      <w:rFonts w:hint="eastAsia"/>
                      <w:color w:val="auto"/>
                      <w:lang w:val="en-US" w:eastAsia="zh-CN"/>
                    </w:rPr>
                    <w:t>五开</w:t>
                  </w:r>
                </w:p>
              </w:tc>
              <w:tc>
                <w:tcPr>
                  <w:tcW w:w="843" w:type="pct"/>
                  <w:tcMar>
                    <w:top w:w="57" w:type="dxa"/>
                  </w:tcMar>
                  <w:vAlign w:val="center"/>
                </w:tcPr>
                <w:p>
                  <w:pPr>
                    <w:pStyle w:val="33"/>
                    <w:bidi w:val="0"/>
                    <w:spacing w:line="240" w:lineRule="auto"/>
                    <w:rPr>
                      <w:rFonts w:hint="default"/>
                      <w:color w:val="auto"/>
                      <w:lang w:val="en-US" w:eastAsia="zh-CN"/>
                    </w:rPr>
                  </w:pPr>
                  <w:r>
                    <w:rPr>
                      <w:rFonts w:hint="eastAsia"/>
                      <w:color w:val="auto"/>
                      <w:lang w:eastAsia="zh-CN"/>
                    </w:rPr>
                    <w:t>~</w:t>
                  </w:r>
                  <w:r>
                    <w:rPr>
                      <w:rFonts w:hint="eastAsia"/>
                      <w:color w:val="auto"/>
                      <w:lang w:val="en-US" w:eastAsia="zh-CN"/>
                    </w:rPr>
                    <w:t>7300</w:t>
                  </w:r>
                </w:p>
              </w:tc>
              <w:tc>
                <w:tcPr>
                  <w:tcW w:w="843" w:type="pct"/>
                  <w:tcMar>
                    <w:top w:w="57" w:type="dxa"/>
                  </w:tcMar>
                  <w:vAlign w:val="center"/>
                </w:tcPr>
                <w:p>
                  <w:pPr>
                    <w:pStyle w:val="33"/>
                    <w:bidi w:val="0"/>
                    <w:spacing w:line="240" w:lineRule="auto"/>
                    <w:rPr>
                      <w:rFonts w:hint="default"/>
                      <w:color w:val="auto"/>
                      <w:lang w:val="en-US" w:eastAsia="zh-CN"/>
                    </w:rPr>
                  </w:pPr>
                  <w:r>
                    <w:rPr>
                      <w:rFonts w:hint="eastAsia"/>
                      <w:color w:val="auto"/>
                      <w:lang w:val="en-US" w:eastAsia="zh-CN"/>
                    </w:rPr>
                    <w:t>241.3扩260</w:t>
                  </w:r>
                </w:p>
              </w:tc>
              <w:tc>
                <w:tcPr>
                  <w:tcW w:w="843" w:type="pct"/>
                  <w:tcMar>
                    <w:top w:w="57" w:type="dxa"/>
                  </w:tcMar>
                  <w:vAlign w:val="center"/>
                </w:tcPr>
                <w:p>
                  <w:pPr>
                    <w:pStyle w:val="33"/>
                    <w:bidi w:val="0"/>
                    <w:spacing w:line="240" w:lineRule="auto"/>
                    <w:rPr>
                      <w:rFonts w:hint="default"/>
                      <w:color w:val="auto"/>
                      <w:lang w:val="en-US" w:eastAsia="zh-CN"/>
                    </w:rPr>
                  </w:pPr>
                  <w:r>
                    <w:rPr>
                      <w:rFonts w:hint="eastAsia"/>
                      <w:color w:val="auto"/>
                      <w:lang w:val="en-US" w:eastAsia="zh-CN"/>
                    </w:rPr>
                    <w:t>139.7</w:t>
                  </w:r>
                </w:p>
              </w:tc>
              <w:tc>
                <w:tcPr>
                  <w:tcW w:w="845" w:type="pct"/>
                  <w:tcMar>
                    <w:top w:w="57" w:type="dxa"/>
                  </w:tcMar>
                  <w:vAlign w:val="center"/>
                </w:tcPr>
                <w:p>
                  <w:pPr>
                    <w:pStyle w:val="33"/>
                    <w:bidi w:val="0"/>
                    <w:spacing w:line="240" w:lineRule="auto"/>
                    <w:rPr>
                      <w:rFonts w:hint="default"/>
                      <w:color w:val="auto"/>
                      <w:lang w:val="en-US" w:eastAsia="zh-CN"/>
                    </w:rPr>
                  </w:pPr>
                  <w:r>
                    <w:rPr>
                      <w:rFonts w:hint="eastAsia"/>
                      <w:color w:val="auto"/>
                      <w:lang w:val="en-US" w:eastAsia="zh-CN"/>
                    </w:rPr>
                    <w:t>7300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81" w:type="pct"/>
                  <w:vMerge w:val="continue"/>
                  <w:vAlign w:val="center"/>
                </w:tcPr>
                <w:p>
                  <w:pPr>
                    <w:pStyle w:val="33"/>
                    <w:bidi w:val="0"/>
                    <w:spacing w:line="240" w:lineRule="auto"/>
                    <w:rPr>
                      <w:rFonts w:hint="default"/>
                      <w:color w:val="auto"/>
                    </w:rPr>
                  </w:pPr>
                </w:p>
              </w:tc>
              <w:tc>
                <w:tcPr>
                  <w:tcW w:w="843" w:type="pct"/>
                  <w:vMerge w:val="continue"/>
                  <w:tcMar>
                    <w:top w:w="57" w:type="dxa"/>
                  </w:tcMar>
                  <w:vAlign w:val="center"/>
                </w:tcPr>
                <w:p>
                  <w:pPr>
                    <w:pStyle w:val="33"/>
                    <w:bidi w:val="0"/>
                    <w:spacing w:line="240" w:lineRule="auto"/>
                    <w:rPr>
                      <w:rFonts w:hint="eastAsia"/>
                      <w:color w:val="auto"/>
                      <w:lang w:val="en-US" w:eastAsia="zh-CN"/>
                    </w:rPr>
                  </w:pPr>
                </w:p>
              </w:tc>
              <w:tc>
                <w:tcPr>
                  <w:tcW w:w="843" w:type="pct"/>
                  <w:shd w:val="clear" w:color="auto" w:fill="auto"/>
                  <w:tcMar>
                    <w:top w:w="57" w:type="dxa"/>
                  </w:tcMar>
                  <w:vAlign w:val="center"/>
                </w:tcPr>
                <w:p>
                  <w:pPr>
                    <w:pStyle w:val="33"/>
                    <w:bidi w:val="0"/>
                    <w:spacing w:line="240" w:lineRule="auto"/>
                    <w:rPr>
                      <w:rFonts w:hint="default"/>
                      <w:color w:val="auto"/>
                      <w:lang w:val="en-US" w:eastAsia="zh-CN"/>
                    </w:rPr>
                  </w:pPr>
                  <w:r>
                    <w:rPr>
                      <w:rFonts w:hint="eastAsia"/>
                      <w:color w:val="auto"/>
                      <w:lang w:eastAsia="zh-CN"/>
                    </w:rPr>
                    <w:t>~</w:t>
                  </w:r>
                  <w:r>
                    <w:rPr>
                      <w:rFonts w:hint="eastAsia"/>
                      <w:color w:val="auto"/>
                      <w:lang w:val="en-US" w:eastAsia="zh-CN"/>
                    </w:rPr>
                    <w:t>8750</w:t>
                  </w:r>
                </w:p>
              </w:tc>
              <w:tc>
                <w:tcPr>
                  <w:tcW w:w="843" w:type="pct"/>
                  <w:tcMar>
                    <w:top w:w="57" w:type="dxa"/>
                  </w:tcMar>
                  <w:vAlign w:val="center"/>
                </w:tcPr>
                <w:p>
                  <w:pPr>
                    <w:pStyle w:val="33"/>
                    <w:bidi w:val="0"/>
                    <w:spacing w:line="240" w:lineRule="auto"/>
                    <w:rPr>
                      <w:rFonts w:hint="eastAsia"/>
                      <w:color w:val="auto"/>
                      <w:lang w:val="en-US" w:eastAsia="zh-CN"/>
                    </w:rPr>
                  </w:pPr>
                  <w:r>
                    <w:rPr>
                      <w:rFonts w:hint="eastAsia"/>
                      <w:color w:val="auto"/>
                      <w:lang w:val="en-US" w:eastAsia="zh-CN"/>
                    </w:rPr>
                    <w:t>215.9</w:t>
                  </w:r>
                </w:p>
              </w:tc>
              <w:tc>
                <w:tcPr>
                  <w:tcW w:w="843" w:type="pct"/>
                  <w:tcMar>
                    <w:top w:w="57" w:type="dxa"/>
                  </w:tcMar>
                  <w:vAlign w:val="center"/>
                </w:tcPr>
                <w:p>
                  <w:pPr>
                    <w:pStyle w:val="33"/>
                    <w:bidi w:val="0"/>
                    <w:spacing w:line="240" w:lineRule="auto"/>
                    <w:rPr>
                      <w:rFonts w:hint="eastAsia"/>
                      <w:color w:val="auto"/>
                      <w:lang w:val="en-US" w:eastAsia="zh-CN"/>
                    </w:rPr>
                  </w:pPr>
                  <w:r>
                    <w:rPr>
                      <w:rFonts w:hint="eastAsia"/>
                      <w:color w:val="auto"/>
                      <w:lang w:val="en-US" w:eastAsia="zh-CN"/>
                    </w:rPr>
                    <w:t>168.3</w:t>
                  </w:r>
                </w:p>
              </w:tc>
              <w:tc>
                <w:tcPr>
                  <w:tcW w:w="845" w:type="pct"/>
                  <w:shd w:val="clear" w:color="auto" w:fill="auto"/>
                  <w:tcMar>
                    <w:top w:w="57" w:type="dxa"/>
                  </w:tcMar>
                  <w:vAlign w:val="center"/>
                </w:tcPr>
                <w:p>
                  <w:pPr>
                    <w:pStyle w:val="33"/>
                    <w:bidi w:val="0"/>
                    <w:spacing w:line="240" w:lineRule="auto"/>
                    <w:rPr>
                      <w:rFonts w:hint="eastAsia"/>
                      <w:color w:val="auto"/>
                      <w:lang w:val="en-US" w:eastAsia="zh-CN"/>
                    </w:rPr>
                  </w:pPr>
                  <w:r>
                    <w:rPr>
                      <w:rFonts w:hint="eastAsia"/>
                      <w:color w:val="auto"/>
                      <w:lang w:val="en-US" w:eastAsia="zh-CN"/>
                    </w:rPr>
                    <w:t>8750</w:t>
                  </w:r>
                </w:p>
              </w:tc>
            </w:tr>
            <w:bookmarkEnd w:id="12"/>
          </w:tbl>
          <w:p>
            <w:pPr>
              <w:pStyle w:val="36"/>
              <w:bidi w:val="0"/>
              <w:rPr>
                <w:rFonts w:hint="default"/>
                <w:color w:val="auto"/>
              </w:rPr>
            </w:pPr>
            <w:r>
              <w:rPr>
                <w:rFonts w:hint="default"/>
                <w:color w:val="auto"/>
              </w:rPr>
              <w:t>③钻井设备</w:t>
            </w:r>
          </w:p>
          <w:p>
            <w:pPr>
              <w:pStyle w:val="36"/>
              <w:bidi w:val="0"/>
              <w:rPr>
                <w:rFonts w:hint="default"/>
                <w:color w:val="auto"/>
              </w:rPr>
            </w:pPr>
            <w:r>
              <w:rPr>
                <w:rFonts w:hint="default"/>
                <w:color w:val="auto"/>
              </w:rPr>
              <w:t>钻井设备包括钻机、井架、钻井泵、柴油机、发电机等，主要钻井设备见</w:t>
            </w:r>
            <w:r>
              <w:rPr>
                <w:rFonts w:hint="eastAsia" w:ascii="Times New Roman" w:eastAsia="宋体"/>
                <w:color w:val="auto"/>
                <w:lang w:val="en-US" w:eastAsia="zh-CN"/>
              </w:rPr>
              <w:t>下表</w:t>
            </w:r>
            <w:r>
              <w:rPr>
                <w:rFonts w:hint="default"/>
                <w:color w:val="auto"/>
              </w:rPr>
              <w:t>。</w:t>
            </w:r>
          </w:p>
          <w:p>
            <w:pPr>
              <w:pStyle w:val="52"/>
              <w:bidi w:val="0"/>
              <w:rPr>
                <w:rFonts w:hint="default"/>
                <w:color w:val="auto"/>
              </w:rPr>
            </w:pPr>
            <w:bookmarkStart w:id="13" w:name="_Ref19636829"/>
            <w:r>
              <w:rPr>
                <w:rFonts w:hint="default"/>
                <w:color w:val="auto"/>
              </w:rPr>
              <w:t>表</w:t>
            </w:r>
            <w:bookmarkEnd w:id="13"/>
            <w:r>
              <w:rPr>
                <w:rFonts w:hint="default"/>
                <w:color w:val="auto"/>
                <w:lang w:val="en-US" w:eastAsia="zh-CN"/>
              </w:rPr>
              <w:t>2-</w:t>
            </w:r>
            <w:r>
              <w:rPr>
                <w:rFonts w:hint="default"/>
                <w:color w:val="auto"/>
              </w:rPr>
              <w:t>4  主要钻井设备一览表</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3" w:type="dxa"/>
                <w:bottom w:w="0" w:type="dxa"/>
                <w:right w:w="23" w:type="dxa"/>
              </w:tblCellMar>
            </w:tblPr>
            <w:tblGrid>
              <w:gridCol w:w="520"/>
              <w:gridCol w:w="621"/>
              <w:gridCol w:w="517"/>
              <w:gridCol w:w="1373"/>
              <w:gridCol w:w="2088"/>
              <w:gridCol w:w="991"/>
              <w:gridCol w:w="17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tcBorders>
                    <w:tl2br w:val="nil"/>
                    <w:tr2bl w:val="nil"/>
                  </w:tcBorders>
                  <w:noWrap w:val="0"/>
                  <w:vAlign w:val="center"/>
                </w:tcPr>
                <w:p>
                  <w:pPr>
                    <w:pStyle w:val="33"/>
                    <w:bidi w:val="0"/>
                    <w:rPr>
                      <w:rFonts w:hint="default"/>
                      <w:color w:val="auto"/>
                    </w:rPr>
                  </w:pPr>
                  <w:r>
                    <w:rPr>
                      <w:rFonts w:hint="default"/>
                      <w:color w:val="auto"/>
                    </w:rPr>
                    <w:t>序号</w:t>
                  </w:r>
                </w:p>
              </w:tc>
              <w:tc>
                <w:tcPr>
                  <w:tcW w:w="1593" w:type="pct"/>
                  <w:gridSpan w:val="3"/>
                  <w:tcBorders>
                    <w:tl2br w:val="nil"/>
                    <w:tr2bl w:val="nil"/>
                  </w:tcBorders>
                  <w:noWrap w:val="0"/>
                  <w:vAlign w:val="center"/>
                </w:tcPr>
                <w:p>
                  <w:pPr>
                    <w:pStyle w:val="33"/>
                    <w:bidi w:val="0"/>
                    <w:rPr>
                      <w:rFonts w:hint="default"/>
                      <w:color w:val="auto"/>
                    </w:rPr>
                  </w:pPr>
                  <w:r>
                    <w:rPr>
                      <w:rFonts w:hint="default"/>
                      <w:color w:val="auto"/>
                    </w:rPr>
                    <w:t>名称</w:t>
                  </w:r>
                </w:p>
              </w:tc>
              <w:tc>
                <w:tcPr>
                  <w:tcW w:w="1325" w:type="pct"/>
                  <w:tcBorders>
                    <w:tl2br w:val="nil"/>
                    <w:tr2bl w:val="nil"/>
                  </w:tcBorders>
                  <w:noWrap w:val="0"/>
                  <w:vAlign w:val="center"/>
                </w:tcPr>
                <w:p>
                  <w:pPr>
                    <w:pStyle w:val="33"/>
                    <w:bidi w:val="0"/>
                    <w:rPr>
                      <w:rFonts w:hint="default"/>
                      <w:color w:val="auto"/>
                    </w:rPr>
                  </w:pPr>
                  <w:r>
                    <w:rPr>
                      <w:rFonts w:hint="default"/>
                      <w:color w:val="auto"/>
                    </w:rPr>
                    <w:t>型 号</w:t>
                  </w:r>
                </w:p>
              </w:tc>
              <w:tc>
                <w:tcPr>
                  <w:tcW w:w="629" w:type="pct"/>
                  <w:tcBorders>
                    <w:tl2br w:val="nil"/>
                    <w:tr2bl w:val="nil"/>
                  </w:tcBorders>
                  <w:noWrap w:val="0"/>
                  <w:vAlign w:val="center"/>
                </w:tcPr>
                <w:p>
                  <w:pPr>
                    <w:pStyle w:val="33"/>
                    <w:bidi w:val="0"/>
                    <w:rPr>
                      <w:rFonts w:hint="default"/>
                      <w:color w:val="auto"/>
                    </w:rPr>
                  </w:pPr>
                  <w:r>
                    <w:rPr>
                      <w:rFonts w:hint="default"/>
                      <w:color w:val="auto"/>
                    </w:rPr>
                    <w:t>功率</w:t>
                  </w:r>
                  <w:r>
                    <w:rPr>
                      <w:rFonts w:hint="eastAsia"/>
                      <w:color w:val="auto"/>
                      <w:lang w:eastAsia="zh-CN"/>
                    </w:rPr>
                    <w:t>（</w:t>
                  </w:r>
                  <w:r>
                    <w:rPr>
                      <w:rFonts w:hint="default"/>
                      <w:color w:val="auto"/>
                    </w:rPr>
                    <w:t>kW</w:t>
                  </w:r>
                  <w:r>
                    <w:rPr>
                      <w:rFonts w:hint="eastAsia"/>
                      <w:color w:val="auto"/>
                      <w:lang w:eastAsia="zh-CN"/>
                    </w:rPr>
                    <w:t>）</w:t>
                  </w:r>
                </w:p>
              </w:tc>
              <w:tc>
                <w:tcPr>
                  <w:tcW w:w="1121" w:type="pct"/>
                  <w:tcBorders>
                    <w:tl2br w:val="nil"/>
                    <w:tr2bl w:val="nil"/>
                  </w:tcBorders>
                  <w:noWrap w:val="0"/>
                  <w:vAlign w:val="center"/>
                </w:tcPr>
                <w:p>
                  <w:pPr>
                    <w:pStyle w:val="33"/>
                    <w:bidi w:val="0"/>
                    <w:rPr>
                      <w:rFonts w:hint="default"/>
                      <w:color w:val="auto"/>
                    </w:rPr>
                  </w:pPr>
                  <w:r>
                    <w:rPr>
                      <w:rFonts w:hint="default"/>
                      <w:color w:val="auto"/>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tcBorders>
                    <w:tl2br w:val="nil"/>
                    <w:tr2bl w:val="nil"/>
                  </w:tcBorders>
                  <w:noWrap w:val="0"/>
                  <w:vAlign w:val="center"/>
                </w:tcPr>
                <w:p>
                  <w:pPr>
                    <w:pStyle w:val="33"/>
                    <w:bidi w:val="0"/>
                    <w:rPr>
                      <w:rFonts w:hint="default"/>
                      <w:color w:val="auto"/>
                    </w:rPr>
                  </w:pPr>
                  <w:r>
                    <w:rPr>
                      <w:rFonts w:hint="default"/>
                      <w:color w:val="auto"/>
                    </w:rPr>
                    <w:t>一</w:t>
                  </w:r>
                </w:p>
              </w:tc>
              <w:tc>
                <w:tcPr>
                  <w:tcW w:w="1593" w:type="pct"/>
                  <w:gridSpan w:val="3"/>
                  <w:tcBorders>
                    <w:tl2br w:val="nil"/>
                    <w:tr2bl w:val="nil"/>
                  </w:tcBorders>
                  <w:noWrap w:val="0"/>
                  <w:vAlign w:val="center"/>
                </w:tcPr>
                <w:p>
                  <w:pPr>
                    <w:pStyle w:val="33"/>
                    <w:bidi w:val="0"/>
                    <w:rPr>
                      <w:rFonts w:hint="default"/>
                      <w:color w:val="auto"/>
                    </w:rPr>
                  </w:pPr>
                  <w:r>
                    <w:rPr>
                      <w:rFonts w:hint="default"/>
                      <w:color w:val="auto"/>
                    </w:rPr>
                    <w:t>钻   机</w:t>
                  </w:r>
                </w:p>
              </w:tc>
              <w:tc>
                <w:tcPr>
                  <w:tcW w:w="1325" w:type="pct"/>
                  <w:tcBorders>
                    <w:tl2br w:val="nil"/>
                    <w:tr2bl w:val="nil"/>
                  </w:tcBorders>
                  <w:noWrap w:val="0"/>
                  <w:vAlign w:val="center"/>
                </w:tcPr>
                <w:p>
                  <w:pPr>
                    <w:pStyle w:val="33"/>
                    <w:bidi w:val="0"/>
                    <w:rPr>
                      <w:rFonts w:hint="default"/>
                      <w:color w:val="auto"/>
                    </w:rPr>
                  </w:pPr>
                  <w:r>
                    <w:rPr>
                      <w:rFonts w:hint="default"/>
                      <w:color w:val="auto"/>
                    </w:rPr>
                    <w:t>ZJ90DB</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r>
                    <w:rPr>
                      <w:rFonts w:hint="default"/>
                      <w:color w:val="auto"/>
                    </w:rPr>
                    <w:t>净空高度≥10.5m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tcBorders>
                    <w:tl2br w:val="nil"/>
                    <w:tr2bl w:val="nil"/>
                  </w:tcBorders>
                  <w:noWrap w:val="0"/>
                  <w:vAlign w:val="center"/>
                </w:tcPr>
                <w:p>
                  <w:pPr>
                    <w:pStyle w:val="33"/>
                    <w:bidi w:val="0"/>
                    <w:rPr>
                      <w:rFonts w:hint="default"/>
                      <w:color w:val="auto"/>
                    </w:rPr>
                  </w:pPr>
                  <w:r>
                    <w:rPr>
                      <w:rFonts w:hint="default"/>
                      <w:color w:val="auto"/>
                    </w:rPr>
                    <w:t>二</w:t>
                  </w:r>
                </w:p>
              </w:tc>
              <w:tc>
                <w:tcPr>
                  <w:tcW w:w="1593" w:type="pct"/>
                  <w:gridSpan w:val="3"/>
                  <w:tcBorders>
                    <w:tl2br w:val="nil"/>
                    <w:tr2bl w:val="nil"/>
                  </w:tcBorders>
                  <w:noWrap w:val="0"/>
                  <w:vAlign w:val="center"/>
                </w:tcPr>
                <w:p>
                  <w:pPr>
                    <w:pStyle w:val="33"/>
                    <w:bidi w:val="0"/>
                    <w:rPr>
                      <w:rFonts w:hint="default"/>
                      <w:color w:val="auto"/>
                    </w:rPr>
                  </w:pPr>
                  <w:r>
                    <w:rPr>
                      <w:rFonts w:hint="default"/>
                      <w:color w:val="auto"/>
                    </w:rPr>
                    <w:t>井   架</w:t>
                  </w:r>
                </w:p>
              </w:tc>
              <w:tc>
                <w:tcPr>
                  <w:tcW w:w="1325" w:type="pct"/>
                  <w:tcBorders>
                    <w:tl2br w:val="nil"/>
                    <w:tr2bl w:val="nil"/>
                  </w:tcBorders>
                  <w:noWrap w:val="0"/>
                  <w:vAlign w:val="center"/>
                </w:tcPr>
                <w:p>
                  <w:pPr>
                    <w:pStyle w:val="33"/>
                    <w:bidi w:val="0"/>
                    <w:rPr>
                      <w:rFonts w:hint="default"/>
                      <w:color w:val="auto"/>
                    </w:rPr>
                  </w:pPr>
                  <w:r>
                    <w:rPr>
                      <w:rFonts w:hint="default"/>
                      <w:color w:val="auto"/>
                    </w:rPr>
                    <w:t>JJ675/48-K</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r>
                    <w:rPr>
                      <w:rFonts w:hint="default"/>
                      <w:color w:val="auto"/>
                    </w:rPr>
                    <w:t>载荷6750</w:t>
                  </w:r>
                  <w:r>
                    <w:rPr>
                      <w:rFonts w:hint="eastAsia" w:eastAsia="宋体"/>
                      <w:color w:val="auto"/>
                      <w:lang w:eastAsia="zh-CN"/>
                    </w:rPr>
                    <w:t>（</w:t>
                  </w:r>
                  <w:r>
                    <w:rPr>
                      <w:rFonts w:hint="default"/>
                      <w:color w:val="auto"/>
                    </w:rPr>
                    <w:t>kN</w:t>
                  </w:r>
                  <w:r>
                    <w:rPr>
                      <w:rFonts w:hint="eastAsia" w:eastAsia="宋体"/>
                      <w:color w:val="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restart"/>
                  <w:tcBorders>
                    <w:tl2br w:val="nil"/>
                    <w:tr2bl w:val="nil"/>
                  </w:tcBorders>
                  <w:noWrap w:val="0"/>
                  <w:vAlign w:val="center"/>
                </w:tcPr>
                <w:p>
                  <w:pPr>
                    <w:pStyle w:val="33"/>
                    <w:bidi w:val="0"/>
                    <w:rPr>
                      <w:rFonts w:hint="default"/>
                      <w:color w:val="auto"/>
                    </w:rPr>
                  </w:pPr>
                  <w:r>
                    <w:rPr>
                      <w:rFonts w:hint="default"/>
                      <w:color w:val="auto"/>
                    </w:rPr>
                    <w:t>三</w:t>
                  </w:r>
                </w:p>
              </w:tc>
              <w:tc>
                <w:tcPr>
                  <w:tcW w:w="394" w:type="pct"/>
                  <w:vMerge w:val="restart"/>
                  <w:tcBorders>
                    <w:tl2br w:val="nil"/>
                    <w:tr2bl w:val="nil"/>
                  </w:tcBorders>
                  <w:noWrap w:val="0"/>
                  <w:vAlign w:val="center"/>
                </w:tcPr>
                <w:p>
                  <w:pPr>
                    <w:pStyle w:val="33"/>
                    <w:bidi w:val="0"/>
                    <w:rPr>
                      <w:rFonts w:hint="default"/>
                      <w:color w:val="auto"/>
                    </w:rPr>
                  </w:pPr>
                  <w:r>
                    <w:rPr>
                      <w:rFonts w:hint="default"/>
                      <w:color w:val="auto"/>
                    </w:rPr>
                    <w:t>提升</w:t>
                  </w:r>
                </w:p>
                <w:p>
                  <w:pPr>
                    <w:pStyle w:val="33"/>
                    <w:bidi w:val="0"/>
                    <w:rPr>
                      <w:rFonts w:hint="default"/>
                      <w:color w:val="auto"/>
                    </w:rPr>
                  </w:pPr>
                  <w:r>
                    <w:rPr>
                      <w:rFonts w:hint="default"/>
                      <w:color w:val="auto"/>
                    </w:rPr>
                    <w:t>系统</w:t>
                  </w: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绞车</w:t>
                  </w:r>
                </w:p>
              </w:tc>
              <w:tc>
                <w:tcPr>
                  <w:tcW w:w="1325" w:type="pct"/>
                  <w:tcBorders>
                    <w:tl2br w:val="nil"/>
                    <w:tr2bl w:val="nil"/>
                  </w:tcBorders>
                  <w:noWrap w:val="0"/>
                  <w:vAlign w:val="center"/>
                </w:tcPr>
                <w:p>
                  <w:pPr>
                    <w:pStyle w:val="33"/>
                    <w:bidi w:val="0"/>
                    <w:rPr>
                      <w:rFonts w:hint="default"/>
                      <w:color w:val="auto"/>
                    </w:rPr>
                  </w:pPr>
                  <w:r>
                    <w:rPr>
                      <w:rFonts w:hint="default"/>
                      <w:color w:val="auto"/>
                    </w:rPr>
                    <w:t>JC-90DB</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r>
                    <w:rPr>
                      <w:rFonts w:hint="default"/>
                      <w:color w:val="auto"/>
                    </w:rPr>
                    <w:t>载荷2940</w:t>
                  </w:r>
                  <w:r>
                    <w:rPr>
                      <w:rFonts w:hint="eastAsia" w:eastAsia="宋体"/>
                      <w:color w:val="auto"/>
                      <w:lang w:eastAsia="zh-CN"/>
                    </w:rPr>
                    <w:t>（</w:t>
                  </w:r>
                  <w:r>
                    <w:rPr>
                      <w:rFonts w:hint="default"/>
                      <w:color w:val="auto"/>
                    </w:rPr>
                    <w:t>kN</w:t>
                  </w:r>
                  <w:r>
                    <w:rPr>
                      <w:rFonts w:hint="eastAsia" w:eastAsia="宋体"/>
                      <w:color w:val="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天车</w:t>
                  </w:r>
                </w:p>
              </w:tc>
              <w:tc>
                <w:tcPr>
                  <w:tcW w:w="1325" w:type="pct"/>
                  <w:tcBorders>
                    <w:tl2br w:val="nil"/>
                    <w:tr2bl w:val="nil"/>
                  </w:tcBorders>
                  <w:noWrap w:val="0"/>
                  <w:vAlign w:val="center"/>
                </w:tcPr>
                <w:p>
                  <w:pPr>
                    <w:pStyle w:val="33"/>
                    <w:bidi w:val="0"/>
                    <w:rPr>
                      <w:rFonts w:hint="default"/>
                      <w:color w:val="auto"/>
                    </w:rPr>
                  </w:pPr>
                  <w:r>
                    <w:rPr>
                      <w:rFonts w:hint="default"/>
                      <w:color w:val="auto"/>
                    </w:rPr>
                    <w:t>TC-675</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r>
                    <w:rPr>
                      <w:rFonts w:hint="default"/>
                      <w:color w:val="auto"/>
                    </w:rPr>
                    <w:t>载荷6750</w:t>
                  </w:r>
                  <w:r>
                    <w:rPr>
                      <w:rFonts w:hint="eastAsia" w:eastAsia="宋体"/>
                      <w:color w:val="auto"/>
                      <w:lang w:eastAsia="zh-CN"/>
                    </w:rPr>
                    <w:t>（</w:t>
                  </w:r>
                  <w:r>
                    <w:rPr>
                      <w:rFonts w:hint="default"/>
                      <w:color w:val="auto"/>
                    </w:rPr>
                    <w:t>kN</w:t>
                  </w:r>
                  <w:r>
                    <w:rPr>
                      <w:rFonts w:hint="eastAsia" w:eastAsia="宋体"/>
                      <w:color w:val="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游车</w:t>
                  </w:r>
                </w:p>
              </w:tc>
              <w:tc>
                <w:tcPr>
                  <w:tcW w:w="1325" w:type="pct"/>
                  <w:tcBorders>
                    <w:tl2br w:val="nil"/>
                    <w:tr2bl w:val="nil"/>
                  </w:tcBorders>
                  <w:noWrap w:val="0"/>
                  <w:vAlign w:val="center"/>
                </w:tcPr>
                <w:p>
                  <w:pPr>
                    <w:pStyle w:val="33"/>
                    <w:bidi w:val="0"/>
                    <w:rPr>
                      <w:rFonts w:hint="default"/>
                      <w:color w:val="auto"/>
                    </w:rPr>
                  </w:pPr>
                  <w:r>
                    <w:rPr>
                      <w:rFonts w:hint="default"/>
                      <w:color w:val="auto"/>
                    </w:rPr>
                    <w:t>YC-675</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r>
                    <w:rPr>
                      <w:rFonts w:hint="default"/>
                      <w:color w:val="auto"/>
                    </w:rPr>
                    <w:t>载荷6750</w:t>
                  </w:r>
                  <w:r>
                    <w:rPr>
                      <w:rFonts w:hint="eastAsia" w:eastAsia="宋体"/>
                      <w:color w:val="auto"/>
                      <w:lang w:eastAsia="zh-CN"/>
                    </w:rPr>
                    <w:t>（</w:t>
                  </w:r>
                  <w:r>
                    <w:rPr>
                      <w:rFonts w:hint="default"/>
                      <w:color w:val="auto"/>
                    </w:rPr>
                    <w:t>kN</w:t>
                  </w:r>
                  <w:r>
                    <w:rPr>
                      <w:rFonts w:hint="eastAsia" w:eastAsia="宋体"/>
                      <w:color w:val="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大钩</w:t>
                  </w:r>
                </w:p>
              </w:tc>
              <w:tc>
                <w:tcPr>
                  <w:tcW w:w="1325" w:type="pct"/>
                  <w:tcBorders>
                    <w:tl2br w:val="nil"/>
                    <w:tr2bl w:val="nil"/>
                  </w:tcBorders>
                  <w:noWrap w:val="0"/>
                  <w:vAlign w:val="center"/>
                </w:tcPr>
                <w:p>
                  <w:pPr>
                    <w:pStyle w:val="33"/>
                    <w:bidi w:val="0"/>
                    <w:rPr>
                      <w:rFonts w:hint="default"/>
                      <w:color w:val="auto"/>
                    </w:rPr>
                  </w:pPr>
                  <w:r>
                    <w:rPr>
                      <w:rFonts w:hint="default"/>
                      <w:color w:val="auto"/>
                    </w:rPr>
                    <w:t>DG-675</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r>
                    <w:rPr>
                      <w:rFonts w:hint="default"/>
                      <w:color w:val="auto"/>
                    </w:rPr>
                    <w:t>载荷6750</w:t>
                  </w:r>
                  <w:r>
                    <w:rPr>
                      <w:rFonts w:hint="eastAsia" w:eastAsia="宋体"/>
                      <w:color w:val="auto"/>
                      <w:lang w:eastAsia="zh-CN"/>
                    </w:rPr>
                    <w:t>（</w:t>
                  </w:r>
                  <w:r>
                    <w:rPr>
                      <w:rFonts w:hint="default"/>
                      <w:color w:val="auto"/>
                    </w:rPr>
                    <w:t>kN</w:t>
                  </w:r>
                  <w:r>
                    <w:rPr>
                      <w:rFonts w:hint="eastAsia" w:eastAsia="宋体"/>
                      <w:color w:val="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水龙头</w:t>
                  </w:r>
                </w:p>
              </w:tc>
              <w:tc>
                <w:tcPr>
                  <w:tcW w:w="1325" w:type="pct"/>
                  <w:tcBorders>
                    <w:tl2br w:val="nil"/>
                    <w:tr2bl w:val="nil"/>
                  </w:tcBorders>
                  <w:noWrap w:val="0"/>
                  <w:vAlign w:val="center"/>
                </w:tcPr>
                <w:p>
                  <w:pPr>
                    <w:pStyle w:val="33"/>
                    <w:bidi w:val="0"/>
                    <w:rPr>
                      <w:rFonts w:hint="default"/>
                      <w:color w:val="auto"/>
                    </w:rPr>
                  </w:pPr>
                  <w:r>
                    <w:rPr>
                      <w:rFonts w:hint="default"/>
                      <w:color w:val="auto"/>
                    </w:rPr>
                    <w:t>P-750</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r>
                    <w:rPr>
                      <w:rFonts w:hint="default"/>
                      <w:color w:val="auto"/>
                    </w:rPr>
                    <w:t>52.7MPa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tcBorders>
                    <w:tl2br w:val="nil"/>
                    <w:tr2bl w:val="nil"/>
                  </w:tcBorders>
                  <w:noWrap w:val="0"/>
                  <w:vAlign w:val="center"/>
                </w:tcPr>
                <w:p>
                  <w:pPr>
                    <w:pStyle w:val="33"/>
                    <w:bidi w:val="0"/>
                    <w:rPr>
                      <w:rFonts w:hint="default"/>
                      <w:color w:val="auto"/>
                    </w:rPr>
                  </w:pPr>
                  <w:r>
                    <w:rPr>
                      <w:rFonts w:hint="default"/>
                      <w:color w:val="auto"/>
                    </w:rPr>
                    <w:t>四</w:t>
                  </w:r>
                </w:p>
              </w:tc>
              <w:tc>
                <w:tcPr>
                  <w:tcW w:w="1593" w:type="pct"/>
                  <w:gridSpan w:val="3"/>
                  <w:tcBorders>
                    <w:tl2br w:val="nil"/>
                    <w:tr2bl w:val="nil"/>
                  </w:tcBorders>
                  <w:noWrap w:val="0"/>
                  <w:vAlign w:val="center"/>
                </w:tcPr>
                <w:p>
                  <w:pPr>
                    <w:pStyle w:val="33"/>
                    <w:bidi w:val="0"/>
                    <w:rPr>
                      <w:rFonts w:hint="default"/>
                      <w:color w:val="auto"/>
                    </w:rPr>
                  </w:pPr>
                  <w:r>
                    <w:rPr>
                      <w:rFonts w:hint="default"/>
                      <w:color w:val="auto"/>
                    </w:rPr>
                    <w:t>转  盘</w:t>
                  </w:r>
                </w:p>
              </w:tc>
              <w:tc>
                <w:tcPr>
                  <w:tcW w:w="1325" w:type="pct"/>
                  <w:tcBorders>
                    <w:tl2br w:val="nil"/>
                    <w:tr2bl w:val="nil"/>
                  </w:tcBorders>
                  <w:noWrap w:val="0"/>
                  <w:vAlign w:val="center"/>
                </w:tcPr>
                <w:p>
                  <w:pPr>
                    <w:pStyle w:val="33"/>
                    <w:bidi w:val="0"/>
                    <w:rPr>
                      <w:rFonts w:hint="default"/>
                      <w:color w:val="auto"/>
                    </w:rPr>
                  </w:pPr>
                  <w:r>
                    <w:rPr>
                      <w:rFonts w:hint="default"/>
                      <w:color w:val="auto"/>
                    </w:rPr>
                    <w:t>ZP375H</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r>
                    <w:rPr>
                      <w:rFonts w:hint="default"/>
                      <w:color w:val="auto"/>
                    </w:rPr>
                    <w:t>开口直径952.5mm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tcBorders>
                    <w:tl2br w:val="nil"/>
                    <w:tr2bl w:val="nil"/>
                  </w:tcBorders>
                  <w:noWrap w:val="0"/>
                  <w:vAlign w:val="center"/>
                </w:tcPr>
                <w:p>
                  <w:pPr>
                    <w:pStyle w:val="33"/>
                    <w:bidi w:val="0"/>
                    <w:rPr>
                      <w:rFonts w:hint="default"/>
                      <w:color w:val="auto"/>
                    </w:rPr>
                  </w:pPr>
                  <w:r>
                    <w:rPr>
                      <w:rFonts w:hint="default"/>
                      <w:color w:val="auto"/>
                    </w:rPr>
                    <w:t>五</w:t>
                  </w:r>
                </w:p>
              </w:tc>
              <w:tc>
                <w:tcPr>
                  <w:tcW w:w="1593" w:type="pct"/>
                  <w:gridSpan w:val="3"/>
                  <w:tcBorders>
                    <w:tl2br w:val="nil"/>
                    <w:tr2bl w:val="nil"/>
                  </w:tcBorders>
                  <w:noWrap w:val="0"/>
                  <w:vAlign w:val="center"/>
                </w:tcPr>
                <w:p>
                  <w:pPr>
                    <w:pStyle w:val="33"/>
                    <w:bidi w:val="0"/>
                    <w:rPr>
                      <w:rFonts w:hint="default"/>
                      <w:color w:val="auto"/>
                    </w:rPr>
                  </w:pPr>
                  <w:r>
                    <w:rPr>
                      <w:rFonts w:hint="default"/>
                      <w:color w:val="auto"/>
                    </w:rPr>
                    <w:t>顶  驱</w:t>
                  </w:r>
                </w:p>
              </w:tc>
              <w:tc>
                <w:tcPr>
                  <w:tcW w:w="1325" w:type="pct"/>
                  <w:tcBorders>
                    <w:tl2br w:val="nil"/>
                    <w:tr2bl w:val="nil"/>
                  </w:tcBorders>
                  <w:noWrap w:val="0"/>
                  <w:vAlign w:val="center"/>
                </w:tcPr>
                <w:p>
                  <w:pPr>
                    <w:pStyle w:val="33"/>
                    <w:bidi w:val="0"/>
                    <w:rPr>
                      <w:rFonts w:hint="default"/>
                      <w:color w:val="auto"/>
                    </w:rPr>
                  </w:pPr>
                  <w:r>
                    <w:rPr>
                      <w:rFonts w:hint="default"/>
                      <w:color w:val="auto"/>
                    </w:rPr>
                    <w:t>DQ90BS</w:t>
                  </w:r>
                </w:p>
              </w:tc>
              <w:tc>
                <w:tcPr>
                  <w:tcW w:w="629" w:type="pct"/>
                  <w:tcBorders>
                    <w:tl2br w:val="nil"/>
                    <w:tr2bl w:val="nil"/>
                  </w:tcBorders>
                  <w:noWrap w:val="0"/>
                  <w:vAlign w:val="center"/>
                </w:tcPr>
                <w:p>
                  <w:pPr>
                    <w:pStyle w:val="33"/>
                    <w:bidi w:val="0"/>
                    <w:rPr>
                      <w:rFonts w:hint="default"/>
                      <w:color w:val="auto"/>
                    </w:rPr>
                  </w:pPr>
                  <w:r>
                    <w:rPr>
                      <w:rFonts w:hint="default"/>
                      <w:color w:val="auto"/>
                    </w:rPr>
                    <w:t>735</w:t>
                  </w:r>
                </w:p>
              </w:tc>
              <w:tc>
                <w:tcPr>
                  <w:tcW w:w="1121" w:type="pct"/>
                  <w:tcBorders>
                    <w:tl2br w:val="nil"/>
                    <w:tr2bl w:val="nil"/>
                  </w:tcBorders>
                  <w:noWrap w:val="0"/>
                  <w:vAlign w:val="center"/>
                </w:tcPr>
                <w:p>
                  <w:pPr>
                    <w:pStyle w:val="33"/>
                    <w:bidi w:val="0"/>
                    <w:rPr>
                      <w:rFonts w:hint="default"/>
                      <w:color w:val="auto"/>
                    </w:rPr>
                  </w:pPr>
                  <w:r>
                    <w:rPr>
                      <w:rFonts w:hint="default"/>
                      <w:color w:val="auto"/>
                    </w:rPr>
                    <w:t>载荷6750</w:t>
                  </w:r>
                  <w:r>
                    <w:rPr>
                      <w:rFonts w:hint="eastAsia" w:eastAsia="宋体"/>
                      <w:color w:val="auto"/>
                      <w:lang w:eastAsia="zh-CN"/>
                    </w:rPr>
                    <w:t>（</w:t>
                  </w:r>
                  <w:r>
                    <w:rPr>
                      <w:rFonts w:hint="default"/>
                      <w:color w:val="auto"/>
                    </w:rPr>
                    <w:t>kN</w:t>
                  </w:r>
                  <w:r>
                    <w:rPr>
                      <w:rFonts w:hint="eastAsia" w:eastAsia="宋体"/>
                      <w:color w:val="auto"/>
                      <w:lang w:eastAsia="zh-CN"/>
                    </w:rPr>
                    <w:t>）</w:t>
                  </w:r>
                  <w:r>
                    <w:rPr>
                      <w:rFonts w:hint="eastAsia"/>
                      <w:color w:val="auto"/>
                      <w:lang w:eastAsia="zh-CN"/>
                    </w:rPr>
                    <w:t>，</w:t>
                  </w:r>
                  <w:r>
                    <w:rPr>
                      <w:rFonts w:hint="default"/>
                      <w:color w:val="auto"/>
                    </w:rPr>
                    <w:t>全井使用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restart"/>
                  <w:tcBorders>
                    <w:tl2br w:val="nil"/>
                    <w:tr2bl w:val="nil"/>
                  </w:tcBorders>
                  <w:noWrap w:val="0"/>
                  <w:vAlign w:val="center"/>
                </w:tcPr>
                <w:p>
                  <w:pPr>
                    <w:pStyle w:val="33"/>
                    <w:bidi w:val="0"/>
                    <w:rPr>
                      <w:rFonts w:hint="default"/>
                      <w:color w:val="auto"/>
                    </w:rPr>
                  </w:pPr>
                  <w:r>
                    <w:rPr>
                      <w:rFonts w:hint="default"/>
                      <w:color w:val="auto"/>
                    </w:rPr>
                    <w:t>六</w:t>
                  </w:r>
                </w:p>
              </w:tc>
              <w:tc>
                <w:tcPr>
                  <w:tcW w:w="394" w:type="pct"/>
                  <w:vMerge w:val="restart"/>
                  <w:tcBorders>
                    <w:tl2br w:val="nil"/>
                    <w:tr2bl w:val="nil"/>
                  </w:tcBorders>
                  <w:noWrap w:val="0"/>
                  <w:vAlign w:val="center"/>
                </w:tcPr>
                <w:p>
                  <w:pPr>
                    <w:pStyle w:val="33"/>
                    <w:bidi w:val="0"/>
                    <w:rPr>
                      <w:rFonts w:hint="default"/>
                      <w:color w:val="auto"/>
                    </w:rPr>
                  </w:pPr>
                  <w:r>
                    <w:rPr>
                      <w:rFonts w:hint="default"/>
                      <w:color w:val="auto"/>
                    </w:rPr>
                    <w:t>循环系统配置</w:t>
                  </w: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钻井泵1#</w:t>
                  </w:r>
                </w:p>
              </w:tc>
              <w:tc>
                <w:tcPr>
                  <w:tcW w:w="1325" w:type="pct"/>
                  <w:tcBorders>
                    <w:tl2br w:val="nil"/>
                    <w:tr2bl w:val="nil"/>
                  </w:tcBorders>
                  <w:noWrap w:val="0"/>
                  <w:vAlign w:val="center"/>
                </w:tcPr>
                <w:p>
                  <w:pPr>
                    <w:pStyle w:val="33"/>
                    <w:bidi w:val="0"/>
                    <w:rPr>
                      <w:rFonts w:hint="default"/>
                      <w:color w:val="auto"/>
                    </w:rPr>
                  </w:pPr>
                  <w:r>
                    <w:rPr>
                      <w:rFonts w:hint="default"/>
                      <w:color w:val="auto"/>
                    </w:rPr>
                    <w:t>F-2200HL</w:t>
                  </w:r>
                </w:p>
              </w:tc>
              <w:tc>
                <w:tcPr>
                  <w:tcW w:w="629" w:type="pct"/>
                  <w:tcBorders>
                    <w:tl2br w:val="nil"/>
                    <w:tr2bl w:val="nil"/>
                  </w:tcBorders>
                  <w:noWrap w:val="0"/>
                  <w:vAlign w:val="center"/>
                </w:tcPr>
                <w:p>
                  <w:pPr>
                    <w:pStyle w:val="33"/>
                    <w:bidi w:val="0"/>
                    <w:rPr>
                      <w:rFonts w:hint="default"/>
                      <w:color w:val="auto"/>
                    </w:rPr>
                  </w:pPr>
                  <w:r>
                    <w:rPr>
                      <w:rFonts w:hint="default"/>
                      <w:color w:val="auto"/>
                    </w:rPr>
                    <w:t>1617</w:t>
                  </w:r>
                </w:p>
              </w:tc>
              <w:tc>
                <w:tcPr>
                  <w:tcW w:w="1121" w:type="pct"/>
                  <w:tcBorders>
                    <w:tl2br w:val="nil"/>
                    <w:tr2bl w:val="nil"/>
                  </w:tcBorders>
                  <w:noWrap w:val="0"/>
                  <w:vAlign w:val="center"/>
                </w:tcPr>
                <w:p>
                  <w:pPr>
                    <w:pStyle w:val="33"/>
                    <w:bidi w:val="0"/>
                    <w:rPr>
                      <w:rFonts w:hint="default"/>
                      <w:color w:val="auto"/>
                    </w:rPr>
                  </w:pPr>
                  <w:r>
                    <w:rPr>
                      <w:rFonts w:hint="default"/>
                      <w:color w:val="auto"/>
                    </w:rPr>
                    <w:t>52MPa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钻井泵2#</w:t>
                  </w:r>
                </w:p>
              </w:tc>
              <w:tc>
                <w:tcPr>
                  <w:tcW w:w="1325" w:type="pct"/>
                  <w:tcBorders>
                    <w:tl2br w:val="nil"/>
                    <w:tr2bl w:val="nil"/>
                  </w:tcBorders>
                  <w:noWrap w:val="0"/>
                  <w:vAlign w:val="center"/>
                </w:tcPr>
                <w:p>
                  <w:pPr>
                    <w:pStyle w:val="33"/>
                    <w:bidi w:val="0"/>
                    <w:rPr>
                      <w:rFonts w:hint="default"/>
                      <w:color w:val="auto"/>
                    </w:rPr>
                  </w:pPr>
                  <w:r>
                    <w:rPr>
                      <w:rFonts w:hint="default"/>
                      <w:color w:val="auto"/>
                    </w:rPr>
                    <w:t>F-2200HL</w:t>
                  </w:r>
                </w:p>
              </w:tc>
              <w:tc>
                <w:tcPr>
                  <w:tcW w:w="629" w:type="pct"/>
                  <w:tcBorders>
                    <w:tl2br w:val="nil"/>
                    <w:tr2bl w:val="nil"/>
                  </w:tcBorders>
                  <w:noWrap w:val="0"/>
                  <w:vAlign w:val="center"/>
                </w:tcPr>
                <w:p>
                  <w:pPr>
                    <w:pStyle w:val="33"/>
                    <w:bidi w:val="0"/>
                    <w:rPr>
                      <w:rFonts w:hint="default"/>
                      <w:color w:val="auto"/>
                    </w:rPr>
                  </w:pPr>
                  <w:r>
                    <w:rPr>
                      <w:rFonts w:hint="default"/>
                      <w:color w:val="auto"/>
                    </w:rPr>
                    <w:t>1617</w:t>
                  </w:r>
                </w:p>
              </w:tc>
              <w:tc>
                <w:tcPr>
                  <w:tcW w:w="1121" w:type="pct"/>
                  <w:tcBorders>
                    <w:tl2br w:val="nil"/>
                    <w:tr2bl w:val="nil"/>
                  </w:tcBorders>
                  <w:noWrap w:val="0"/>
                  <w:vAlign w:val="center"/>
                </w:tcPr>
                <w:p>
                  <w:pPr>
                    <w:pStyle w:val="33"/>
                    <w:bidi w:val="0"/>
                    <w:rPr>
                      <w:rFonts w:hint="default"/>
                      <w:color w:val="auto"/>
                    </w:rPr>
                  </w:pPr>
                  <w:r>
                    <w:rPr>
                      <w:rFonts w:hint="default"/>
                      <w:color w:val="auto"/>
                    </w:rPr>
                    <w:t>52MPa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钻井泵3#</w:t>
                  </w:r>
                </w:p>
              </w:tc>
              <w:tc>
                <w:tcPr>
                  <w:tcW w:w="1325" w:type="pct"/>
                  <w:tcBorders>
                    <w:tl2br w:val="nil"/>
                    <w:tr2bl w:val="nil"/>
                  </w:tcBorders>
                  <w:noWrap w:val="0"/>
                  <w:vAlign w:val="center"/>
                </w:tcPr>
                <w:p>
                  <w:pPr>
                    <w:pStyle w:val="33"/>
                    <w:bidi w:val="0"/>
                    <w:rPr>
                      <w:rFonts w:hint="default"/>
                      <w:color w:val="auto"/>
                    </w:rPr>
                  </w:pPr>
                  <w:r>
                    <w:rPr>
                      <w:rFonts w:hint="default"/>
                      <w:color w:val="auto"/>
                    </w:rPr>
                    <w:t>F-2200HL</w:t>
                  </w:r>
                </w:p>
              </w:tc>
              <w:tc>
                <w:tcPr>
                  <w:tcW w:w="629" w:type="pct"/>
                  <w:tcBorders>
                    <w:tl2br w:val="nil"/>
                    <w:tr2bl w:val="nil"/>
                  </w:tcBorders>
                  <w:noWrap w:val="0"/>
                  <w:vAlign w:val="center"/>
                </w:tcPr>
                <w:p>
                  <w:pPr>
                    <w:pStyle w:val="33"/>
                    <w:bidi w:val="0"/>
                    <w:rPr>
                      <w:rFonts w:hint="default"/>
                      <w:color w:val="auto"/>
                    </w:rPr>
                  </w:pPr>
                  <w:r>
                    <w:rPr>
                      <w:rFonts w:hint="default"/>
                      <w:color w:val="auto"/>
                    </w:rPr>
                    <w:t>1617</w:t>
                  </w:r>
                </w:p>
              </w:tc>
              <w:tc>
                <w:tcPr>
                  <w:tcW w:w="1121" w:type="pct"/>
                  <w:tcBorders>
                    <w:tl2br w:val="nil"/>
                    <w:tr2bl w:val="nil"/>
                  </w:tcBorders>
                  <w:noWrap w:val="0"/>
                  <w:vAlign w:val="center"/>
                </w:tcPr>
                <w:p>
                  <w:pPr>
                    <w:pStyle w:val="33"/>
                    <w:bidi w:val="0"/>
                    <w:rPr>
                      <w:rFonts w:hint="default"/>
                      <w:color w:val="auto"/>
                    </w:rPr>
                  </w:pPr>
                  <w:r>
                    <w:rPr>
                      <w:rFonts w:hint="default"/>
                      <w:color w:val="auto"/>
                    </w:rPr>
                    <w:t>52MPa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高压管汇</w:t>
                  </w:r>
                </w:p>
              </w:tc>
              <w:tc>
                <w:tcPr>
                  <w:tcW w:w="1325" w:type="pct"/>
                  <w:tcBorders>
                    <w:tl2br w:val="nil"/>
                    <w:tr2bl w:val="nil"/>
                  </w:tcBorders>
                  <w:noWrap w:val="0"/>
                  <w:vAlign w:val="center"/>
                </w:tcPr>
                <w:p>
                  <w:pPr>
                    <w:pStyle w:val="33"/>
                    <w:bidi w:val="0"/>
                    <w:rPr>
                      <w:rFonts w:hint="eastAsia" w:eastAsia="宋体"/>
                      <w:color w:val="auto"/>
                      <w:lang w:val="en-US" w:eastAsia="zh-CN"/>
                    </w:rPr>
                  </w:pPr>
                  <w:r>
                    <w:rPr>
                      <w:rFonts w:hint="eastAsia"/>
                      <w:color w:val="auto"/>
                      <w:lang w:val="en-US" w:eastAsia="zh-CN"/>
                    </w:rPr>
                    <w:t>/</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r>
                    <w:rPr>
                      <w:rFonts w:hint="default"/>
                      <w:color w:val="auto"/>
                    </w:rPr>
                    <w:t>70MPa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钻井液罐</w:t>
                  </w:r>
                </w:p>
              </w:tc>
              <w:tc>
                <w:tcPr>
                  <w:tcW w:w="1325" w:type="pct"/>
                  <w:tcBorders>
                    <w:tl2br w:val="nil"/>
                    <w:tr2bl w:val="nil"/>
                  </w:tcBorders>
                  <w:noWrap w:val="0"/>
                  <w:vAlign w:val="center"/>
                </w:tcPr>
                <w:p>
                  <w:pPr>
                    <w:pStyle w:val="33"/>
                    <w:bidi w:val="0"/>
                    <w:rPr>
                      <w:rFonts w:hint="eastAsia" w:eastAsia="宋体"/>
                      <w:color w:val="auto"/>
                      <w:lang w:val="en-US" w:eastAsia="zh-CN"/>
                    </w:rPr>
                  </w:pPr>
                  <w:r>
                    <w:rPr>
                      <w:rFonts w:hint="eastAsia"/>
                      <w:color w:val="auto"/>
                      <w:lang w:val="en-US" w:eastAsia="zh-CN"/>
                    </w:rPr>
                    <w:t>/</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spacing w:line="240" w:lineRule="auto"/>
                    <w:rPr>
                      <w:rFonts w:hint="default"/>
                      <w:color w:val="auto"/>
                    </w:rPr>
                  </w:pPr>
                  <w:r>
                    <w:rPr>
                      <w:rFonts w:hint="default"/>
                      <w:color w:val="auto"/>
                    </w:rPr>
                    <w:t>循环罐总容积≥660m</w:t>
                  </w:r>
                  <w:r>
                    <w:rPr>
                      <w:rFonts w:hint="default"/>
                      <w:color w:val="auto"/>
                      <w:vertAlign w:val="superscript"/>
                    </w:rPr>
                    <w:t>3</w:t>
                  </w:r>
                  <w:r>
                    <w:rPr>
                      <w:rFonts w:hint="eastAsia"/>
                      <w:color w:val="auto"/>
                      <w:lang w:eastAsia="zh-CN"/>
                    </w:rPr>
                    <w:t>；</w:t>
                  </w:r>
                  <w:r>
                    <w:rPr>
                      <w:rFonts w:hint="default"/>
                      <w:color w:val="auto"/>
                    </w:rPr>
                    <w:t>储备罐总容积≥240m</w:t>
                  </w:r>
                  <w:r>
                    <w:rPr>
                      <w:rFonts w:hint="default"/>
                      <w:color w:val="auto"/>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搅拌器</w:t>
                  </w:r>
                </w:p>
              </w:tc>
              <w:tc>
                <w:tcPr>
                  <w:tcW w:w="1325" w:type="pct"/>
                  <w:tcBorders>
                    <w:tl2br w:val="nil"/>
                    <w:tr2bl w:val="nil"/>
                  </w:tcBorders>
                  <w:noWrap w:val="0"/>
                  <w:vAlign w:val="center"/>
                </w:tcPr>
                <w:p>
                  <w:pPr>
                    <w:pStyle w:val="33"/>
                    <w:bidi w:val="0"/>
                    <w:rPr>
                      <w:rFonts w:hint="default"/>
                      <w:color w:val="auto"/>
                    </w:rPr>
                  </w:pPr>
                  <w:r>
                    <w:rPr>
                      <w:rFonts w:hint="default"/>
                      <w:color w:val="auto"/>
                    </w:rPr>
                    <w:t>NJ-15</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spacing w:line="240" w:lineRule="auto"/>
                    <w:rPr>
                      <w:rFonts w:hint="default"/>
                      <w:color w:val="auto"/>
                    </w:rPr>
                  </w:pPr>
                  <w:r>
                    <w:rPr>
                      <w:rFonts w:hint="default"/>
                      <w:color w:val="auto"/>
                    </w:rPr>
                    <w:t>24个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restart"/>
                  <w:tcBorders>
                    <w:tl2br w:val="nil"/>
                    <w:tr2bl w:val="nil"/>
                  </w:tcBorders>
                  <w:noWrap w:val="0"/>
                  <w:vAlign w:val="center"/>
                </w:tcPr>
                <w:p>
                  <w:pPr>
                    <w:pStyle w:val="33"/>
                    <w:bidi w:val="0"/>
                    <w:rPr>
                      <w:rFonts w:hint="default"/>
                      <w:color w:val="auto"/>
                    </w:rPr>
                  </w:pPr>
                  <w:r>
                    <w:rPr>
                      <w:rFonts w:hint="default"/>
                      <w:color w:val="auto"/>
                    </w:rPr>
                    <w:t>七</w:t>
                  </w:r>
                </w:p>
              </w:tc>
              <w:tc>
                <w:tcPr>
                  <w:tcW w:w="394" w:type="pct"/>
                  <w:vMerge w:val="restart"/>
                  <w:tcBorders>
                    <w:tl2br w:val="nil"/>
                    <w:tr2bl w:val="nil"/>
                  </w:tcBorders>
                  <w:noWrap w:val="0"/>
                  <w:vAlign w:val="center"/>
                </w:tcPr>
                <w:p>
                  <w:pPr>
                    <w:pStyle w:val="33"/>
                    <w:bidi w:val="0"/>
                    <w:rPr>
                      <w:rFonts w:hint="default"/>
                      <w:color w:val="auto"/>
                    </w:rPr>
                  </w:pPr>
                  <w:r>
                    <w:rPr>
                      <w:rFonts w:hint="default"/>
                      <w:color w:val="auto"/>
                    </w:rPr>
                    <w:t>钻机动力系统</w:t>
                  </w: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柴油机1#</w:t>
                  </w:r>
                </w:p>
              </w:tc>
              <w:tc>
                <w:tcPr>
                  <w:tcW w:w="1325" w:type="pct"/>
                  <w:tcBorders>
                    <w:tl2br w:val="nil"/>
                    <w:tr2bl w:val="nil"/>
                  </w:tcBorders>
                  <w:noWrap w:val="0"/>
                  <w:vAlign w:val="center"/>
                </w:tcPr>
                <w:p>
                  <w:pPr>
                    <w:pStyle w:val="33"/>
                    <w:bidi w:val="0"/>
                    <w:rPr>
                      <w:rFonts w:hint="default"/>
                      <w:color w:val="auto"/>
                    </w:rPr>
                  </w:pPr>
                  <w:r>
                    <w:rPr>
                      <w:rFonts w:hint="default"/>
                      <w:color w:val="auto"/>
                    </w:rPr>
                    <w:t>G12V190PILG-3</w:t>
                  </w:r>
                </w:p>
              </w:tc>
              <w:tc>
                <w:tcPr>
                  <w:tcW w:w="629" w:type="pct"/>
                  <w:tcBorders>
                    <w:tl2br w:val="nil"/>
                    <w:tr2bl w:val="nil"/>
                  </w:tcBorders>
                  <w:noWrap w:val="0"/>
                  <w:vAlign w:val="center"/>
                </w:tcPr>
                <w:p>
                  <w:pPr>
                    <w:pStyle w:val="33"/>
                    <w:bidi w:val="0"/>
                    <w:rPr>
                      <w:rFonts w:hint="default"/>
                      <w:color w:val="auto"/>
                    </w:rPr>
                  </w:pPr>
                  <w:r>
                    <w:rPr>
                      <w:rFonts w:hint="default"/>
                      <w:color w:val="auto"/>
                    </w:rPr>
                    <w:t>810</w:t>
                  </w:r>
                </w:p>
              </w:tc>
              <w:tc>
                <w:tcPr>
                  <w:tcW w:w="1121" w:type="pct"/>
                  <w:tcBorders>
                    <w:tl2br w:val="nil"/>
                    <w:tr2bl w:val="nil"/>
                  </w:tcBorders>
                  <w:noWrap w:val="0"/>
                  <w:vAlign w:val="center"/>
                </w:tcPr>
                <w:p>
                  <w:pPr>
                    <w:pStyle w:val="33"/>
                    <w:bidi w:val="0"/>
                    <w:rPr>
                      <w:rFonts w:hint="default"/>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柴油机2#</w:t>
                  </w:r>
                </w:p>
              </w:tc>
              <w:tc>
                <w:tcPr>
                  <w:tcW w:w="1325" w:type="pct"/>
                  <w:tcBorders>
                    <w:tl2br w:val="nil"/>
                    <w:tr2bl w:val="nil"/>
                  </w:tcBorders>
                  <w:noWrap w:val="0"/>
                  <w:vAlign w:val="center"/>
                </w:tcPr>
                <w:p>
                  <w:pPr>
                    <w:pStyle w:val="33"/>
                    <w:bidi w:val="0"/>
                    <w:rPr>
                      <w:rFonts w:hint="default"/>
                      <w:color w:val="auto"/>
                    </w:rPr>
                  </w:pPr>
                  <w:r>
                    <w:rPr>
                      <w:rFonts w:hint="default"/>
                      <w:color w:val="auto"/>
                    </w:rPr>
                    <w:t>G12V190PILG-3</w:t>
                  </w:r>
                </w:p>
              </w:tc>
              <w:tc>
                <w:tcPr>
                  <w:tcW w:w="629" w:type="pct"/>
                  <w:tcBorders>
                    <w:tl2br w:val="nil"/>
                    <w:tr2bl w:val="nil"/>
                  </w:tcBorders>
                  <w:noWrap w:val="0"/>
                  <w:vAlign w:val="center"/>
                </w:tcPr>
                <w:p>
                  <w:pPr>
                    <w:pStyle w:val="33"/>
                    <w:bidi w:val="0"/>
                    <w:rPr>
                      <w:rFonts w:hint="default"/>
                      <w:color w:val="auto"/>
                    </w:rPr>
                  </w:pPr>
                  <w:r>
                    <w:rPr>
                      <w:rFonts w:hint="default"/>
                      <w:color w:val="auto"/>
                    </w:rPr>
                    <w:t>810</w:t>
                  </w:r>
                </w:p>
              </w:tc>
              <w:tc>
                <w:tcPr>
                  <w:tcW w:w="1121" w:type="pct"/>
                  <w:tcBorders>
                    <w:tl2br w:val="nil"/>
                    <w:tr2bl w:val="nil"/>
                  </w:tcBorders>
                  <w:noWrap w:val="0"/>
                  <w:vAlign w:val="center"/>
                </w:tcPr>
                <w:p>
                  <w:pPr>
                    <w:pStyle w:val="33"/>
                    <w:bidi w:val="0"/>
                    <w:rPr>
                      <w:rFonts w:hint="default"/>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柴油机3#</w:t>
                  </w:r>
                </w:p>
              </w:tc>
              <w:tc>
                <w:tcPr>
                  <w:tcW w:w="1325" w:type="pct"/>
                  <w:tcBorders>
                    <w:tl2br w:val="nil"/>
                    <w:tr2bl w:val="nil"/>
                  </w:tcBorders>
                  <w:noWrap w:val="0"/>
                  <w:vAlign w:val="center"/>
                </w:tcPr>
                <w:p>
                  <w:pPr>
                    <w:pStyle w:val="33"/>
                    <w:bidi w:val="0"/>
                    <w:rPr>
                      <w:rFonts w:hint="default"/>
                      <w:color w:val="auto"/>
                    </w:rPr>
                  </w:pPr>
                  <w:r>
                    <w:rPr>
                      <w:rFonts w:hint="default"/>
                      <w:color w:val="auto"/>
                    </w:rPr>
                    <w:t>G12V190PILG-3</w:t>
                  </w:r>
                </w:p>
              </w:tc>
              <w:tc>
                <w:tcPr>
                  <w:tcW w:w="629" w:type="pct"/>
                  <w:tcBorders>
                    <w:tl2br w:val="nil"/>
                    <w:tr2bl w:val="nil"/>
                  </w:tcBorders>
                  <w:noWrap w:val="0"/>
                  <w:vAlign w:val="center"/>
                </w:tcPr>
                <w:p>
                  <w:pPr>
                    <w:pStyle w:val="33"/>
                    <w:bidi w:val="0"/>
                    <w:rPr>
                      <w:rFonts w:hint="default"/>
                      <w:color w:val="auto"/>
                    </w:rPr>
                  </w:pPr>
                  <w:r>
                    <w:rPr>
                      <w:rFonts w:hint="default"/>
                      <w:color w:val="auto"/>
                    </w:rPr>
                    <w:t>810</w:t>
                  </w:r>
                </w:p>
              </w:tc>
              <w:tc>
                <w:tcPr>
                  <w:tcW w:w="1121" w:type="pct"/>
                  <w:tcBorders>
                    <w:tl2br w:val="nil"/>
                    <w:tr2bl w:val="nil"/>
                  </w:tcBorders>
                  <w:noWrap w:val="0"/>
                  <w:vAlign w:val="center"/>
                </w:tcPr>
                <w:p>
                  <w:pPr>
                    <w:pStyle w:val="33"/>
                    <w:bidi w:val="0"/>
                    <w:rPr>
                      <w:rFonts w:hint="default"/>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restart"/>
                  <w:tcBorders>
                    <w:tl2br w:val="nil"/>
                    <w:tr2bl w:val="nil"/>
                  </w:tcBorders>
                  <w:noWrap w:val="0"/>
                  <w:vAlign w:val="center"/>
                </w:tcPr>
                <w:p>
                  <w:pPr>
                    <w:pStyle w:val="33"/>
                    <w:bidi w:val="0"/>
                    <w:rPr>
                      <w:rFonts w:hint="default"/>
                      <w:color w:val="auto"/>
                    </w:rPr>
                  </w:pPr>
                  <w:r>
                    <w:rPr>
                      <w:rFonts w:hint="default"/>
                      <w:color w:val="auto"/>
                    </w:rPr>
                    <w:t>八</w:t>
                  </w:r>
                </w:p>
              </w:tc>
              <w:tc>
                <w:tcPr>
                  <w:tcW w:w="394" w:type="pct"/>
                  <w:vMerge w:val="restart"/>
                  <w:tcBorders>
                    <w:tl2br w:val="nil"/>
                    <w:tr2bl w:val="nil"/>
                  </w:tcBorders>
                  <w:noWrap w:val="0"/>
                  <w:vAlign w:val="center"/>
                </w:tcPr>
                <w:p>
                  <w:pPr>
                    <w:pStyle w:val="33"/>
                    <w:bidi w:val="0"/>
                    <w:rPr>
                      <w:rFonts w:hint="default"/>
                      <w:color w:val="auto"/>
                    </w:rPr>
                  </w:pPr>
                  <w:r>
                    <w:rPr>
                      <w:rFonts w:hint="default"/>
                      <w:color w:val="auto"/>
                    </w:rPr>
                    <w:t>发电</w:t>
                  </w:r>
                </w:p>
                <w:p>
                  <w:pPr>
                    <w:pStyle w:val="33"/>
                    <w:bidi w:val="0"/>
                    <w:rPr>
                      <w:rFonts w:hint="default"/>
                      <w:color w:val="auto"/>
                    </w:rPr>
                  </w:pPr>
                  <w:r>
                    <w:rPr>
                      <w:rFonts w:hint="default"/>
                      <w:color w:val="auto"/>
                    </w:rPr>
                    <w:t>机组</w:t>
                  </w: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发电机1#</w:t>
                  </w:r>
                </w:p>
              </w:tc>
              <w:tc>
                <w:tcPr>
                  <w:tcW w:w="1325" w:type="pct"/>
                  <w:tcBorders>
                    <w:tl2br w:val="nil"/>
                    <w:tr2bl w:val="nil"/>
                  </w:tcBorders>
                  <w:noWrap w:val="0"/>
                  <w:vAlign w:val="center"/>
                </w:tcPr>
                <w:p>
                  <w:pPr>
                    <w:pStyle w:val="33"/>
                    <w:bidi w:val="0"/>
                    <w:rPr>
                      <w:rFonts w:hint="default"/>
                      <w:color w:val="auto"/>
                    </w:rPr>
                  </w:pPr>
                  <w:r>
                    <w:rPr>
                      <w:rFonts w:hint="default"/>
                      <w:color w:val="auto"/>
                    </w:rPr>
                    <w:t>C15</w:t>
                  </w:r>
                </w:p>
              </w:tc>
              <w:tc>
                <w:tcPr>
                  <w:tcW w:w="629" w:type="pct"/>
                  <w:tcBorders>
                    <w:tl2br w:val="nil"/>
                    <w:tr2bl w:val="nil"/>
                  </w:tcBorders>
                  <w:noWrap w:val="0"/>
                  <w:vAlign w:val="center"/>
                </w:tcPr>
                <w:p>
                  <w:pPr>
                    <w:pStyle w:val="33"/>
                    <w:bidi w:val="0"/>
                    <w:rPr>
                      <w:rFonts w:hint="default"/>
                      <w:color w:val="auto"/>
                    </w:rPr>
                  </w:pPr>
                  <w:r>
                    <w:rPr>
                      <w:rFonts w:hint="default"/>
                      <w:color w:val="auto"/>
                    </w:rPr>
                    <w:t>320</w:t>
                  </w:r>
                </w:p>
              </w:tc>
              <w:tc>
                <w:tcPr>
                  <w:tcW w:w="1121" w:type="pct"/>
                  <w:tcBorders>
                    <w:tl2br w:val="nil"/>
                    <w:tr2bl w:val="nil"/>
                  </w:tcBorders>
                  <w:noWrap w:val="0"/>
                  <w:vAlign w:val="center"/>
                </w:tcPr>
                <w:p>
                  <w:pPr>
                    <w:pStyle w:val="33"/>
                    <w:bidi w:val="0"/>
                    <w:rPr>
                      <w:rFonts w:hint="default"/>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发电机2#</w:t>
                  </w:r>
                </w:p>
              </w:tc>
              <w:tc>
                <w:tcPr>
                  <w:tcW w:w="1325" w:type="pct"/>
                  <w:tcBorders>
                    <w:tl2br w:val="nil"/>
                    <w:tr2bl w:val="nil"/>
                  </w:tcBorders>
                  <w:noWrap w:val="0"/>
                  <w:vAlign w:val="center"/>
                </w:tcPr>
                <w:p>
                  <w:pPr>
                    <w:pStyle w:val="33"/>
                    <w:bidi w:val="0"/>
                    <w:rPr>
                      <w:rFonts w:hint="default"/>
                      <w:color w:val="auto"/>
                    </w:rPr>
                  </w:pPr>
                  <w:r>
                    <w:rPr>
                      <w:rFonts w:hint="default"/>
                      <w:color w:val="auto"/>
                    </w:rPr>
                    <w:t>G12V190ZLD1</w:t>
                  </w:r>
                </w:p>
              </w:tc>
              <w:tc>
                <w:tcPr>
                  <w:tcW w:w="629" w:type="pct"/>
                  <w:tcBorders>
                    <w:tl2br w:val="nil"/>
                    <w:tr2bl w:val="nil"/>
                  </w:tcBorders>
                  <w:noWrap w:val="0"/>
                  <w:vAlign w:val="center"/>
                </w:tcPr>
                <w:p>
                  <w:pPr>
                    <w:pStyle w:val="33"/>
                    <w:bidi w:val="0"/>
                    <w:rPr>
                      <w:rFonts w:hint="default"/>
                      <w:color w:val="auto"/>
                    </w:rPr>
                  </w:pPr>
                  <w:r>
                    <w:rPr>
                      <w:rFonts w:hint="default"/>
                      <w:color w:val="auto"/>
                    </w:rPr>
                    <w:t>700</w:t>
                  </w:r>
                </w:p>
              </w:tc>
              <w:tc>
                <w:tcPr>
                  <w:tcW w:w="1121" w:type="pct"/>
                  <w:tcBorders>
                    <w:tl2br w:val="nil"/>
                    <w:tr2bl w:val="nil"/>
                  </w:tcBorders>
                  <w:noWrap w:val="0"/>
                  <w:vAlign w:val="center"/>
                </w:tcPr>
                <w:p>
                  <w:pPr>
                    <w:pStyle w:val="33"/>
                    <w:bidi w:val="0"/>
                    <w:rPr>
                      <w:rFonts w:hint="default"/>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发电机3#</w:t>
                  </w:r>
                </w:p>
              </w:tc>
              <w:tc>
                <w:tcPr>
                  <w:tcW w:w="1325" w:type="pct"/>
                  <w:tcBorders>
                    <w:tl2br w:val="nil"/>
                    <w:tr2bl w:val="nil"/>
                  </w:tcBorders>
                  <w:noWrap w:val="0"/>
                  <w:vAlign w:val="center"/>
                </w:tcPr>
                <w:p>
                  <w:pPr>
                    <w:pStyle w:val="33"/>
                    <w:bidi w:val="0"/>
                    <w:rPr>
                      <w:rFonts w:hint="default"/>
                      <w:color w:val="auto"/>
                    </w:rPr>
                  </w:pPr>
                  <w:r>
                    <w:rPr>
                      <w:rFonts w:hint="default"/>
                      <w:color w:val="auto"/>
                    </w:rPr>
                    <w:t>G12V190ZLD1-2</w:t>
                  </w:r>
                </w:p>
              </w:tc>
              <w:tc>
                <w:tcPr>
                  <w:tcW w:w="629" w:type="pct"/>
                  <w:tcBorders>
                    <w:tl2br w:val="nil"/>
                    <w:tr2bl w:val="nil"/>
                  </w:tcBorders>
                  <w:noWrap w:val="0"/>
                  <w:vAlign w:val="center"/>
                </w:tcPr>
                <w:p>
                  <w:pPr>
                    <w:pStyle w:val="33"/>
                    <w:bidi w:val="0"/>
                    <w:rPr>
                      <w:rFonts w:hint="default"/>
                      <w:color w:val="auto"/>
                    </w:rPr>
                  </w:pPr>
                  <w:r>
                    <w:rPr>
                      <w:rFonts w:hint="default"/>
                      <w:color w:val="auto"/>
                    </w:rPr>
                    <w:t>500</w:t>
                  </w:r>
                </w:p>
              </w:tc>
              <w:tc>
                <w:tcPr>
                  <w:tcW w:w="1121" w:type="pct"/>
                  <w:tcBorders>
                    <w:tl2br w:val="nil"/>
                    <w:tr2bl w:val="nil"/>
                  </w:tcBorders>
                  <w:noWrap w:val="0"/>
                  <w:vAlign w:val="center"/>
                </w:tcPr>
                <w:p>
                  <w:pPr>
                    <w:pStyle w:val="33"/>
                    <w:bidi w:val="0"/>
                    <w:rPr>
                      <w:rFonts w:hint="default"/>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MCC房</w:t>
                  </w:r>
                </w:p>
              </w:tc>
              <w:tc>
                <w:tcPr>
                  <w:tcW w:w="1325" w:type="pct"/>
                  <w:tcBorders>
                    <w:tl2br w:val="nil"/>
                    <w:tr2bl w:val="nil"/>
                  </w:tcBorders>
                  <w:noWrap w:val="0"/>
                  <w:vAlign w:val="center"/>
                </w:tcPr>
                <w:p>
                  <w:pPr>
                    <w:pStyle w:val="33"/>
                    <w:bidi w:val="0"/>
                    <w:rPr>
                      <w:rFonts w:hint="default"/>
                      <w:color w:val="auto"/>
                    </w:rPr>
                  </w:pPr>
                  <w:r>
                    <w:rPr>
                      <w:rFonts w:hint="default"/>
                      <w:color w:val="auto"/>
                    </w:rPr>
                    <w:t>HH70LDB</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r>
                    <w:rPr>
                      <w:rFonts w:hint="default"/>
                      <w:color w:val="auto"/>
                    </w:rPr>
                    <w:t>1栋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330" w:type="pct"/>
                  <w:vMerge w:val="restart"/>
                  <w:tcBorders>
                    <w:tl2br w:val="nil"/>
                    <w:tr2bl w:val="nil"/>
                  </w:tcBorders>
                  <w:noWrap w:val="0"/>
                  <w:vAlign w:val="center"/>
                </w:tcPr>
                <w:p>
                  <w:pPr>
                    <w:pStyle w:val="33"/>
                    <w:bidi w:val="0"/>
                    <w:rPr>
                      <w:rFonts w:hint="default"/>
                      <w:color w:val="auto"/>
                    </w:rPr>
                  </w:pPr>
                  <w:r>
                    <w:rPr>
                      <w:rFonts w:hint="default"/>
                      <w:color w:val="auto"/>
                    </w:rPr>
                    <w:t>九</w:t>
                  </w:r>
                </w:p>
              </w:tc>
              <w:tc>
                <w:tcPr>
                  <w:tcW w:w="394" w:type="pct"/>
                  <w:vMerge w:val="restart"/>
                  <w:tcBorders>
                    <w:tl2br w:val="nil"/>
                    <w:tr2bl w:val="nil"/>
                  </w:tcBorders>
                  <w:noWrap w:val="0"/>
                  <w:vAlign w:val="center"/>
                </w:tcPr>
                <w:p>
                  <w:pPr>
                    <w:pStyle w:val="33"/>
                    <w:bidi w:val="0"/>
                    <w:rPr>
                      <w:rFonts w:hint="default"/>
                      <w:color w:val="auto"/>
                    </w:rPr>
                  </w:pPr>
                  <w:r>
                    <w:rPr>
                      <w:rFonts w:hint="default"/>
                      <w:color w:val="auto"/>
                    </w:rPr>
                    <w:t>钻机控制系统</w:t>
                  </w: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自动压风机</w:t>
                  </w:r>
                </w:p>
              </w:tc>
              <w:tc>
                <w:tcPr>
                  <w:tcW w:w="1325" w:type="pct"/>
                  <w:tcBorders>
                    <w:tl2br w:val="nil"/>
                    <w:tr2bl w:val="nil"/>
                  </w:tcBorders>
                  <w:noWrap w:val="0"/>
                  <w:vAlign w:val="center"/>
                </w:tcPr>
                <w:p>
                  <w:pPr>
                    <w:pStyle w:val="33"/>
                    <w:bidi w:val="0"/>
                    <w:rPr>
                      <w:rFonts w:hint="default"/>
                      <w:color w:val="auto"/>
                    </w:rPr>
                  </w:pPr>
                  <w:r>
                    <w:rPr>
                      <w:rFonts w:hint="default"/>
                      <w:color w:val="auto"/>
                    </w:rPr>
                    <w:t>SPE306X</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r>
                    <w:rPr>
                      <w:rFonts w:hint="default"/>
                      <w:color w:val="auto"/>
                    </w:rPr>
                    <w:t>6.5</w:t>
                  </w:r>
                  <w:r>
                    <w:rPr>
                      <w:rFonts w:hint="eastAsia" w:ascii="Times New Roman" w:eastAsia="宋体"/>
                      <w:color w:val="auto"/>
                      <w:lang w:val="en-US" w:eastAsia="zh-CN"/>
                    </w:rPr>
                    <w:t>m</w:t>
                  </w:r>
                  <w:r>
                    <w:rPr>
                      <w:rFonts w:hint="default"/>
                      <w:color w:val="auto"/>
                      <w:vertAlign w:val="superscript"/>
                    </w:rPr>
                    <w:t>3</w:t>
                  </w:r>
                  <w:r>
                    <w:rPr>
                      <w:rFonts w:hint="default"/>
                      <w:color w:val="auto"/>
                    </w:rPr>
                    <w:t>/min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电动压风机</w:t>
                  </w:r>
                </w:p>
              </w:tc>
              <w:tc>
                <w:tcPr>
                  <w:tcW w:w="1325" w:type="pct"/>
                  <w:tcBorders>
                    <w:tl2br w:val="nil"/>
                    <w:tr2bl w:val="nil"/>
                  </w:tcBorders>
                  <w:noWrap w:val="0"/>
                  <w:vAlign w:val="center"/>
                </w:tcPr>
                <w:p>
                  <w:pPr>
                    <w:pStyle w:val="33"/>
                    <w:bidi w:val="0"/>
                    <w:rPr>
                      <w:rFonts w:hint="default"/>
                      <w:color w:val="auto"/>
                    </w:rPr>
                  </w:pPr>
                  <w:r>
                    <w:rPr>
                      <w:rFonts w:hint="default"/>
                      <w:color w:val="auto"/>
                    </w:rPr>
                    <w:t>SPE306X</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r>
                    <w:rPr>
                      <w:rFonts w:hint="default"/>
                      <w:color w:val="auto"/>
                    </w:rPr>
                    <w:t>6.5</w:t>
                  </w:r>
                  <w:r>
                    <w:rPr>
                      <w:rFonts w:hint="eastAsia" w:ascii="Times New Roman" w:eastAsia="宋体"/>
                      <w:color w:val="auto"/>
                      <w:lang w:val="en-US" w:eastAsia="zh-CN"/>
                    </w:rPr>
                    <w:t>m</w:t>
                  </w:r>
                  <w:r>
                    <w:rPr>
                      <w:rFonts w:hint="default"/>
                      <w:color w:val="auto"/>
                      <w:vertAlign w:val="superscript"/>
                    </w:rPr>
                    <w:t>3</w:t>
                  </w:r>
                  <w:r>
                    <w:rPr>
                      <w:rFonts w:hint="default"/>
                      <w:color w:val="auto"/>
                    </w:rPr>
                    <w:t>/min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restart"/>
                  <w:tcBorders>
                    <w:tl2br w:val="nil"/>
                    <w:tr2bl w:val="nil"/>
                  </w:tcBorders>
                  <w:noWrap w:val="0"/>
                  <w:vAlign w:val="center"/>
                </w:tcPr>
                <w:p>
                  <w:pPr>
                    <w:pStyle w:val="33"/>
                    <w:bidi w:val="0"/>
                    <w:rPr>
                      <w:rFonts w:hint="default"/>
                      <w:color w:val="auto"/>
                    </w:rPr>
                  </w:pPr>
                  <w:r>
                    <w:rPr>
                      <w:rFonts w:hint="default"/>
                      <w:color w:val="auto"/>
                    </w:rPr>
                    <w:t>十</w:t>
                  </w:r>
                </w:p>
              </w:tc>
              <w:tc>
                <w:tcPr>
                  <w:tcW w:w="394" w:type="pct"/>
                  <w:vMerge w:val="restart"/>
                  <w:tcBorders>
                    <w:tl2br w:val="nil"/>
                    <w:tr2bl w:val="nil"/>
                  </w:tcBorders>
                  <w:noWrap w:val="0"/>
                  <w:vAlign w:val="center"/>
                </w:tcPr>
                <w:p>
                  <w:pPr>
                    <w:pStyle w:val="33"/>
                    <w:bidi w:val="0"/>
                    <w:rPr>
                      <w:rFonts w:hint="default"/>
                      <w:color w:val="auto"/>
                    </w:rPr>
                  </w:pPr>
                  <w:r>
                    <w:rPr>
                      <w:rFonts w:hint="default"/>
                      <w:color w:val="auto"/>
                    </w:rPr>
                    <w:t>固控</w:t>
                  </w:r>
                </w:p>
                <w:p>
                  <w:pPr>
                    <w:pStyle w:val="33"/>
                    <w:bidi w:val="0"/>
                    <w:rPr>
                      <w:rFonts w:hint="default"/>
                      <w:color w:val="auto"/>
                    </w:rPr>
                  </w:pPr>
                  <w:r>
                    <w:rPr>
                      <w:rFonts w:hint="default"/>
                      <w:color w:val="auto"/>
                    </w:rPr>
                    <w:t>系统</w:t>
                  </w: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振动筛</w:t>
                  </w:r>
                </w:p>
              </w:tc>
              <w:tc>
                <w:tcPr>
                  <w:tcW w:w="1325" w:type="pct"/>
                  <w:tcBorders>
                    <w:tl2br w:val="nil"/>
                    <w:tr2bl w:val="nil"/>
                  </w:tcBorders>
                  <w:noWrap w:val="0"/>
                  <w:vAlign w:val="center"/>
                </w:tcPr>
                <w:p>
                  <w:pPr>
                    <w:pStyle w:val="33"/>
                    <w:bidi w:val="0"/>
                    <w:rPr>
                      <w:rFonts w:hint="default"/>
                      <w:color w:val="auto"/>
                    </w:rPr>
                  </w:pPr>
                  <w:r>
                    <w:rPr>
                      <w:rFonts w:hint="default"/>
                      <w:color w:val="auto"/>
                    </w:rPr>
                    <w:t>HS270-4P-PTS</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r>
                    <w:rPr>
                      <w:rFonts w:hint="default"/>
                      <w:color w:val="auto"/>
                    </w:rPr>
                    <w:t>4台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除砂除泥一体机</w:t>
                  </w:r>
                </w:p>
              </w:tc>
              <w:tc>
                <w:tcPr>
                  <w:tcW w:w="1325" w:type="pct"/>
                  <w:tcBorders>
                    <w:tl2br w:val="nil"/>
                    <w:tr2bl w:val="nil"/>
                  </w:tcBorders>
                  <w:noWrap w:val="0"/>
                  <w:vAlign w:val="center"/>
                </w:tcPr>
                <w:p>
                  <w:pPr>
                    <w:pStyle w:val="33"/>
                    <w:bidi w:val="0"/>
                    <w:rPr>
                      <w:rFonts w:hint="default"/>
                      <w:color w:val="auto"/>
                    </w:rPr>
                  </w:pPr>
                  <w:r>
                    <w:rPr>
                      <w:rFonts w:hint="default"/>
                      <w:color w:val="auto"/>
                    </w:rPr>
                    <w:t>ZQJ-l/250X2-100X14-2</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离心机</w:t>
                  </w:r>
                </w:p>
              </w:tc>
              <w:tc>
                <w:tcPr>
                  <w:tcW w:w="1325" w:type="pct"/>
                  <w:tcBorders>
                    <w:tl2br w:val="nil"/>
                    <w:tr2bl w:val="nil"/>
                  </w:tcBorders>
                  <w:noWrap w:val="0"/>
                  <w:vAlign w:val="center"/>
                </w:tcPr>
                <w:p>
                  <w:pPr>
                    <w:pStyle w:val="33"/>
                    <w:bidi w:val="0"/>
                    <w:rPr>
                      <w:rFonts w:hint="default"/>
                      <w:color w:val="auto"/>
                    </w:rPr>
                  </w:pPr>
                  <w:r>
                    <w:rPr>
                      <w:rFonts w:hint="default"/>
                      <w:color w:val="auto"/>
                    </w:rPr>
                    <w:t>LW600×1000-N</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r>
                    <w:rPr>
                      <w:rFonts w:hint="default"/>
                      <w:color w:val="auto"/>
                    </w:rPr>
                    <w:t>2台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restart"/>
                  <w:tcBorders>
                    <w:tl2br w:val="nil"/>
                    <w:tr2bl w:val="nil"/>
                  </w:tcBorders>
                  <w:noWrap w:val="0"/>
                  <w:vAlign w:val="center"/>
                </w:tcPr>
                <w:p>
                  <w:pPr>
                    <w:pStyle w:val="33"/>
                    <w:bidi w:val="0"/>
                    <w:rPr>
                      <w:rFonts w:hint="default"/>
                      <w:color w:val="auto"/>
                    </w:rPr>
                  </w:pPr>
                  <w:r>
                    <w:rPr>
                      <w:rFonts w:hint="default"/>
                      <w:color w:val="auto"/>
                    </w:rPr>
                    <w:t>十一</w:t>
                  </w:r>
                </w:p>
              </w:tc>
              <w:tc>
                <w:tcPr>
                  <w:tcW w:w="394" w:type="pct"/>
                  <w:vMerge w:val="restart"/>
                  <w:tcBorders>
                    <w:tl2br w:val="nil"/>
                    <w:tr2bl w:val="nil"/>
                  </w:tcBorders>
                  <w:noWrap w:val="0"/>
                  <w:vAlign w:val="center"/>
                </w:tcPr>
                <w:p>
                  <w:pPr>
                    <w:pStyle w:val="33"/>
                    <w:bidi w:val="0"/>
                    <w:rPr>
                      <w:rFonts w:hint="default"/>
                      <w:color w:val="auto"/>
                    </w:rPr>
                  </w:pPr>
                  <w:r>
                    <w:rPr>
                      <w:rFonts w:hint="default"/>
                      <w:color w:val="auto"/>
                    </w:rPr>
                    <w:t>加重</w:t>
                  </w:r>
                </w:p>
                <w:p>
                  <w:pPr>
                    <w:pStyle w:val="33"/>
                    <w:bidi w:val="0"/>
                    <w:rPr>
                      <w:rFonts w:hint="default"/>
                      <w:color w:val="auto"/>
                    </w:rPr>
                  </w:pPr>
                  <w:r>
                    <w:rPr>
                      <w:rFonts w:hint="default"/>
                      <w:color w:val="auto"/>
                    </w:rPr>
                    <w:t>装置</w:t>
                  </w: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加重泵组</w:t>
                  </w:r>
                </w:p>
              </w:tc>
              <w:tc>
                <w:tcPr>
                  <w:tcW w:w="1325" w:type="pct"/>
                  <w:tcBorders>
                    <w:tl2br w:val="nil"/>
                    <w:tr2bl w:val="nil"/>
                  </w:tcBorders>
                  <w:noWrap w:val="0"/>
                  <w:vAlign w:val="center"/>
                </w:tcPr>
                <w:p>
                  <w:pPr>
                    <w:pStyle w:val="33"/>
                    <w:bidi w:val="0"/>
                    <w:rPr>
                      <w:rFonts w:hint="default"/>
                      <w:color w:val="auto"/>
                    </w:rPr>
                  </w:pPr>
                  <w:r>
                    <w:rPr>
                      <w:rFonts w:hint="default"/>
                      <w:color w:val="auto"/>
                    </w:rPr>
                    <w:t>150NSP</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lang w:val="en-US" w:eastAsia="zh-CN"/>
                    </w:rPr>
                  </w:pPr>
                  <w:r>
                    <w:rPr>
                      <w:rFonts w:hint="eastAsia"/>
                      <w:color w:val="auto"/>
                      <w:lang w:val="en-US" w:eastAsia="zh-CN"/>
                    </w:rPr>
                    <w:t>2套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气动加重装置</w:t>
                  </w:r>
                </w:p>
              </w:tc>
              <w:tc>
                <w:tcPr>
                  <w:tcW w:w="1325" w:type="pct"/>
                  <w:tcBorders>
                    <w:tl2br w:val="nil"/>
                    <w:tr2bl w:val="nil"/>
                  </w:tcBorders>
                  <w:noWrap w:val="0"/>
                  <w:vAlign w:val="center"/>
                </w:tcPr>
                <w:p>
                  <w:pPr>
                    <w:pStyle w:val="33"/>
                    <w:bidi w:val="0"/>
                    <w:rPr>
                      <w:rFonts w:hint="default"/>
                      <w:color w:val="auto"/>
                    </w:rPr>
                  </w:pP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restart"/>
                  <w:tcBorders>
                    <w:tl2br w:val="nil"/>
                    <w:tr2bl w:val="nil"/>
                  </w:tcBorders>
                  <w:noWrap w:val="0"/>
                  <w:vAlign w:val="center"/>
                </w:tcPr>
                <w:p>
                  <w:pPr>
                    <w:pStyle w:val="33"/>
                    <w:bidi w:val="0"/>
                    <w:rPr>
                      <w:rFonts w:hint="default"/>
                      <w:color w:val="auto"/>
                      <w:lang w:val="en-US" w:eastAsia="zh-CN"/>
                    </w:rPr>
                  </w:pPr>
                  <w:r>
                    <w:rPr>
                      <w:rFonts w:hint="default"/>
                      <w:color w:val="auto"/>
                      <w:lang w:val="en-US" w:eastAsia="zh-CN"/>
                    </w:rPr>
                    <w:t>十二</w:t>
                  </w:r>
                </w:p>
              </w:tc>
              <w:tc>
                <w:tcPr>
                  <w:tcW w:w="394" w:type="pct"/>
                  <w:vMerge w:val="restart"/>
                  <w:tcBorders>
                    <w:tl2br w:val="nil"/>
                    <w:tr2bl w:val="nil"/>
                  </w:tcBorders>
                  <w:noWrap w:val="0"/>
                  <w:vAlign w:val="center"/>
                </w:tcPr>
                <w:p>
                  <w:pPr>
                    <w:pStyle w:val="33"/>
                    <w:bidi w:val="0"/>
                    <w:rPr>
                      <w:rFonts w:hint="default"/>
                      <w:color w:val="auto"/>
                      <w:lang w:val="en-US" w:eastAsia="zh-CN"/>
                    </w:rPr>
                  </w:pPr>
                  <w:r>
                    <w:rPr>
                      <w:rFonts w:hint="default"/>
                      <w:color w:val="auto"/>
                      <w:lang w:val="en-US" w:eastAsia="zh-CN"/>
                    </w:rPr>
                    <w:t>井控系统</w:t>
                  </w:r>
                </w:p>
              </w:tc>
              <w:tc>
                <w:tcPr>
                  <w:tcW w:w="328" w:type="pct"/>
                  <w:vMerge w:val="restart"/>
                  <w:tcBorders>
                    <w:tl2br w:val="nil"/>
                    <w:tr2bl w:val="nil"/>
                  </w:tcBorders>
                  <w:noWrap w:val="0"/>
                  <w:vAlign w:val="center"/>
                </w:tcPr>
                <w:p>
                  <w:pPr>
                    <w:pStyle w:val="33"/>
                    <w:bidi w:val="0"/>
                    <w:rPr>
                      <w:rFonts w:hint="default"/>
                      <w:color w:val="auto"/>
                      <w:lang w:val="en-US" w:eastAsia="zh-CN"/>
                    </w:rPr>
                  </w:pPr>
                  <w:r>
                    <w:rPr>
                      <w:rFonts w:hint="default"/>
                      <w:color w:val="auto"/>
                      <w:lang w:val="en-US" w:eastAsia="zh-CN"/>
                    </w:rPr>
                    <w:t>二开</w:t>
                  </w: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单闸板防喷器</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FZ68-21</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单闸板防喷器</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FZ68-21</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节流管汇</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JG-21</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压井管汇</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YG-21</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钻井四通</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FS68-21</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升高短节</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68-21</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restart"/>
                  <w:tcBorders>
                    <w:tl2br w:val="nil"/>
                    <w:tr2bl w:val="nil"/>
                  </w:tcBorders>
                  <w:noWrap w:val="0"/>
                  <w:vAlign w:val="center"/>
                </w:tcPr>
                <w:p>
                  <w:pPr>
                    <w:pStyle w:val="33"/>
                    <w:bidi w:val="0"/>
                    <w:rPr>
                      <w:rFonts w:hint="default"/>
                      <w:color w:val="auto"/>
                      <w:lang w:val="en-US" w:eastAsia="zh-CN"/>
                    </w:rPr>
                  </w:pPr>
                  <w:r>
                    <w:rPr>
                      <w:rFonts w:hint="default"/>
                      <w:color w:val="auto"/>
                      <w:lang w:val="en-US" w:eastAsia="zh-CN"/>
                    </w:rPr>
                    <w:t>三开</w:t>
                  </w: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环形防喷器</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FH54-35</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单闸板防喷器</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FZ54-70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单闸板防喷器</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FZ54-70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节流管汇</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JG-70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压井管汇</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YG-70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钻井四通</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FS54-70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升高短节</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54-70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restart"/>
                  <w:tcBorders>
                    <w:tl2br w:val="nil"/>
                    <w:tr2bl w:val="nil"/>
                  </w:tcBorders>
                  <w:noWrap w:val="0"/>
                  <w:vAlign w:val="center"/>
                </w:tcPr>
                <w:p>
                  <w:pPr>
                    <w:pStyle w:val="33"/>
                    <w:bidi w:val="0"/>
                    <w:rPr>
                      <w:rFonts w:hint="default"/>
                      <w:color w:val="auto"/>
                      <w:lang w:val="en-US" w:eastAsia="zh-CN"/>
                    </w:rPr>
                  </w:pPr>
                  <w:r>
                    <w:rPr>
                      <w:rFonts w:hint="default"/>
                      <w:color w:val="auto"/>
                      <w:lang w:val="en-US" w:eastAsia="zh-CN"/>
                    </w:rPr>
                    <w:t>四开</w:t>
                  </w: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环形防喷器</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FH54-35</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单闸板防喷器</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FZ54-70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单闸板防喷器</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FZ54-70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单闸板防喷器</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FZ54-70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节流管汇</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JG-70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压井管汇</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YG-70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钻井四通</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FS54-70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升高短节</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54-70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restart"/>
                  <w:tcBorders>
                    <w:tl2br w:val="nil"/>
                    <w:tr2bl w:val="nil"/>
                  </w:tcBorders>
                  <w:noWrap w:val="0"/>
                  <w:vAlign w:val="center"/>
                </w:tcPr>
                <w:p>
                  <w:pPr>
                    <w:pStyle w:val="33"/>
                    <w:bidi w:val="0"/>
                    <w:rPr>
                      <w:rFonts w:hint="default"/>
                      <w:color w:val="auto"/>
                      <w:lang w:val="en-US" w:eastAsia="zh-CN"/>
                    </w:rPr>
                  </w:pPr>
                  <w:r>
                    <w:rPr>
                      <w:rFonts w:hint="default"/>
                      <w:color w:val="auto"/>
                      <w:lang w:val="en-US" w:eastAsia="zh-CN"/>
                    </w:rPr>
                    <w:t>五开</w:t>
                  </w: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旋转防喷器</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XK35-17.5/35</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环形防喷器</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FH28-105</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单闸板防喷器</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FZ28-140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单闸板防喷器</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FZ28-140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双闸板防喷器</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2FZ28-140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节流管汇</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JG-140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压井管汇</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YG-140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钻井四通（上）</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JG-140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328" w:type="pct"/>
                  <w:vMerge w:val="continue"/>
                  <w:tcBorders>
                    <w:tl2br w:val="nil"/>
                    <w:tr2bl w:val="nil"/>
                  </w:tcBorders>
                  <w:noWrap w:val="0"/>
                  <w:vAlign w:val="center"/>
                </w:tcPr>
                <w:p>
                  <w:pPr>
                    <w:pStyle w:val="33"/>
                    <w:bidi w:val="0"/>
                    <w:rPr>
                      <w:rFonts w:hint="default"/>
                      <w:color w:val="auto"/>
                    </w:rPr>
                  </w:pPr>
                </w:p>
              </w:tc>
              <w:tc>
                <w:tcPr>
                  <w:tcW w:w="87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钻井四通（下）</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YG-140</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控制装置</w:t>
                  </w:r>
                </w:p>
              </w:tc>
              <w:tc>
                <w:tcPr>
                  <w:tcW w:w="1325" w:type="pct"/>
                  <w:tcBorders>
                    <w:tl2br w:val="nil"/>
                    <w:tr2bl w:val="nil"/>
                  </w:tcBorders>
                  <w:noWrap w:val="0"/>
                  <w:vAlign w:val="center"/>
                </w:tcPr>
                <w:p>
                  <w:pPr>
                    <w:pStyle w:val="33"/>
                    <w:bidi w:val="0"/>
                    <w:rPr>
                      <w:rFonts w:hint="default"/>
                      <w:color w:val="auto"/>
                    </w:rPr>
                  </w:pPr>
                  <w:r>
                    <w:rPr>
                      <w:rFonts w:hint="default"/>
                      <w:color w:val="auto"/>
                    </w:rPr>
                    <w:t>FKDQ1280-10</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司钻控制台</w:t>
                  </w:r>
                </w:p>
              </w:tc>
              <w:tc>
                <w:tcPr>
                  <w:tcW w:w="1325" w:type="pct"/>
                  <w:tcBorders>
                    <w:tl2br w:val="nil"/>
                    <w:tr2bl w:val="nil"/>
                  </w:tcBorders>
                  <w:noWrap w:val="0"/>
                  <w:vAlign w:val="center"/>
                </w:tcPr>
                <w:p>
                  <w:pPr>
                    <w:pStyle w:val="33"/>
                    <w:bidi w:val="0"/>
                    <w:rPr>
                      <w:rFonts w:hint="default"/>
                      <w:color w:val="auto"/>
                    </w:rPr>
                  </w:pP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节流控制箱</w:t>
                  </w:r>
                </w:p>
              </w:tc>
              <w:tc>
                <w:tcPr>
                  <w:tcW w:w="1325" w:type="pct"/>
                  <w:tcBorders>
                    <w:tl2br w:val="nil"/>
                    <w:tr2bl w:val="nil"/>
                  </w:tcBorders>
                  <w:noWrap w:val="0"/>
                  <w:vAlign w:val="center"/>
                </w:tcPr>
                <w:p>
                  <w:pPr>
                    <w:pStyle w:val="33"/>
                    <w:bidi w:val="0"/>
                    <w:rPr>
                      <w:rFonts w:hint="default"/>
                      <w:color w:val="auto"/>
                    </w:rPr>
                  </w:pP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tcBorders>
                    <w:tl2br w:val="nil"/>
                    <w:tr2bl w:val="nil"/>
                  </w:tcBorders>
                  <w:noWrap w:val="0"/>
                  <w:vAlign w:val="center"/>
                </w:tcPr>
                <w:p>
                  <w:pPr>
                    <w:pStyle w:val="33"/>
                    <w:bidi w:val="0"/>
                    <w:rPr>
                      <w:rFonts w:hint="default"/>
                      <w:color w:val="auto"/>
                    </w:rPr>
                  </w:pPr>
                  <w:r>
                    <w:rPr>
                      <w:rFonts w:hint="default"/>
                      <w:color w:val="auto"/>
                    </w:rPr>
                    <w:t>液气分离器</w:t>
                  </w:r>
                </w:p>
              </w:tc>
              <w:tc>
                <w:tcPr>
                  <w:tcW w:w="1325" w:type="pct"/>
                  <w:tcBorders>
                    <w:tl2br w:val="nil"/>
                    <w:tr2bl w:val="nil"/>
                  </w:tcBorders>
                  <w:noWrap w:val="0"/>
                  <w:vAlign w:val="center"/>
                </w:tcPr>
                <w:p>
                  <w:pPr>
                    <w:pStyle w:val="33"/>
                    <w:bidi w:val="0"/>
                    <w:rPr>
                      <w:rFonts w:hint="default"/>
                      <w:color w:val="auto"/>
                    </w:rPr>
                  </w:pPr>
                  <w:r>
                    <w:rPr>
                      <w:rFonts w:hint="default"/>
                      <w:color w:val="auto"/>
                    </w:rPr>
                    <w:t>NFQ-1400</w:t>
                  </w:r>
                </w:p>
              </w:tc>
              <w:tc>
                <w:tcPr>
                  <w:tcW w:w="629" w:type="pct"/>
                  <w:tcBorders>
                    <w:tl2br w:val="nil"/>
                    <w:tr2bl w:val="nil"/>
                  </w:tcBorders>
                  <w:noWrap w:val="0"/>
                  <w:vAlign w:val="center"/>
                </w:tcPr>
                <w:p>
                  <w:pPr>
                    <w:pStyle w:val="33"/>
                    <w:bidi w:val="0"/>
                    <w:rPr>
                      <w:rFonts w:hint="default"/>
                      <w:color w:val="auto"/>
                    </w:rPr>
                  </w:pPr>
                </w:p>
              </w:tc>
              <w:tc>
                <w:tcPr>
                  <w:tcW w:w="1121" w:type="pct"/>
                  <w:tcBorders>
                    <w:tl2br w:val="nil"/>
                    <w:tr2bl w:val="nil"/>
                  </w:tcBorders>
                  <w:noWrap w:val="0"/>
                  <w:vAlign w:val="center"/>
                </w:tcPr>
                <w:p>
                  <w:pPr>
                    <w:pStyle w:val="33"/>
                    <w:bidi w:val="0"/>
                    <w:rPr>
                      <w:rFonts w:hint="default"/>
                      <w:color w:val="auto"/>
                    </w:rPr>
                  </w:pPr>
                  <w:r>
                    <w:rPr>
                      <w:rFonts w:hint="default"/>
                      <w:color w:val="auto"/>
                    </w:rPr>
                    <w:t>1台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restart"/>
                  <w:tcBorders>
                    <w:tl2br w:val="nil"/>
                    <w:tr2bl w:val="nil"/>
                  </w:tcBorders>
                  <w:noWrap w:val="0"/>
                  <w:vAlign w:val="center"/>
                </w:tcPr>
                <w:p>
                  <w:pPr>
                    <w:pStyle w:val="33"/>
                    <w:bidi w:val="0"/>
                    <w:rPr>
                      <w:rFonts w:hint="default"/>
                      <w:color w:val="auto"/>
                      <w:lang w:val="en-US" w:eastAsia="zh-CN"/>
                    </w:rPr>
                  </w:pPr>
                  <w:r>
                    <w:rPr>
                      <w:rFonts w:hint="default"/>
                      <w:color w:val="auto"/>
                      <w:lang w:val="en-US" w:eastAsia="zh-CN"/>
                    </w:rPr>
                    <w:t>十三</w:t>
                  </w:r>
                </w:p>
              </w:tc>
              <w:tc>
                <w:tcPr>
                  <w:tcW w:w="394" w:type="pct"/>
                  <w:vMerge w:val="restart"/>
                  <w:tcBorders>
                    <w:tl2br w:val="nil"/>
                    <w:tr2bl w:val="nil"/>
                  </w:tcBorders>
                  <w:noWrap w:val="0"/>
                  <w:vAlign w:val="center"/>
                </w:tcPr>
                <w:p>
                  <w:pPr>
                    <w:pStyle w:val="33"/>
                    <w:bidi w:val="0"/>
                    <w:rPr>
                      <w:rFonts w:hint="default"/>
                      <w:color w:val="auto"/>
                      <w:lang w:val="en-US" w:eastAsia="zh-CN"/>
                    </w:rPr>
                  </w:pPr>
                  <w:r>
                    <w:rPr>
                      <w:rFonts w:hint="default"/>
                      <w:color w:val="auto"/>
                      <w:lang w:val="en-US" w:eastAsia="zh-CN"/>
                    </w:rPr>
                    <w:t>仪器仪表</w:t>
                  </w:r>
                </w:p>
              </w:tc>
              <w:tc>
                <w:tcPr>
                  <w:tcW w:w="1199" w:type="pct"/>
                  <w:gridSpan w:val="2"/>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钻井参数仪表</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M/D TOTCO</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vMerge w:val="restart"/>
                  <w:tcBorders>
                    <w:tl2br w:val="nil"/>
                    <w:tr2bl w:val="nil"/>
                  </w:tcBorders>
                  <w:shd w:val="clear" w:color="auto" w:fill="auto"/>
                  <w:noWrap w:val="0"/>
                  <w:vAlign w:val="center"/>
                </w:tcPr>
                <w:p>
                  <w:pPr>
                    <w:pStyle w:val="33"/>
                    <w:bidi w:val="0"/>
                    <w:rPr>
                      <w:rFonts w:hint="default"/>
                      <w:color w:val="auto"/>
                    </w:rPr>
                  </w:pPr>
                  <w:r>
                    <w:rPr>
                      <w:rFonts w:hint="default"/>
                      <w:color w:val="auto"/>
                    </w:rPr>
                    <w:t>测斜仪</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自浮式单点测斜仪</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2套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vMerge w:val="continue"/>
                  <w:tcBorders>
                    <w:tl2br w:val="nil"/>
                    <w:tr2bl w:val="nil"/>
                  </w:tcBorders>
                  <w:noWrap w:val="0"/>
                  <w:vAlign w:val="center"/>
                </w:tcPr>
                <w:p>
                  <w:pPr>
                    <w:pStyle w:val="33"/>
                    <w:bidi w:val="0"/>
                    <w:rPr>
                      <w:rFonts w:hint="default"/>
                      <w:color w:val="auto"/>
                    </w:rPr>
                  </w:pP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测斜仪</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restart"/>
                  <w:tcBorders>
                    <w:tl2br w:val="nil"/>
                    <w:tr2bl w:val="nil"/>
                  </w:tcBorders>
                  <w:noWrap w:val="0"/>
                  <w:vAlign w:val="center"/>
                </w:tcPr>
                <w:p>
                  <w:pPr>
                    <w:pStyle w:val="33"/>
                    <w:bidi w:val="0"/>
                    <w:rPr>
                      <w:rFonts w:hint="default"/>
                      <w:color w:val="auto"/>
                      <w:lang w:val="en-US" w:eastAsia="zh-CN"/>
                    </w:rPr>
                  </w:pPr>
                  <w:r>
                    <w:rPr>
                      <w:rFonts w:hint="default"/>
                      <w:color w:val="auto"/>
                      <w:lang w:val="en-US" w:eastAsia="zh-CN"/>
                    </w:rPr>
                    <w:t>十四</w:t>
                  </w:r>
                </w:p>
              </w:tc>
              <w:tc>
                <w:tcPr>
                  <w:tcW w:w="394" w:type="pct"/>
                  <w:vMerge w:val="restart"/>
                  <w:tcBorders>
                    <w:tl2br w:val="nil"/>
                    <w:tr2bl w:val="nil"/>
                  </w:tcBorders>
                  <w:noWrap w:val="0"/>
                  <w:vAlign w:val="center"/>
                </w:tcPr>
                <w:p>
                  <w:pPr>
                    <w:pStyle w:val="33"/>
                    <w:bidi w:val="0"/>
                    <w:rPr>
                      <w:rFonts w:hint="default"/>
                      <w:color w:val="auto"/>
                      <w:lang w:val="en-US" w:eastAsia="zh-CN"/>
                    </w:rPr>
                  </w:pPr>
                  <w:r>
                    <w:rPr>
                      <w:rFonts w:hint="default"/>
                      <w:color w:val="auto"/>
                      <w:lang w:val="en-US" w:eastAsia="zh-CN"/>
                    </w:rPr>
                    <w:t>防硫设备</w:t>
                  </w:r>
                </w:p>
              </w:tc>
              <w:tc>
                <w:tcPr>
                  <w:tcW w:w="1199" w:type="pct"/>
                  <w:gridSpan w:val="2"/>
                  <w:vMerge w:val="restart"/>
                  <w:tcBorders>
                    <w:tl2br w:val="nil"/>
                    <w:tr2bl w:val="nil"/>
                  </w:tcBorders>
                  <w:shd w:val="clear" w:color="auto" w:fill="auto"/>
                  <w:noWrap w:val="0"/>
                  <w:vAlign w:val="center"/>
                </w:tcPr>
                <w:p>
                  <w:pPr>
                    <w:pStyle w:val="33"/>
                    <w:bidi w:val="0"/>
                    <w:rPr>
                      <w:rFonts w:hint="default"/>
                      <w:color w:val="auto"/>
                    </w:rPr>
                  </w:pPr>
                  <w:r>
                    <w:rPr>
                      <w:rFonts w:hint="default"/>
                      <w:color w:val="auto"/>
                    </w:rPr>
                    <w:t>H</w:t>
                  </w:r>
                  <w:r>
                    <w:rPr>
                      <w:rFonts w:hint="default"/>
                      <w:color w:val="auto"/>
                      <w:vertAlign w:val="subscript"/>
                    </w:rPr>
                    <w:t>2</w:t>
                  </w:r>
                  <w:r>
                    <w:rPr>
                      <w:rFonts w:hint="default"/>
                      <w:color w:val="auto"/>
                    </w:rPr>
                    <w:t>S监测仪</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便携式</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w:t>
                  </w:r>
                  <w:r>
                    <w:rPr>
                      <w:rFonts w:hint="default"/>
                      <w:color w:val="auto"/>
                      <w:lang w:val="en-US" w:eastAsia="zh-CN"/>
                    </w:rPr>
                    <w:t>1</w:t>
                  </w:r>
                  <w:r>
                    <w:rPr>
                      <w:rFonts w:hint="default"/>
                      <w:color w:val="auto"/>
                    </w:rPr>
                    <w:t>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vMerge w:val="continue"/>
                  <w:tcBorders>
                    <w:tl2br w:val="nil"/>
                    <w:tr2bl w:val="nil"/>
                  </w:tcBorders>
                  <w:noWrap w:val="0"/>
                  <w:vAlign w:val="center"/>
                </w:tcPr>
                <w:p>
                  <w:pPr>
                    <w:pStyle w:val="33"/>
                    <w:bidi w:val="0"/>
                    <w:rPr>
                      <w:rFonts w:hint="default"/>
                      <w:color w:val="auto"/>
                    </w:rPr>
                  </w:pPr>
                </w:p>
              </w:tc>
              <w:tc>
                <w:tcPr>
                  <w:tcW w:w="394" w:type="pct"/>
                  <w:vMerge w:val="continue"/>
                  <w:tcBorders>
                    <w:tl2br w:val="nil"/>
                    <w:tr2bl w:val="nil"/>
                  </w:tcBorders>
                  <w:noWrap w:val="0"/>
                  <w:vAlign w:val="center"/>
                </w:tcPr>
                <w:p>
                  <w:pPr>
                    <w:pStyle w:val="33"/>
                    <w:bidi w:val="0"/>
                    <w:rPr>
                      <w:rFonts w:hint="default"/>
                      <w:color w:val="auto"/>
                    </w:rPr>
                  </w:pPr>
                </w:p>
              </w:tc>
              <w:tc>
                <w:tcPr>
                  <w:tcW w:w="1199" w:type="pct"/>
                  <w:gridSpan w:val="2"/>
                  <w:vMerge w:val="continue"/>
                  <w:tcBorders>
                    <w:tl2br w:val="nil"/>
                    <w:tr2bl w:val="nil"/>
                  </w:tcBorders>
                  <w:noWrap w:val="0"/>
                  <w:vAlign w:val="center"/>
                </w:tcPr>
                <w:p>
                  <w:pPr>
                    <w:pStyle w:val="33"/>
                    <w:bidi w:val="0"/>
                    <w:rPr>
                      <w:rFonts w:hint="default"/>
                      <w:color w:val="auto"/>
                    </w:rPr>
                  </w:pP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lang w:val="en-US" w:eastAsia="zh-CN"/>
                    </w:rPr>
                    <w:t>固定式</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lang w:val="en-US" w:eastAsia="zh-CN"/>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tcBorders>
                    <w:tl2br w:val="nil"/>
                    <w:tr2bl w:val="nil"/>
                  </w:tcBorders>
                  <w:noWrap w:val="0"/>
                  <w:vAlign w:val="center"/>
                </w:tcPr>
                <w:p>
                  <w:pPr>
                    <w:pStyle w:val="33"/>
                    <w:bidi w:val="0"/>
                    <w:rPr>
                      <w:rFonts w:hint="default"/>
                      <w:color w:val="auto"/>
                      <w:lang w:val="en-US" w:eastAsia="zh-CN"/>
                    </w:rPr>
                  </w:pPr>
                  <w:r>
                    <w:rPr>
                      <w:rFonts w:hint="default"/>
                      <w:color w:val="auto"/>
                      <w:lang w:val="en-US" w:eastAsia="zh-CN"/>
                    </w:rPr>
                    <w:t>十五</w:t>
                  </w:r>
                </w:p>
              </w:tc>
              <w:tc>
                <w:tcPr>
                  <w:tcW w:w="1593" w:type="pct"/>
                  <w:gridSpan w:val="3"/>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液压大钳</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lang w:val="en-US" w:eastAsia="zh-CN"/>
                    </w:rPr>
                    <w:t>Q10Y-M</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1 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330" w:type="pct"/>
                  <w:tcBorders>
                    <w:tl2br w:val="nil"/>
                    <w:tr2bl w:val="nil"/>
                  </w:tcBorders>
                  <w:noWrap w:val="0"/>
                  <w:vAlign w:val="center"/>
                </w:tcPr>
                <w:p>
                  <w:pPr>
                    <w:pStyle w:val="33"/>
                    <w:bidi w:val="0"/>
                    <w:rPr>
                      <w:rFonts w:hint="default"/>
                      <w:color w:val="auto"/>
                      <w:lang w:val="en-US" w:eastAsia="zh-CN"/>
                    </w:rPr>
                  </w:pPr>
                  <w:r>
                    <w:rPr>
                      <w:rFonts w:hint="default"/>
                      <w:color w:val="auto"/>
                      <w:lang w:val="en-US" w:eastAsia="zh-CN"/>
                    </w:rPr>
                    <w:t>十六</w:t>
                  </w:r>
                </w:p>
              </w:tc>
              <w:tc>
                <w:tcPr>
                  <w:tcW w:w="1593" w:type="pct"/>
                  <w:gridSpan w:val="3"/>
                  <w:tcBorders>
                    <w:tl2br w:val="nil"/>
                    <w:tr2bl w:val="nil"/>
                  </w:tcBorders>
                  <w:shd w:val="clear" w:color="auto" w:fill="auto"/>
                  <w:noWrap w:val="0"/>
                  <w:vAlign w:val="center"/>
                </w:tcPr>
                <w:p>
                  <w:pPr>
                    <w:pStyle w:val="33"/>
                    <w:bidi w:val="0"/>
                    <w:rPr>
                      <w:rFonts w:hint="default"/>
                      <w:color w:val="auto"/>
                      <w:lang w:val="en-US" w:eastAsia="zh-CN"/>
                    </w:rPr>
                  </w:pPr>
                  <w:r>
                    <w:rPr>
                      <w:rFonts w:hint="default"/>
                      <w:color w:val="auto"/>
                    </w:rPr>
                    <w:t>柴油储罐</w:t>
                  </w:r>
                </w:p>
              </w:tc>
              <w:tc>
                <w:tcPr>
                  <w:tcW w:w="1325" w:type="pct"/>
                  <w:tcBorders>
                    <w:tl2br w:val="nil"/>
                    <w:tr2bl w:val="nil"/>
                  </w:tcBorders>
                  <w:shd w:val="clear" w:color="auto" w:fill="auto"/>
                  <w:noWrap w:val="0"/>
                  <w:vAlign w:val="center"/>
                </w:tcPr>
                <w:p>
                  <w:pPr>
                    <w:pStyle w:val="33"/>
                    <w:bidi w:val="0"/>
                    <w:rPr>
                      <w:rFonts w:hint="default"/>
                      <w:color w:val="auto"/>
                      <w:lang w:val="en-US" w:eastAsia="zh-CN"/>
                    </w:rPr>
                  </w:pPr>
                  <w:r>
                    <w:rPr>
                      <w:rFonts w:hint="eastAsia"/>
                      <w:color w:val="auto"/>
                      <w:lang w:val="en-US" w:eastAsia="zh-CN"/>
                    </w:rPr>
                    <w:t>3</w:t>
                  </w:r>
                  <w:r>
                    <w:rPr>
                      <w:rFonts w:hint="default"/>
                      <w:color w:val="auto"/>
                      <w:lang w:val="en-US" w:eastAsia="zh-CN"/>
                    </w:rPr>
                    <w:t>0</w:t>
                  </w:r>
                  <w:r>
                    <w:rPr>
                      <w:rFonts w:hint="default"/>
                      <w:color w:val="auto"/>
                    </w:rPr>
                    <w:t>m³</w:t>
                  </w:r>
                </w:p>
              </w:tc>
              <w:tc>
                <w:tcPr>
                  <w:tcW w:w="629" w:type="pct"/>
                  <w:tcBorders>
                    <w:tl2br w:val="nil"/>
                    <w:tr2bl w:val="nil"/>
                  </w:tcBorders>
                  <w:shd w:val="clear" w:color="auto" w:fill="auto"/>
                  <w:noWrap w:val="0"/>
                  <w:vAlign w:val="center"/>
                </w:tcPr>
                <w:p>
                  <w:pPr>
                    <w:pStyle w:val="33"/>
                    <w:bidi w:val="0"/>
                    <w:rPr>
                      <w:rFonts w:hint="default"/>
                      <w:color w:val="auto"/>
                      <w:lang w:val="en-US" w:eastAsia="zh-CN"/>
                    </w:rPr>
                  </w:pPr>
                </w:p>
              </w:tc>
              <w:tc>
                <w:tcPr>
                  <w:tcW w:w="1121" w:type="pct"/>
                  <w:tcBorders>
                    <w:tl2br w:val="nil"/>
                    <w:tr2bl w:val="nil"/>
                  </w:tcBorders>
                  <w:shd w:val="clear" w:color="auto" w:fill="auto"/>
                  <w:noWrap w:val="0"/>
                  <w:vAlign w:val="center"/>
                </w:tcPr>
                <w:p>
                  <w:pPr>
                    <w:pStyle w:val="33"/>
                    <w:bidi w:val="0"/>
                    <w:rPr>
                      <w:rFonts w:hint="default" w:ascii="Times New Roman" w:hAnsi="Times New Roman" w:eastAsia="宋体" w:cs="Arial"/>
                      <w:color w:val="auto"/>
                      <w:kern w:val="2"/>
                      <w:sz w:val="21"/>
                      <w:szCs w:val="21"/>
                      <w:lang w:val="en-US" w:eastAsia="zh-CN" w:bidi="ar-SA"/>
                    </w:rPr>
                  </w:pPr>
                  <w:r>
                    <w:rPr>
                      <w:rFonts w:hint="eastAsia"/>
                      <w:color w:val="auto"/>
                      <w:lang w:val="en-US" w:eastAsia="zh-CN"/>
                    </w:rPr>
                    <w:t>1座，</w:t>
                  </w:r>
                  <w:r>
                    <w:rPr>
                      <w:color w:val="auto"/>
                    </w:rPr>
                    <w:t>20</w:t>
                  </w:r>
                  <w:r>
                    <w:rPr>
                      <w:rFonts w:hint="eastAsia"/>
                      <w:color w:val="auto"/>
                    </w:rPr>
                    <w:t>t</w:t>
                  </w:r>
                </w:p>
              </w:tc>
            </w:tr>
          </w:tbl>
          <w:p>
            <w:pPr>
              <w:pStyle w:val="36"/>
              <w:bidi w:val="0"/>
              <w:rPr>
                <w:rFonts w:hint="default"/>
                <w:color w:val="auto"/>
              </w:rPr>
            </w:pPr>
            <w:r>
              <w:rPr>
                <w:rFonts w:hint="default"/>
                <w:color w:val="auto"/>
              </w:rPr>
              <w:t>（3）试油工程</w:t>
            </w:r>
          </w:p>
          <w:p>
            <w:pPr>
              <w:pStyle w:val="36"/>
              <w:bidi w:val="0"/>
              <w:rPr>
                <w:rFonts w:hint="default"/>
                <w:color w:val="auto"/>
              </w:rPr>
            </w:pPr>
            <w:r>
              <w:rPr>
                <w:rFonts w:hint="default"/>
                <w:color w:val="auto"/>
              </w:rPr>
              <w:t>在钻井施工完毕后对目的层进行试油作业。试油工程主要包括试油准备、储层改造和试油。</w:t>
            </w:r>
          </w:p>
          <w:p>
            <w:pPr>
              <w:pStyle w:val="36"/>
              <w:bidi w:val="0"/>
              <w:rPr>
                <w:rFonts w:hint="default"/>
                <w:color w:val="auto"/>
              </w:rPr>
            </w:pPr>
            <w:r>
              <w:rPr>
                <w:rFonts w:hint="default"/>
                <w:color w:val="auto"/>
              </w:rPr>
              <w:t>①试油准备</w:t>
            </w:r>
          </w:p>
          <w:p>
            <w:pPr>
              <w:pStyle w:val="36"/>
              <w:bidi w:val="0"/>
              <w:rPr>
                <w:rFonts w:hint="default"/>
                <w:color w:val="auto"/>
              </w:rPr>
            </w:pPr>
            <w:r>
              <w:rPr>
                <w:rFonts w:hint="default"/>
                <w:color w:val="auto"/>
              </w:rPr>
              <w:t>试油准备主要进行通井、洗井和试压工作。通井时用钻杆或油管带通井规下入井内，检查套管是否有影响试油工具通过的弯曲和固体物质等；洗井使用泵注设备，利用洗井液，通过井内管柱内外循环，清除套管壁杂物等；试压用气体或液体介质，对地面流程、井口设备、井下套管等进行耐压程度检验。</w:t>
            </w:r>
          </w:p>
          <w:p>
            <w:pPr>
              <w:pStyle w:val="36"/>
              <w:bidi w:val="0"/>
              <w:rPr>
                <w:rFonts w:hint="default"/>
                <w:color w:val="auto"/>
              </w:rPr>
            </w:pPr>
            <w:r>
              <w:rPr>
                <w:rFonts w:hint="default"/>
                <w:color w:val="auto"/>
              </w:rPr>
              <w:t>②储层改造</w:t>
            </w:r>
          </w:p>
          <w:p>
            <w:pPr>
              <w:pStyle w:val="36"/>
              <w:bidi w:val="0"/>
              <w:rPr>
                <w:rFonts w:hint="default"/>
                <w:color w:val="auto"/>
              </w:rPr>
            </w:pPr>
            <w:r>
              <w:rPr>
                <w:rFonts w:hint="eastAsia"/>
                <w:color w:val="auto"/>
              </w:rPr>
              <w:t>储层改造包括射孔和压裂两个工序。射孔时利用专用设备和射孔枪，对套管和井壁进行射孔，建立地层与井筒之间的通道；压裂时用泵车将压裂液挤入油层，当把油层压出许多裂缝后加入支撑剂（如石英砂等），使其充填进裂缝，可有效提高油气层的渗透能力。停泵后，压裂返排液自喷返排至地面专用废液收集罐中，拉运至车89集中处理站处理。</w:t>
            </w:r>
            <w:r>
              <w:rPr>
                <w:rFonts w:hint="default"/>
                <w:color w:val="auto"/>
                <w:lang w:val="en-US" w:eastAsia="zh-CN"/>
              </w:rPr>
              <w:t>主要压裂设备</w:t>
            </w:r>
            <w:r>
              <w:rPr>
                <w:rFonts w:hint="default"/>
                <w:color w:val="auto"/>
              </w:rPr>
              <w:t>见</w:t>
            </w:r>
            <w:r>
              <w:rPr>
                <w:rFonts w:hint="eastAsia" w:ascii="Times New Roman" w:eastAsia="宋体"/>
                <w:color w:val="auto"/>
                <w:lang w:val="en-US" w:eastAsia="zh-CN"/>
              </w:rPr>
              <w:t>下表</w:t>
            </w:r>
            <w:r>
              <w:rPr>
                <w:rFonts w:hint="default"/>
                <w:color w:val="auto"/>
              </w:rPr>
              <w:t>。</w:t>
            </w:r>
          </w:p>
          <w:p>
            <w:pPr>
              <w:pStyle w:val="52"/>
              <w:bidi w:val="0"/>
              <w:rPr>
                <w:rFonts w:hint="default"/>
                <w:color w:val="auto"/>
                <w:lang w:val="en-US" w:eastAsia="zh-CN"/>
              </w:rPr>
            </w:pPr>
            <w:r>
              <w:rPr>
                <w:rFonts w:hint="default"/>
                <w:color w:val="auto"/>
              </w:rPr>
              <w:t>表</w:t>
            </w:r>
            <w:r>
              <w:rPr>
                <w:rFonts w:hint="default"/>
                <w:color w:val="auto"/>
                <w:lang w:val="en-US" w:eastAsia="zh-CN"/>
              </w:rPr>
              <w:t>2-5</w:t>
            </w:r>
            <w:r>
              <w:rPr>
                <w:rFonts w:hint="default"/>
                <w:color w:val="auto"/>
              </w:rPr>
              <w:t xml:space="preserve">  压裂主要设备</w:t>
            </w:r>
            <w:r>
              <w:rPr>
                <w:rFonts w:hint="default"/>
                <w:color w:val="auto"/>
                <w:lang w:val="en-US" w:eastAsia="zh-CN"/>
              </w:rPr>
              <w:t>一览表</w:t>
            </w:r>
          </w:p>
          <w:tbl>
            <w:tblPr>
              <w:tblStyle w:val="24"/>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2183"/>
              <w:gridCol w:w="1909"/>
              <w:gridCol w:w="25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pct"/>
                  <w:vAlign w:val="center"/>
                </w:tcPr>
                <w:p>
                  <w:pPr>
                    <w:pStyle w:val="33"/>
                    <w:bidi w:val="0"/>
                    <w:rPr>
                      <w:rFonts w:hint="default"/>
                      <w:color w:val="auto"/>
                    </w:rPr>
                  </w:pPr>
                  <w:r>
                    <w:rPr>
                      <w:rFonts w:hint="default"/>
                      <w:color w:val="auto"/>
                    </w:rPr>
                    <w:t>阶段</w:t>
                  </w:r>
                </w:p>
              </w:tc>
              <w:tc>
                <w:tcPr>
                  <w:tcW w:w="1385" w:type="pct"/>
                  <w:vAlign w:val="center"/>
                </w:tcPr>
                <w:p>
                  <w:pPr>
                    <w:pStyle w:val="33"/>
                    <w:bidi w:val="0"/>
                    <w:rPr>
                      <w:rFonts w:hint="default"/>
                      <w:color w:val="auto"/>
                    </w:rPr>
                  </w:pPr>
                  <w:r>
                    <w:rPr>
                      <w:rFonts w:hint="default"/>
                      <w:color w:val="auto"/>
                    </w:rPr>
                    <w:t>设备名称</w:t>
                  </w:r>
                </w:p>
              </w:tc>
              <w:tc>
                <w:tcPr>
                  <w:tcW w:w="1211" w:type="pct"/>
                  <w:vAlign w:val="center"/>
                </w:tcPr>
                <w:p>
                  <w:pPr>
                    <w:pStyle w:val="33"/>
                    <w:bidi w:val="0"/>
                    <w:rPr>
                      <w:rFonts w:hint="default"/>
                      <w:color w:val="auto"/>
                    </w:rPr>
                  </w:pPr>
                  <w:r>
                    <w:rPr>
                      <w:rFonts w:hint="default"/>
                      <w:color w:val="auto"/>
                    </w:rPr>
                    <w:t>主要型号</w:t>
                  </w:r>
                </w:p>
              </w:tc>
              <w:tc>
                <w:tcPr>
                  <w:tcW w:w="1634" w:type="pct"/>
                  <w:vAlign w:val="center"/>
                </w:tcPr>
                <w:p>
                  <w:pPr>
                    <w:pStyle w:val="33"/>
                    <w:bidi w:val="0"/>
                    <w:rPr>
                      <w:rFonts w:hint="default"/>
                      <w:color w:val="auto"/>
                    </w:rPr>
                  </w:pPr>
                  <w:r>
                    <w:rPr>
                      <w:rFonts w:hint="default"/>
                      <w:color w:val="auto"/>
                    </w:rPr>
                    <w:t>数量（台/座）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pct"/>
                  <w:vMerge w:val="restart"/>
                  <w:vAlign w:val="center"/>
                </w:tcPr>
                <w:p>
                  <w:pPr>
                    <w:pStyle w:val="33"/>
                    <w:bidi w:val="0"/>
                    <w:rPr>
                      <w:rFonts w:hint="default"/>
                      <w:color w:val="auto"/>
                    </w:rPr>
                  </w:pPr>
                  <w:r>
                    <w:rPr>
                      <w:rFonts w:hint="default"/>
                      <w:color w:val="auto"/>
                    </w:rPr>
                    <w:t>压裂</w:t>
                  </w:r>
                </w:p>
              </w:tc>
              <w:tc>
                <w:tcPr>
                  <w:tcW w:w="1385" w:type="pct"/>
                  <w:vAlign w:val="center"/>
                </w:tcPr>
                <w:p>
                  <w:pPr>
                    <w:pStyle w:val="33"/>
                    <w:bidi w:val="0"/>
                    <w:rPr>
                      <w:rFonts w:hint="default"/>
                      <w:color w:val="auto"/>
                    </w:rPr>
                  </w:pPr>
                  <w:r>
                    <w:rPr>
                      <w:rFonts w:hint="default"/>
                      <w:color w:val="auto"/>
                    </w:rPr>
                    <w:t>压裂车</w:t>
                  </w:r>
                </w:p>
              </w:tc>
              <w:tc>
                <w:tcPr>
                  <w:tcW w:w="1211" w:type="pct"/>
                  <w:vAlign w:val="center"/>
                </w:tcPr>
                <w:p>
                  <w:pPr>
                    <w:pStyle w:val="33"/>
                    <w:bidi w:val="0"/>
                    <w:rPr>
                      <w:rFonts w:hint="default"/>
                      <w:color w:val="auto"/>
                    </w:rPr>
                  </w:pPr>
                  <w:r>
                    <w:rPr>
                      <w:rFonts w:hint="default"/>
                      <w:color w:val="auto"/>
                    </w:rPr>
                    <w:t>2500型</w:t>
                  </w:r>
                </w:p>
              </w:tc>
              <w:tc>
                <w:tcPr>
                  <w:tcW w:w="1634" w:type="pct"/>
                  <w:vAlign w:val="center"/>
                </w:tcPr>
                <w:p>
                  <w:pPr>
                    <w:pStyle w:val="33"/>
                    <w:bidi w:val="0"/>
                    <w:rPr>
                      <w:rFonts w:hint="default"/>
                      <w:color w:val="auto"/>
                    </w:rPr>
                  </w:pPr>
                  <w:r>
                    <w:rPr>
                      <w:rFonts w:hint="default"/>
                      <w:color w:val="auto"/>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pct"/>
                  <w:vMerge w:val="continue"/>
                  <w:vAlign w:val="center"/>
                </w:tcPr>
                <w:p>
                  <w:pPr>
                    <w:pStyle w:val="33"/>
                    <w:bidi w:val="0"/>
                    <w:rPr>
                      <w:rFonts w:hint="default"/>
                      <w:color w:val="auto"/>
                    </w:rPr>
                  </w:pPr>
                </w:p>
              </w:tc>
              <w:tc>
                <w:tcPr>
                  <w:tcW w:w="1385" w:type="pct"/>
                  <w:vAlign w:val="center"/>
                </w:tcPr>
                <w:p>
                  <w:pPr>
                    <w:pStyle w:val="33"/>
                    <w:bidi w:val="0"/>
                    <w:rPr>
                      <w:rFonts w:hint="default"/>
                      <w:color w:val="auto"/>
                    </w:rPr>
                  </w:pPr>
                  <w:r>
                    <w:rPr>
                      <w:rFonts w:hint="default"/>
                      <w:color w:val="auto"/>
                    </w:rPr>
                    <w:t>混砂车</w:t>
                  </w:r>
                </w:p>
              </w:tc>
              <w:tc>
                <w:tcPr>
                  <w:tcW w:w="1211" w:type="pct"/>
                  <w:vAlign w:val="center"/>
                </w:tcPr>
                <w:p>
                  <w:pPr>
                    <w:pStyle w:val="33"/>
                    <w:bidi w:val="0"/>
                    <w:rPr>
                      <w:rFonts w:hint="default"/>
                      <w:color w:val="auto"/>
                    </w:rPr>
                  </w:pPr>
                  <w:r>
                    <w:rPr>
                      <w:rFonts w:hint="default"/>
                      <w:color w:val="auto"/>
                    </w:rPr>
                    <w:t>/</w:t>
                  </w:r>
                </w:p>
              </w:tc>
              <w:tc>
                <w:tcPr>
                  <w:tcW w:w="1634" w:type="pct"/>
                  <w:vAlign w:val="center"/>
                </w:tcPr>
                <w:p>
                  <w:pPr>
                    <w:pStyle w:val="33"/>
                    <w:bidi w:val="0"/>
                    <w:rPr>
                      <w:rFonts w:hint="default"/>
                      <w:color w:val="auto"/>
                    </w:rPr>
                  </w:pPr>
                  <w:r>
                    <w:rPr>
                      <w:rFonts w:hint="default"/>
                      <w:color w:val="auto"/>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pct"/>
                  <w:vMerge w:val="continue"/>
                  <w:vAlign w:val="center"/>
                </w:tcPr>
                <w:p>
                  <w:pPr>
                    <w:pStyle w:val="33"/>
                    <w:bidi w:val="0"/>
                    <w:rPr>
                      <w:rFonts w:hint="default"/>
                      <w:color w:val="auto"/>
                    </w:rPr>
                  </w:pPr>
                </w:p>
              </w:tc>
              <w:tc>
                <w:tcPr>
                  <w:tcW w:w="1385" w:type="pct"/>
                  <w:vAlign w:val="center"/>
                </w:tcPr>
                <w:p>
                  <w:pPr>
                    <w:pStyle w:val="33"/>
                    <w:bidi w:val="0"/>
                    <w:rPr>
                      <w:rFonts w:hint="default"/>
                      <w:color w:val="auto"/>
                    </w:rPr>
                  </w:pPr>
                  <w:r>
                    <w:rPr>
                      <w:rFonts w:hint="default"/>
                      <w:color w:val="auto"/>
                    </w:rPr>
                    <w:t>仪表车</w:t>
                  </w:r>
                </w:p>
              </w:tc>
              <w:tc>
                <w:tcPr>
                  <w:tcW w:w="1211" w:type="pct"/>
                  <w:vAlign w:val="center"/>
                </w:tcPr>
                <w:p>
                  <w:pPr>
                    <w:pStyle w:val="33"/>
                    <w:bidi w:val="0"/>
                    <w:rPr>
                      <w:rFonts w:hint="default"/>
                      <w:color w:val="auto"/>
                    </w:rPr>
                  </w:pPr>
                  <w:r>
                    <w:rPr>
                      <w:rFonts w:hint="default"/>
                      <w:color w:val="auto"/>
                    </w:rPr>
                    <w:t>/</w:t>
                  </w:r>
                </w:p>
              </w:tc>
              <w:tc>
                <w:tcPr>
                  <w:tcW w:w="1634" w:type="pct"/>
                  <w:vAlign w:val="center"/>
                </w:tcPr>
                <w:p>
                  <w:pPr>
                    <w:pStyle w:val="33"/>
                    <w:bidi w:val="0"/>
                    <w:rPr>
                      <w:rFonts w:hint="default"/>
                      <w:color w:val="auto"/>
                    </w:rPr>
                  </w:pPr>
                  <w:r>
                    <w:rPr>
                      <w:rFonts w:hint="default"/>
                      <w:color w:val="auto"/>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pct"/>
                  <w:vMerge w:val="continue"/>
                  <w:vAlign w:val="center"/>
                </w:tcPr>
                <w:p>
                  <w:pPr>
                    <w:pStyle w:val="33"/>
                    <w:bidi w:val="0"/>
                    <w:rPr>
                      <w:rFonts w:hint="default"/>
                      <w:color w:val="auto"/>
                    </w:rPr>
                  </w:pPr>
                </w:p>
              </w:tc>
              <w:tc>
                <w:tcPr>
                  <w:tcW w:w="1385" w:type="pct"/>
                  <w:vAlign w:val="center"/>
                </w:tcPr>
                <w:p>
                  <w:pPr>
                    <w:pStyle w:val="33"/>
                    <w:bidi w:val="0"/>
                    <w:rPr>
                      <w:rFonts w:hint="default"/>
                      <w:color w:val="auto"/>
                    </w:rPr>
                  </w:pPr>
                  <w:r>
                    <w:rPr>
                      <w:rFonts w:hint="default"/>
                      <w:color w:val="auto"/>
                    </w:rPr>
                    <w:t>砂罐车</w:t>
                  </w:r>
                </w:p>
              </w:tc>
              <w:tc>
                <w:tcPr>
                  <w:tcW w:w="1211" w:type="pct"/>
                  <w:vAlign w:val="center"/>
                </w:tcPr>
                <w:p>
                  <w:pPr>
                    <w:pStyle w:val="33"/>
                    <w:bidi w:val="0"/>
                    <w:rPr>
                      <w:rFonts w:hint="default"/>
                      <w:color w:val="auto"/>
                    </w:rPr>
                  </w:pPr>
                  <w:r>
                    <w:rPr>
                      <w:rFonts w:hint="default"/>
                      <w:color w:val="auto"/>
                    </w:rPr>
                    <w:t>/</w:t>
                  </w:r>
                </w:p>
              </w:tc>
              <w:tc>
                <w:tcPr>
                  <w:tcW w:w="1634" w:type="pct"/>
                  <w:vAlign w:val="center"/>
                </w:tcPr>
                <w:p>
                  <w:pPr>
                    <w:pStyle w:val="33"/>
                    <w:bidi w:val="0"/>
                    <w:rPr>
                      <w:rFonts w:hint="default"/>
                      <w:color w:val="auto"/>
                    </w:rPr>
                  </w:pPr>
                  <w:r>
                    <w:rPr>
                      <w:rFonts w:hint="default"/>
                      <w:color w:val="auto"/>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pct"/>
                  <w:vMerge w:val="restart"/>
                  <w:vAlign w:val="center"/>
                </w:tcPr>
                <w:p>
                  <w:pPr>
                    <w:pStyle w:val="33"/>
                    <w:bidi w:val="0"/>
                    <w:rPr>
                      <w:rFonts w:hint="default"/>
                      <w:color w:val="auto"/>
                    </w:rPr>
                  </w:pPr>
                  <w:r>
                    <w:rPr>
                      <w:rFonts w:hint="default"/>
                      <w:color w:val="auto"/>
                    </w:rPr>
                    <w:t>射孔</w:t>
                  </w:r>
                </w:p>
              </w:tc>
              <w:tc>
                <w:tcPr>
                  <w:tcW w:w="1385" w:type="pct"/>
                  <w:vAlign w:val="center"/>
                </w:tcPr>
                <w:p>
                  <w:pPr>
                    <w:pStyle w:val="33"/>
                    <w:bidi w:val="0"/>
                    <w:rPr>
                      <w:rFonts w:hint="default"/>
                      <w:color w:val="auto"/>
                    </w:rPr>
                  </w:pPr>
                  <w:r>
                    <w:rPr>
                      <w:rFonts w:hint="default"/>
                      <w:color w:val="auto"/>
                    </w:rPr>
                    <w:t>射孔车</w:t>
                  </w:r>
                </w:p>
              </w:tc>
              <w:tc>
                <w:tcPr>
                  <w:tcW w:w="1211" w:type="pct"/>
                  <w:vAlign w:val="center"/>
                </w:tcPr>
                <w:p>
                  <w:pPr>
                    <w:pStyle w:val="33"/>
                    <w:bidi w:val="0"/>
                    <w:rPr>
                      <w:rFonts w:hint="default"/>
                      <w:color w:val="auto"/>
                    </w:rPr>
                  </w:pPr>
                  <w:r>
                    <w:rPr>
                      <w:rFonts w:hint="default"/>
                      <w:color w:val="auto"/>
                    </w:rPr>
                    <w:t>/</w:t>
                  </w:r>
                </w:p>
              </w:tc>
              <w:tc>
                <w:tcPr>
                  <w:tcW w:w="1634" w:type="pct"/>
                  <w:vAlign w:val="center"/>
                </w:tcPr>
                <w:p>
                  <w:pPr>
                    <w:pStyle w:val="33"/>
                    <w:bidi w:val="0"/>
                    <w:rPr>
                      <w:rFonts w:hint="default"/>
                      <w:color w:val="auto"/>
                    </w:rPr>
                  </w:pPr>
                  <w:r>
                    <w:rPr>
                      <w:rFonts w:hint="default"/>
                      <w:color w:val="auto"/>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pct"/>
                  <w:vMerge w:val="continue"/>
                  <w:vAlign w:val="center"/>
                </w:tcPr>
                <w:p>
                  <w:pPr>
                    <w:pStyle w:val="33"/>
                    <w:bidi w:val="0"/>
                    <w:rPr>
                      <w:rFonts w:hint="default"/>
                      <w:color w:val="auto"/>
                    </w:rPr>
                  </w:pPr>
                </w:p>
              </w:tc>
              <w:tc>
                <w:tcPr>
                  <w:tcW w:w="1385" w:type="pct"/>
                  <w:vAlign w:val="center"/>
                </w:tcPr>
                <w:p>
                  <w:pPr>
                    <w:pStyle w:val="33"/>
                    <w:bidi w:val="0"/>
                    <w:rPr>
                      <w:rFonts w:hint="default"/>
                      <w:color w:val="auto"/>
                    </w:rPr>
                  </w:pPr>
                  <w:r>
                    <w:rPr>
                      <w:rFonts w:hint="default"/>
                      <w:color w:val="auto"/>
                    </w:rPr>
                    <w:t>射孔工具车</w:t>
                  </w:r>
                </w:p>
              </w:tc>
              <w:tc>
                <w:tcPr>
                  <w:tcW w:w="1211" w:type="pct"/>
                  <w:vAlign w:val="center"/>
                </w:tcPr>
                <w:p>
                  <w:pPr>
                    <w:pStyle w:val="33"/>
                    <w:bidi w:val="0"/>
                    <w:rPr>
                      <w:rFonts w:hint="default"/>
                      <w:color w:val="auto"/>
                    </w:rPr>
                  </w:pPr>
                  <w:r>
                    <w:rPr>
                      <w:rFonts w:hint="default"/>
                      <w:color w:val="auto"/>
                    </w:rPr>
                    <w:t>/</w:t>
                  </w:r>
                </w:p>
              </w:tc>
              <w:tc>
                <w:tcPr>
                  <w:tcW w:w="1634" w:type="pct"/>
                  <w:vAlign w:val="center"/>
                </w:tcPr>
                <w:p>
                  <w:pPr>
                    <w:pStyle w:val="33"/>
                    <w:bidi w:val="0"/>
                    <w:rPr>
                      <w:rFonts w:hint="default"/>
                      <w:color w:val="auto"/>
                    </w:rPr>
                  </w:pPr>
                  <w:r>
                    <w:rPr>
                      <w:rFonts w:hint="default"/>
                      <w:color w:val="auto"/>
                    </w:rPr>
                    <w:t>1</w:t>
                  </w:r>
                </w:p>
              </w:tc>
            </w:tr>
          </w:tbl>
          <w:p>
            <w:pPr>
              <w:pStyle w:val="36"/>
              <w:bidi w:val="0"/>
              <w:rPr>
                <w:rFonts w:hint="default"/>
                <w:color w:val="auto"/>
              </w:rPr>
            </w:pPr>
            <w:r>
              <w:rPr>
                <w:rFonts w:hint="default"/>
                <w:color w:val="auto"/>
              </w:rPr>
              <w:t>③试油</w:t>
            </w:r>
          </w:p>
          <w:p>
            <w:pPr>
              <w:pStyle w:val="36"/>
              <w:bidi w:val="0"/>
              <w:rPr>
                <w:rFonts w:hint="default"/>
                <w:color w:val="auto"/>
                <w:lang w:val="en-US" w:eastAsia="zh-CN"/>
              </w:rPr>
            </w:pPr>
            <w:r>
              <w:rPr>
                <w:rFonts w:hint="default"/>
                <w:color w:val="auto"/>
              </w:rPr>
              <w:t>储层改造完成后方可进行试油作业，在井口安装分离器对获取的地层油、气、水进行取样。采出液进入地面储罐，最终由罐车拉运至采油一厂车89处理站，伴生气通过地面排气管线充分燃烧后放空。</w:t>
            </w:r>
            <w:r>
              <w:rPr>
                <w:rFonts w:hint="default"/>
                <w:color w:val="auto"/>
                <w:lang w:val="en-US" w:eastAsia="zh-CN"/>
              </w:rPr>
              <w:t>主要试油设备见</w:t>
            </w:r>
            <w:r>
              <w:rPr>
                <w:rFonts w:hint="eastAsia" w:ascii="Times New Roman" w:eastAsia="宋体"/>
                <w:color w:val="auto"/>
                <w:lang w:val="en-US" w:eastAsia="zh-CN"/>
              </w:rPr>
              <w:t>下表</w:t>
            </w:r>
            <w:r>
              <w:rPr>
                <w:rFonts w:hint="default"/>
                <w:color w:val="auto"/>
                <w:lang w:val="en-US" w:eastAsia="zh-CN"/>
              </w:rPr>
              <w:t>。</w:t>
            </w:r>
          </w:p>
          <w:p>
            <w:pPr>
              <w:pStyle w:val="52"/>
              <w:bidi w:val="0"/>
              <w:rPr>
                <w:rFonts w:hint="default"/>
                <w:color w:val="auto"/>
                <w:lang w:val="en-US" w:eastAsia="zh-CN"/>
              </w:rPr>
            </w:pPr>
            <w:r>
              <w:rPr>
                <w:rFonts w:hint="default"/>
                <w:color w:val="auto"/>
              </w:rPr>
              <w:t>表</w:t>
            </w:r>
            <w:r>
              <w:rPr>
                <w:rFonts w:hint="default"/>
                <w:color w:val="auto"/>
                <w:lang w:val="en-US" w:eastAsia="zh-CN"/>
              </w:rPr>
              <w:t>2-6  试油主要设备一览表</w:t>
            </w:r>
          </w:p>
          <w:tbl>
            <w:tblPr>
              <w:tblStyle w:val="23"/>
              <w:tblW w:w="491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3" w:type="dxa"/>
                <w:bottom w:w="0" w:type="dxa"/>
                <w:right w:w="23" w:type="dxa"/>
              </w:tblCellMar>
            </w:tblPr>
            <w:tblGrid>
              <w:gridCol w:w="617"/>
              <w:gridCol w:w="2073"/>
              <w:gridCol w:w="2038"/>
              <w:gridCol w:w="555"/>
              <w:gridCol w:w="549"/>
              <w:gridCol w:w="19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序号</w:t>
                  </w:r>
                </w:p>
              </w:tc>
              <w:tc>
                <w:tcPr>
                  <w:tcW w:w="1337" w:type="pct"/>
                  <w:vAlign w:val="center"/>
                </w:tcPr>
                <w:p>
                  <w:pPr>
                    <w:pStyle w:val="33"/>
                    <w:bidi w:val="0"/>
                    <w:rPr>
                      <w:rFonts w:hint="default"/>
                      <w:color w:val="auto"/>
                      <w:lang w:val="zh-CN"/>
                    </w:rPr>
                  </w:pPr>
                  <w:r>
                    <w:rPr>
                      <w:rFonts w:hint="default"/>
                      <w:color w:val="auto"/>
                      <w:lang w:val="zh-CN"/>
                    </w:rPr>
                    <w:t>设备名称</w:t>
                  </w:r>
                </w:p>
              </w:tc>
              <w:tc>
                <w:tcPr>
                  <w:tcW w:w="1314" w:type="pct"/>
                  <w:vAlign w:val="center"/>
                </w:tcPr>
                <w:p>
                  <w:pPr>
                    <w:pStyle w:val="33"/>
                    <w:bidi w:val="0"/>
                    <w:rPr>
                      <w:rFonts w:hint="default"/>
                      <w:color w:val="auto"/>
                      <w:lang w:val="zh-CN"/>
                    </w:rPr>
                  </w:pPr>
                  <w:r>
                    <w:rPr>
                      <w:rFonts w:hint="default"/>
                      <w:color w:val="auto"/>
                      <w:lang w:val="zh-CN"/>
                    </w:rPr>
                    <w:t>型号及规格</w:t>
                  </w:r>
                </w:p>
              </w:tc>
              <w:tc>
                <w:tcPr>
                  <w:tcW w:w="358" w:type="pct"/>
                  <w:vAlign w:val="center"/>
                </w:tcPr>
                <w:p>
                  <w:pPr>
                    <w:pStyle w:val="33"/>
                    <w:bidi w:val="0"/>
                    <w:rPr>
                      <w:rFonts w:hint="default"/>
                      <w:color w:val="auto"/>
                      <w:lang w:val="zh-CN"/>
                    </w:rPr>
                  </w:pPr>
                  <w:r>
                    <w:rPr>
                      <w:rFonts w:hint="default"/>
                      <w:color w:val="auto"/>
                      <w:lang w:val="zh-CN"/>
                    </w:rPr>
                    <w:t>单位</w:t>
                  </w:r>
                </w:p>
              </w:tc>
              <w:tc>
                <w:tcPr>
                  <w:tcW w:w="354" w:type="pct"/>
                  <w:vAlign w:val="center"/>
                </w:tcPr>
                <w:p>
                  <w:pPr>
                    <w:pStyle w:val="33"/>
                    <w:bidi w:val="0"/>
                    <w:rPr>
                      <w:rFonts w:hint="default"/>
                      <w:color w:val="auto"/>
                      <w:lang w:val="zh-CN"/>
                    </w:rPr>
                  </w:pPr>
                  <w:r>
                    <w:rPr>
                      <w:rFonts w:hint="default"/>
                      <w:color w:val="auto"/>
                      <w:lang w:val="zh-CN"/>
                    </w:rPr>
                    <w:t>数量</w:t>
                  </w:r>
                </w:p>
              </w:tc>
              <w:tc>
                <w:tcPr>
                  <w:tcW w:w="1236" w:type="pct"/>
                  <w:vAlign w:val="center"/>
                </w:tcPr>
                <w:p>
                  <w:pPr>
                    <w:pStyle w:val="33"/>
                    <w:bidi w:val="0"/>
                    <w:rPr>
                      <w:rFonts w:hint="default"/>
                      <w:color w:val="auto"/>
                      <w:lang w:val="zh-CN"/>
                    </w:rPr>
                  </w:pPr>
                  <w:r>
                    <w:rPr>
                      <w:rFonts w:hint="default"/>
                      <w:color w:val="auto"/>
                      <w:lang w:val="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1</w:t>
                  </w:r>
                </w:p>
              </w:tc>
              <w:tc>
                <w:tcPr>
                  <w:tcW w:w="1337" w:type="pct"/>
                  <w:vAlign w:val="center"/>
                </w:tcPr>
                <w:p>
                  <w:pPr>
                    <w:pStyle w:val="33"/>
                    <w:bidi w:val="0"/>
                    <w:rPr>
                      <w:rFonts w:hint="default"/>
                      <w:color w:val="auto"/>
                      <w:lang w:val="zh-CN"/>
                    </w:rPr>
                  </w:pPr>
                  <w:r>
                    <w:rPr>
                      <w:rFonts w:hint="default"/>
                      <w:color w:val="auto"/>
                      <w:lang w:val="zh-CN"/>
                    </w:rPr>
                    <w:t>修井机</w:t>
                  </w:r>
                </w:p>
              </w:tc>
              <w:tc>
                <w:tcPr>
                  <w:tcW w:w="1314" w:type="pct"/>
                  <w:vAlign w:val="center"/>
                </w:tcPr>
                <w:p>
                  <w:pPr>
                    <w:pStyle w:val="33"/>
                    <w:bidi w:val="0"/>
                    <w:rPr>
                      <w:rFonts w:hint="default"/>
                      <w:color w:val="auto"/>
                      <w:lang w:val="zh-CN"/>
                    </w:rPr>
                  </w:pPr>
                  <w:r>
                    <w:rPr>
                      <w:rFonts w:hint="default"/>
                      <w:color w:val="auto"/>
                      <w:lang w:val="zh-CN"/>
                    </w:rPr>
                    <w:t>60t</w:t>
                  </w:r>
                </w:p>
              </w:tc>
              <w:tc>
                <w:tcPr>
                  <w:tcW w:w="358" w:type="pct"/>
                  <w:vAlign w:val="center"/>
                </w:tcPr>
                <w:p>
                  <w:pPr>
                    <w:pStyle w:val="33"/>
                    <w:bidi w:val="0"/>
                    <w:rPr>
                      <w:rFonts w:hint="default"/>
                      <w:color w:val="auto"/>
                      <w:lang w:val="zh-CN"/>
                    </w:rPr>
                  </w:pPr>
                  <w:r>
                    <w:rPr>
                      <w:rFonts w:hint="default"/>
                      <w:color w:val="auto"/>
                      <w:lang w:val="zh-CN"/>
                    </w:rPr>
                    <w:t>部</w:t>
                  </w:r>
                </w:p>
              </w:tc>
              <w:tc>
                <w:tcPr>
                  <w:tcW w:w="354" w:type="pct"/>
                  <w:vAlign w:val="center"/>
                </w:tcPr>
                <w:p>
                  <w:pPr>
                    <w:pStyle w:val="33"/>
                    <w:bidi w:val="0"/>
                    <w:rPr>
                      <w:rFonts w:hint="default"/>
                      <w:color w:val="auto"/>
                      <w:lang w:val="zh-CN"/>
                    </w:rPr>
                  </w:pPr>
                  <w:r>
                    <w:rPr>
                      <w:rFonts w:hint="default"/>
                      <w:color w:val="auto"/>
                      <w:lang w:val="zh-CN"/>
                    </w:rPr>
                    <w:t>1</w:t>
                  </w:r>
                </w:p>
              </w:tc>
              <w:tc>
                <w:tcPr>
                  <w:tcW w:w="1236" w:type="pct"/>
                  <w:vAlign w:val="center"/>
                </w:tcPr>
                <w:p>
                  <w:pPr>
                    <w:pStyle w:val="33"/>
                    <w:bidi w:val="0"/>
                    <w:rPr>
                      <w:rFonts w:hint="default"/>
                      <w:color w:val="auto"/>
                      <w:lang w:val="zh-CN"/>
                    </w:rPr>
                  </w:pPr>
                  <w:r>
                    <w:rPr>
                      <w:rFonts w:hint="default"/>
                      <w:color w:val="auto"/>
                      <w:lang w:val="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2</w:t>
                  </w:r>
                </w:p>
              </w:tc>
              <w:tc>
                <w:tcPr>
                  <w:tcW w:w="1337" w:type="pct"/>
                  <w:vAlign w:val="center"/>
                </w:tcPr>
                <w:p>
                  <w:pPr>
                    <w:pStyle w:val="33"/>
                    <w:bidi w:val="0"/>
                    <w:rPr>
                      <w:rFonts w:hint="default"/>
                      <w:color w:val="auto"/>
                      <w:lang w:val="zh-CN"/>
                    </w:rPr>
                  </w:pPr>
                  <w:r>
                    <w:rPr>
                      <w:rFonts w:hint="default"/>
                      <w:color w:val="auto"/>
                      <w:lang w:val="zh-CN"/>
                    </w:rPr>
                    <w:t>试油井架</w:t>
                  </w:r>
                </w:p>
              </w:tc>
              <w:tc>
                <w:tcPr>
                  <w:tcW w:w="1314" w:type="pct"/>
                  <w:vAlign w:val="center"/>
                </w:tcPr>
                <w:p>
                  <w:pPr>
                    <w:pStyle w:val="33"/>
                    <w:bidi w:val="0"/>
                    <w:rPr>
                      <w:rFonts w:hint="default"/>
                      <w:color w:val="auto"/>
                      <w:lang w:val="zh-CN"/>
                    </w:rPr>
                  </w:pPr>
                  <w:r>
                    <w:rPr>
                      <w:rFonts w:hint="default"/>
                      <w:color w:val="auto"/>
                      <w:lang w:val="zh-CN"/>
                    </w:rPr>
                    <w:t>-</w:t>
                  </w:r>
                </w:p>
              </w:tc>
              <w:tc>
                <w:tcPr>
                  <w:tcW w:w="358" w:type="pct"/>
                  <w:vAlign w:val="center"/>
                </w:tcPr>
                <w:p>
                  <w:pPr>
                    <w:pStyle w:val="33"/>
                    <w:bidi w:val="0"/>
                    <w:rPr>
                      <w:rFonts w:hint="default"/>
                      <w:color w:val="auto"/>
                      <w:lang w:val="zh-CN"/>
                    </w:rPr>
                  </w:pPr>
                  <w:r>
                    <w:rPr>
                      <w:rFonts w:hint="default"/>
                      <w:color w:val="auto"/>
                      <w:lang w:val="zh-CN"/>
                    </w:rPr>
                    <w:t>部</w:t>
                  </w:r>
                </w:p>
              </w:tc>
              <w:tc>
                <w:tcPr>
                  <w:tcW w:w="354" w:type="pct"/>
                  <w:vAlign w:val="center"/>
                </w:tcPr>
                <w:p>
                  <w:pPr>
                    <w:pStyle w:val="33"/>
                    <w:bidi w:val="0"/>
                    <w:rPr>
                      <w:rFonts w:hint="default"/>
                      <w:color w:val="auto"/>
                      <w:lang w:val="zh-CN"/>
                    </w:rPr>
                  </w:pPr>
                  <w:r>
                    <w:rPr>
                      <w:rFonts w:hint="default"/>
                      <w:color w:val="auto"/>
                      <w:lang w:val="zh-CN"/>
                    </w:rPr>
                    <w:t>1</w:t>
                  </w:r>
                </w:p>
              </w:tc>
              <w:tc>
                <w:tcPr>
                  <w:tcW w:w="1236" w:type="pct"/>
                  <w:vAlign w:val="center"/>
                </w:tcPr>
                <w:p>
                  <w:pPr>
                    <w:pStyle w:val="33"/>
                    <w:bidi w:val="0"/>
                    <w:rPr>
                      <w:rFonts w:hint="default"/>
                      <w:color w:val="auto"/>
                      <w:lang w:val="zh-CN"/>
                    </w:rPr>
                  </w:pPr>
                  <w:r>
                    <w:rPr>
                      <w:rFonts w:hint="default"/>
                      <w:color w:val="auto"/>
                      <w:lang w:val="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3</w:t>
                  </w:r>
                </w:p>
              </w:tc>
              <w:tc>
                <w:tcPr>
                  <w:tcW w:w="1337" w:type="pct"/>
                  <w:vAlign w:val="center"/>
                </w:tcPr>
                <w:p>
                  <w:pPr>
                    <w:pStyle w:val="33"/>
                    <w:bidi w:val="0"/>
                    <w:rPr>
                      <w:rFonts w:hint="default"/>
                      <w:color w:val="auto"/>
                      <w:lang w:val="zh-CN"/>
                    </w:rPr>
                  </w:pPr>
                  <w:r>
                    <w:rPr>
                      <w:rFonts w:hint="default"/>
                      <w:color w:val="auto"/>
                      <w:lang w:val="zh-CN"/>
                    </w:rPr>
                    <w:t>液压钳</w:t>
                  </w:r>
                </w:p>
              </w:tc>
              <w:tc>
                <w:tcPr>
                  <w:tcW w:w="1314" w:type="pct"/>
                  <w:vAlign w:val="center"/>
                </w:tcPr>
                <w:p>
                  <w:pPr>
                    <w:pStyle w:val="33"/>
                    <w:bidi w:val="0"/>
                    <w:rPr>
                      <w:rFonts w:hint="default"/>
                      <w:color w:val="auto"/>
                      <w:lang w:val="zh-CN"/>
                    </w:rPr>
                  </w:pPr>
                  <w:r>
                    <w:rPr>
                      <w:rFonts w:hint="default"/>
                      <w:color w:val="auto"/>
                      <w:lang w:val="zh-CN"/>
                    </w:rPr>
                    <w:t>600型或300型</w:t>
                  </w:r>
                </w:p>
              </w:tc>
              <w:tc>
                <w:tcPr>
                  <w:tcW w:w="358" w:type="pct"/>
                  <w:vAlign w:val="center"/>
                </w:tcPr>
                <w:p>
                  <w:pPr>
                    <w:pStyle w:val="33"/>
                    <w:bidi w:val="0"/>
                    <w:rPr>
                      <w:rFonts w:hint="default"/>
                      <w:color w:val="auto"/>
                      <w:lang w:val="zh-CN"/>
                    </w:rPr>
                  </w:pPr>
                  <w:r>
                    <w:rPr>
                      <w:rFonts w:hint="default"/>
                      <w:color w:val="auto"/>
                      <w:lang w:val="zh-CN"/>
                    </w:rPr>
                    <w:t>台</w:t>
                  </w:r>
                </w:p>
              </w:tc>
              <w:tc>
                <w:tcPr>
                  <w:tcW w:w="354" w:type="pct"/>
                  <w:vAlign w:val="center"/>
                </w:tcPr>
                <w:p>
                  <w:pPr>
                    <w:pStyle w:val="33"/>
                    <w:bidi w:val="0"/>
                    <w:rPr>
                      <w:rFonts w:hint="default"/>
                      <w:color w:val="auto"/>
                      <w:lang w:val="zh-CN"/>
                    </w:rPr>
                  </w:pPr>
                  <w:r>
                    <w:rPr>
                      <w:rFonts w:hint="default"/>
                      <w:color w:val="auto"/>
                      <w:lang w:val="zh-CN"/>
                    </w:rPr>
                    <w:t>1</w:t>
                  </w:r>
                </w:p>
              </w:tc>
              <w:tc>
                <w:tcPr>
                  <w:tcW w:w="1236" w:type="pct"/>
                  <w:vAlign w:val="center"/>
                </w:tcPr>
                <w:p>
                  <w:pPr>
                    <w:pStyle w:val="33"/>
                    <w:bidi w:val="0"/>
                    <w:rPr>
                      <w:rFonts w:hint="default"/>
                      <w:color w:val="auto"/>
                      <w:lang w:val="zh-CN"/>
                    </w:rPr>
                  </w:pPr>
                  <w:r>
                    <w:rPr>
                      <w:rFonts w:hint="default"/>
                      <w:color w:val="auto"/>
                      <w:lang w:val="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4</w:t>
                  </w:r>
                </w:p>
              </w:tc>
              <w:tc>
                <w:tcPr>
                  <w:tcW w:w="1337" w:type="pct"/>
                  <w:vAlign w:val="center"/>
                </w:tcPr>
                <w:p>
                  <w:pPr>
                    <w:pStyle w:val="33"/>
                    <w:bidi w:val="0"/>
                    <w:rPr>
                      <w:rFonts w:hint="default"/>
                      <w:color w:val="auto"/>
                      <w:lang w:val="zh-CN"/>
                    </w:rPr>
                  </w:pPr>
                  <w:r>
                    <w:rPr>
                      <w:rFonts w:hint="default"/>
                      <w:color w:val="auto"/>
                      <w:lang w:val="zh-CN"/>
                    </w:rPr>
                    <w:t>方罐</w:t>
                  </w:r>
                </w:p>
              </w:tc>
              <w:tc>
                <w:tcPr>
                  <w:tcW w:w="1314" w:type="pct"/>
                  <w:vAlign w:val="center"/>
                </w:tcPr>
                <w:p>
                  <w:pPr>
                    <w:pStyle w:val="33"/>
                    <w:bidi w:val="0"/>
                    <w:rPr>
                      <w:rFonts w:hint="default"/>
                      <w:color w:val="auto"/>
                      <w:lang w:val="zh-CN"/>
                    </w:rPr>
                  </w:pPr>
                  <w:r>
                    <w:rPr>
                      <w:rFonts w:hint="default"/>
                      <w:color w:val="auto"/>
                      <w:lang w:val="zh-CN"/>
                    </w:rPr>
                    <w:t>20</w:t>
                  </w:r>
                  <w:r>
                    <w:rPr>
                      <w:rFonts w:hint="eastAsia" w:ascii="Times New Roman" w:eastAsia="宋体"/>
                      <w:color w:val="auto"/>
                      <w:lang w:val="en-US" w:eastAsia="zh-CN"/>
                    </w:rPr>
                    <w:t>m</w:t>
                  </w:r>
                  <w:r>
                    <w:rPr>
                      <w:rFonts w:hint="default"/>
                      <w:color w:val="auto"/>
                      <w:vertAlign w:val="superscript"/>
                    </w:rPr>
                    <w:t>3</w:t>
                  </w:r>
                </w:p>
              </w:tc>
              <w:tc>
                <w:tcPr>
                  <w:tcW w:w="358" w:type="pct"/>
                  <w:vAlign w:val="center"/>
                </w:tcPr>
                <w:p>
                  <w:pPr>
                    <w:pStyle w:val="33"/>
                    <w:bidi w:val="0"/>
                    <w:rPr>
                      <w:rFonts w:hint="default"/>
                      <w:color w:val="auto"/>
                      <w:lang w:val="zh-CN"/>
                    </w:rPr>
                  </w:pPr>
                  <w:r>
                    <w:rPr>
                      <w:rFonts w:hint="default"/>
                      <w:color w:val="auto"/>
                      <w:lang w:val="zh-CN"/>
                    </w:rPr>
                    <w:t>个</w:t>
                  </w:r>
                </w:p>
              </w:tc>
              <w:tc>
                <w:tcPr>
                  <w:tcW w:w="354" w:type="pct"/>
                  <w:vAlign w:val="center"/>
                </w:tcPr>
                <w:p>
                  <w:pPr>
                    <w:pStyle w:val="33"/>
                    <w:bidi w:val="0"/>
                    <w:rPr>
                      <w:rFonts w:hint="default"/>
                      <w:color w:val="auto"/>
                      <w:lang w:val="zh-CN"/>
                    </w:rPr>
                  </w:pPr>
                  <w:r>
                    <w:rPr>
                      <w:rFonts w:hint="default"/>
                      <w:color w:val="auto"/>
                      <w:lang w:val="zh-CN"/>
                    </w:rPr>
                    <w:t>4</w:t>
                  </w:r>
                </w:p>
              </w:tc>
              <w:tc>
                <w:tcPr>
                  <w:tcW w:w="1236" w:type="pct"/>
                  <w:vAlign w:val="center"/>
                </w:tcPr>
                <w:p>
                  <w:pPr>
                    <w:pStyle w:val="33"/>
                    <w:bidi w:val="0"/>
                    <w:rPr>
                      <w:rFonts w:hint="default"/>
                      <w:color w:val="auto"/>
                      <w:lang w:val="zh-CN"/>
                    </w:rPr>
                  </w:pPr>
                  <w:r>
                    <w:rPr>
                      <w:rFonts w:hint="default"/>
                      <w:color w:val="auto"/>
                      <w:lang w:val="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5</w:t>
                  </w:r>
                </w:p>
              </w:tc>
              <w:tc>
                <w:tcPr>
                  <w:tcW w:w="1337" w:type="pct"/>
                  <w:vAlign w:val="center"/>
                </w:tcPr>
                <w:p>
                  <w:pPr>
                    <w:pStyle w:val="33"/>
                    <w:bidi w:val="0"/>
                    <w:rPr>
                      <w:rFonts w:hint="default"/>
                      <w:color w:val="auto"/>
                      <w:lang w:val="zh-CN"/>
                    </w:rPr>
                  </w:pPr>
                  <w:r>
                    <w:rPr>
                      <w:rFonts w:hint="default"/>
                      <w:color w:val="auto"/>
                      <w:lang w:val="zh-CN"/>
                    </w:rPr>
                    <w:t>吊卡</w:t>
                  </w:r>
                </w:p>
              </w:tc>
              <w:tc>
                <w:tcPr>
                  <w:tcW w:w="1314" w:type="pct"/>
                  <w:vAlign w:val="center"/>
                </w:tcPr>
                <w:p>
                  <w:pPr>
                    <w:pStyle w:val="33"/>
                    <w:bidi w:val="0"/>
                    <w:rPr>
                      <w:rFonts w:hint="default"/>
                      <w:color w:val="auto"/>
                      <w:lang w:val="zh-CN"/>
                    </w:rPr>
                  </w:pPr>
                  <w:r>
                    <w:rPr>
                      <w:rFonts w:hint="default"/>
                      <w:color w:val="auto"/>
                      <w:lang w:val="zh-CN"/>
                    </w:rPr>
                    <w:t>Φ73.0mm/Φ88.9mm</w:t>
                  </w:r>
                </w:p>
              </w:tc>
              <w:tc>
                <w:tcPr>
                  <w:tcW w:w="358" w:type="pct"/>
                  <w:vAlign w:val="center"/>
                </w:tcPr>
                <w:p>
                  <w:pPr>
                    <w:pStyle w:val="33"/>
                    <w:bidi w:val="0"/>
                    <w:rPr>
                      <w:rFonts w:hint="default"/>
                      <w:color w:val="auto"/>
                      <w:lang w:val="zh-CN"/>
                    </w:rPr>
                  </w:pPr>
                  <w:r>
                    <w:rPr>
                      <w:rFonts w:hint="default"/>
                      <w:color w:val="auto"/>
                      <w:lang w:val="zh-CN"/>
                    </w:rPr>
                    <w:t>只</w:t>
                  </w:r>
                </w:p>
              </w:tc>
              <w:tc>
                <w:tcPr>
                  <w:tcW w:w="354" w:type="pct"/>
                  <w:vAlign w:val="center"/>
                </w:tcPr>
                <w:p>
                  <w:pPr>
                    <w:pStyle w:val="33"/>
                    <w:bidi w:val="0"/>
                    <w:rPr>
                      <w:rFonts w:hint="default"/>
                      <w:color w:val="auto"/>
                      <w:lang w:val="zh-CN"/>
                    </w:rPr>
                  </w:pPr>
                  <w:r>
                    <w:rPr>
                      <w:rFonts w:hint="default"/>
                      <w:color w:val="auto"/>
                      <w:lang w:val="zh-CN"/>
                    </w:rPr>
                    <w:t>2/2</w:t>
                  </w:r>
                </w:p>
              </w:tc>
              <w:tc>
                <w:tcPr>
                  <w:tcW w:w="1236" w:type="pct"/>
                  <w:vAlign w:val="center"/>
                </w:tcPr>
                <w:p>
                  <w:pPr>
                    <w:pStyle w:val="33"/>
                    <w:bidi w:val="0"/>
                    <w:rPr>
                      <w:rFonts w:hint="default"/>
                      <w:color w:val="auto"/>
                      <w:lang w:val="zh-CN"/>
                    </w:rPr>
                  </w:pPr>
                  <w:r>
                    <w:rPr>
                      <w:rFonts w:hint="default"/>
                      <w:color w:val="auto"/>
                      <w:lang w:val="zh-CN"/>
                    </w:rPr>
                    <w:t>50t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6</w:t>
                  </w:r>
                </w:p>
              </w:tc>
              <w:tc>
                <w:tcPr>
                  <w:tcW w:w="1337" w:type="pct"/>
                  <w:vAlign w:val="center"/>
                </w:tcPr>
                <w:p>
                  <w:pPr>
                    <w:pStyle w:val="33"/>
                    <w:bidi w:val="0"/>
                    <w:rPr>
                      <w:rFonts w:hint="default"/>
                      <w:color w:val="auto"/>
                      <w:lang w:val="zh-CN"/>
                    </w:rPr>
                  </w:pPr>
                  <w:r>
                    <w:rPr>
                      <w:rFonts w:hint="default"/>
                      <w:color w:val="auto"/>
                      <w:lang w:val="zh-CN"/>
                    </w:rPr>
                    <w:t>吊环</w:t>
                  </w:r>
                </w:p>
              </w:tc>
              <w:tc>
                <w:tcPr>
                  <w:tcW w:w="1314" w:type="pct"/>
                  <w:vAlign w:val="center"/>
                </w:tcPr>
                <w:p>
                  <w:pPr>
                    <w:pStyle w:val="33"/>
                    <w:bidi w:val="0"/>
                    <w:rPr>
                      <w:rFonts w:hint="default"/>
                      <w:color w:val="auto"/>
                      <w:lang w:val="zh-CN"/>
                    </w:rPr>
                  </w:pPr>
                  <w:r>
                    <w:rPr>
                      <w:rFonts w:hint="default"/>
                      <w:color w:val="auto"/>
                      <w:lang w:val="zh-CN"/>
                    </w:rPr>
                    <w:t>SH-80</w:t>
                  </w:r>
                </w:p>
              </w:tc>
              <w:tc>
                <w:tcPr>
                  <w:tcW w:w="358" w:type="pct"/>
                  <w:vAlign w:val="center"/>
                </w:tcPr>
                <w:p>
                  <w:pPr>
                    <w:pStyle w:val="33"/>
                    <w:bidi w:val="0"/>
                    <w:rPr>
                      <w:rFonts w:hint="default"/>
                      <w:color w:val="auto"/>
                      <w:lang w:val="zh-CN"/>
                    </w:rPr>
                  </w:pPr>
                  <w:r>
                    <w:rPr>
                      <w:rFonts w:hint="default"/>
                      <w:color w:val="auto"/>
                      <w:lang w:val="zh-CN"/>
                    </w:rPr>
                    <w:t>付</w:t>
                  </w:r>
                </w:p>
              </w:tc>
              <w:tc>
                <w:tcPr>
                  <w:tcW w:w="354" w:type="pct"/>
                  <w:vAlign w:val="center"/>
                </w:tcPr>
                <w:p>
                  <w:pPr>
                    <w:pStyle w:val="33"/>
                    <w:bidi w:val="0"/>
                    <w:rPr>
                      <w:rFonts w:hint="default"/>
                      <w:color w:val="auto"/>
                      <w:lang w:val="zh-CN"/>
                    </w:rPr>
                  </w:pPr>
                  <w:r>
                    <w:rPr>
                      <w:rFonts w:hint="default"/>
                      <w:color w:val="auto"/>
                      <w:lang w:val="zh-CN"/>
                    </w:rPr>
                    <w:t>1</w:t>
                  </w:r>
                </w:p>
              </w:tc>
              <w:tc>
                <w:tcPr>
                  <w:tcW w:w="1236" w:type="pct"/>
                  <w:vAlign w:val="center"/>
                </w:tcPr>
                <w:p>
                  <w:pPr>
                    <w:pStyle w:val="33"/>
                    <w:bidi w:val="0"/>
                    <w:rPr>
                      <w:rFonts w:hint="default"/>
                      <w:color w:val="auto"/>
                      <w:lang w:val="zh-CN"/>
                    </w:rPr>
                  </w:pPr>
                  <w:r>
                    <w:rPr>
                      <w:rFonts w:hint="default"/>
                      <w:color w:val="auto"/>
                      <w:lang w:val="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7</w:t>
                  </w:r>
                </w:p>
              </w:tc>
              <w:tc>
                <w:tcPr>
                  <w:tcW w:w="1337" w:type="pct"/>
                  <w:vAlign w:val="center"/>
                </w:tcPr>
                <w:p>
                  <w:pPr>
                    <w:pStyle w:val="33"/>
                    <w:bidi w:val="0"/>
                    <w:rPr>
                      <w:rFonts w:hint="default"/>
                      <w:color w:val="auto"/>
                      <w:lang w:val="zh-CN"/>
                    </w:rPr>
                  </w:pPr>
                  <w:r>
                    <w:rPr>
                      <w:rFonts w:hint="default"/>
                      <w:color w:val="auto"/>
                      <w:lang w:val="zh-CN"/>
                    </w:rPr>
                    <w:t>通管规</w:t>
                  </w:r>
                </w:p>
              </w:tc>
              <w:tc>
                <w:tcPr>
                  <w:tcW w:w="1314" w:type="pct"/>
                  <w:vAlign w:val="center"/>
                </w:tcPr>
                <w:p>
                  <w:pPr>
                    <w:pStyle w:val="33"/>
                    <w:bidi w:val="0"/>
                    <w:rPr>
                      <w:rFonts w:hint="default"/>
                      <w:color w:val="auto"/>
                      <w:lang w:val="zh-CN"/>
                    </w:rPr>
                  </w:pPr>
                  <w:r>
                    <w:rPr>
                      <w:rFonts w:hint="default"/>
                      <w:color w:val="auto"/>
                      <w:lang w:val="zh-CN"/>
                    </w:rPr>
                    <w:t>Φ73.0mm/58.0mm</w:t>
                  </w:r>
                </w:p>
              </w:tc>
              <w:tc>
                <w:tcPr>
                  <w:tcW w:w="358" w:type="pct"/>
                  <w:vAlign w:val="center"/>
                </w:tcPr>
                <w:p>
                  <w:pPr>
                    <w:pStyle w:val="33"/>
                    <w:bidi w:val="0"/>
                    <w:rPr>
                      <w:rFonts w:hint="default"/>
                      <w:color w:val="auto"/>
                      <w:lang w:val="zh-CN"/>
                    </w:rPr>
                  </w:pPr>
                  <w:r>
                    <w:rPr>
                      <w:rFonts w:hint="default"/>
                      <w:color w:val="auto"/>
                      <w:lang w:val="zh-CN"/>
                    </w:rPr>
                    <w:t>个</w:t>
                  </w:r>
                </w:p>
              </w:tc>
              <w:tc>
                <w:tcPr>
                  <w:tcW w:w="354" w:type="pct"/>
                  <w:vAlign w:val="center"/>
                </w:tcPr>
                <w:p>
                  <w:pPr>
                    <w:pStyle w:val="33"/>
                    <w:bidi w:val="0"/>
                    <w:rPr>
                      <w:rFonts w:hint="default"/>
                      <w:color w:val="auto"/>
                      <w:lang w:val="zh-CN"/>
                    </w:rPr>
                  </w:pPr>
                  <w:r>
                    <w:rPr>
                      <w:rFonts w:hint="default"/>
                      <w:color w:val="auto"/>
                      <w:lang w:val="zh-CN"/>
                    </w:rPr>
                    <w:t>2</w:t>
                  </w:r>
                </w:p>
              </w:tc>
              <w:tc>
                <w:tcPr>
                  <w:tcW w:w="1236" w:type="pct"/>
                  <w:vAlign w:val="center"/>
                </w:tcPr>
                <w:p>
                  <w:pPr>
                    <w:pStyle w:val="33"/>
                    <w:bidi w:val="0"/>
                    <w:rPr>
                      <w:rFonts w:hint="default"/>
                      <w:color w:val="auto"/>
                      <w:lang w:val="zh-CN"/>
                    </w:rPr>
                  </w:pPr>
                  <w:r>
                    <w:rPr>
                      <w:rFonts w:hint="default"/>
                      <w:color w:val="auto"/>
                      <w:lang w:val="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8</w:t>
                  </w:r>
                </w:p>
              </w:tc>
              <w:tc>
                <w:tcPr>
                  <w:tcW w:w="1337" w:type="pct"/>
                  <w:vAlign w:val="center"/>
                </w:tcPr>
                <w:p>
                  <w:pPr>
                    <w:pStyle w:val="33"/>
                    <w:bidi w:val="0"/>
                    <w:rPr>
                      <w:rFonts w:hint="default"/>
                      <w:color w:val="auto"/>
                      <w:lang w:val="zh-CN"/>
                    </w:rPr>
                  </w:pPr>
                  <w:r>
                    <w:rPr>
                      <w:rFonts w:hint="default"/>
                      <w:color w:val="auto"/>
                      <w:lang w:val="zh-CN"/>
                    </w:rPr>
                    <w:t>提升短节</w:t>
                  </w:r>
                </w:p>
              </w:tc>
              <w:tc>
                <w:tcPr>
                  <w:tcW w:w="1314" w:type="pct"/>
                  <w:vAlign w:val="center"/>
                </w:tcPr>
                <w:p>
                  <w:pPr>
                    <w:pStyle w:val="33"/>
                    <w:bidi w:val="0"/>
                    <w:rPr>
                      <w:rFonts w:hint="default"/>
                      <w:color w:val="auto"/>
                      <w:lang w:val="zh-CN"/>
                    </w:rPr>
                  </w:pPr>
                  <w:r>
                    <w:rPr>
                      <w:rFonts w:hint="default"/>
                      <w:color w:val="auto"/>
                      <w:lang w:val="zh-CN"/>
                    </w:rPr>
                    <w:t>Φ88.9mm</w:t>
                  </w:r>
                </w:p>
              </w:tc>
              <w:tc>
                <w:tcPr>
                  <w:tcW w:w="358" w:type="pct"/>
                  <w:vAlign w:val="center"/>
                </w:tcPr>
                <w:p>
                  <w:pPr>
                    <w:pStyle w:val="33"/>
                    <w:bidi w:val="0"/>
                    <w:rPr>
                      <w:rFonts w:hint="default"/>
                      <w:color w:val="auto"/>
                      <w:lang w:val="zh-CN"/>
                    </w:rPr>
                  </w:pPr>
                  <w:r>
                    <w:rPr>
                      <w:rFonts w:hint="default"/>
                      <w:color w:val="auto"/>
                      <w:lang w:val="zh-CN"/>
                    </w:rPr>
                    <w:t>套</w:t>
                  </w:r>
                </w:p>
              </w:tc>
              <w:tc>
                <w:tcPr>
                  <w:tcW w:w="354" w:type="pct"/>
                  <w:vAlign w:val="center"/>
                </w:tcPr>
                <w:p>
                  <w:pPr>
                    <w:pStyle w:val="33"/>
                    <w:bidi w:val="0"/>
                    <w:rPr>
                      <w:rFonts w:hint="default"/>
                      <w:color w:val="auto"/>
                      <w:lang w:val="zh-CN"/>
                    </w:rPr>
                  </w:pPr>
                  <w:r>
                    <w:rPr>
                      <w:rFonts w:hint="default"/>
                      <w:color w:val="auto"/>
                      <w:lang w:val="zh-CN"/>
                    </w:rPr>
                    <w:t>1</w:t>
                  </w:r>
                </w:p>
              </w:tc>
              <w:tc>
                <w:tcPr>
                  <w:tcW w:w="1236" w:type="pct"/>
                  <w:vAlign w:val="center"/>
                </w:tcPr>
                <w:p>
                  <w:pPr>
                    <w:pStyle w:val="33"/>
                    <w:bidi w:val="0"/>
                    <w:rPr>
                      <w:rFonts w:hint="default"/>
                      <w:color w:val="auto"/>
                      <w:lang w:val="zh-CN"/>
                    </w:rPr>
                  </w:pPr>
                  <w:r>
                    <w:rPr>
                      <w:rFonts w:hint="default"/>
                      <w:color w:val="auto"/>
                      <w:lang w:val="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9</w:t>
                  </w:r>
                </w:p>
              </w:tc>
              <w:tc>
                <w:tcPr>
                  <w:tcW w:w="1337" w:type="pct"/>
                  <w:vAlign w:val="center"/>
                </w:tcPr>
                <w:p>
                  <w:pPr>
                    <w:pStyle w:val="33"/>
                    <w:bidi w:val="0"/>
                    <w:rPr>
                      <w:rFonts w:hint="default"/>
                      <w:color w:val="auto"/>
                      <w:lang w:val="zh-CN"/>
                    </w:rPr>
                  </w:pPr>
                  <w:r>
                    <w:rPr>
                      <w:rFonts w:hint="default"/>
                      <w:color w:val="auto"/>
                      <w:lang w:val="zh-CN"/>
                    </w:rPr>
                    <w:t>调整短节</w:t>
                  </w:r>
                </w:p>
              </w:tc>
              <w:tc>
                <w:tcPr>
                  <w:tcW w:w="1314" w:type="pct"/>
                  <w:vAlign w:val="center"/>
                </w:tcPr>
                <w:p>
                  <w:pPr>
                    <w:pStyle w:val="33"/>
                    <w:bidi w:val="0"/>
                    <w:rPr>
                      <w:rFonts w:hint="default"/>
                      <w:color w:val="auto"/>
                      <w:lang w:val="zh-CN"/>
                    </w:rPr>
                  </w:pPr>
                  <w:r>
                    <w:rPr>
                      <w:rFonts w:hint="default"/>
                      <w:color w:val="auto"/>
                      <w:lang w:val="zh-CN"/>
                    </w:rPr>
                    <w:t>Φ73.0mm</w:t>
                  </w:r>
                </w:p>
              </w:tc>
              <w:tc>
                <w:tcPr>
                  <w:tcW w:w="358" w:type="pct"/>
                  <w:vAlign w:val="center"/>
                </w:tcPr>
                <w:p>
                  <w:pPr>
                    <w:pStyle w:val="33"/>
                    <w:bidi w:val="0"/>
                    <w:rPr>
                      <w:rFonts w:hint="default"/>
                      <w:color w:val="auto"/>
                      <w:lang w:val="zh-CN"/>
                    </w:rPr>
                  </w:pPr>
                  <w:r>
                    <w:rPr>
                      <w:rFonts w:hint="default"/>
                      <w:color w:val="auto"/>
                      <w:lang w:val="zh-CN"/>
                    </w:rPr>
                    <w:t>m</w:t>
                  </w:r>
                </w:p>
              </w:tc>
              <w:tc>
                <w:tcPr>
                  <w:tcW w:w="354" w:type="pct"/>
                  <w:vAlign w:val="center"/>
                </w:tcPr>
                <w:p>
                  <w:pPr>
                    <w:pStyle w:val="33"/>
                    <w:bidi w:val="0"/>
                    <w:rPr>
                      <w:rFonts w:hint="default"/>
                      <w:color w:val="auto"/>
                      <w:lang w:val="zh-CN"/>
                    </w:rPr>
                  </w:pPr>
                  <w:r>
                    <w:rPr>
                      <w:rFonts w:hint="default"/>
                      <w:color w:val="auto"/>
                      <w:lang w:val="zh-CN"/>
                    </w:rPr>
                    <w:t>1</w:t>
                  </w:r>
                </w:p>
              </w:tc>
              <w:tc>
                <w:tcPr>
                  <w:tcW w:w="1236" w:type="pct"/>
                  <w:vAlign w:val="center"/>
                </w:tcPr>
                <w:p>
                  <w:pPr>
                    <w:pStyle w:val="33"/>
                    <w:bidi w:val="0"/>
                    <w:rPr>
                      <w:rFonts w:hint="default"/>
                      <w:color w:val="auto"/>
                      <w:lang w:val="zh-CN"/>
                    </w:rPr>
                  </w:pPr>
                  <w:r>
                    <w:rPr>
                      <w:rFonts w:hint="default"/>
                      <w:color w:val="auto"/>
                      <w:lang w:val="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10</w:t>
                  </w:r>
                </w:p>
              </w:tc>
              <w:tc>
                <w:tcPr>
                  <w:tcW w:w="1337" w:type="pct"/>
                  <w:vAlign w:val="center"/>
                </w:tcPr>
                <w:p>
                  <w:pPr>
                    <w:pStyle w:val="33"/>
                    <w:bidi w:val="0"/>
                    <w:rPr>
                      <w:rFonts w:hint="default"/>
                      <w:color w:val="auto"/>
                      <w:lang w:val="zh-CN"/>
                    </w:rPr>
                  </w:pPr>
                  <w:r>
                    <w:rPr>
                      <w:rFonts w:hint="default"/>
                      <w:color w:val="auto"/>
                      <w:lang w:val="zh-CN"/>
                    </w:rPr>
                    <w:t>值班房</w:t>
                  </w:r>
                </w:p>
              </w:tc>
              <w:tc>
                <w:tcPr>
                  <w:tcW w:w="1314" w:type="pct"/>
                  <w:vAlign w:val="center"/>
                </w:tcPr>
                <w:p>
                  <w:pPr>
                    <w:pStyle w:val="33"/>
                    <w:bidi w:val="0"/>
                    <w:rPr>
                      <w:rFonts w:hint="default"/>
                      <w:color w:val="auto"/>
                      <w:lang w:val="zh-CN"/>
                    </w:rPr>
                  </w:pPr>
                  <w:r>
                    <w:rPr>
                      <w:rFonts w:hint="default"/>
                      <w:color w:val="auto"/>
                      <w:lang w:val="zh-CN"/>
                    </w:rPr>
                    <w:t>-</w:t>
                  </w:r>
                </w:p>
              </w:tc>
              <w:tc>
                <w:tcPr>
                  <w:tcW w:w="358" w:type="pct"/>
                  <w:vAlign w:val="center"/>
                </w:tcPr>
                <w:p>
                  <w:pPr>
                    <w:pStyle w:val="33"/>
                    <w:bidi w:val="0"/>
                    <w:rPr>
                      <w:rFonts w:hint="default"/>
                      <w:color w:val="auto"/>
                      <w:lang w:val="zh-CN"/>
                    </w:rPr>
                  </w:pPr>
                  <w:r>
                    <w:rPr>
                      <w:rFonts w:hint="default"/>
                      <w:color w:val="auto"/>
                      <w:lang w:val="zh-CN"/>
                    </w:rPr>
                    <w:t>套</w:t>
                  </w:r>
                </w:p>
              </w:tc>
              <w:tc>
                <w:tcPr>
                  <w:tcW w:w="354" w:type="pct"/>
                  <w:vAlign w:val="center"/>
                </w:tcPr>
                <w:p>
                  <w:pPr>
                    <w:pStyle w:val="33"/>
                    <w:bidi w:val="0"/>
                    <w:rPr>
                      <w:rFonts w:hint="default"/>
                      <w:color w:val="auto"/>
                      <w:lang w:val="zh-CN"/>
                    </w:rPr>
                  </w:pPr>
                  <w:r>
                    <w:rPr>
                      <w:rFonts w:hint="default"/>
                      <w:color w:val="auto"/>
                      <w:lang w:val="zh-CN"/>
                    </w:rPr>
                    <w:t>1</w:t>
                  </w:r>
                </w:p>
              </w:tc>
              <w:tc>
                <w:tcPr>
                  <w:tcW w:w="1236" w:type="pct"/>
                  <w:vAlign w:val="center"/>
                </w:tcPr>
                <w:p>
                  <w:pPr>
                    <w:pStyle w:val="33"/>
                    <w:bidi w:val="0"/>
                    <w:rPr>
                      <w:rFonts w:hint="default"/>
                      <w:color w:val="auto"/>
                      <w:lang w:val="zh-CN"/>
                    </w:rPr>
                  </w:pPr>
                  <w:r>
                    <w:rPr>
                      <w:rFonts w:hint="default"/>
                      <w:color w:val="auto"/>
                      <w:lang w:val="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11</w:t>
                  </w:r>
                </w:p>
              </w:tc>
              <w:tc>
                <w:tcPr>
                  <w:tcW w:w="1337" w:type="pct"/>
                  <w:vAlign w:val="center"/>
                </w:tcPr>
                <w:p>
                  <w:pPr>
                    <w:pStyle w:val="33"/>
                    <w:bidi w:val="0"/>
                    <w:rPr>
                      <w:rFonts w:hint="default"/>
                      <w:color w:val="auto"/>
                      <w:lang w:val="zh-CN"/>
                    </w:rPr>
                  </w:pPr>
                  <w:r>
                    <w:rPr>
                      <w:rFonts w:hint="default"/>
                      <w:color w:val="auto"/>
                      <w:lang w:val="zh-CN"/>
                    </w:rPr>
                    <w:t>发电房</w:t>
                  </w:r>
                </w:p>
              </w:tc>
              <w:tc>
                <w:tcPr>
                  <w:tcW w:w="1314" w:type="pct"/>
                  <w:vAlign w:val="center"/>
                </w:tcPr>
                <w:p>
                  <w:pPr>
                    <w:pStyle w:val="33"/>
                    <w:bidi w:val="0"/>
                    <w:rPr>
                      <w:rFonts w:hint="default"/>
                      <w:color w:val="auto"/>
                      <w:lang w:val="zh-CN"/>
                    </w:rPr>
                  </w:pPr>
                  <w:r>
                    <w:rPr>
                      <w:rFonts w:hint="default"/>
                      <w:color w:val="auto"/>
                      <w:lang w:val="zh-CN"/>
                    </w:rPr>
                    <w:t>-</w:t>
                  </w:r>
                </w:p>
              </w:tc>
              <w:tc>
                <w:tcPr>
                  <w:tcW w:w="358" w:type="pct"/>
                  <w:vAlign w:val="center"/>
                </w:tcPr>
                <w:p>
                  <w:pPr>
                    <w:pStyle w:val="33"/>
                    <w:bidi w:val="0"/>
                    <w:rPr>
                      <w:rFonts w:hint="default"/>
                      <w:color w:val="auto"/>
                      <w:lang w:val="zh-CN"/>
                    </w:rPr>
                  </w:pPr>
                  <w:r>
                    <w:rPr>
                      <w:rFonts w:hint="default"/>
                      <w:color w:val="auto"/>
                      <w:lang w:val="zh-CN"/>
                    </w:rPr>
                    <w:t>套</w:t>
                  </w:r>
                </w:p>
              </w:tc>
              <w:tc>
                <w:tcPr>
                  <w:tcW w:w="354" w:type="pct"/>
                  <w:vAlign w:val="center"/>
                </w:tcPr>
                <w:p>
                  <w:pPr>
                    <w:pStyle w:val="33"/>
                    <w:bidi w:val="0"/>
                    <w:rPr>
                      <w:rFonts w:hint="default"/>
                      <w:color w:val="auto"/>
                      <w:lang w:val="zh-CN"/>
                    </w:rPr>
                  </w:pPr>
                  <w:r>
                    <w:rPr>
                      <w:rFonts w:hint="default"/>
                      <w:color w:val="auto"/>
                      <w:lang w:val="zh-CN"/>
                    </w:rPr>
                    <w:t>1</w:t>
                  </w:r>
                </w:p>
              </w:tc>
              <w:tc>
                <w:tcPr>
                  <w:tcW w:w="1236" w:type="pct"/>
                  <w:vAlign w:val="center"/>
                </w:tcPr>
                <w:p>
                  <w:pPr>
                    <w:pStyle w:val="33"/>
                    <w:bidi w:val="0"/>
                    <w:rPr>
                      <w:rFonts w:hint="default"/>
                      <w:color w:val="auto"/>
                      <w:lang w:val="zh-CN"/>
                    </w:rPr>
                  </w:pPr>
                  <w:r>
                    <w:rPr>
                      <w:rFonts w:hint="default"/>
                      <w:color w:val="auto"/>
                      <w:lang w:val="zh-CN"/>
                    </w:rPr>
                    <w:t>储罐1个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12</w:t>
                  </w:r>
                </w:p>
              </w:tc>
              <w:tc>
                <w:tcPr>
                  <w:tcW w:w="1337" w:type="pct"/>
                  <w:vAlign w:val="center"/>
                </w:tcPr>
                <w:p>
                  <w:pPr>
                    <w:pStyle w:val="33"/>
                    <w:bidi w:val="0"/>
                    <w:rPr>
                      <w:rFonts w:hint="default"/>
                      <w:color w:val="auto"/>
                      <w:lang w:val="zh-CN"/>
                    </w:rPr>
                  </w:pPr>
                  <w:r>
                    <w:rPr>
                      <w:rFonts w:hint="default"/>
                      <w:color w:val="auto"/>
                      <w:lang w:val="zh-CN"/>
                    </w:rPr>
                    <w:t>柴油发电机</w:t>
                  </w:r>
                </w:p>
              </w:tc>
              <w:tc>
                <w:tcPr>
                  <w:tcW w:w="1314" w:type="pct"/>
                  <w:vAlign w:val="center"/>
                </w:tcPr>
                <w:p>
                  <w:pPr>
                    <w:pStyle w:val="33"/>
                    <w:bidi w:val="0"/>
                    <w:rPr>
                      <w:rFonts w:hint="default"/>
                      <w:color w:val="auto"/>
                    </w:rPr>
                  </w:pPr>
                  <w:r>
                    <w:rPr>
                      <w:rFonts w:hint="default"/>
                      <w:color w:val="auto"/>
                    </w:rPr>
                    <w:t>-</w:t>
                  </w:r>
                </w:p>
              </w:tc>
              <w:tc>
                <w:tcPr>
                  <w:tcW w:w="358" w:type="pct"/>
                  <w:vAlign w:val="center"/>
                </w:tcPr>
                <w:p>
                  <w:pPr>
                    <w:pStyle w:val="33"/>
                    <w:bidi w:val="0"/>
                    <w:rPr>
                      <w:rFonts w:hint="default"/>
                      <w:color w:val="auto"/>
                      <w:lang w:val="zh-CN"/>
                    </w:rPr>
                  </w:pPr>
                  <w:r>
                    <w:rPr>
                      <w:rFonts w:hint="default"/>
                      <w:color w:val="auto"/>
                      <w:lang w:val="zh-CN"/>
                    </w:rPr>
                    <w:t>台</w:t>
                  </w:r>
                </w:p>
              </w:tc>
              <w:tc>
                <w:tcPr>
                  <w:tcW w:w="354" w:type="pct"/>
                  <w:vAlign w:val="center"/>
                </w:tcPr>
                <w:p>
                  <w:pPr>
                    <w:pStyle w:val="33"/>
                    <w:bidi w:val="0"/>
                    <w:rPr>
                      <w:rFonts w:hint="default"/>
                      <w:color w:val="auto"/>
                      <w:lang w:val="zh-CN"/>
                    </w:rPr>
                  </w:pPr>
                  <w:r>
                    <w:rPr>
                      <w:rFonts w:hint="default"/>
                      <w:color w:val="auto"/>
                      <w:lang w:val="zh-CN"/>
                    </w:rPr>
                    <w:t>1</w:t>
                  </w:r>
                </w:p>
              </w:tc>
              <w:tc>
                <w:tcPr>
                  <w:tcW w:w="1236" w:type="pct"/>
                  <w:vAlign w:val="center"/>
                </w:tcPr>
                <w:p>
                  <w:pPr>
                    <w:pStyle w:val="33"/>
                    <w:bidi w:val="0"/>
                    <w:rPr>
                      <w:rFonts w:hint="default"/>
                      <w:color w:val="auto"/>
                    </w:rPr>
                  </w:pPr>
                  <w:r>
                    <w:rPr>
                      <w:rFonts w:hint="default"/>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13</w:t>
                  </w:r>
                </w:p>
              </w:tc>
              <w:tc>
                <w:tcPr>
                  <w:tcW w:w="1337" w:type="pct"/>
                  <w:vAlign w:val="center"/>
                </w:tcPr>
                <w:p>
                  <w:pPr>
                    <w:pStyle w:val="33"/>
                    <w:bidi w:val="0"/>
                    <w:rPr>
                      <w:rFonts w:hint="default"/>
                      <w:color w:val="auto"/>
                      <w:lang w:val="zh-CN"/>
                    </w:rPr>
                  </w:pPr>
                  <w:r>
                    <w:rPr>
                      <w:rFonts w:hint="default"/>
                      <w:color w:val="auto"/>
                      <w:lang w:val="zh-CN"/>
                    </w:rPr>
                    <w:t>气液分离装置</w:t>
                  </w:r>
                </w:p>
              </w:tc>
              <w:tc>
                <w:tcPr>
                  <w:tcW w:w="1314" w:type="pct"/>
                  <w:vAlign w:val="center"/>
                </w:tcPr>
                <w:p>
                  <w:pPr>
                    <w:pStyle w:val="33"/>
                    <w:bidi w:val="0"/>
                    <w:rPr>
                      <w:rFonts w:hint="default"/>
                      <w:color w:val="auto"/>
                    </w:rPr>
                  </w:pPr>
                  <w:r>
                    <w:rPr>
                      <w:rFonts w:hint="default"/>
                      <w:color w:val="auto"/>
                    </w:rPr>
                    <w:t>-</w:t>
                  </w:r>
                </w:p>
              </w:tc>
              <w:tc>
                <w:tcPr>
                  <w:tcW w:w="358" w:type="pct"/>
                  <w:vAlign w:val="center"/>
                </w:tcPr>
                <w:p>
                  <w:pPr>
                    <w:pStyle w:val="33"/>
                    <w:bidi w:val="0"/>
                    <w:rPr>
                      <w:rFonts w:hint="default"/>
                      <w:color w:val="auto"/>
                      <w:lang w:val="zh-CN"/>
                    </w:rPr>
                  </w:pPr>
                  <w:r>
                    <w:rPr>
                      <w:rFonts w:hint="default"/>
                      <w:color w:val="auto"/>
                      <w:lang w:val="zh-CN"/>
                    </w:rPr>
                    <w:t>套</w:t>
                  </w:r>
                </w:p>
              </w:tc>
              <w:tc>
                <w:tcPr>
                  <w:tcW w:w="354" w:type="pct"/>
                  <w:vAlign w:val="center"/>
                </w:tcPr>
                <w:p>
                  <w:pPr>
                    <w:pStyle w:val="33"/>
                    <w:bidi w:val="0"/>
                    <w:rPr>
                      <w:rFonts w:hint="default"/>
                      <w:color w:val="auto"/>
                      <w:lang w:val="zh-CN"/>
                    </w:rPr>
                  </w:pPr>
                  <w:r>
                    <w:rPr>
                      <w:rFonts w:hint="default"/>
                      <w:color w:val="auto"/>
                      <w:lang w:val="zh-CN"/>
                    </w:rPr>
                    <w:t>1</w:t>
                  </w:r>
                </w:p>
              </w:tc>
              <w:tc>
                <w:tcPr>
                  <w:tcW w:w="1236" w:type="pct"/>
                  <w:vAlign w:val="center"/>
                </w:tcPr>
                <w:p>
                  <w:pPr>
                    <w:pStyle w:val="33"/>
                    <w:bidi w:val="0"/>
                    <w:rPr>
                      <w:rFonts w:hint="default"/>
                      <w:color w:val="auto"/>
                    </w:rPr>
                  </w:pPr>
                  <w:r>
                    <w:rPr>
                      <w:rFonts w:hint="default"/>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14</w:t>
                  </w:r>
                </w:p>
              </w:tc>
              <w:tc>
                <w:tcPr>
                  <w:tcW w:w="1337" w:type="pct"/>
                  <w:vAlign w:val="center"/>
                </w:tcPr>
                <w:p>
                  <w:pPr>
                    <w:pStyle w:val="33"/>
                    <w:bidi w:val="0"/>
                    <w:rPr>
                      <w:rFonts w:hint="default"/>
                      <w:color w:val="auto"/>
                      <w:lang w:val="zh-CN"/>
                    </w:rPr>
                  </w:pPr>
                  <w:r>
                    <w:rPr>
                      <w:rFonts w:hint="default"/>
                      <w:color w:val="auto"/>
                      <w:lang w:val="zh-CN"/>
                    </w:rPr>
                    <w:t>泵车</w:t>
                  </w:r>
                </w:p>
              </w:tc>
              <w:tc>
                <w:tcPr>
                  <w:tcW w:w="1314" w:type="pct"/>
                  <w:vAlign w:val="center"/>
                </w:tcPr>
                <w:p>
                  <w:pPr>
                    <w:pStyle w:val="33"/>
                    <w:bidi w:val="0"/>
                    <w:rPr>
                      <w:rFonts w:hint="default"/>
                      <w:color w:val="auto"/>
                      <w:lang w:val="zh-CN"/>
                    </w:rPr>
                  </w:pPr>
                  <w:r>
                    <w:rPr>
                      <w:rFonts w:hint="default"/>
                      <w:color w:val="auto"/>
                      <w:lang w:val="zh-CN"/>
                    </w:rPr>
                    <w:t>700型</w:t>
                  </w:r>
                </w:p>
              </w:tc>
              <w:tc>
                <w:tcPr>
                  <w:tcW w:w="358" w:type="pct"/>
                  <w:vAlign w:val="center"/>
                </w:tcPr>
                <w:p>
                  <w:pPr>
                    <w:pStyle w:val="33"/>
                    <w:bidi w:val="0"/>
                    <w:rPr>
                      <w:rFonts w:hint="default"/>
                      <w:color w:val="auto"/>
                      <w:lang w:val="zh-CN"/>
                    </w:rPr>
                  </w:pPr>
                  <w:r>
                    <w:rPr>
                      <w:rFonts w:hint="default"/>
                      <w:color w:val="auto"/>
                      <w:lang w:val="zh-CN"/>
                    </w:rPr>
                    <w:t>台</w:t>
                  </w:r>
                </w:p>
              </w:tc>
              <w:tc>
                <w:tcPr>
                  <w:tcW w:w="354" w:type="pct"/>
                  <w:vAlign w:val="center"/>
                </w:tcPr>
                <w:p>
                  <w:pPr>
                    <w:pStyle w:val="33"/>
                    <w:bidi w:val="0"/>
                    <w:rPr>
                      <w:rFonts w:hint="default"/>
                      <w:color w:val="auto"/>
                      <w:lang w:val="zh-CN"/>
                    </w:rPr>
                  </w:pPr>
                  <w:r>
                    <w:rPr>
                      <w:rFonts w:hint="default"/>
                      <w:color w:val="auto"/>
                      <w:lang w:val="zh-CN"/>
                    </w:rPr>
                    <w:t>1</w:t>
                  </w:r>
                </w:p>
              </w:tc>
              <w:tc>
                <w:tcPr>
                  <w:tcW w:w="1236" w:type="pct"/>
                  <w:vAlign w:val="center"/>
                </w:tcPr>
                <w:p>
                  <w:pPr>
                    <w:pStyle w:val="33"/>
                    <w:bidi w:val="0"/>
                    <w:rPr>
                      <w:rFonts w:hint="default"/>
                      <w:color w:val="auto"/>
                      <w:lang w:val="zh-CN"/>
                    </w:rPr>
                  </w:pPr>
                  <w:r>
                    <w:rPr>
                      <w:rFonts w:hint="default"/>
                      <w:color w:val="auto"/>
                      <w:lang w:val="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15</w:t>
                  </w:r>
                </w:p>
              </w:tc>
              <w:tc>
                <w:tcPr>
                  <w:tcW w:w="1337" w:type="pct"/>
                  <w:vAlign w:val="center"/>
                </w:tcPr>
                <w:p>
                  <w:pPr>
                    <w:pStyle w:val="33"/>
                    <w:bidi w:val="0"/>
                    <w:rPr>
                      <w:rFonts w:hint="default"/>
                      <w:color w:val="auto"/>
                    </w:rPr>
                  </w:pPr>
                  <w:r>
                    <w:rPr>
                      <w:rFonts w:hint="default"/>
                      <w:color w:val="auto"/>
                    </w:rPr>
                    <w:t>防喷器</w:t>
                  </w:r>
                </w:p>
              </w:tc>
              <w:tc>
                <w:tcPr>
                  <w:tcW w:w="1314" w:type="pct"/>
                  <w:vAlign w:val="center"/>
                </w:tcPr>
                <w:p>
                  <w:pPr>
                    <w:pStyle w:val="33"/>
                    <w:bidi w:val="0"/>
                    <w:rPr>
                      <w:rFonts w:hint="default"/>
                      <w:color w:val="auto"/>
                    </w:rPr>
                  </w:pPr>
                  <w:r>
                    <w:rPr>
                      <w:rFonts w:hint="default"/>
                      <w:color w:val="auto"/>
                    </w:rPr>
                    <w:t>-</w:t>
                  </w:r>
                </w:p>
              </w:tc>
              <w:tc>
                <w:tcPr>
                  <w:tcW w:w="358" w:type="pct"/>
                  <w:vAlign w:val="center"/>
                </w:tcPr>
                <w:p>
                  <w:pPr>
                    <w:pStyle w:val="33"/>
                    <w:bidi w:val="0"/>
                    <w:rPr>
                      <w:rFonts w:hint="default"/>
                      <w:color w:val="auto"/>
                    </w:rPr>
                  </w:pPr>
                  <w:r>
                    <w:rPr>
                      <w:rFonts w:hint="default"/>
                      <w:color w:val="auto"/>
                    </w:rPr>
                    <w:t>台</w:t>
                  </w:r>
                </w:p>
              </w:tc>
              <w:tc>
                <w:tcPr>
                  <w:tcW w:w="354" w:type="pct"/>
                  <w:vAlign w:val="center"/>
                </w:tcPr>
                <w:p>
                  <w:pPr>
                    <w:pStyle w:val="33"/>
                    <w:bidi w:val="0"/>
                    <w:rPr>
                      <w:rFonts w:hint="default"/>
                      <w:color w:val="auto"/>
                      <w:lang w:val="zh-CN"/>
                    </w:rPr>
                  </w:pPr>
                  <w:r>
                    <w:rPr>
                      <w:rFonts w:hint="default"/>
                      <w:color w:val="auto"/>
                      <w:lang w:val="zh-CN"/>
                    </w:rPr>
                    <w:t>1</w:t>
                  </w:r>
                </w:p>
              </w:tc>
              <w:tc>
                <w:tcPr>
                  <w:tcW w:w="1236" w:type="pct"/>
                  <w:vAlign w:val="center"/>
                </w:tcPr>
                <w:p>
                  <w:pPr>
                    <w:pStyle w:val="33"/>
                    <w:bidi w:val="0"/>
                    <w:rPr>
                      <w:rFonts w:hint="default"/>
                      <w:color w:val="auto"/>
                    </w:rPr>
                  </w:pPr>
                  <w:r>
                    <w:rPr>
                      <w:rFonts w:hint="default"/>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16</w:t>
                  </w:r>
                </w:p>
              </w:tc>
              <w:tc>
                <w:tcPr>
                  <w:tcW w:w="1337" w:type="pct"/>
                  <w:vAlign w:val="center"/>
                </w:tcPr>
                <w:p>
                  <w:pPr>
                    <w:pStyle w:val="33"/>
                    <w:bidi w:val="0"/>
                    <w:rPr>
                      <w:rFonts w:hint="default"/>
                      <w:color w:val="auto"/>
                    </w:rPr>
                  </w:pPr>
                  <w:r>
                    <w:rPr>
                      <w:rFonts w:hint="default"/>
                      <w:color w:val="auto"/>
                    </w:rPr>
                    <w:t>放喷管及罐</w:t>
                  </w:r>
                </w:p>
              </w:tc>
              <w:tc>
                <w:tcPr>
                  <w:tcW w:w="1314" w:type="pct"/>
                  <w:vAlign w:val="center"/>
                </w:tcPr>
                <w:p>
                  <w:pPr>
                    <w:pStyle w:val="33"/>
                    <w:bidi w:val="0"/>
                    <w:rPr>
                      <w:rFonts w:hint="default"/>
                      <w:color w:val="auto"/>
                    </w:rPr>
                  </w:pPr>
                  <w:r>
                    <w:rPr>
                      <w:rFonts w:hint="default"/>
                      <w:color w:val="auto"/>
                    </w:rPr>
                    <w:t>-</w:t>
                  </w:r>
                </w:p>
              </w:tc>
              <w:tc>
                <w:tcPr>
                  <w:tcW w:w="358" w:type="pct"/>
                  <w:vAlign w:val="center"/>
                </w:tcPr>
                <w:p>
                  <w:pPr>
                    <w:pStyle w:val="33"/>
                    <w:bidi w:val="0"/>
                    <w:rPr>
                      <w:rFonts w:hint="default"/>
                      <w:color w:val="auto"/>
                    </w:rPr>
                  </w:pPr>
                  <w:r>
                    <w:rPr>
                      <w:rFonts w:hint="default"/>
                      <w:color w:val="auto"/>
                    </w:rPr>
                    <w:t>套</w:t>
                  </w:r>
                </w:p>
              </w:tc>
              <w:tc>
                <w:tcPr>
                  <w:tcW w:w="354" w:type="pct"/>
                  <w:vAlign w:val="center"/>
                </w:tcPr>
                <w:p>
                  <w:pPr>
                    <w:pStyle w:val="33"/>
                    <w:bidi w:val="0"/>
                    <w:rPr>
                      <w:rFonts w:hint="default"/>
                      <w:color w:val="auto"/>
                      <w:lang w:val="zh-CN"/>
                    </w:rPr>
                  </w:pPr>
                  <w:r>
                    <w:rPr>
                      <w:rFonts w:hint="default"/>
                      <w:color w:val="auto"/>
                      <w:lang w:val="zh-CN"/>
                    </w:rPr>
                    <w:t>1</w:t>
                  </w:r>
                </w:p>
              </w:tc>
              <w:tc>
                <w:tcPr>
                  <w:tcW w:w="1236" w:type="pct"/>
                  <w:vAlign w:val="center"/>
                </w:tcPr>
                <w:p>
                  <w:pPr>
                    <w:pStyle w:val="33"/>
                    <w:bidi w:val="0"/>
                    <w:rPr>
                      <w:rFonts w:hint="default"/>
                      <w:color w:val="auto"/>
                    </w:rPr>
                  </w:pPr>
                  <w:r>
                    <w:rPr>
                      <w:rFonts w:hint="default"/>
                      <w:color w:val="auto"/>
                    </w:rPr>
                    <w:t>放喷罐1个，30</w:t>
                  </w:r>
                  <w:r>
                    <w:rPr>
                      <w:rFonts w:hint="eastAsia" w:ascii="Times New Roman" w:eastAsia="宋体"/>
                      <w:color w:val="auto"/>
                      <w:lang w:val="en-US" w:eastAsia="zh-CN"/>
                    </w:rPr>
                    <w:t>m</w:t>
                  </w:r>
                  <w:r>
                    <w:rPr>
                      <w:rFonts w:hint="default"/>
                      <w:color w:val="auto"/>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17</w:t>
                  </w:r>
                </w:p>
              </w:tc>
              <w:tc>
                <w:tcPr>
                  <w:tcW w:w="1337" w:type="pct"/>
                  <w:vAlign w:val="center"/>
                </w:tcPr>
                <w:p>
                  <w:pPr>
                    <w:pStyle w:val="33"/>
                    <w:bidi w:val="0"/>
                    <w:rPr>
                      <w:rFonts w:hint="default"/>
                      <w:color w:val="auto"/>
                    </w:rPr>
                  </w:pPr>
                  <w:r>
                    <w:rPr>
                      <w:rFonts w:hint="default"/>
                      <w:color w:val="auto"/>
                    </w:rPr>
                    <w:t>采油树</w:t>
                  </w:r>
                </w:p>
              </w:tc>
              <w:tc>
                <w:tcPr>
                  <w:tcW w:w="1314" w:type="pct"/>
                  <w:vAlign w:val="center"/>
                </w:tcPr>
                <w:p>
                  <w:pPr>
                    <w:pStyle w:val="33"/>
                    <w:bidi w:val="0"/>
                    <w:rPr>
                      <w:rFonts w:hint="default"/>
                      <w:color w:val="auto"/>
                    </w:rPr>
                  </w:pPr>
                  <w:r>
                    <w:rPr>
                      <w:rFonts w:hint="default"/>
                      <w:color w:val="auto"/>
                    </w:rPr>
                    <w:t>-</w:t>
                  </w:r>
                </w:p>
              </w:tc>
              <w:tc>
                <w:tcPr>
                  <w:tcW w:w="358" w:type="pct"/>
                  <w:vAlign w:val="center"/>
                </w:tcPr>
                <w:p>
                  <w:pPr>
                    <w:pStyle w:val="33"/>
                    <w:bidi w:val="0"/>
                    <w:rPr>
                      <w:rFonts w:hint="default"/>
                      <w:color w:val="auto"/>
                    </w:rPr>
                  </w:pPr>
                  <w:r>
                    <w:rPr>
                      <w:rFonts w:hint="default"/>
                      <w:color w:val="auto"/>
                    </w:rPr>
                    <w:t>套</w:t>
                  </w:r>
                </w:p>
              </w:tc>
              <w:tc>
                <w:tcPr>
                  <w:tcW w:w="354" w:type="pct"/>
                  <w:vAlign w:val="center"/>
                </w:tcPr>
                <w:p>
                  <w:pPr>
                    <w:pStyle w:val="33"/>
                    <w:bidi w:val="0"/>
                    <w:rPr>
                      <w:rFonts w:hint="default"/>
                      <w:color w:val="auto"/>
                      <w:lang w:val="zh-CN"/>
                    </w:rPr>
                  </w:pPr>
                  <w:r>
                    <w:rPr>
                      <w:rFonts w:hint="default"/>
                      <w:color w:val="auto"/>
                      <w:lang w:val="zh-CN"/>
                    </w:rPr>
                    <w:t>1</w:t>
                  </w:r>
                </w:p>
              </w:tc>
              <w:tc>
                <w:tcPr>
                  <w:tcW w:w="1236" w:type="pct"/>
                  <w:vAlign w:val="center"/>
                </w:tcPr>
                <w:p>
                  <w:pPr>
                    <w:pStyle w:val="33"/>
                    <w:bidi w:val="0"/>
                    <w:rPr>
                      <w:rFonts w:hint="default"/>
                      <w:color w:val="auto"/>
                    </w:rPr>
                  </w:pPr>
                  <w:r>
                    <w:rPr>
                      <w:rFonts w:hint="default"/>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18</w:t>
                  </w:r>
                </w:p>
              </w:tc>
              <w:tc>
                <w:tcPr>
                  <w:tcW w:w="1337" w:type="pct"/>
                  <w:vAlign w:val="center"/>
                </w:tcPr>
                <w:p>
                  <w:pPr>
                    <w:pStyle w:val="33"/>
                    <w:bidi w:val="0"/>
                    <w:rPr>
                      <w:rFonts w:hint="default"/>
                      <w:color w:val="auto"/>
                    </w:rPr>
                  </w:pPr>
                  <w:r>
                    <w:rPr>
                      <w:rFonts w:hint="default"/>
                      <w:color w:val="auto"/>
                    </w:rPr>
                    <w:t>H2S气体监测仪</w:t>
                  </w:r>
                </w:p>
              </w:tc>
              <w:tc>
                <w:tcPr>
                  <w:tcW w:w="1314" w:type="pct"/>
                  <w:vAlign w:val="center"/>
                </w:tcPr>
                <w:p>
                  <w:pPr>
                    <w:pStyle w:val="33"/>
                    <w:bidi w:val="0"/>
                    <w:rPr>
                      <w:rFonts w:hint="default"/>
                      <w:color w:val="auto"/>
                    </w:rPr>
                  </w:pPr>
                  <w:r>
                    <w:rPr>
                      <w:rFonts w:hint="default"/>
                      <w:color w:val="auto"/>
                    </w:rPr>
                    <w:t>-</w:t>
                  </w:r>
                </w:p>
              </w:tc>
              <w:tc>
                <w:tcPr>
                  <w:tcW w:w="358" w:type="pct"/>
                  <w:vAlign w:val="center"/>
                </w:tcPr>
                <w:p>
                  <w:pPr>
                    <w:pStyle w:val="33"/>
                    <w:bidi w:val="0"/>
                    <w:rPr>
                      <w:rFonts w:hint="default"/>
                      <w:color w:val="auto"/>
                    </w:rPr>
                  </w:pPr>
                  <w:r>
                    <w:rPr>
                      <w:rFonts w:hint="default"/>
                      <w:color w:val="auto"/>
                    </w:rPr>
                    <w:t>部</w:t>
                  </w:r>
                </w:p>
              </w:tc>
              <w:tc>
                <w:tcPr>
                  <w:tcW w:w="354" w:type="pct"/>
                  <w:vAlign w:val="center"/>
                </w:tcPr>
                <w:p>
                  <w:pPr>
                    <w:pStyle w:val="33"/>
                    <w:bidi w:val="0"/>
                    <w:rPr>
                      <w:rFonts w:hint="default"/>
                      <w:color w:val="auto"/>
                      <w:lang w:val="zh-CN"/>
                    </w:rPr>
                  </w:pPr>
                  <w:r>
                    <w:rPr>
                      <w:rFonts w:hint="default"/>
                      <w:color w:val="auto"/>
                      <w:lang w:val="zh-CN"/>
                    </w:rPr>
                    <w:t>1</w:t>
                  </w:r>
                </w:p>
              </w:tc>
              <w:tc>
                <w:tcPr>
                  <w:tcW w:w="1236" w:type="pct"/>
                  <w:vAlign w:val="center"/>
                </w:tcPr>
                <w:p>
                  <w:pPr>
                    <w:pStyle w:val="33"/>
                    <w:bidi w:val="0"/>
                    <w:rPr>
                      <w:rFonts w:hint="default"/>
                      <w:color w:val="auto"/>
                    </w:rPr>
                  </w:pPr>
                  <w:r>
                    <w:rPr>
                      <w:rFonts w:hint="default"/>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19</w:t>
                  </w:r>
                </w:p>
              </w:tc>
              <w:tc>
                <w:tcPr>
                  <w:tcW w:w="1337" w:type="pct"/>
                  <w:vAlign w:val="center"/>
                </w:tcPr>
                <w:p>
                  <w:pPr>
                    <w:pStyle w:val="33"/>
                    <w:bidi w:val="0"/>
                    <w:rPr>
                      <w:rFonts w:hint="default"/>
                      <w:color w:val="auto"/>
                    </w:rPr>
                  </w:pPr>
                  <w:r>
                    <w:rPr>
                      <w:rFonts w:hint="default"/>
                      <w:color w:val="auto"/>
                    </w:rPr>
                    <w:t>可燃气体检测仪</w:t>
                  </w:r>
                </w:p>
              </w:tc>
              <w:tc>
                <w:tcPr>
                  <w:tcW w:w="1314" w:type="pct"/>
                  <w:vAlign w:val="center"/>
                </w:tcPr>
                <w:p>
                  <w:pPr>
                    <w:pStyle w:val="33"/>
                    <w:bidi w:val="0"/>
                    <w:rPr>
                      <w:rFonts w:hint="default"/>
                      <w:color w:val="auto"/>
                    </w:rPr>
                  </w:pPr>
                  <w:r>
                    <w:rPr>
                      <w:rFonts w:hint="default"/>
                      <w:color w:val="auto"/>
                    </w:rPr>
                    <w:t>-</w:t>
                  </w:r>
                </w:p>
              </w:tc>
              <w:tc>
                <w:tcPr>
                  <w:tcW w:w="358" w:type="pct"/>
                  <w:vAlign w:val="center"/>
                </w:tcPr>
                <w:p>
                  <w:pPr>
                    <w:pStyle w:val="33"/>
                    <w:bidi w:val="0"/>
                    <w:rPr>
                      <w:rFonts w:hint="default"/>
                      <w:color w:val="auto"/>
                    </w:rPr>
                  </w:pPr>
                  <w:r>
                    <w:rPr>
                      <w:rFonts w:hint="default"/>
                      <w:color w:val="auto"/>
                    </w:rPr>
                    <w:t>部</w:t>
                  </w:r>
                </w:p>
              </w:tc>
              <w:tc>
                <w:tcPr>
                  <w:tcW w:w="354" w:type="pct"/>
                  <w:vAlign w:val="center"/>
                </w:tcPr>
                <w:p>
                  <w:pPr>
                    <w:pStyle w:val="33"/>
                    <w:bidi w:val="0"/>
                    <w:rPr>
                      <w:rFonts w:hint="default"/>
                      <w:color w:val="auto"/>
                      <w:lang w:val="zh-CN"/>
                    </w:rPr>
                  </w:pPr>
                  <w:r>
                    <w:rPr>
                      <w:rFonts w:hint="default"/>
                      <w:color w:val="auto"/>
                      <w:lang w:val="zh-CN"/>
                    </w:rPr>
                    <w:t>1</w:t>
                  </w:r>
                </w:p>
              </w:tc>
              <w:tc>
                <w:tcPr>
                  <w:tcW w:w="1236" w:type="pct"/>
                  <w:vAlign w:val="center"/>
                </w:tcPr>
                <w:p>
                  <w:pPr>
                    <w:pStyle w:val="33"/>
                    <w:bidi w:val="0"/>
                    <w:rPr>
                      <w:rFonts w:hint="default"/>
                      <w:color w:val="auto"/>
                    </w:rPr>
                  </w:pPr>
                  <w:r>
                    <w:rPr>
                      <w:rFonts w:hint="default"/>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20</w:t>
                  </w:r>
                </w:p>
              </w:tc>
              <w:tc>
                <w:tcPr>
                  <w:tcW w:w="1337" w:type="pct"/>
                  <w:vAlign w:val="center"/>
                </w:tcPr>
                <w:p>
                  <w:pPr>
                    <w:pStyle w:val="33"/>
                    <w:bidi w:val="0"/>
                    <w:rPr>
                      <w:rFonts w:hint="default"/>
                      <w:color w:val="auto"/>
                    </w:rPr>
                  </w:pPr>
                  <w:r>
                    <w:rPr>
                      <w:rFonts w:hint="default"/>
                      <w:color w:val="auto"/>
                    </w:rPr>
                    <w:t>消防砂</w:t>
                  </w:r>
                </w:p>
              </w:tc>
              <w:tc>
                <w:tcPr>
                  <w:tcW w:w="1314" w:type="pct"/>
                  <w:vAlign w:val="center"/>
                </w:tcPr>
                <w:p>
                  <w:pPr>
                    <w:pStyle w:val="33"/>
                    <w:bidi w:val="0"/>
                    <w:rPr>
                      <w:rFonts w:hint="default"/>
                      <w:color w:val="auto"/>
                    </w:rPr>
                  </w:pPr>
                  <w:r>
                    <w:rPr>
                      <w:rFonts w:hint="default"/>
                      <w:color w:val="auto"/>
                    </w:rPr>
                    <w:t>-</w:t>
                  </w:r>
                </w:p>
              </w:tc>
              <w:tc>
                <w:tcPr>
                  <w:tcW w:w="358" w:type="pct"/>
                  <w:vAlign w:val="center"/>
                </w:tcPr>
                <w:p>
                  <w:pPr>
                    <w:pStyle w:val="33"/>
                    <w:bidi w:val="0"/>
                    <w:rPr>
                      <w:rFonts w:hint="default"/>
                      <w:color w:val="auto"/>
                    </w:rPr>
                  </w:pPr>
                  <w:r>
                    <w:rPr>
                      <w:rFonts w:hint="eastAsia" w:ascii="Times New Roman" w:eastAsia="宋体"/>
                      <w:color w:val="auto"/>
                      <w:lang w:val="en-US" w:eastAsia="zh-CN"/>
                    </w:rPr>
                    <w:t>m</w:t>
                  </w:r>
                  <w:r>
                    <w:rPr>
                      <w:rFonts w:hint="default"/>
                      <w:color w:val="auto"/>
                      <w:vertAlign w:val="superscript"/>
                    </w:rPr>
                    <w:t>3</w:t>
                  </w:r>
                </w:p>
              </w:tc>
              <w:tc>
                <w:tcPr>
                  <w:tcW w:w="354" w:type="pct"/>
                  <w:vAlign w:val="center"/>
                </w:tcPr>
                <w:p>
                  <w:pPr>
                    <w:pStyle w:val="33"/>
                    <w:bidi w:val="0"/>
                    <w:rPr>
                      <w:rFonts w:hint="default"/>
                      <w:color w:val="auto"/>
                      <w:lang w:val="zh-CN"/>
                    </w:rPr>
                  </w:pPr>
                  <w:r>
                    <w:rPr>
                      <w:rFonts w:hint="default"/>
                      <w:color w:val="auto"/>
                      <w:lang w:val="zh-CN"/>
                    </w:rPr>
                    <w:t>0.5</w:t>
                  </w:r>
                </w:p>
              </w:tc>
              <w:tc>
                <w:tcPr>
                  <w:tcW w:w="1236" w:type="pct"/>
                  <w:vAlign w:val="center"/>
                </w:tcPr>
                <w:p>
                  <w:pPr>
                    <w:pStyle w:val="33"/>
                    <w:bidi w:val="0"/>
                    <w:rPr>
                      <w:rFonts w:hint="default"/>
                      <w:color w:val="auto"/>
                    </w:rPr>
                  </w:pPr>
                  <w:r>
                    <w:rPr>
                      <w:rFonts w:hint="default"/>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21</w:t>
                  </w:r>
                </w:p>
              </w:tc>
              <w:tc>
                <w:tcPr>
                  <w:tcW w:w="1337" w:type="pct"/>
                  <w:vAlign w:val="center"/>
                </w:tcPr>
                <w:p>
                  <w:pPr>
                    <w:pStyle w:val="33"/>
                    <w:bidi w:val="0"/>
                    <w:rPr>
                      <w:rFonts w:hint="default"/>
                      <w:color w:val="auto"/>
                    </w:rPr>
                  </w:pPr>
                  <w:r>
                    <w:rPr>
                      <w:rFonts w:hint="default"/>
                      <w:color w:val="auto"/>
                    </w:rPr>
                    <w:t>推车式干粉灭火器</w:t>
                  </w:r>
                </w:p>
              </w:tc>
              <w:tc>
                <w:tcPr>
                  <w:tcW w:w="1314" w:type="pct"/>
                  <w:vAlign w:val="center"/>
                </w:tcPr>
                <w:p>
                  <w:pPr>
                    <w:pStyle w:val="33"/>
                    <w:bidi w:val="0"/>
                    <w:rPr>
                      <w:rFonts w:hint="default"/>
                      <w:color w:val="auto"/>
                    </w:rPr>
                  </w:pPr>
                  <w:r>
                    <w:rPr>
                      <w:rFonts w:hint="default"/>
                      <w:color w:val="auto"/>
                    </w:rPr>
                    <w:t>MFZL35型</w:t>
                  </w:r>
                </w:p>
              </w:tc>
              <w:tc>
                <w:tcPr>
                  <w:tcW w:w="358" w:type="pct"/>
                  <w:vAlign w:val="center"/>
                </w:tcPr>
                <w:p>
                  <w:pPr>
                    <w:pStyle w:val="33"/>
                    <w:bidi w:val="0"/>
                    <w:rPr>
                      <w:rFonts w:hint="default"/>
                      <w:color w:val="auto"/>
                    </w:rPr>
                  </w:pPr>
                  <w:r>
                    <w:rPr>
                      <w:rFonts w:hint="default"/>
                      <w:color w:val="auto"/>
                    </w:rPr>
                    <w:t>具</w:t>
                  </w:r>
                </w:p>
              </w:tc>
              <w:tc>
                <w:tcPr>
                  <w:tcW w:w="354" w:type="pct"/>
                  <w:vAlign w:val="center"/>
                </w:tcPr>
                <w:p>
                  <w:pPr>
                    <w:pStyle w:val="33"/>
                    <w:bidi w:val="0"/>
                    <w:rPr>
                      <w:rFonts w:hint="default"/>
                      <w:color w:val="auto"/>
                    </w:rPr>
                  </w:pPr>
                  <w:r>
                    <w:rPr>
                      <w:rFonts w:hint="default"/>
                      <w:color w:val="auto"/>
                    </w:rPr>
                    <w:t>1</w:t>
                  </w:r>
                </w:p>
              </w:tc>
              <w:tc>
                <w:tcPr>
                  <w:tcW w:w="1236" w:type="pct"/>
                  <w:vAlign w:val="center"/>
                </w:tcPr>
                <w:p>
                  <w:pPr>
                    <w:pStyle w:val="33"/>
                    <w:bidi w:val="0"/>
                    <w:rPr>
                      <w:rFonts w:hint="default"/>
                      <w:color w:val="auto"/>
                    </w:rPr>
                  </w:pPr>
                  <w:r>
                    <w:rPr>
                      <w:rFonts w:hint="default"/>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83" w:hRule="atLeast"/>
                <w:jc w:val="center"/>
              </w:trPr>
              <w:tc>
                <w:tcPr>
                  <w:tcW w:w="398" w:type="pct"/>
                  <w:vAlign w:val="center"/>
                </w:tcPr>
                <w:p>
                  <w:pPr>
                    <w:pStyle w:val="33"/>
                    <w:bidi w:val="0"/>
                    <w:rPr>
                      <w:rFonts w:hint="default"/>
                      <w:color w:val="auto"/>
                      <w:lang w:val="zh-CN"/>
                    </w:rPr>
                  </w:pPr>
                  <w:r>
                    <w:rPr>
                      <w:rFonts w:hint="default"/>
                      <w:color w:val="auto"/>
                      <w:lang w:val="zh-CN"/>
                    </w:rPr>
                    <w:t>22</w:t>
                  </w:r>
                </w:p>
              </w:tc>
              <w:tc>
                <w:tcPr>
                  <w:tcW w:w="1337" w:type="pct"/>
                  <w:vAlign w:val="center"/>
                </w:tcPr>
                <w:p>
                  <w:pPr>
                    <w:pStyle w:val="33"/>
                    <w:bidi w:val="0"/>
                    <w:rPr>
                      <w:rFonts w:hint="default"/>
                      <w:color w:val="auto"/>
                    </w:rPr>
                  </w:pPr>
                  <w:r>
                    <w:rPr>
                      <w:rFonts w:hint="default"/>
                      <w:color w:val="auto"/>
                    </w:rPr>
                    <w:t>干粉灭火器</w:t>
                  </w:r>
                </w:p>
              </w:tc>
              <w:tc>
                <w:tcPr>
                  <w:tcW w:w="1314" w:type="pct"/>
                  <w:vAlign w:val="center"/>
                </w:tcPr>
                <w:p>
                  <w:pPr>
                    <w:pStyle w:val="33"/>
                    <w:bidi w:val="0"/>
                    <w:rPr>
                      <w:rFonts w:hint="default"/>
                      <w:color w:val="auto"/>
                    </w:rPr>
                  </w:pPr>
                  <w:r>
                    <w:rPr>
                      <w:rFonts w:hint="default"/>
                      <w:color w:val="auto"/>
                    </w:rPr>
                    <w:t>MFZL8型</w:t>
                  </w:r>
                </w:p>
              </w:tc>
              <w:tc>
                <w:tcPr>
                  <w:tcW w:w="358" w:type="pct"/>
                  <w:vAlign w:val="center"/>
                </w:tcPr>
                <w:p>
                  <w:pPr>
                    <w:pStyle w:val="33"/>
                    <w:bidi w:val="0"/>
                    <w:rPr>
                      <w:rFonts w:hint="default"/>
                      <w:color w:val="auto"/>
                    </w:rPr>
                  </w:pPr>
                  <w:r>
                    <w:rPr>
                      <w:rFonts w:hint="default"/>
                      <w:color w:val="auto"/>
                    </w:rPr>
                    <w:t>具</w:t>
                  </w:r>
                </w:p>
              </w:tc>
              <w:tc>
                <w:tcPr>
                  <w:tcW w:w="354" w:type="pct"/>
                  <w:vAlign w:val="center"/>
                </w:tcPr>
                <w:p>
                  <w:pPr>
                    <w:pStyle w:val="33"/>
                    <w:bidi w:val="0"/>
                    <w:rPr>
                      <w:rFonts w:hint="default"/>
                      <w:color w:val="auto"/>
                    </w:rPr>
                  </w:pPr>
                  <w:r>
                    <w:rPr>
                      <w:rFonts w:hint="default"/>
                      <w:color w:val="auto"/>
                    </w:rPr>
                    <w:t>4</w:t>
                  </w:r>
                </w:p>
              </w:tc>
              <w:tc>
                <w:tcPr>
                  <w:tcW w:w="1236" w:type="pct"/>
                  <w:vAlign w:val="center"/>
                </w:tcPr>
                <w:p>
                  <w:pPr>
                    <w:pStyle w:val="33"/>
                    <w:bidi w:val="0"/>
                    <w:rPr>
                      <w:rFonts w:hint="default"/>
                      <w:color w:val="auto"/>
                    </w:rPr>
                  </w:pPr>
                  <w:r>
                    <w:rPr>
                      <w:rFonts w:hint="default"/>
                      <w:color w:val="auto"/>
                    </w:rPr>
                    <w:t>-</w:t>
                  </w:r>
                </w:p>
              </w:tc>
            </w:tr>
          </w:tbl>
          <w:p>
            <w:pPr>
              <w:pStyle w:val="36"/>
              <w:bidi w:val="0"/>
              <w:rPr>
                <w:rFonts w:hint="default"/>
                <w:color w:val="auto"/>
              </w:rPr>
            </w:pPr>
            <w:r>
              <w:rPr>
                <w:rFonts w:hint="default"/>
                <w:color w:val="auto"/>
              </w:rPr>
              <w:t>（4）完井</w:t>
            </w:r>
          </w:p>
          <w:p>
            <w:pPr>
              <w:pStyle w:val="36"/>
              <w:bidi w:val="0"/>
              <w:rPr>
                <w:rFonts w:hint="default"/>
                <w:color w:val="auto"/>
              </w:rPr>
            </w:pPr>
            <w:r>
              <w:rPr>
                <w:rFonts w:hint="default"/>
                <w:color w:val="auto"/>
              </w:rPr>
              <w:t>试油作业结束后，若油气产量显示该井具备商业开采价值，则对其进行关井，后期根据油田开发要求转为开采井，转产前应开展产能建设工程环境影响评价。如该井不具备开采价值，则对地面设施进行拆除，对井口按照《废弃井封井回填技术指南（试行）》进行封井作业，撤去所有生产设施，清理、平整井场。</w:t>
            </w:r>
          </w:p>
          <w:p>
            <w:pPr>
              <w:pStyle w:val="32"/>
              <w:numPr>
                <w:ilvl w:val="0"/>
                <w:numId w:val="8"/>
              </w:numPr>
              <w:bidi w:val="0"/>
              <w:rPr>
                <w:rFonts w:hint="default"/>
                <w:color w:val="auto"/>
              </w:rPr>
            </w:pPr>
            <w:r>
              <w:rPr>
                <w:rFonts w:hint="default"/>
                <w:color w:val="auto"/>
              </w:rPr>
              <w:t>施工周期及组织定员</w:t>
            </w:r>
          </w:p>
          <w:p>
            <w:pPr>
              <w:pStyle w:val="36"/>
              <w:bidi w:val="0"/>
              <w:rPr>
                <w:rFonts w:hint="default"/>
                <w:color w:val="auto"/>
              </w:rPr>
            </w:pPr>
            <w:r>
              <w:rPr>
                <w:rFonts w:hint="eastAsia"/>
                <w:color w:val="auto"/>
                <w:lang w:val="en-US" w:eastAsia="zh-CN"/>
              </w:rPr>
              <w:t>天湾102井</w:t>
            </w:r>
            <w:r>
              <w:rPr>
                <w:rFonts w:hint="default"/>
                <w:color w:val="auto"/>
              </w:rPr>
              <w:t>钻井期34</w:t>
            </w:r>
            <w:r>
              <w:rPr>
                <w:rFonts w:hint="eastAsia"/>
                <w:color w:val="auto"/>
                <w:lang w:val="en-US" w:eastAsia="zh-CN"/>
              </w:rPr>
              <w:t>5</w:t>
            </w:r>
            <w:r>
              <w:rPr>
                <w:rFonts w:hint="default"/>
                <w:color w:val="auto"/>
              </w:rPr>
              <w:t>天，施工人数35人。试油期为</w:t>
            </w:r>
            <w:r>
              <w:rPr>
                <w:rFonts w:hint="eastAsia"/>
                <w:color w:val="auto"/>
                <w:lang w:val="en-US" w:eastAsia="zh-CN"/>
              </w:rPr>
              <w:t>240</w:t>
            </w:r>
            <w:r>
              <w:rPr>
                <w:rFonts w:hint="default"/>
                <w:color w:val="auto"/>
              </w:rPr>
              <w:t>天，试油人数2人。</w:t>
            </w:r>
          </w:p>
          <w:p>
            <w:pPr>
              <w:pStyle w:val="32"/>
              <w:numPr>
                <w:ilvl w:val="0"/>
                <w:numId w:val="8"/>
              </w:numPr>
              <w:bidi w:val="0"/>
              <w:rPr>
                <w:rFonts w:hint="default"/>
                <w:color w:val="auto"/>
              </w:rPr>
            </w:pPr>
            <w:r>
              <w:rPr>
                <w:rFonts w:hint="default"/>
                <w:color w:val="auto"/>
              </w:rPr>
              <w:t>能源物料消耗</w:t>
            </w:r>
          </w:p>
          <w:p>
            <w:pPr>
              <w:pStyle w:val="36"/>
              <w:bidi w:val="0"/>
              <w:rPr>
                <w:rFonts w:hint="default"/>
                <w:color w:val="auto"/>
              </w:rPr>
            </w:pPr>
            <w:r>
              <w:rPr>
                <w:rFonts w:hint="default"/>
                <w:color w:val="auto"/>
                <w:lang w:val="en-US" w:eastAsia="zh-CN"/>
              </w:rPr>
              <w:t>本项目</w:t>
            </w:r>
            <w:r>
              <w:rPr>
                <w:rFonts w:hint="default"/>
                <w:color w:val="auto"/>
              </w:rPr>
              <w:t>施工期消耗的主要物料及能耗包括：钻井液、压裂液、柴油、新鲜水等，消耗情况见</w:t>
            </w:r>
            <w:r>
              <w:rPr>
                <w:rFonts w:hint="eastAsia"/>
                <w:color w:val="auto"/>
                <w:lang w:val="en-US" w:eastAsia="zh-CN"/>
              </w:rPr>
              <w:t>下表</w:t>
            </w:r>
            <w:r>
              <w:rPr>
                <w:rFonts w:hint="default"/>
                <w:color w:val="auto"/>
              </w:rPr>
              <w:t>。</w:t>
            </w:r>
            <w:bookmarkStart w:id="14" w:name="_Hlk15400228"/>
          </w:p>
          <w:bookmarkEnd w:id="14"/>
          <w:p>
            <w:pPr>
              <w:pStyle w:val="52"/>
              <w:bidi w:val="0"/>
              <w:rPr>
                <w:rFonts w:hint="default"/>
                <w:color w:val="auto"/>
              </w:rPr>
            </w:pPr>
            <w:r>
              <w:rPr>
                <w:rFonts w:hint="default"/>
                <w:color w:val="auto"/>
              </w:rPr>
              <w:t>表</w:t>
            </w:r>
            <w:r>
              <w:rPr>
                <w:rFonts w:hint="default"/>
                <w:color w:val="auto"/>
                <w:lang w:val="en-US" w:eastAsia="zh-CN"/>
              </w:rPr>
              <w:t>2-</w:t>
            </w:r>
            <w:r>
              <w:rPr>
                <w:rFonts w:hint="default"/>
                <w:color w:val="auto"/>
              </w:rPr>
              <w:t>7  施工期主要</w:t>
            </w:r>
            <w:r>
              <w:rPr>
                <w:rFonts w:hint="default"/>
                <w:color w:val="auto"/>
                <w:lang w:val="en-US" w:eastAsia="zh-CN"/>
              </w:rPr>
              <w:t>消耗物料及</w:t>
            </w:r>
            <w:r>
              <w:rPr>
                <w:rFonts w:hint="default"/>
                <w:color w:val="auto"/>
              </w:rPr>
              <w:t>能源用量一览表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940"/>
              <w:gridCol w:w="1181"/>
              <w:gridCol w:w="3083"/>
              <w:gridCol w:w="2659"/>
              <w:gridCol w:w="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gridAfter w:val="1"/>
                <w:wAfter w:w="11" w:type="pct"/>
                <w:trHeight w:val="312" w:hRule="atLeast"/>
              </w:trPr>
              <w:tc>
                <w:tcPr>
                  <w:tcW w:w="3301" w:type="pct"/>
                  <w:gridSpan w:val="3"/>
                  <w:vAlign w:val="center"/>
                </w:tcPr>
                <w:p>
                  <w:pPr>
                    <w:pStyle w:val="33"/>
                    <w:bidi w:val="0"/>
                    <w:rPr>
                      <w:rFonts w:hint="default"/>
                      <w:color w:val="auto"/>
                    </w:rPr>
                  </w:pPr>
                  <w:bookmarkStart w:id="15" w:name="_Hlk176174647"/>
                  <w:r>
                    <w:rPr>
                      <w:rFonts w:hint="default"/>
                      <w:color w:val="auto"/>
                    </w:rPr>
                    <w:t>物料/能源名称</w:t>
                  </w:r>
                </w:p>
              </w:tc>
              <w:tc>
                <w:tcPr>
                  <w:tcW w:w="1687" w:type="pct"/>
                  <w:vAlign w:val="center"/>
                </w:tcPr>
                <w:p>
                  <w:pPr>
                    <w:pStyle w:val="33"/>
                    <w:bidi w:val="0"/>
                    <w:rPr>
                      <w:rFonts w:hint="default"/>
                      <w:color w:val="auto"/>
                    </w:rPr>
                  </w:pPr>
                  <w:r>
                    <w:rPr>
                      <w:rFonts w:hint="default"/>
                      <w:color w:val="auto"/>
                    </w:rPr>
                    <w:t>使用量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596" w:type="pct"/>
                  <w:vMerge w:val="restart"/>
                  <w:vAlign w:val="center"/>
                </w:tcPr>
                <w:p>
                  <w:pPr>
                    <w:pStyle w:val="33"/>
                    <w:bidi w:val="0"/>
                    <w:rPr>
                      <w:rFonts w:hint="default"/>
                      <w:color w:val="auto"/>
                    </w:rPr>
                  </w:pPr>
                  <w:r>
                    <w:rPr>
                      <w:rFonts w:hint="default"/>
                      <w:color w:val="auto"/>
                    </w:rPr>
                    <w:t>主要</w:t>
                  </w:r>
                </w:p>
                <w:p>
                  <w:pPr>
                    <w:pStyle w:val="33"/>
                    <w:bidi w:val="0"/>
                    <w:rPr>
                      <w:rFonts w:hint="default"/>
                      <w:color w:val="auto"/>
                    </w:rPr>
                  </w:pPr>
                  <w:r>
                    <w:rPr>
                      <w:rFonts w:hint="default"/>
                      <w:color w:val="auto"/>
                    </w:rPr>
                    <w:t>材料</w:t>
                  </w:r>
                </w:p>
              </w:tc>
              <w:tc>
                <w:tcPr>
                  <w:tcW w:w="2705" w:type="pct"/>
                  <w:gridSpan w:val="2"/>
                  <w:vAlign w:val="center"/>
                </w:tcPr>
                <w:p>
                  <w:pPr>
                    <w:pStyle w:val="33"/>
                    <w:bidi w:val="0"/>
                    <w:rPr>
                      <w:rFonts w:hint="default"/>
                      <w:color w:val="auto"/>
                    </w:rPr>
                  </w:pPr>
                  <w:r>
                    <w:rPr>
                      <w:rFonts w:hint="default"/>
                      <w:color w:val="auto"/>
                    </w:rPr>
                    <w:t>水基钻井液（m</w:t>
                  </w:r>
                  <w:r>
                    <w:rPr>
                      <w:rFonts w:hint="default"/>
                      <w:color w:val="auto"/>
                      <w:vertAlign w:val="superscript"/>
                    </w:rPr>
                    <w:t>3</w:t>
                  </w:r>
                  <w:r>
                    <w:rPr>
                      <w:rFonts w:hint="default"/>
                      <w:color w:val="auto"/>
                    </w:rPr>
                    <w:t>）</w:t>
                  </w:r>
                </w:p>
              </w:tc>
              <w:tc>
                <w:tcPr>
                  <w:tcW w:w="1698" w:type="pct"/>
                  <w:gridSpan w:val="2"/>
                  <w:vAlign w:val="center"/>
                </w:tcPr>
                <w:p>
                  <w:pPr>
                    <w:pStyle w:val="33"/>
                    <w:bidi w:val="0"/>
                    <w:rPr>
                      <w:rFonts w:hint="default"/>
                      <w:color w:val="auto"/>
                      <w:lang w:val="en-US" w:eastAsia="zh-CN"/>
                    </w:rPr>
                  </w:pPr>
                  <w:r>
                    <w:rPr>
                      <w:rFonts w:hint="eastAsia"/>
                      <w:color w:val="auto"/>
                      <w:lang w:val="en-US" w:eastAsia="zh-CN"/>
                    </w:rPr>
                    <w:t>1262.7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596" w:type="pct"/>
                  <w:vMerge w:val="continue"/>
                  <w:vAlign w:val="center"/>
                </w:tcPr>
                <w:p>
                  <w:pPr>
                    <w:pStyle w:val="33"/>
                    <w:bidi w:val="0"/>
                    <w:rPr>
                      <w:rFonts w:hint="default"/>
                      <w:color w:val="auto"/>
                    </w:rPr>
                  </w:pPr>
                </w:p>
              </w:tc>
              <w:tc>
                <w:tcPr>
                  <w:tcW w:w="2705" w:type="pct"/>
                  <w:gridSpan w:val="2"/>
                  <w:vAlign w:val="center"/>
                </w:tcPr>
                <w:p>
                  <w:pPr>
                    <w:pStyle w:val="33"/>
                    <w:bidi w:val="0"/>
                    <w:rPr>
                      <w:rFonts w:hint="default"/>
                      <w:color w:val="auto"/>
                      <w:lang w:val="en-US" w:eastAsia="zh-CN"/>
                    </w:rPr>
                  </w:pPr>
                  <w:r>
                    <w:rPr>
                      <w:rFonts w:hint="eastAsia"/>
                      <w:color w:val="auto"/>
                      <w:lang w:val="en-US" w:eastAsia="zh-CN"/>
                    </w:rPr>
                    <w:t>油基钻井液</w:t>
                  </w:r>
                  <w:r>
                    <w:rPr>
                      <w:rFonts w:hint="default"/>
                      <w:color w:val="auto"/>
                    </w:rPr>
                    <w:t>（m</w:t>
                  </w:r>
                  <w:r>
                    <w:rPr>
                      <w:rFonts w:hint="default"/>
                      <w:color w:val="auto"/>
                      <w:vertAlign w:val="superscript"/>
                    </w:rPr>
                    <w:t>3</w:t>
                  </w:r>
                  <w:r>
                    <w:rPr>
                      <w:rFonts w:hint="default"/>
                      <w:color w:val="auto"/>
                    </w:rPr>
                    <w:t>）</w:t>
                  </w:r>
                </w:p>
              </w:tc>
              <w:tc>
                <w:tcPr>
                  <w:tcW w:w="1698" w:type="pct"/>
                  <w:gridSpan w:val="2"/>
                  <w:vAlign w:val="center"/>
                </w:tcPr>
                <w:p>
                  <w:pPr>
                    <w:pStyle w:val="33"/>
                    <w:bidi w:val="0"/>
                    <w:rPr>
                      <w:rFonts w:hint="default"/>
                      <w:color w:val="auto"/>
                      <w:lang w:val="en-US" w:eastAsia="zh-CN"/>
                    </w:rPr>
                  </w:pPr>
                  <w:r>
                    <w:rPr>
                      <w:rFonts w:hint="eastAsia"/>
                      <w:color w:val="auto"/>
                      <w:lang w:val="en-US" w:eastAsia="zh-CN"/>
                    </w:rPr>
                    <w:t>813.2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596" w:type="pct"/>
                  <w:vMerge w:val="continue"/>
                  <w:vAlign w:val="center"/>
                </w:tcPr>
                <w:p>
                  <w:pPr>
                    <w:pStyle w:val="33"/>
                    <w:bidi w:val="0"/>
                    <w:rPr>
                      <w:rFonts w:hint="default"/>
                      <w:color w:val="auto"/>
                    </w:rPr>
                  </w:pPr>
                </w:p>
              </w:tc>
              <w:tc>
                <w:tcPr>
                  <w:tcW w:w="2705" w:type="pct"/>
                  <w:gridSpan w:val="2"/>
                  <w:vAlign w:val="center"/>
                </w:tcPr>
                <w:p>
                  <w:pPr>
                    <w:pStyle w:val="33"/>
                    <w:bidi w:val="0"/>
                    <w:rPr>
                      <w:rFonts w:hint="default"/>
                      <w:color w:val="auto"/>
                    </w:rPr>
                  </w:pPr>
                  <w:r>
                    <w:rPr>
                      <w:rFonts w:hint="default"/>
                      <w:color w:val="auto"/>
                    </w:rPr>
                    <w:t>压裂液（m</w:t>
                  </w:r>
                  <w:r>
                    <w:rPr>
                      <w:rFonts w:hint="default"/>
                      <w:color w:val="auto"/>
                      <w:vertAlign w:val="superscript"/>
                    </w:rPr>
                    <w:t>3</w:t>
                  </w:r>
                  <w:r>
                    <w:rPr>
                      <w:rFonts w:hint="default"/>
                      <w:color w:val="auto"/>
                    </w:rPr>
                    <w:t>）</w:t>
                  </w:r>
                </w:p>
              </w:tc>
              <w:tc>
                <w:tcPr>
                  <w:tcW w:w="1698" w:type="pct"/>
                  <w:gridSpan w:val="2"/>
                  <w:vAlign w:val="center"/>
                </w:tcPr>
                <w:p>
                  <w:pPr>
                    <w:pStyle w:val="33"/>
                    <w:bidi w:val="0"/>
                    <w:rPr>
                      <w:rFonts w:hint="default"/>
                      <w:color w:val="auto"/>
                      <w:lang w:val="en-US" w:eastAsia="zh-CN"/>
                    </w:rPr>
                  </w:pPr>
                  <w:r>
                    <w:rPr>
                      <w:rFonts w:hint="eastAsia"/>
                      <w:color w:val="auto"/>
                      <w:lang w:val="en-US" w:eastAsia="zh-CN"/>
                    </w:rPr>
                    <w:t>500.00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596" w:type="pct"/>
                  <w:vMerge w:val="restart"/>
                  <w:vAlign w:val="center"/>
                </w:tcPr>
                <w:p>
                  <w:pPr>
                    <w:pStyle w:val="33"/>
                    <w:bidi w:val="0"/>
                    <w:rPr>
                      <w:rFonts w:hint="default"/>
                      <w:color w:val="auto"/>
                    </w:rPr>
                  </w:pPr>
                  <w:r>
                    <w:rPr>
                      <w:rFonts w:hint="default"/>
                      <w:color w:val="auto"/>
                    </w:rPr>
                    <w:t>能源</w:t>
                  </w:r>
                </w:p>
              </w:tc>
              <w:tc>
                <w:tcPr>
                  <w:tcW w:w="749" w:type="pct"/>
                  <w:vMerge w:val="restart"/>
                  <w:vAlign w:val="center"/>
                </w:tcPr>
                <w:p>
                  <w:pPr>
                    <w:pStyle w:val="33"/>
                    <w:bidi w:val="0"/>
                    <w:rPr>
                      <w:rFonts w:hint="default"/>
                      <w:color w:val="auto"/>
                    </w:rPr>
                  </w:pPr>
                  <w:r>
                    <w:rPr>
                      <w:rFonts w:hint="default"/>
                      <w:color w:val="auto"/>
                    </w:rPr>
                    <w:t>新鲜水</w:t>
                  </w:r>
                </w:p>
              </w:tc>
              <w:tc>
                <w:tcPr>
                  <w:tcW w:w="1955" w:type="pct"/>
                  <w:vAlign w:val="center"/>
                </w:tcPr>
                <w:p>
                  <w:pPr>
                    <w:pStyle w:val="33"/>
                    <w:bidi w:val="0"/>
                    <w:rPr>
                      <w:rFonts w:hint="default"/>
                      <w:color w:val="auto"/>
                    </w:rPr>
                  </w:pPr>
                  <w:r>
                    <w:rPr>
                      <w:rFonts w:hint="default"/>
                      <w:color w:val="auto"/>
                    </w:rPr>
                    <w:t>洗井用水（m</w:t>
                  </w:r>
                  <w:r>
                    <w:rPr>
                      <w:rFonts w:hint="default"/>
                      <w:color w:val="auto"/>
                      <w:vertAlign w:val="superscript"/>
                    </w:rPr>
                    <w:t>3</w:t>
                  </w:r>
                  <w:r>
                    <w:rPr>
                      <w:rFonts w:hint="default"/>
                      <w:color w:val="auto"/>
                    </w:rPr>
                    <w:t>）</w:t>
                  </w:r>
                </w:p>
              </w:tc>
              <w:tc>
                <w:tcPr>
                  <w:tcW w:w="1698" w:type="pct"/>
                  <w:gridSpan w:val="2"/>
                  <w:vAlign w:val="center"/>
                </w:tcPr>
                <w:p>
                  <w:pPr>
                    <w:pStyle w:val="33"/>
                    <w:bidi w:val="0"/>
                    <w:rPr>
                      <w:rFonts w:hint="default"/>
                      <w:color w:val="auto"/>
                      <w:lang w:val="en-US" w:eastAsia="zh-CN"/>
                    </w:rPr>
                  </w:pPr>
                  <w:r>
                    <w:rPr>
                      <w:rFonts w:hint="default"/>
                      <w:color w:val="auto"/>
                    </w:rPr>
                    <w:t>300</w:t>
                  </w:r>
                  <w:r>
                    <w:rPr>
                      <w:rFonts w:hint="eastAsia"/>
                      <w:color w:val="auto"/>
                      <w:lang w:val="en-US" w:eastAsia="zh-CN"/>
                    </w:rPr>
                    <w:t>.00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596" w:type="pct"/>
                  <w:vMerge w:val="continue"/>
                  <w:vAlign w:val="center"/>
                </w:tcPr>
                <w:p>
                  <w:pPr>
                    <w:pStyle w:val="33"/>
                    <w:bidi w:val="0"/>
                    <w:rPr>
                      <w:rFonts w:hint="default"/>
                      <w:color w:val="auto"/>
                    </w:rPr>
                  </w:pPr>
                </w:p>
              </w:tc>
              <w:tc>
                <w:tcPr>
                  <w:tcW w:w="749" w:type="pct"/>
                  <w:vMerge w:val="continue"/>
                  <w:vAlign w:val="center"/>
                </w:tcPr>
                <w:p>
                  <w:pPr>
                    <w:pStyle w:val="33"/>
                    <w:bidi w:val="0"/>
                    <w:rPr>
                      <w:rFonts w:hint="default"/>
                      <w:color w:val="auto"/>
                    </w:rPr>
                  </w:pPr>
                </w:p>
              </w:tc>
              <w:tc>
                <w:tcPr>
                  <w:tcW w:w="1955" w:type="pct"/>
                  <w:vAlign w:val="center"/>
                </w:tcPr>
                <w:p>
                  <w:pPr>
                    <w:pStyle w:val="33"/>
                    <w:bidi w:val="0"/>
                    <w:rPr>
                      <w:rFonts w:hint="default"/>
                      <w:color w:val="auto"/>
                    </w:rPr>
                  </w:pPr>
                  <w:r>
                    <w:rPr>
                      <w:rFonts w:hint="default"/>
                      <w:color w:val="auto"/>
                    </w:rPr>
                    <w:t>生活用水（m</w:t>
                  </w:r>
                  <w:r>
                    <w:rPr>
                      <w:rFonts w:hint="default"/>
                      <w:color w:val="auto"/>
                      <w:vertAlign w:val="superscript"/>
                    </w:rPr>
                    <w:t>3</w:t>
                  </w:r>
                  <w:r>
                    <w:rPr>
                      <w:rFonts w:hint="default"/>
                      <w:color w:val="auto"/>
                    </w:rPr>
                    <w:t>）</w:t>
                  </w:r>
                </w:p>
              </w:tc>
              <w:tc>
                <w:tcPr>
                  <w:tcW w:w="1698" w:type="pct"/>
                  <w:gridSpan w:val="2"/>
                  <w:vAlign w:val="center"/>
                </w:tcPr>
                <w:p>
                  <w:pPr>
                    <w:pStyle w:val="33"/>
                    <w:bidi w:val="0"/>
                    <w:rPr>
                      <w:rFonts w:hint="default"/>
                      <w:color w:val="auto"/>
                      <w:lang w:val="en-US" w:eastAsia="zh-CN"/>
                    </w:rPr>
                  </w:pPr>
                  <w:r>
                    <w:rPr>
                      <w:rFonts w:hint="eastAsia"/>
                      <w:color w:val="auto"/>
                      <w:lang w:val="en-US" w:eastAsia="zh-CN"/>
                    </w:rPr>
                    <w:t>241.5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596" w:type="pct"/>
                  <w:vMerge w:val="continue"/>
                  <w:vAlign w:val="center"/>
                </w:tcPr>
                <w:p>
                  <w:pPr>
                    <w:pStyle w:val="33"/>
                    <w:bidi w:val="0"/>
                    <w:rPr>
                      <w:rFonts w:hint="default"/>
                      <w:color w:val="auto"/>
                    </w:rPr>
                  </w:pPr>
                </w:p>
              </w:tc>
              <w:tc>
                <w:tcPr>
                  <w:tcW w:w="2705" w:type="pct"/>
                  <w:gridSpan w:val="2"/>
                  <w:vAlign w:val="center"/>
                </w:tcPr>
                <w:p>
                  <w:pPr>
                    <w:pStyle w:val="33"/>
                    <w:bidi w:val="0"/>
                    <w:rPr>
                      <w:rFonts w:hint="default"/>
                      <w:color w:val="auto"/>
                    </w:rPr>
                  </w:pPr>
                  <w:r>
                    <w:rPr>
                      <w:rFonts w:hint="default"/>
                      <w:color w:val="auto"/>
                    </w:rPr>
                    <w:t>柴油（t）</w:t>
                  </w:r>
                </w:p>
              </w:tc>
              <w:tc>
                <w:tcPr>
                  <w:tcW w:w="1698" w:type="pct"/>
                  <w:gridSpan w:val="2"/>
                  <w:vAlign w:val="center"/>
                </w:tcPr>
                <w:p>
                  <w:pPr>
                    <w:pStyle w:val="33"/>
                    <w:bidi w:val="0"/>
                    <w:rPr>
                      <w:rFonts w:hint="default"/>
                      <w:color w:val="auto"/>
                      <w:lang w:val="en-US" w:eastAsia="zh-CN"/>
                    </w:rPr>
                  </w:pPr>
                  <w:r>
                    <w:rPr>
                      <w:rFonts w:hint="eastAsia"/>
                      <w:color w:val="auto"/>
                      <w:lang w:val="en-US" w:eastAsia="zh-CN"/>
                    </w:rPr>
                    <w:t>738</w:t>
                  </w:r>
                </w:p>
              </w:tc>
            </w:tr>
            <w:bookmarkEnd w:id="15"/>
          </w:tbl>
          <w:p>
            <w:pPr>
              <w:pStyle w:val="36"/>
              <w:bidi w:val="0"/>
              <w:rPr>
                <w:rFonts w:hint="default"/>
                <w:color w:val="auto"/>
              </w:rPr>
            </w:pPr>
            <w:r>
              <w:rPr>
                <w:rFonts w:hint="default"/>
                <w:color w:val="auto"/>
                <w:lang w:eastAsia="zh-CN"/>
              </w:rPr>
              <w:t>（</w:t>
            </w:r>
            <w:r>
              <w:rPr>
                <w:rFonts w:hint="default"/>
                <w:color w:val="auto"/>
                <w:lang w:val="en-US" w:eastAsia="zh-CN"/>
              </w:rPr>
              <w:t>1</w:t>
            </w:r>
            <w:r>
              <w:rPr>
                <w:rFonts w:hint="default"/>
                <w:color w:val="auto"/>
                <w:lang w:eastAsia="zh-CN"/>
              </w:rPr>
              <w:t>）</w:t>
            </w:r>
            <w:r>
              <w:rPr>
                <w:rFonts w:hint="default"/>
                <w:color w:val="auto"/>
              </w:rPr>
              <w:t>钻井液体系</w:t>
            </w:r>
          </w:p>
          <w:p>
            <w:pPr>
              <w:pStyle w:val="36"/>
              <w:bidi w:val="0"/>
              <w:rPr>
                <w:rFonts w:hint="default"/>
                <w:color w:val="auto"/>
              </w:rPr>
            </w:pPr>
            <w:bookmarkStart w:id="16" w:name="_Hlk183359743"/>
            <w:bookmarkStart w:id="17" w:name="_Hlk176173839"/>
            <w:bookmarkStart w:id="18" w:name="_Hlk167901113"/>
            <w:bookmarkStart w:id="19" w:name="_Hlk186373794"/>
            <w:r>
              <w:rPr>
                <w:rFonts w:hint="default"/>
                <w:color w:val="auto"/>
              </w:rPr>
              <w:t>根据建设单位提供的设计资料可知</w:t>
            </w:r>
            <w:bookmarkEnd w:id="16"/>
            <w:r>
              <w:rPr>
                <w:rFonts w:hint="default"/>
                <w:color w:val="auto"/>
              </w:rPr>
              <w:t>，</w:t>
            </w:r>
            <w:r>
              <w:rPr>
                <w:rFonts w:hint="eastAsia"/>
                <w:color w:val="auto"/>
                <w:lang w:val="en-US" w:eastAsia="zh-CN"/>
              </w:rPr>
              <w:t>一开和二开</w:t>
            </w:r>
            <w:r>
              <w:rPr>
                <w:rFonts w:hint="default"/>
                <w:color w:val="auto"/>
              </w:rPr>
              <w:t>采用</w:t>
            </w:r>
            <w:r>
              <w:rPr>
                <w:rFonts w:hint="eastAsia"/>
                <w:color w:val="auto"/>
                <w:lang w:val="en-US" w:eastAsia="zh-CN"/>
              </w:rPr>
              <w:t>非磺化</w:t>
            </w:r>
            <w:r>
              <w:rPr>
                <w:rFonts w:hint="default"/>
                <w:color w:val="auto"/>
              </w:rPr>
              <w:t>水基钻井液</w:t>
            </w:r>
            <w:r>
              <w:rPr>
                <w:rFonts w:hint="default"/>
                <w:color w:val="auto"/>
                <w:lang w:eastAsia="zh-CN"/>
              </w:rPr>
              <w:t>，</w:t>
            </w:r>
            <w:r>
              <w:rPr>
                <w:rFonts w:hint="eastAsia"/>
                <w:color w:val="auto"/>
                <w:lang w:val="en-US" w:eastAsia="zh-CN"/>
              </w:rPr>
              <w:t>三开、四开和五开采用油基钻井液，其中水基钻井液</w:t>
            </w:r>
            <w:r>
              <w:rPr>
                <w:rFonts w:hint="default"/>
                <w:color w:val="auto"/>
              </w:rPr>
              <w:t>主要成分为坂土、</w:t>
            </w:r>
            <w:r>
              <w:rPr>
                <w:rFonts w:hint="eastAsia"/>
                <w:color w:val="auto"/>
                <w:lang w:val="en-US" w:eastAsia="zh-CN"/>
              </w:rPr>
              <w:t>钾钙基有机盐</w:t>
            </w:r>
            <w:r>
              <w:rPr>
                <w:rFonts w:hint="default"/>
                <w:color w:val="auto"/>
              </w:rPr>
              <w:t>、重晶石等，</w:t>
            </w:r>
            <w:r>
              <w:rPr>
                <w:rFonts w:hint="eastAsia"/>
                <w:color w:val="auto"/>
                <w:lang w:val="en-US" w:eastAsia="zh-CN"/>
              </w:rPr>
              <w:t>油基钻井液主要成分为</w:t>
            </w:r>
            <w:r>
              <w:rPr>
                <w:color w:val="auto"/>
              </w:rPr>
              <w:t>白油/柴油、氧化钙、氯化钙、重晶石等</w:t>
            </w:r>
            <w:r>
              <w:rPr>
                <w:rFonts w:hint="eastAsia"/>
                <w:color w:val="auto"/>
                <w:lang w:eastAsia="zh-CN"/>
              </w:rPr>
              <w:t>；</w:t>
            </w:r>
            <w:r>
              <w:rPr>
                <w:rFonts w:hint="eastAsia"/>
                <w:color w:val="auto"/>
                <w:lang w:val="en-US" w:eastAsia="zh-CN"/>
              </w:rPr>
              <w:t>本项目</w:t>
            </w:r>
            <w:r>
              <w:rPr>
                <w:rFonts w:hint="default"/>
                <w:color w:val="auto"/>
              </w:rPr>
              <w:t>钻井液体系及用量见</w:t>
            </w:r>
            <w:r>
              <w:rPr>
                <w:rFonts w:hint="eastAsia"/>
                <w:color w:val="auto"/>
                <w:lang w:val="en-US" w:eastAsia="zh-CN"/>
              </w:rPr>
              <w:t>下表</w:t>
            </w:r>
            <w:r>
              <w:rPr>
                <w:rFonts w:hint="default"/>
                <w:color w:val="auto"/>
              </w:rPr>
              <w:t>。</w:t>
            </w:r>
          </w:p>
          <w:bookmarkEnd w:id="17"/>
          <w:bookmarkEnd w:id="18"/>
          <w:p>
            <w:pPr>
              <w:pStyle w:val="52"/>
              <w:bidi w:val="0"/>
              <w:rPr>
                <w:rFonts w:hint="default"/>
                <w:color w:val="auto"/>
              </w:rPr>
            </w:pPr>
            <w:bookmarkStart w:id="20" w:name="_Ref66721972"/>
            <w:bookmarkStart w:id="21" w:name="_Hlk176173812"/>
            <w:r>
              <w:rPr>
                <w:rFonts w:hint="default"/>
                <w:color w:val="auto"/>
              </w:rPr>
              <w:t>表</w:t>
            </w:r>
            <w:bookmarkEnd w:id="20"/>
            <w:r>
              <w:rPr>
                <w:rFonts w:hint="default"/>
                <w:color w:val="auto"/>
                <w:lang w:val="en-US" w:eastAsia="zh-CN"/>
              </w:rPr>
              <w:t>2-8</w:t>
            </w:r>
            <w:r>
              <w:rPr>
                <w:rFonts w:hint="default"/>
                <w:color w:val="auto"/>
              </w:rPr>
              <w:t xml:space="preserve">  钻井液用量表</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84"/>
              <w:gridCol w:w="1236"/>
              <w:gridCol w:w="1046"/>
              <w:gridCol w:w="2783"/>
              <w:gridCol w:w="957"/>
              <w:gridCol w:w="11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434" w:type="pct"/>
                  <w:tcBorders>
                    <w:tl2br w:val="nil"/>
                    <w:tr2bl w:val="nil"/>
                  </w:tcBorders>
                  <w:vAlign w:val="center"/>
                </w:tcPr>
                <w:p>
                  <w:pPr>
                    <w:pStyle w:val="33"/>
                    <w:bidi w:val="0"/>
                    <w:rPr>
                      <w:rFonts w:hint="default"/>
                      <w:color w:val="auto"/>
                    </w:rPr>
                  </w:pPr>
                  <w:r>
                    <w:rPr>
                      <w:rFonts w:hint="default"/>
                      <w:color w:val="auto"/>
                    </w:rPr>
                    <w:t>井号</w:t>
                  </w:r>
                </w:p>
              </w:tc>
              <w:tc>
                <w:tcPr>
                  <w:tcW w:w="784" w:type="pct"/>
                  <w:tcBorders>
                    <w:tl2br w:val="nil"/>
                    <w:tr2bl w:val="nil"/>
                  </w:tcBorders>
                  <w:vAlign w:val="center"/>
                </w:tcPr>
                <w:p>
                  <w:pPr>
                    <w:pStyle w:val="33"/>
                    <w:bidi w:val="0"/>
                    <w:rPr>
                      <w:rFonts w:hint="default"/>
                      <w:color w:val="auto"/>
                    </w:rPr>
                  </w:pPr>
                  <w:r>
                    <w:rPr>
                      <w:rFonts w:hint="default"/>
                      <w:color w:val="auto"/>
                    </w:rPr>
                    <w:t>钻井液性质</w:t>
                  </w:r>
                </w:p>
              </w:tc>
              <w:tc>
                <w:tcPr>
                  <w:tcW w:w="664" w:type="pct"/>
                  <w:tcBorders>
                    <w:tl2br w:val="nil"/>
                    <w:tr2bl w:val="nil"/>
                  </w:tcBorders>
                  <w:vAlign w:val="center"/>
                </w:tcPr>
                <w:p>
                  <w:pPr>
                    <w:pStyle w:val="33"/>
                    <w:bidi w:val="0"/>
                    <w:rPr>
                      <w:rFonts w:hint="default"/>
                      <w:color w:val="auto"/>
                    </w:rPr>
                  </w:pPr>
                  <w:r>
                    <w:rPr>
                      <w:rFonts w:hint="default"/>
                      <w:color w:val="auto"/>
                    </w:rPr>
                    <w:t>开钻次序</w:t>
                  </w:r>
                </w:p>
              </w:tc>
              <w:tc>
                <w:tcPr>
                  <w:tcW w:w="1766" w:type="pct"/>
                  <w:tcBorders>
                    <w:tl2br w:val="nil"/>
                    <w:tr2bl w:val="nil"/>
                  </w:tcBorders>
                  <w:vAlign w:val="center"/>
                </w:tcPr>
                <w:p>
                  <w:pPr>
                    <w:pStyle w:val="33"/>
                    <w:bidi w:val="0"/>
                    <w:rPr>
                      <w:rFonts w:hint="default"/>
                      <w:color w:val="auto"/>
                    </w:rPr>
                  </w:pPr>
                  <w:r>
                    <w:rPr>
                      <w:rFonts w:hint="default"/>
                      <w:color w:val="auto"/>
                    </w:rPr>
                    <w:t>钻井液体系</w:t>
                  </w:r>
                </w:p>
              </w:tc>
              <w:tc>
                <w:tcPr>
                  <w:tcW w:w="1350" w:type="pct"/>
                  <w:gridSpan w:val="2"/>
                  <w:tcBorders>
                    <w:tl2br w:val="nil"/>
                    <w:tr2bl w:val="nil"/>
                  </w:tcBorders>
                  <w:vAlign w:val="center"/>
                </w:tcPr>
                <w:p>
                  <w:pPr>
                    <w:pStyle w:val="33"/>
                    <w:bidi w:val="0"/>
                    <w:rPr>
                      <w:rFonts w:hint="default"/>
                      <w:color w:val="auto"/>
                    </w:rPr>
                  </w:pPr>
                  <w:r>
                    <w:rPr>
                      <w:rFonts w:hint="default"/>
                      <w:color w:val="auto"/>
                    </w:rPr>
                    <w:t>钻井液用量（m</w:t>
                  </w:r>
                  <w:r>
                    <w:rPr>
                      <w:rFonts w:hint="default"/>
                      <w:color w:val="auto"/>
                      <w:vertAlign w:val="superscript"/>
                    </w:rPr>
                    <w:t>3</w:t>
                  </w:r>
                  <w:r>
                    <w:rPr>
                      <w:rFonts w:hint="default"/>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434" w:type="pct"/>
                  <w:vMerge w:val="restart"/>
                  <w:tcBorders>
                    <w:tl2br w:val="nil"/>
                    <w:tr2bl w:val="nil"/>
                  </w:tcBorders>
                  <w:vAlign w:val="center"/>
                </w:tcPr>
                <w:p>
                  <w:pPr>
                    <w:pStyle w:val="33"/>
                    <w:bidi w:val="0"/>
                    <w:rPr>
                      <w:rFonts w:hint="default"/>
                      <w:color w:val="auto"/>
                      <w:lang w:val="en-US"/>
                    </w:rPr>
                  </w:pPr>
                  <w:r>
                    <w:rPr>
                      <w:rFonts w:hint="eastAsia"/>
                      <w:color w:val="auto"/>
                      <w:lang w:val="en-US" w:eastAsia="zh-CN"/>
                    </w:rPr>
                    <w:t>天湾102</w:t>
                  </w:r>
                </w:p>
              </w:tc>
              <w:tc>
                <w:tcPr>
                  <w:tcW w:w="784" w:type="pct"/>
                  <w:vMerge w:val="restart"/>
                  <w:tcBorders>
                    <w:tl2br w:val="nil"/>
                    <w:tr2bl w:val="nil"/>
                  </w:tcBorders>
                  <w:vAlign w:val="center"/>
                </w:tcPr>
                <w:p>
                  <w:pPr>
                    <w:pStyle w:val="33"/>
                    <w:bidi w:val="0"/>
                    <w:rPr>
                      <w:rFonts w:hint="default"/>
                      <w:color w:val="auto"/>
                    </w:rPr>
                  </w:pPr>
                  <w:r>
                    <w:rPr>
                      <w:rFonts w:hint="default"/>
                      <w:color w:val="auto"/>
                    </w:rPr>
                    <w:t>水基</w:t>
                  </w:r>
                </w:p>
              </w:tc>
              <w:tc>
                <w:tcPr>
                  <w:tcW w:w="664" w:type="pct"/>
                  <w:tcBorders>
                    <w:tl2br w:val="nil"/>
                    <w:tr2bl w:val="nil"/>
                  </w:tcBorders>
                  <w:vAlign w:val="center"/>
                </w:tcPr>
                <w:p>
                  <w:pPr>
                    <w:pStyle w:val="33"/>
                    <w:bidi w:val="0"/>
                    <w:rPr>
                      <w:rFonts w:hint="default"/>
                      <w:color w:val="auto"/>
                    </w:rPr>
                  </w:pPr>
                  <w:r>
                    <w:rPr>
                      <w:rFonts w:hint="default"/>
                      <w:color w:val="auto"/>
                    </w:rPr>
                    <w:t>一开</w:t>
                  </w:r>
                </w:p>
              </w:tc>
              <w:tc>
                <w:tcPr>
                  <w:tcW w:w="1766" w:type="pct"/>
                  <w:tcBorders>
                    <w:tl2br w:val="nil"/>
                    <w:tr2bl w:val="nil"/>
                  </w:tcBorders>
                  <w:vAlign w:val="center"/>
                </w:tcPr>
                <w:p>
                  <w:pPr>
                    <w:pStyle w:val="33"/>
                    <w:bidi w:val="0"/>
                    <w:rPr>
                      <w:rFonts w:hint="default"/>
                      <w:color w:val="auto"/>
                    </w:rPr>
                  </w:pPr>
                  <w:r>
                    <w:rPr>
                      <w:rFonts w:hint="eastAsia"/>
                      <w:color w:val="auto"/>
                      <w:lang w:val="en-US" w:eastAsia="zh-CN"/>
                    </w:rPr>
                    <w:t>水基钻井液（</w:t>
                  </w:r>
                  <w:r>
                    <w:rPr>
                      <w:rFonts w:hint="default"/>
                      <w:color w:val="auto"/>
                    </w:rPr>
                    <w:t>坂土</w:t>
                  </w:r>
                  <w:r>
                    <w:rPr>
                      <w:rFonts w:hint="eastAsia"/>
                      <w:color w:val="auto"/>
                      <w:lang w:eastAsia="zh-CN"/>
                    </w:rPr>
                    <w:t>－</w:t>
                  </w:r>
                  <w:r>
                    <w:rPr>
                      <w:rFonts w:hint="default"/>
                      <w:color w:val="auto"/>
                    </w:rPr>
                    <w:t>聚合物</w:t>
                  </w:r>
                  <w:r>
                    <w:rPr>
                      <w:rFonts w:hint="eastAsia" w:ascii="Times New Roman" w:eastAsia="宋体"/>
                      <w:color w:val="auto"/>
                      <w:lang w:val="en-US" w:eastAsia="zh-CN"/>
                    </w:rPr>
                    <w:t>）</w:t>
                  </w:r>
                </w:p>
              </w:tc>
              <w:tc>
                <w:tcPr>
                  <w:tcW w:w="607" w:type="pct"/>
                  <w:tcBorders>
                    <w:tl2br w:val="nil"/>
                    <w:tr2bl w:val="nil"/>
                  </w:tcBorders>
                  <w:vAlign w:val="center"/>
                </w:tcPr>
                <w:p>
                  <w:pPr>
                    <w:pStyle w:val="33"/>
                    <w:bidi w:val="0"/>
                    <w:rPr>
                      <w:rFonts w:hint="default"/>
                      <w:color w:val="auto"/>
                      <w:lang w:val="en-US" w:eastAsia="zh-CN"/>
                    </w:rPr>
                  </w:pPr>
                  <w:r>
                    <w:rPr>
                      <w:rFonts w:hint="eastAsia"/>
                      <w:color w:val="auto"/>
                      <w:lang w:val="en-US" w:eastAsia="zh-CN"/>
                    </w:rPr>
                    <w:t>205.11</w:t>
                  </w:r>
                </w:p>
              </w:tc>
              <w:tc>
                <w:tcPr>
                  <w:tcW w:w="742" w:type="pct"/>
                  <w:vMerge w:val="restart"/>
                  <w:tcBorders>
                    <w:tl2br w:val="nil"/>
                    <w:tr2bl w:val="nil"/>
                  </w:tcBorders>
                  <w:vAlign w:val="center"/>
                </w:tcPr>
                <w:p>
                  <w:pPr>
                    <w:pStyle w:val="33"/>
                    <w:bidi w:val="0"/>
                    <w:rPr>
                      <w:rFonts w:hint="default"/>
                      <w:color w:val="auto"/>
                      <w:lang w:val="en-US" w:eastAsia="zh-CN"/>
                    </w:rPr>
                  </w:pPr>
                  <w:r>
                    <w:rPr>
                      <w:rFonts w:hint="eastAsia"/>
                      <w:color w:val="auto"/>
                      <w:lang w:val="en-US" w:eastAsia="zh-CN"/>
                    </w:rPr>
                    <w:t>1262.7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434" w:type="pct"/>
                  <w:vMerge w:val="continue"/>
                  <w:tcBorders>
                    <w:tl2br w:val="nil"/>
                    <w:tr2bl w:val="nil"/>
                  </w:tcBorders>
                  <w:vAlign w:val="center"/>
                </w:tcPr>
                <w:p>
                  <w:pPr>
                    <w:pStyle w:val="33"/>
                    <w:bidi w:val="0"/>
                    <w:rPr>
                      <w:rFonts w:hint="default"/>
                      <w:color w:val="auto"/>
                    </w:rPr>
                  </w:pPr>
                </w:p>
              </w:tc>
              <w:tc>
                <w:tcPr>
                  <w:tcW w:w="784" w:type="pct"/>
                  <w:vMerge w:val="continue"/>
                  <w:tcBorders>
                    <w:tl2br w:val="nil"/>
                    <w:tr2bl w:val="nil"/>
                  </w:tcBorders>
                  <w:vAlign w:val="center"/>
                </w:tcPr>
                <w:p>
                  <w:pPr>
                    <w:pStyle w:val="33"/>
                    <w:bidi w:val="0"/>
                    <w:rPr>
                      <w:rFonts w:hint="default"/>
                      <w:color w:val="auto"/>
                    </w:rPr>
                  </w:pPr>
                </w:p>
              </w:tc>
              <w:tc>
                <w:tcPr>
                  <w:tcW w:w="664" w:type="pct"/>
                  <w:tcBorders>
                    <w:tl2br w:val="nil"/>
                    <w:tr2bl w:val="nil"/>
                  </w:tcBorders>
                  <w:vAlign w:val="center"/>
                </w:tcPr>
                <w:p>
                  <w:pPr>
                    <w:pStyle w:val="33"/>
                    <w:bidi w:val="0"/>
                    <w:rPr>
                      <w:rFonts w:hint="default"/>
                      <w:color w:val="auto"/>
                    </w:rPr>
                  </w:pPr>
                  <w:r>
                    <w:rPr>
                      <w:rFonts w:hint="default"/>
                      <w:color w:val="auto"/>
                    </w:rPr>
                    <w:t>二开</w:t>
                  </w:r>
                </w:p>
              </w:tc>
              <w:tc>
                <w:tcPr>
                  <w:tcW w:w="1766" w:type="pct"/>
                  <w:tcBorders>
                    <w:tl2br w:val="nil"/>
                    <w:tr2bl w:val="nil"/>
                  </w:tcBorders>
                  <w:vAlign w:val="center"/>
                </w:tcPr>
                <w:p>
                  <w:pPr>
                    <w:pStyle w:val="33"/>
                    <w:bidi w:val="0"/>
                    <w:rPr>
                      <w:rFonts w:hint="default"/>
                      <w:color w:val="auto"/>
                    </w:rPr>
                  </w:pPr>
                  <w:r>
                    <w:rPr>
                      <w:rFonts w:hint="eastAsia"/>
                      <w:color w:val="auto"/>
                      <w:lang w:val="en-US" w:eastAsia="zh-CN"/>
                    </w:rPr>
                    <w:t>水基钻井液（</w:t>
                  </w:r>
                  <w:r>
                    <w:rPr>
                      <w:rFonts w:hint="default"/>
                      <w:color w:val="auto"/>
                      <w:lang w:val="en-US" w:eastAsia="zh-CN"/>
                    </w:rPr>
                    <w:t>钾钙基有机盐</w:t>
                  </w:r>
                  <w:r>
                    <w:rPr>
                      <w:rFonts w:hint="eastAsia" w:ascii="Times New Roman" w:eastAsia="宋体"/>
                      <w:color w:val="auto"/>
                      <w:lang w:val="en-US" w:eastAsia="zh-CN"/>
                    </w:rPr>
                    <w:t>）</w:t>
                  </w:r>
                </w:p>
              </w:tc>
              <w:tc>
                <w:tcPr>
                  <w:tcW w:w="607" w:type="pct"/>
                  <w:tcBorders>
                    <w:tl2br w:val="nil"/>
                    <w:tr2bl w:val="nil"/>
                  </w:tcBorders>
                  <w:vAlign w:val="center"/>
                </w:tcPr>
                <w:p>
                  <w:pPr>
                    <w:pStyle w:val="33"/>
                    <w:bidi w:val="0"/>
                    <w:rPr>
                      <w:rFonts w:hint="default"/>
                      <w:color w:val="auto"/>
                      <w:lang w:val="en-US" w:eastAsia="zh-CN"/>
                    </w:rPr>
                  </w:pPr>
                  <w:r>
                    <w:rPr>
                      <w:rFonts w:hint="eastAsia"/>
                      <w:color w:val="auto"/>
                      <w:lang w:val="en-US" w:eastAsia="zh-CN"/>
                    </w:rPr>
                    <w:t>1057.605</w:t>
                  </w:r>
                </w:p>
              </w:tc>
              <w:tc>
                <w:tcPr>
                  <w:tcW w:w="742" w:type="pct"/>
                  <w:vMerge w:val="continue"/>
                  <w:tcBorders>
                    <w:tl2br w:val="nil"/>
                    <w:tr2bl w:val="nil"/>
                  </w:tcBorders>
                  <w:vAlign w:val="center"/>
                </w:tcPr>
                <w:p>
                  <w:pPr>
                    <w:pStyle w:val="33"/>
                    <w:bidi w:val="0"/>
                    <w:rPr>
                      <w:rFonts w:hint="eastAsia"/>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434" w:type="pct"/>
                  <w:vMerge w:val="continue"/>
                  <w:tcBorders>
                    <w:tl2br w:val="nil"/>
                    <w:tr2bl w:val="nil"/>
                  </w:tcBorders>
                  <w:vAlign w:val="center"/>
                </w:tcPr>
                <w:p>
                  <w:pPr>
                    <w:pStyle w:val="33"/>
                    <w:bidi w:val="0"/>
                    <w:rPr>
                      <w:rFonts w:hint="default"/>
                      <w:color w:val="auto"/>
                    </w:rPr>
                  </w:pPr>
                </w:p>
              </w:tc>
              <w:tc>
                <w:tcPr>
                  <w:tcW w:w="784" w:type="pct"/>
                  <w:vMerge w:val="restart"/>
                  <w:tcBorders>
                    <w:tl2br w:val="nil"/>
                    <w:tr2bl w:val="nil"/>
                  </w:tcBorders>
                  <w:vAlign w:val="center"/>
                </w:tcPr>
                <w:p>
                  <w:pPr>
                    <w:pStyle w:val="33"/>
                    <w:bidi w:val="0"/>
                    <w:rPr>
                      <w:rFonts w:hint="default"/>
                      <w:color w:val="auto"/>
                      <w:lang w:val="en-US" w:eastAsia="zh-CN"/>
                    </w:rPr>
                  </w:pPr>
                  <w:r>
                    <w:rPr>
                      <w:rFonts w:hint="default"/>
                      <w:color w:val="auto"/>
                      <w:lang w:val="en-US" w:eastAsia="zh-CN"/>
                    </w:rPr>
                    <w:t>油基</w:t>
                  </w:r>
                </w:p>
              </w:tc>
              <w:tc>
                <w:tcPr>
                  <w:tcW w:w="664" w:type="pct"/>
                  <w:tcBorders>
                    <w:tl2br w:val="nil"/>
                    <w:tr2bl w:val="nil"/>
                  </w:tcBorders>
                  <w:vAlign w:val="center"/>
                </w:tcPr>
                <w:p>
                  <w:pPr>
                    <w:pStyle w:val="33"/>
                    <w:bidi w:val="0"/>
                    <w:rPr>
                      <w:rFonts w:hint="default"/>
                      <w:color w:val="auto"/>
                      <w:lang w:val="en-US" w:eastAsia="zh-CN"/>
                    </w:rPr>
                  </w:pPr>
                  <w:r>
                    <w:rPr>
                      <w:rFonts w:hint="default"/>
                      <w:color w:val="auto"/>
                      <w:lang w:val="en-US" w:eastAsia="zh-CN"/>
                    </w:rPr>
                    <w:t>三开</w:t>
                  </w:r>
                </w:p>
              </w:tc>
              <w:tc>
                <w:tcPr>
                  <w:tcW w:w="1766" w:type="pct"/>
                  <w:tcBorders>
                    <w:tl2br w:val="nil"/>
                    <w:tr2bl w:val="nil"/>
                  </w:tcBorders>
                  <w:vAlign w:val="center"/>
                </w:tcPr>
                <w:p>
                  <w:pPr>
                    <w:pStyle w:val="33"/>
                    <w:bidi w:val="0"/>
                    <w:rPr>
                      <w:rFonts w:hint="default"/>
                      <w:color w:val="auto"/>
                    </w:rPr>
                  </w:pPr>
                  <w:r>
                    <w:rPr>
                      <w:rFonts w:hint="default"/>
                      <w:color w:val="auto"/>
                    </w:rPr>
                    <w:t>油基钻井液体系</w:t>
                  </w:r>
                </w:p>
              </w:tc>
              <w:tc>
                <w:tcPr>
                  <w:tcW w:w="607" w:type="pct"/>
                  <w:tcBorders>
                    <w:tl2br w:val="nil"/>
                    <w:tr2bl w:val="nil"/>
                  </w:tcBorders>
                  <w:vAlign w:val="center"/>
                </w:tcPr>
                <w:p>
                  <w:pPr>
                    <w:pStyle w:val="33"/>
                    <w:bidi w:val="0"/>
                    <w:rPr>
                      <w:rFonts w:hint="default"/>
                      <w:color w:val="auto"/>
                      <w:lang w:val="en-US" w:eastAsia="zh-CN"/>
                    </w:rPr>
                  </w:pPr>
                  <w:r>
                    <w:rPr>
                      <w:rFonts w:hint="eastAsia"/>
                      <w:color w:val="auto"/>
                      <w:lang w:val="en-US" w:eastAsia="zh-CN"/>
                    </w:rPr>
                    <w:t>513.735</w:t>
                  </w:r>
                </w:p>
              </w:tc>
              <w:tc>
                <w:tcPr>
                  <w:tcW w:w="742" w:type="pct"/>
                  <w:vMerge w:val="restart"/>
                  <w:tcBorders>
                    <w:tl2br w:val="nil"/>
                    <w:tr2bl w:val="nil"/>
                  </w:tcBorders>
                  <w:vAlign w:val="center"/>
                </w:tcPr>
                <w:p>
                  <w:pPr>
                    <w:pStyle w:val="33"/>
                    <w:bidi w:val="0"/>
                    <w:rPr>
                      <w:rFonts w:hint="default"/>
                      <w:color w:val="auto"/>
                      <w:lang w:val="en-US" w:eastAsia="zh-CN"/>
                    </w:rPr>
                  </w:pPr>
                  <w:r>
                    <w:rPr>
                      <w:rFonts w:hint="eastAsia"/>
                      <w:color w:val="auto"/>
                      <w:lang w:val="en-US" w:eastAsia="zh-CN"/>
                    </w:rPr>
                    <w:t>813.2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434" w:type="pct"/>
                  <w:vMerge w:val="continue"/>
                  <w:tcBorders>
                    <w:tl2br w:val="nil"/>
                    <w:tr2bl w:val="nil"/>
                  </w:tcBorders>
                  <w:vAlign w:val="center"/>
                </w:tcPr>
                <w:p>
                  <w:pPr>
                    <w:pStyle w:val="33"/>
                    <w:bidi w:val="0"/>
                    <w:rPr>
                      <w:rFonts w:hint="default"/>
                      <w:color w:val="auto"/>
                    </w:rPr>
                  </w:pPr>
                </w:p>
              </w:tc>
              <w:tc>
                <w:tcPr>
                  <w:tcW w:w="784" w:type="pct"/>
                  <w:vMerge w:val="continue"/>
                  <w:tcBorders>
                    <w:tl2br w:val="nil"/>
                    <w:tr2bl w:val="nil"/>
                  </w:tcBorders>
                  <w:vAlign w:val="center"/>
                </w:tcPr>
                <w:p>
                  <w:pPr>
                    <w:pStyle w:val="33"/>
                    <w:bidi w:val="0"/>
                    <w:rPr>
                      <w:rFonts w:hint="default"/>
                      <w:color w:val="auto"/>
                    </w:rPr>
                  </w:pPr>
                </w:p>
              </w:tc>
              <w:tc>
                <w:tcPr>
                  <w:tcW w:w="664" w:type="pct"/>
                  <w:tcBorders>
                    <w:tl2br w:val="nil"/>
                    <w:tr2bl w:val="nil"/>
                  </w:tcBorders>
                  <w:vAlign w:val="center"/>
                </w:tcPr>
                <w:p>
                  <w:pPr>
                    <w:pStyle w:val="33"/>
                    <w:bidi w:val="0"/>
                    <w:rPr>
                      <w:rFonts w:hint="default"/>
                      <w:color w:val="auto"/>
                      <w:lang w:val="en-US" w:eastAsia="zh-CN"/>
                    </w:rPr>
                  </w:pPr>
                  <w:r>
                    <w:rPr>
                      <w:rFonts w:hint="default"/>
                      <w:color w:val="auto"/>
                      <w:lang w:val="en-US" w:eastAsia="zh-CN"/>
                    </w:rPr>
                    <w:t>四开</w:t>
                  </w:r>
                </w:p>
              </w:tc>
              <w:tc>
                <w:tcPr>
                  <w:tcW w:w="1766" w:type="pct"/>
                  <w:tcBorders>
                    <w:tl2br w:val="nil"/>
                    <w:tr2bl w:val="nil"/>
                  </w:tcBorders>
                  <w:vAlign w:val="center"/>
                </w:tcPr>
                <w:p>
                  <w:pPr>
                    <w:pStyle w:val="33"/>
                    <w:bidi w:val="0"/>
                    <w:rPr>
                      <w:rFonts w:hint="default"/>
                      <w:color w:val="auto"/>
                    </w:rPr>
                  </w:pPr>
                  <w:r>
                    <w:rPr>
                      <w:rFonts w:hint="default"/>
                      <w:color w:val="auto"/>
                    </w:rPr>
                    <w:t>油基钻井液体系</w:t>
                  </w:r>
                </w:p>
              </w:tc>
              <w:tc>
                <w:tcPr>
                  <w:tcW w:w="607" w:type="pct"/>
                  <w:tcBorders>
                    <w:tl2br w:val="nil"/>
                    <w:tr2bl w:val="nil"/>
                  </w:tcBorders>
                  <w:vAlign w:val="center"/>
                </w:tcPr>
                <w:p>
                  <w:pPr>
                    <w:pStyle w:val="33"/>
                    <w:bidi w:val="0"/>
                    <w:rPr>
                      <w:rFonts w:hint="default"/>
                      <w:color w:val="auto"/>
                      <w:lang w:val="en-US" w:eastAsia="zh-CN"/>
                    </w:rPr>
                  </w:pPr>
                  <w:r>
                    <w:rPr>
                      <w:rFonts w:hint="eastAsia"/>
                      <w:color w:val="auto"/>
                      <w:lang w:val="en-US" w:eastAsia="zh-CN"/>
                    </w:rPr>
                    <w:t>172.08</w:t>
                  </w:r>
                </w:p>
              </w:tc>
              <w:tc>
                <w:tcPr>
                  <w:tcW w:w="742" w:type="pct"/>
                  <w:vMerge w:val="continue"/>
                  <w:tcBorders>
                    <w:tl2br w:val="nil"/>
                    <w:tr2bl w:val="nil"/>
                  </w:tcBorders>
                  <w:vAlign w:val="center"/>
                </w:tcPr>
                <w:p>
                  <w:pPr>
                    <w:pStyle w:val="33"/>
                    <w:bidi w:val="0"/>
                    <w:rPr>
                      <w:rFonts w:hint="eastAsia"/>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434" w:type="pct"/>
                  <w:vMerge w:val="continue"/>
                  <w:tcBorders>
                    <w:tl2br w:val="nil"/>
                    <w:tr2bl w:val="nil"/>
                  </w:tcBorders>
                  <w:vAlign w:val="center"/>
                </w:tcPr>
                <w:p>
                  <w:pPr>
                    <w:pStyle w:val="33"/>
                    <w:bidi w:val="0"/>
                    <w:rPr>
                      <w:rFonts w:hint="default"/>
                      <w:color w:val="auto"/>
                    </w:rPr>
                  </w:pPr>
                </w:p>
              </w:tc>
              <w:tc>
                <w:tcPr>
                  <w:tcW w:w="784" w:type="pct"/>
                  <w:vMerge w:val="continue"/>
                  <w:tcBorders>
                    <w:tl2br w:val="nil"/>
                    <w:tr2bl w:val="nil"/>
                  </w:tcBorders>
                  <w:vAlign w:val="center"/>
                </w:tcPr>
                <w:p>
                  <w:pPr>
                    <w:pStyle w:val="33"/>
                    <w:bidi w:val="0"/>
                    <w:rPr>
                      <w:rFonts w:hint="default"/>
                      <w:color w:val="auto"/>
                    </w:rPr>
                  </w:pPr>
                </w:p>
              </w:tc>
              <w:tc>
                <w:tcPr>
                  <w:tcW w:w="664" w:type="pct"/>
                  <w:tcBorders>
                    <w:tl2br w:val="nil"/>
                    <w:tr2bl w:val="nil"/>
                  </w:tcBorders>
                  <w:vAlign w:val="center"/>
                </w:tcPr>
                <w:p>
                  <w:pPr>
                    <w:pStyle w:val="33"/>
                    <w:bidi w:val="0"/>
                    <w:rPr>
                      <w:rFonts w:hint="default"/>
                      <w:color w:val="auto"/>
                      <w:lang w:val="en-US" w:eastAsia="zh-CN"/>
                    </w:rPr>
                  </w:pPr>
                  <w:r>
                    <w:rPr>
                      <w:rFonts w:hint="default"/>
                      <w:color w:val="auto"/>
                      <w:lang w:val="en-US" w:eastAsia="zh-CN"/>
                    </w:rPr>
                    <w:t>五开</w:t>
                  </w:r>
                </w:p>
              </w:tc>
              <w:tc>
                <w:tcPr>
                  <w:tcW w:w="1766" w:type="pct"/>
                  <w:tcBorders>
                    <w:tl2br w:val="nil"/>
                    <w:tr2bl w:val="nil"/>
                  </w:tcBorders>
                  <w:vAlign w:val="center"/>
                </w:tcPr>
                <w:p>
                  <w:pPr>
                    <w:pStyle w:val="33"/>
                    <w:bidi w:val="0"/>
                    <w:rPr>
                      <w:rFonts w:hint="default"/>
                      <w:color w:val="auto"/>
                    </w:rPr>
                  </w:pPr>
                  <w:r>
                    <w:rPr>
                      <w:rFonts w:hint="default"/>
                      <w:color w:val="auto"/>
                    </w:rPr>
                    <w:t>油基钻井液体系</w:t>
                  </w:r>
                </w:p>
              </w:tc>
              <w:tc>
                <w:tcPr>
                  <w:tcW w:w="607" w:type="pct"/>
                  <w:tcBorders>
                    <w:tl2br w:val="nil"/>
                    <w:tr2bl w:val="nil"/>
                  </w:tcBorders>
                  <w:vAlign w:val="center"/>
                </w:tcPr>
                <w:p>
                  <w:pPr>
                    <w:pStyle w:val="33"/>
                    <w:bidi w:val="0"/>
                    <w:rPr>
                      <w:rFonts w:hint="default"/>
                      <w:color w:val="auto"/>
                      <w:lang w:val="en-US" w:eastAsia="zh-CN"/>
                    </w:rPr>
                  </w:pPr>
                  <w:r>
                    <w:rPr>
                      <w:rFonts w:hint="eastAsia"/>
                      <w:color w:val="auto"/>
                      <w:lang w:val="en-US" w:eastAsia="zh-CN"/>
                    </w:rPr>
                    <w:t>127.35</w:t>
                  </w:r>
                </w:p>
              </w:tc>
              <w:tc>
                <w:tcPr>
                  <w:tcW w:w="742" w:type="pct"/>
                  <w:vMerge w:val="continue"/>
                  <w:tcBorders>
                    <w:tl2br w:val="nil"/>
                    <w:tr2bl w:val="nil"/>
                  </w:tcBorders>
                  <w:vAlign w:val="center"/>
                </w:tcPr>
                <w:p>
                  <w:pPr>
                    <w:pStyle w:val="33"/>
                    <w:bidi w:val="0"/>
                    <w:rPr>
                      <w:rFonts w:hint="eastAsia"/>
                      <w:color w:val="auto"/>
                      <w:lang w:val="en-US" w:eastAsia="zh-CN"/>
                    </w:rPr>
                  </w:pPr>
                </w:p>
              </w:tc>
            </w:tr>
            <w:bookmarkEnd w:id="19"/>
            <w:bookmarkEnd w:id="21"/>
          </w:tbl>
          <w:p>
            <w:pPr>
              <w:pStyle w:val="31"/>
              <w:numPr>
                <w:ilvl w:val="1"/>
                <w:numId w:val="0"/>
              </w:numPr>
              <w:bidi w:val="0"/>
              <w:ind w:left="0" w:leftChars="0" w:firstLine="420" w:firstLineChars="0"/>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cs="Times New Roman"/>
                <w:color w:val="auto"/>
                <w:kern w:val="2"/>
                <w:sz w:val="24"/>
                <w:szCs w:val="24"/>
                <w:lang w:val="en-US" w:eastAsia="zh-CN" w:bidi="ar-SA"/>
              </w:rPr>
              <w:t>2</w:t>
            </w: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cs="Times New Roman"/>
                <w:color w:val="auto"/>
                <w:lang w:val="en-US" w:eastAsia="zh-CN"/>
              </w:rPr>
              <w:t>压裂液</w:t>
            </w:r>
          </w:p>
          <w:p>
            <w:pPr>
              <w:pStyle w:val="36"/>
              <w:bidi w:val="0"/>
              <w:rPr>
                <w:rFonts w:hint="default"/>
                <w:color w:val="auto"/>
                <w:lang w:val="en-US" w:eastAsia="zh-CN"/>
              </w:rPr>
            </w:pPr>
            <w:r>
              <w:rPr>
                <w:rFonts w:hint="default"/>
                <w:color w:val="auto"/>
                <w:lang w:val="en-US" w:eastAsia="zh-CN"/>
              </w:rPr>
              <w:t>本项目压裂液主要成分为羟丙基胍胶、氯化钾及过硫酸钠等，根据设计资料，压裂液使用量为</w:t>
            </w:r>
            <w:r>
              <w:rPr>
                <w:rFonts w:hint="eastAsia"/>
                <w:color w:val="auto"/>
                <w:lang w:val="en-US" w:eastAsia="zh-CN"/>
              </w:rPr>
              <w:t>5</w:t>
            </w:r>
            <w:r>
              <w:rPr>
                <w:rFonts w:hint="default"/>
                <w:color w:val="auto"/>
                <w:lang w:val="en-US" w:eastAsia="zh-CN"/>
              </w:rPr>
              <w:t>00m</w:t>
            </w:r>
            <w:r>
              <w:rPr>
                <w:rFonts w:hint="default"/>
                <w:color w:val="auto"/>
                <w:vertAlign w:val="superscript"/>
                <w:lang w:val="en-US" w:eastAsia="zh-CN"/>
              </w:rPr>
              <w:t>3</w:t>
            </w:r>
            <w:r>
              <w:rPr>
                <w:rFonts w:hint="default"/>
                <w:color w:val="auto"/>
                <w:lang w:val="en-US" w:eastAsia="zh-CN"/>
              </w:rPr>
              <w:t>。</w:t>
            </w:r>
          </w:p>
          <w:p>
            <w:pPr>
              <w:pStyle w:val="31"/>
              <w:numPr>
                <w:ilvl w:val="1"/>
                <w:numId w:val="0"/>
              </w:numPr>
              <w:bidi w:val="0"/>
              <w:ind w:left="0" w:leftChars="0" w:firstLine="420" w:firstLineChars="0"/>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cs="Times New Roman"/>
                <w:color w:val="auto"/>
                <w:kern w:val="2"/>
                <w:sz w:val="24"/>
                <w:szCs w:val="24"/>
                <w:lang w:val="en-US" w:eastAsia="zh-CN" w:bidi="ar-SA"/>
              </w:rPr>
              <w:t>3</w:t>
            </w: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cs="Times New Roman"/>
                <w:color w:val="auto"/>
                <w:lang w:val="en-US" w:eastAsia="zh-CN"/>
              </w:rPr>
              <w:t>柴油</w:t>
            </w:r>
          </w:p>
          <w:p>
            <w:pPr>
              <w:pStyle w:val="36"/>
              <w:bidi w:val="0"/>
              <w:rPr>
                <w:rFonts w:hint="default"/>
                <w:color w:val="auto"/>
                <w:lang w:val="en-US" w:eastAsia="zh-CN"/>
              </w:rPr>
            </w:pPr>
            <w:r>
              <w:rPr>
                <w:rFonts w:hint="default"/>
                <w:color w:val="auto"/>
              </w:rPr>
              <w:t>钻井</w:t>
            </w:r>
            <w:r>
              <w:rPr>
                <w:rFonts w:hint="default"/>
                <w:color w:val="auto"/>
                <w:lang w:eastAsia="zh-CN"/>
              </w:rPr>
              <w:t>、</w:t>
            </w:r>
            <w:r>
              <w:rPr>
                <w:rFonts w:hint="default"/>
                <w:color w:val="auto"/>
                <w:lang w:val="en-US" w:eastAsia="zh-CN"/>
              </w:rPr>
              <w:t>试油</w:t>
            </w:r>
            <w:r>
              <w:rPr>
                <w:rFonts w:hint="default"/>
                <w:color w:val="auto"/>
              </w:rPr>
              <w:t>过程需使用柴油机和柴油发电机，消耗一定量的柴油。</w:t>
            </w:r>
            <w:r>
              <w:rPr>
                <w:rFonts w:hint="default"/>
                <w:color w:val="auto"/>
                <w:lang w:val="en-US" w:eastAsia="zh-CN"/>
              </w:rPr>
              <w:t>柴油从</w:t>
            </w:r>
            <w:r>
              <w:rPr>
                <w:rFonts w:hint="eastAsia"/>
                <w:color w:val="auto"/>
                <w:lang w:val="en-US" w:eastAsia="zh-CN"/>
              </w:rPr>
              <w:t>玛纳斯县</w:t>
            </w:r>
            <w:r>
              <w:rPr>
                <w:rFonts w:hint="default"/>
                <w:color w:val="auto"/>
                <w:lang w:val="en-US" w:eastAsia="zh-CN"/>
              </w:rPr>
              <w:t>拉运至井场，使用储罐储存，日常储存量为</w:t>
            </w:r>
            <w:r>
              <w:rPr>
                <w:rFonts w:hint="eastAsia"/>
                <w:color w:val="auto"/>
                <w:lang w:val="en-US" w:eastAsia="zh-CN"/>
              </w:rPr>
              <w:t>2</w:t>
            </w:r>
            <w:r>
              <w:rPr>
                <w:rFonts w:hint="default"/>
                <w:color w:val="auto"/>
                <w:lang w:val="en-US" w:eastAsia="zh-CN"/>
              </w:rPr>
              <w:t>0t。钻井期柴油平均消耗</w:t>
            </w:r>
            <w:r>
              <w:rPr>
                <w:rFonts w:hint="eastAsia"/>
                <w:color w:val="auto"/>
                <w:lang w:val="en-US" w:eastAsia="zh-CN"/>
              </w:rPr>
              <w:t>量</w:t>
            </w:r>
            <w:r>
              <w:rPr>
                <w:rFonts w:hint="default"/>
                <w:color w:val="auto"/>
                <w:lang w:val="en-US" w:eastAsia="zh-CN"/>
              </w:rPr>
              <w:t>为2t/d，</w:t>
            </w:r>
            <w:r>
              <w:rPr>
                <w:rFonts w:hint="eastAsia"/>
                <w:color w:val="auto"/>
                <w:lang w:val="en-US" w:eastAsia="zh-CN"/>
              </w:rPr>
              <w:t>钻井期消耗总量690t；</w:t>
            </w:r>
            <w:r>
              <w:rPr>
                <w:rFonts w:hint="default"/>
                <w:color w:val="auto"/>
                <w:lang w:val="en-US" w:eastAsia="zh-CN"/>
              </w:rPr>
              <w:t>试油期柴油平均消耗0.2t/d，</w:t>
            </w:r>
            <w:r>
              <w:rPr>
                <w:rFonts w:hint="eastAsia"/>
                <w:color w:val="auto"/>
                <w:lang w:val="en-US" w:eastAsia="zh-CN"/>
              </w:rPr>
              <w:t>试油期消耗总量48t。</w:t>
            </w:r>
            <w:r>
              <w:rPr>
                <w:rFonts w:hint="default"/>
                <w:color w:val="auto"/>
                <w:lang w:val="en-US" w:eastAsia="zh-CN"/>
              </w:rPr>
              <w:t>项目钻井、试油过程柴油消耗总量为</w:t>
            </w:r>
            <w:r>
              <w:rPr>
                <w:rFonts w:hint="eastAsia"/>
                <w:color w:val="auto"/>
                <w:lang w:val="en-US" w:eastAsia="zh-CN"/>
              </w:rPr>
              <w:t>738</w:t>
            </w:r>
            <w:r>
              <w:rPr>
                <w:rFonts w:hint="default"/>
                <w:color w:val="auto"/>
                <w:lang w:val="en-US" w:eastAsia="zh-CN"/>
              </w:rPr>
              <w:t>t。</w:t>
            </w:r>
          </w:p>
          <w:p>
            <w:pPr>
              <w:pStyle w:val="31"/>
              <w:numPr>
                <w:ilvl w:val="1"/>
                <w:numId w:val="0"/>
              </w:numPr>
              <w:bidi w:val="0"/>
              <w:ind w:left="0" w:leftChars="0" w:firstLine="420" w:firstLineChars="0"/>
              <w:rPr>
                <w:rFonts w:hint="default" w:ascii="Times New Roman" w:hAnsi="Times New Roman" w:cs="Times New Roman"/>
                <w:color w:val="auto"/>
              </w:rPr>
            </w:pPr>
            <w:r>
              <w:rPr>
                <w:rFonts w:hint="default" w:ascii="Times New Roman" w:hAnsi="Times New Roman" w:eastAsia="宋体" w:cs="Times New Roman"/>
                <w:color w:val="auto"/>
                <w:kern w:val="2"/>
                <w:sz w:val="24"/>
                <w:szCs w:val="24"/>
                <w:lang w:val="en-US" w:eastAsia="en-US" w:bidi="ar-SA"/>
              </w:rPr>
              <w:t>（</w:t>
            </w:r>
            <w:r>
              <w:rPr>
                <w:rFonts w:hint="default" w:ascii="Times New Roman" w:hAnsi="Times New Roman"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en-US" w:bidi="ar-SA"/>
              </w:rPr>
              <w:t>）</w:t>
            </w:r>
            <w:r>
              <w:rPr>
                <w:rFonts w:hint="default" w:ascii="Times New Roman" w:hAnsi="Times New Roman" w:cs="Times New Roman"/>
                <w:color w:val="auto"/>
                <w:lang w:val="en-US" w:eastAsia="zh-CN"/>
              </w:rPr>
              <w:t>洗井用水</w:t>
            </w:r>
          </w:p>
          <w:p>
            <w:pPr>
              <w:pStyle w:val="36"/>
              <w:bidi w:val="0"/>
              <w:rPr>
                <w:rFonts w:hint="default"/>
                <w:color w:val="auto"/>
                <w:lang w:val="en-US"/>
              </w:rPr>
            </w:pPr>
            <w:r>
              <w:rPr>
                <w:rFonts w:hint="default"/>
                <w:color w:val="auto"/>
                <w:lang w:val="en-US" w:eastAsia="zh-CN"/>
              </w:rPr>
              <w:t>据设计资料，项目洗井用水</w:t>
            </w:r>
            <w:r>
              <w:rPr>
                <w:rFonts w:hint="eastAsia"/>
                <w:color w:val="auto"/>
                <w:lang w:val="en-US" w:eastAsia="zh-CN"/>
              </w:rPr>
              <w:t>采用</w:t>
            </w:r>
            <w:r>
              <w:rPr>
                <w:rFonts w:hint="default"/>
                <w:color w:val="auto"/>
                <w:lang w:val="en-US" w:eastAsia="zh-CN"/>
              </w:rPr>
              <w:t>新鲜水</w:t>
            </w:r>
            <w:r>
              <w:rPr>
                <w:rFonts w:hint="eastAsia"/>
                <w:color w:val="auto"/>
                <w:lang w:val="en-US" w:eastAsia="zh-CN"/>
              </w:rPr>
              <w:t>，用量</w:t>
            </w:r>
            <w:r>
              <w:rPr>
                <w:rFonts w:hint="default"/>
                <w:color w:val="auto"/>
                <w:lang w:val="en-US" w:eastAsia="zh-CN"/>
              </w:rPr>
              <w:t>300m</w:t>
            </w:r>
            <w:r>
              <w:rPr>
                <w:rFonts w:hint="default"/>
                <w:color w:val="auto"/>
                <w:vertAlign w:val="superscript"/>
                <w:lang w:val="en-US" w:eastAsia="zh-CN"/>
              </w:rPr>
              <w:t>3</w:t>
            </w:r>
            <w:r>
              <w:rPr>
                <w:rFonts w:hint="default"/>
                <w:color w:val="auto"/>
                <w:lang w:val="en-US" w:eastAsia="zh-CN"/>
              </w:rPr>
              <w:t>，</w:t>
            </w:r>
            <w:r>
              <w:rPr>
                <w:rFonts w:hint="eastAsia"/>
                <w:color w:val="auto"/>
                <w:lang w:val="en-US" w:eastAsia="zh-CN"/>
              </w:rPr>
              <w:t>就</w:t>
            </w:r>
            <w:r>
              <w:rPr>
                <w:rFonts w:hint="default"/>
                <w:color w:val="auto"/>
                <w:lang w:val="en-US" w:eastAsia="zh-CN"/>
              </w:rPr>
              <w:t>从</w:t>
            </w:r>
            <w:r>
              <w:rPr>
                <w:rFonts w:hint="eastAsia"/>
                <w:color w:val="auto"/>
                <w:lang w:val="en-US" w:eastAsia="zh-CN"/>
              </w:rPr>
              <w:t>玛纳斯县县城</w:t>
            </w:r>
            <w:r>
              <w:rPr>
                <w:rFonts w:hint="default"/>
                <w:color w:val="auto"/>
                <w:lang w:val="en-US" w:eastAsia="zh-CN"/>
              </w:rPr>
              <w:t>拉运至井场。</w:t>
            </w:r>
          </w:p>
          <w:p>
            <w:pPr>
              <w:pStyle w:val="31"/>
              <w:numPr>
                <w:ilvl w:val="1"/>
                <w:numId w:val="0"/>
              </w:numPr>
              <w:bidi w:val="0"/>
              <w:ind w:left="0" w:leftChars="0" w:firstLine="420" w:firstLineChars="0"/>
              <w:rPr>
                <w:rFonts w:hint="default" w:ascii="Times New Roman" w:hAnsi="Times New Roman" w:cs="Times New Roman"/>
                <w:color w:val="auto"/>
              </w:rPr>
            </w:pPr>
            <w:r>
              <w:rPr>
                <w:rFonts w:hint="default" w:ascii="Times New Roman" w:hAnsi="Times New Roman" w:eastAsia="宋体" w:cs="Times New Roman"/>
                <w:color w:val="auto"/>
                <w:kern w:val="2"/>
                <w:sz w:val="24"/>
                <w:szCs w:val="24"/>
                <w:lang w:val="en-US" w:eastAsia="en-US" w:bidi="ar-SA"/>
              </w:rPr>
              <w:t>（</w:t>
            </w:r>
            <w:r>
              <w:rPr>
                <w:rFonts w:hint="default" w:ascii="Times New Roman" w:hAnsi="Times New Roman" w:cs="Times New Roman"/>
                <w:color w:val="auto"/>
                <w:kern w:val="2"/>
                <w:sz w:val="24"/>
                <w:szCs w:val="24"/>
                <w:lang w:val="en-US" w:eastAsia="zh-CN" w:bidi="ar-SA"/>
              </w:rPr>
              <w:t>5</w:t>
            </w:r>
            <w:r>
              <w:rPr>
                <w:rFonts w:hint="default" w:ascii="Times New Roman" w:hAnsi="Times New Roman" w:eastAsia="宋体" w:cs="Times New Roman"/>
                <w:color w:val="auto"/>
                <w:kern w:val="2"/>
                <w:sz w:val="24"/>
                <w:szCs w:val="24"/>
                <w:lang w:val="en-US" w:eastAsia="en-US" w:bidi="ar-SA"/>
              </w:rPr>
              <w:t>）</w:t>
            </w:r>
            <w:r>
              <w:rPr>
                <w:rFonts w:hint="default" w:ascii="Times New Roman" w:hAnsi="Times New Roman" w:cs="Times New Roman"/>
                <w:color w:val="auto"/>
                <w:lang w:val="en-US" w:eastAsia="zh-CN"/>
              </w:rPr>
              <w:t>生活用水</w:t>
            </w:r>
          </w:p>
          <w:p>
            <w:pPr>
              <w:pStyle w:val="36"/>
              <w:bidi w:val="0"/>
              <w:rPr>
                <w:rFonts w:hint="default"/>
                <w:color w:val="auto"/>
                <w:lang w:val="en-US" w:eastAsia="zh-CN"/>
              </w:rPr>
            </w:pPr>
            <w:r>
              <w:rPr>
                <w:rFonts w:hint="default"/>
                <w:color w:val="auto"/>
                <w:lang w:val="en-US" w:eastAsia="zh-CN"/>
              </w:rPr>
              <w:t>本项目生活用水参照</w:t>
            </w:r>
            <w:r>
              <w:rPr>
                <w:rFonts w:hint="default"/>
                <w:color w:val="auto"/>
              </w:rPr>
              <w:t>《</w:t>
            </w:r>
            <w:r>
              <w:rPr>
                <w:rFonts w:hint="default"/>
                <w:color w:val="auto"/>
                <w:lang w:eastAsia="zh-CN"/>
              </w:rPr>
              <w:t>农村生活污水处理技术规范</w:t>
            </w:r>
            <w:r>
              <w:rPr>
                <w:rFonts w:hint="default"/>
                <w:color w:val="auto"/>
              </w:rPr>
              <w:t>》（DB65</w:t>
            </w:r>
            <w:r>
              <w:rPr>
                <w:rFonts w:hint="default"/>
                <w:color w:val="auto"/>
                <w:lang w:val="en-US" w:eastAsia="zh-CN"/>
              </w:rPr>
              <w:t>/</w:t>
            </w:r>
            <w:r>
              <w:rPr>
                <w:rFonts w:hint="default"/>
                <w:color w:val="auto"/>
              </w:rPr>
              <w:t>T4346—2021）</w:t>
            </w:r>
            <w:r>
              <w:rPr>
                <w:rFonts w:hint="default"/>
                <w:color w:val="auto"/>
                <w:lang w:val="en-US" w:eastAsia="zh-CN"/>
              </w:rPr>
              <w:t>附录A北疆</w:t>
            </w:r>
            <w:r>
              <w:rPr>
                <w:rFonts w:hint="eastAsia"/>
                <w:color w:val="auto"/>
                <w:lang w:val="en-US" w:eastAsia="zh-CN"/>
              </w:rPr>
              <w:t>天山北坡区</w:t>
            </w:r>
            <w:r>
              <w:rPr>
                <w:rFonts w:hint="default"/>
                <w:color w:val="auto"/>
                <w:lang w:val="en-US" w:eastAsia="zh-CN"/>
              </w:rPr>
              <w:t>用水定额</w:t>
            </w:r>
            <w:r>
              <w:rPr>
                <w:rFonts w:hint="default"/>
                <w:color w:val="auto"/>
              </w:rPr>
              <w:t>，</w:t>
            </w:r>
            <w:r>
              <w:rPr>
                <w:rFonts w:hint="default"/>
                <w:color w:val="auto"/>
                <w:lang w:val="en-US" w:eastAsia="zh-CN"/>
              </w:rPr>
              <w:t>生活用水系数为</w:t>
            </w:r>
            <w:r>
              <w:rPr>
                <w:rFonts w:hint="default"/>
                <w:color w:val="auto"/>
              </w:rPr>
              <w:t>20L/</w:t>
            </w:r>
            <w:r>
              <w:rPr>
                <w:rFonts w:hint="default"/>
                <w:color w:val="auto"/>
                <w:lang w:val="en-US" w:eastAsia="zh-CN"/>
              </w:rPr>
              <w:t>人▪</w:t>
            </w:r>
            <w:r>
              <w:rPr>
                <w:rFonts w:hint="default"/>
                <w:color w:val="auto"/>
              </w:rPr>
              <w:t>d，</w:t>
            </w:r>
            <w:r>
              <w:rPr>
                <w:rFonts w:hint="eastAsia"/>
                <w:color w:val="auto"/>
                <w:lang w:val="en-US" w:eastAsia="zh-CN"/>
              </w:rPr>
              <w:t>钻井期345</w:t>
            </w:r>
            <w:r>
              <w:rPr>
                <w:rFonts w:hint="default"/>
                <w:color w:val="auto"/>
                <w:lang w:val="en-US" w:eastAsia="zh-CN"/>
              </w:rPr>
              <w:t>d，施工人数为35人，则生活用水量约为</w:t>
            </w:r>
            <w:r>
              <w:rPr>
                <w:rFonts w:hint="eastAsia"/>
                <w:color w:val="auto"/>
                <w:lang w:val="en-US" w:eastAsia="zh-CN"/>
              </w:rPr>
              <w:t>241.5</w:t>
            </w:r>
            <w:r>
              <w:rPr>
                <w:rFonts w:hint="default"/>
                <w:color w:val="auto"/>
                <w:lang w:val="en-US" w:eastAsia="zh-CN"/>
              </w:rPr>
              <w:t>m</w:t>
            </w:r>
            <w:r>
              <w:rPr>
                <w:rFonts w:hint="default"/>
                <w:color w:val="auto"/>
                <w:vertAlign w:val="superscript"/>
                <w:lang w:val="en-US" w:eastAsia="zh-CN"/>
              </w:rPr>
              <w:t>3</w:t>
            </w:r>
            <w:r>
              <w:rPr>
                <w:rFonts w:hint="eastAsia"/>
                <w:color w:val="auto"/>
                <w:lang w:val="en-US" w:eastAsia="zh-CN"/>
              </w:rPr>
              <w:t>，平均0.7m</w:t>
            </w:r>
            <w:r>
              <w:rPr>
                <w:rFonts w:hint="eastAsia"/>
                <w:color w:val="auto"/>
                <w:vertAlign w:val="superscript"/>
                <w:lang w:val="en-US" w:eastAsia="zh-CN"/>
              </w:rPr>
              <w:t>3</w:t>
            </w:r>
            <w:r>
              <w:rPr>
                <w:rFonts w:hint="eastAsia"/>
                <w:color w:val="auto"/>
                <w:lang w:val="en-US" w:eastAsia="zh-CN"/>
              </w:rPr>
              <w:t>/d</w:t>
            </w:r>
            <w:r>
              <w:rPr>
                <w:rFonts w:hint="default"/>
                <w:color w:val="auto"/>
                <w:lang w:val="en-US" w:eastAsia="zh-CN"/>
              </w:rPr>
              <w:t>。</w:t>
            </w:r>
            <w:r>
              <w:rPr>
                <w:rFonts w:hint="eastAsia"/>
                <w:color w:val="auto"/>
                <w:lang w:val="en-US" w:eastAsia="zh-CN"/>
              </w:rPr>
              <w:t>新鲜水</w:t>
            </w:r>
            <w:r>
              <w:rPr>
                <w:rFonts w:hint="default"/>
                <w:color w:val="auto"/>
                <w:lang w:val="en-US" w:eastAsia="zh-CN"/>
              </w:rPr>
              <w:t>从</w:t>
            </w:r>
            <w:r>
              <w:rPr>
                <w:rFonts w:hint="eastAsia" w:ascii="Times New Roman" w:eastAsia="宋体"/>
                <w:color w:val="auto"/>
                <w:lang w:val="en-US" w:eastAsia="zh-CN"/>
              </w:rPr>
              <w:t>玛纳斯县县城</w:t>
            </w:r>
            <w:r>
              <w:rPr>
                <w:rFonts w:hint="eastAsia"/>
                <w:color w:val="auto"/>
                <w:lang w:val="en-US" w:eastAsia="zh-CN"/>
              </w:rPr>
              <w:t>拉运至生活营地</w:t>
            </w:r>
            <w:r>
              <w:rPr>
                <w:rFonts w:hint="default"/>
                <w:color w:val="auto"/>
                <w:lang w:val="en-US" w:eastAsia="zh-CN"/>
              </w:rPr>
              <w:t>。</w:t>
            </w:r>
          </w:p>
          <w:p>
            <w:pPr>
              <w:bidi w:val="0"/>
              <w:rPr>
                <w:rFonts w:hint="default"/>
                <w:color w:val="auto"/>
                <w:lang w:val="en-US" w:eastAsia="zh-CN"/>
              </w:rPr>
            </w:pPr>
          </w:p>
          <w:p>
            <w:pPr>
              <w:bidi w:val="0"/>
              <w:rPr>
                <w:rFonts w:hint="default"/>
                <w:color w:val="auto"/>
                <w:lang w:val="en-US" w:eastAsia="zh-CN"/>
              </w:rPr>
            </w:pPr>
          </w:p>
          <w:p>
            <w:pPr>
              <w:pStyle w:val="1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pStyle w:val="11"/>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426" w:type="dxa"/>
            <w:vAlign w:val="center"/>
          </w:tcPr>
          <w:p>
            <w:pPr>
              <w:pStyle w:val="53"/>
              <w:bidi w:val="0"/>
              <w:rPr>
                <w:rFonts w:hint="default"/>
                <w:color w:val="auto"/>
              </w:rPr>
            </w:pPr>
            <w:r>
              <w:rPr>
                <w:rFonts w:hint="default"/>
                <w:color w:val="auto"/>
              </w:rPr>
              <w:t>其他</w:t>
            </w:r>
          </w:p>
        </w:tc>
        <w:tc>
          <w:tcPr>
            <w:tcW w:w="8096" w:type="dxa"/>
            <w:vAlign w:val="center"/>
          </w:tcPr>
          <w:p>
            <w:pPr>
              <w:pStyle w:val="36"/>
              <w:bidi w:val="0"/>
              <w:rPr>
                <w:rFonts w:hint="default" w:ascii="Times New Roman" w:hAnsi="Times New Roman" w:cs="Times New Roman"/>
                <w:color w:val="auto"/>
              </w:rPr>
            </w:pPr>
            <w:r>
              <w:rPr>
                <w:rFonts w:hint="default"/>
                <w:color w:val="auto"/>
              </w:rPr>
              <w:t>无</w:t>
            </w:r>
          </w:p>
        </w:tc>
      </w:tr>
    </w:tbl>
    <w:p>
      <w:pPr>
        <w:pStyle w:val="36"/>
        <w:bidi w:val="0"/>
        <w:rPr>
          <w:rFonts w:hint="default"/>
          <w:color w:val="auto"/>
        </w:rPr>
        <w:sectPr>
          <w:pgSz w:w="11906" w:h="16838"/>
          <w:pgMar w:top="1417" w:right="1587" w:bottom="1417"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rPr>
          <w:rFonts w:hint="default" w:ascii="Times New Roman" w:hAnsi="Times New Roman" w:eastAsia="黑体" w:cs="Times New Roman"/>
          <w:b w:val="0"/>
          <w:bCs/>
          <w:color w:val="auto"/>
          <w:sz w:val="30"/>
          <w:szCs w:val="30"/>
        </w:rPr>
      </w:pPr>
      <w:bookmarkStart w:id="22" w:name="_Toc9959"/>
      <w:r>
        <w:rPr>
          <w:rFonts w:hint="default" w:ascii="Times New Roman" w:hAnsi="Times New Roman" w:eastAsia="黑体" w:cs="Times New Roman"/>
          <w:b w:val="0"/>
          <w:bCs/>
          <w:color w:val="auto"/>
          <w:sz w:val="30"/>
          <w:szCs w:val="30"/>
        </w:rPr>
        <w:t>三、生态环境现状、保护目标及评价标准</w:t>
      </w:r>
      <w:bookmarkEnd w:id="22"/>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8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Align w:val="center"/>
          </w:tcPr>
          <w:p>
            <w:pPr>
              <w:pStyle w:val="53"/>
              <w:bidi w:val="0"/>
              <w:rPr>
                <w:rFonts w:hint="default"/>
                <w:color w:val="auto"/>
              </w:rPr>
            </w:pPr>
            <w:r>
              <w:rPr>
                <w:rFonts w:hint="default"/>
                <w:color w:val="auto"/>
              </w:rPr>
              <w:t>生态环境现状</w:t>
            </w:r>
          </w:p>
        </w:tc>
        <w:tc>
          <w:tcPr>
            <w:tcW w:w="4746" w:type="pct"/>
          </w:tcPr>
          <w:p>
            <w:pPr>
              <w:pStyle w:val="32"/>
              <w:numPr>
                <w:ilvl w:val="0"/>
                <w:numId w:val="9"/>
              </w:numPr>
              <w:bidi w:val="0"/>
              <w:rPr>
                <w:rFonts w:hint="default"/>
                <w:color w:val="auto"/>
              </w:rPr>
            </w:pPr>
            <w:r>
              <w:rPr>
                <w:rFonts w:hint="default"/>
                <w:color w:val="auto"/>
              </w:rPr>
              <w:t>主体功能区规划</w:t>
            </w:r>
          </w:p>
          <w:p>
            <w:pPr>
              <w:pStyle w:val="36"/>
              <w:bidi w:val="0"/>
              <w:rPr>
                <w:rFonts w:hint="eastAsia"/>
                <w:color w:val="auto"/>
                <w:lang w:val="en-US" w:eastAsia="zh-CN"/>
              </w:rPr>
            </w:pPr>
            <w:r>
              <w:rPr>
                <w:rFonts w:hint="eastAsia"/>
                <w:color w:val="auto"/>
              </w:rPr>
              <w:t>本项目所在地昌吉回族自治州玛纳斯县位于《新疆维吾尔自治区主体功能区规划》中新疆国家级农产品主产区——天山北坡主产区。该区域位于全国“两横三纵”城市化战略格局中陆桥通道的西端，涉及23个县市，是我国面向中亚、西亚地区对外开放的陆路交通枢纽和重要门户，全国重要的能源基地，我国进口资源的国际大通道，西北地区重要的国际商贸中心、物流中心和对外合作加工基地，石油天然气化工、煤电、煤化工、机电工业及纺织工业基地。</w:t>
            </w:r>
            <w:r>
              <w:rPr>
                <w:rFonts w:hint="eastAsia"/>
                <w:color w:val="auto"/>
                <w:lang w:val="en-US" w:eastAsia="zh-CN"/>
              </w:rPr>
              <w:t>本项目不涉及新疆禁止开发区域，</w:t>
            </w:r>
            <w:r>
              <w:rPr>
                <w:rFonts w:hint="eastAsia"/>
                <w:color w:val="auto"/>
              </w:rPr>
              <w:t>项目</w:t>
            </w:r>
            <w:r>
              <w:rPr>
                <w:rFonts w:hint="eastAsia"/>
                <w:color w:val="auto"/>
                <w:lang w:val="en-US" w:eastAsia="zh-CN"/>
              </w:rPr>
              <w:t>行业类别</w:t>
            </w:r>
            <w:r>
              <w:rPr>
                <w:rFonts w:hint="eastAsia"/>
                <w:color w:val="auto"/>
              </w:rPr>
              <w:t>为陆地石油勘探类项目，为石油天然气开发前进行的勘探活动，均为临时工程，符合主体功能区的功能定位。</w:t>
            </w:r>
            <w:r>
              <w:rPr>
                <w:rFonts w:hint="eastAsia"/>
                <w:color w:val="auto"/>
                <w:lang w:val="en-US" w:eastAsia="zh-CN"/>
              </w:rPr>
              <w:t>本项目与新疆主体功能区划位置关系见附图8。</w:t>
            </w:r>
          </w:p>
          <w:p>
            <w:pPr>
              <w:pStyle w:val="32"/>
              <w:numPr>
                <w:ilvl w:val="0"/>
                <w:numId w:val="8"/>
              </w:numPr>
              <w:bidi w:val="0"/>
              <w:rPr>
                <w:rFonts w:hint="default"/>
                <w:color w:val="auto"/>
              </w:rPr>
            </w:pPr>
            <w:r>
              <w:rPr>
                <w:rFonts w:hint="default"/>
                <w:color w:val="auto"/>
              </w:rPr>
              <w:t>生态功能区划</w:t>
            </w:r>
          </w:p>
          <w:p>
            <w:pPr>
              <w:pStyle w:val="36"/>
              <w:bidi w:val="0"/>
              <w:rPr>
                <w:rFonts w:hint="default"/>
                <w:color w:val="auto"/>
              </w:rPr>
            </w:pPr>
            <w:r>
              <w:rPr>
                <w:rFonts w:hint="default"/>
                <w:color w:val="auto"/>
              </w:rPr>
              <w:t>根据《新疆生态功能区划简表》，</w:t>
            </w:r>
            <w:r>
              <w:rPr>
                <w:rFonts w:hint="default"/>
                <w:color w:val="auto"/>
                <w:lang w:val="en-US" w:eastAsia="zh-CN"/>
              </w:rPr>
              <w:t>本项目</w:t>
            </w:r>
            <w:r>
              <w:rPr>
                <w:rFonts w:hint="default"/>
                <w:color w:val="auto"/>
              </w:rPr>
              <w:t>所属生态功能区的主要生态服务功能、主要生态环境问题、主要保护目标和主要发展方向等内容详见表</w:t>
            </w:r>
            <w:r>
              <w:rPr>
                <w:rFonts w:hint="default"/>
                <w:color w:val="auto"/>
                <w:lang w:val="en-US" w:eastAsia="zh-CN"/>
              </w:rPr>
              <w:t>3-1</w:t>
            </w:r>
            <w:r>
              <w:rPr>
                <w:rFonts w:hint="default"/>
                <w:color w:val="auto"/>
              </w:rPr>
              <w:t>，</w:t>
            </w:r>
            <w:r>
              <w:rPr>
                <w:rFonts w:hint="default"/>
                <w:color w:val="auto"/>
                <w:lang w:val="en-US" w:eastAsia="zh-CN"/>
              </w:rPr>
              <w:t>本项目与生态功能</w:t>
            </w:r>
            <w:r>
              <w:rPr>
                <w:rFonts w:hint="default"/>
                <w:color w:val="auto"/>
              </w:rPr>
              <w:t>区划</w:t>
            </w:r>
            <w:r>
              <w:rPr>
                <w:rFonts w:hint="default"/>
                <w:color w:val="auto"/>
                <w:lang w:val="en-US" w:eastAsia="zh-CN"/>
              </w:rPr>
              <w:t>位置关系</w:t>
            </w:r>
            <w:r>
              <w:rPr>
                <w:rFonts w:hint="default"/>
                <w:color w:val="auto"/>
              </w:rPr>
              <w:t>见附图</w:t>
            </w:r>
            <w:r>
              <w:rPr>
                <w:rFonts w:hint="eastAsia"/>
                <w:color w:val="auto"/>
                <w:lang w:val="en-US" w:eastAsia="zh-CN"/>
              </w:rPr>
              <w:t>9</w:t>
            </w:r>
            <w:r>
              <w:rPr>
                <w:rFonts w:hint="default"/>
                <w:color w:val="auto"/>
              </w:rPr>
              <w:t>。</w:t>
            </w:r>
          </w:p>
          <w:p>
            <w:pPr>
              <w:pStyle w:val="52"/>
              <w:bidi w:val="0"/>
              <w:rPr>
                <w:rFonts w:hint="default"/>
                <w:color w:val="auto"/>
              </w:rPr>
            </w:pPr>
            <w:r>
              <w:rPr>
                <w:rFonts w:hint="default"/>
                <w:color w:val="auto"/>
              </w:rPr>
              <w:t>表</w:t>
            </w:r>
            <w:r>
              <w:rPr>
                <w:rFonts w:hint="default"/>
                <w:color w:val="auto"/>
                <w:lang w:val="en-US" w:eastAsia="zh-CN"/>
              </w:rPr>
              <w:t>3-1</w:t>
            </w:r>
            <w:r>
              <w:rPr>
                <w:rFonts w:hint="default"/>
                <w:color w:val="auto"/>
              </w:rPr>
              <w:t xml:space="preserve">  生态功能区划简表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
            <w:tblGrid>
              <w:gridCol w:w="932"/>
              <w:gridCol w:w="1472"/>
              <w:gridCol w:w="58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0" w:hRule="atLeast"/>
              </w:trPr>
              <w:tc>
                <w:tcPr>
                  <w:tcW w:w="563" w:type="pct"/>
                  <w:vMerge w:val="restart"/>
                  <w:vAlign w:val="center"/>
                </w:tcPr>
                <w:p>
                  <w:pPr>
                    <w:pStyle w:val="33"/>
                    <w:bidi w:val="0"/>
                    <w:rPr>
                      <w:rFonts w:hint="default"/>
                      <w:color w:val="auto"/>
                    </w:rPr>
                  </w:pPr>
                  <w:bookmarkStart w:id="23" w:name="_Hlk3923160"/>
                  <w:r>
                    <w:rPr>
                      <w:rFonts w:hint="default"/>
                      <w:color w:val="auto"/>
                    </w:rPr>
                    <w:t>生态功能分区单元</w:t>
                  </w:r>
                </w:p>
              </w:tc>
              <w:tc>
                <w:tcPr>
                  <w:tcW w:w="888" w:type="pct"/>
                  <w:vAlign w:val="center"/>
                </w:tcPr>
                <w:p>
                  <w:pPr>
                    <w:pStyle w:val="33"/>
                    <w:bidi w:val="0"/>
                    <w:rPr>
                      <w:rFonts w:hint="default"/>
                      <w:color w:val="auto"/>
                    </w:rPr>
                  </w:pPr>
                  <w:r>
                    <w:rPr>
                      <w:rFonts w:hint="default"/>
                      <w:color w:val="auto"/>
                    </w:rPr>
                    <w:t>生态区</w:t>
                  </w:r>
                </w:p>
              </w:tc>
              <w:tc>
                <w:tcPr>
                  <w:tcW w:w="3547" w:type="pct"/>
                  <w:vAlign w:val="center"/>
                </w:tcPr>
                <w:p>
                  <w:pPr>
                    <w:pStyle w:val="33"/>
                    <w:bidi w:val="0"/>
                    <w:rPr>
                      <w:rFonts w:hint="default"/>
                      <w:color w:val="auto"/>
                    </w:rPr>
                  </w:pPr>
                  <w:r>
                    <w:rPr>
                      <w:rFonts w:hint="eastAsia"/>
                      <w:color w:val="auto"/>
                    </w:rPr>
                    <w:t>Ⅲ 天山山地温性草原、森林生态区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0" w:hRule="atLeast"/>
              </w:trPr>
              <w:tc>
                <w:tcPr>
                  <w:tcW w:w="563" w:type="pct"/>
                  <w:vMerge w:val="continue"/>
                  <w:vAlign w:val="center"/>
                </w:tcPr>
                <w:p>
                  <w:pPr>
                    <w:pStyle w:val="33"/>
                    <w:bidi w:val="0"/>
                    <w:rPr>
                      <w:rFonts w:hint="default"/>
                      <w:color w:val="auto"/>
                    </w:rPr>
                  </w:pPr>
                </w:p>
              </w:tc>
              <w:tc>
                <w:tcPr>
                  <w:tcW w:w="888" w:type="pct"/>
                  <w:vAlign w:val="center"/>
                </w:tcPr>
                <w:p>
                  <w:pPr>
                    <w:pStyle w:val="33"/>
                    <w:bidi w:val="0"/>
                    <w:rPr>
                      <w:rFonts w:hint="default"/>
                      <w:color w:val="auto"/>
                    </w:rPr>
                  </w:pPr>
                  <w:r>
                    <w:rPr>
                      <w:rFonts w:hint="default"/>
                      <w:color w:val="auto"/>
                    </w:rPr>
                    <w:t>生态亚区</w:t>
                  </w:r>
                </w:p>
              </w:tc>
              <w:tc>
                <w:tcPr>
                  <w:tcW w:w="3547" w:type="pct"/>
                  <w:vAlign w:val="center"/>
                </w:tcPr>
                <w:p>
                  <w:pPr>
                    <w:pStyle w:val="33"/>
                    <w:bidi w:val="0"/>
                    <w:rPr>
                      <w:rFonts w:hint="default"/>
                      <w:color w:val="auto"/>
                    </w:rPr>
                  </w:pPr>
                  <w:r>
                    <w:rPr>
                      <w:rFonts w:hint="eastAsia"/>
                      <w:color w:val="auto"/>
                    </w:rPr>
                    <w:t>Ⅲ</w:t>
                  </w:r>
                  <w:r>
                    <w:rPr>
                      <w:rFonts w:hint="eastAsia"/>
                      <w:color w:val="auto"/>
                      <w:vertAlign w:val="subscript"/>
                    </w:rPr>
                    <w:t>1</w:t>
                  </w:r>
                  <w:r>
                    <w:rPr>
                      <w:rFonts w:hint="eastAsia"/>
                      <w:color w:val="auto"/>
                    </w:rPr>
                    <w:t xml:space="preserve"> 天山北坡针叶林、草甸水源涵养及草原牧业生态亚区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0" w:hRule="atLeast"/>
              </w:trPr>
              <w:tc>
                <w:tcPr>
                  <w:tcW w:w="563" w:type="pct"/>
                  <w:vMerge w:val="continue"/>
                  <w:vAlign w:val="center"/>
                </w:tcPr>
                <w:p>
                  <w:pPr>
                    <w:pStyle w:val="33"/>
                    <w:bidi w:val="0"/>
                    <w:rPr>
                      <w:rFonts w:hint="default"/>
                      <w:color w:val="auto"/>
                    </w:rPr>
                  </w:pPr>
                </w:p>
              </w:tc>
              <w:tc>
                <w:tcPr>
                  <w:tcW w:w="888" w:type="pct"/>
                  <w:vAlign w:val="center"/>
                </w:tcPr>
                <w:p>
                  <w:pPr>
                    <w:pStyle w:val="33"/>
                    <w:bidi w:val="0"/>
                    <w:rPr>
                      <w:rFonts w:hint="default"/>
                      <w:color w:val="auto"/>
                    </w:rPr>
                  </w:pPr>
                  <w:r>
                    <w:rPr>
                      <w:rFonts w:hint="default"/>
                      <w:color w:val="auto"/>
                    </w:rPr>
                    <w:t>生态功能区</w:t>
                  </w:r>
                </w:p>
              </w:tc>
              <w:tc>
                <w:tcPr>
                  <w:tcW w:w="3547" w:type="pct"/>
                  <w:vAlign w:val="center"/>
                </w:tcPr>
                <w:p>
                  <w:pPr>
                    <w:pStyle w:val="33"/>
                    <w:bidi w:val="0"/>
                    <w:rPr>
                      <w:rFonts w:hint="default"/>
                      <w:color w:val="auto"/>
                    </w:rPr>
                  </w:pPr>
                  <w:r>
                    <w:rPr>
                      <w:rFonts w:hint="eastAsia"/>
                      <w:color w:val="auto"/>
                      <w:lang w:eastAsia="zh-CN"/>
                    </w:rPr>
                    <w:t>31.</w:t>
                  </w:r>
                  <w:r>
                    <w:rPr>
                      <w:rFonts w:hint="eastAsia"/>
                      <w:color w:val="auto"/>
                    </w:rPr>
                    <w:t>天山北坡中段低山丘陵煤炭资源开发、迹地恢复生态功能区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0" w:hRule="atLeast"/>
              </w:trPr>
              <w:tc>
                <w:tcPr>
                  <w:tcW w:w="1452" w:type="pct"/>
                  <w:gridSpan w:val="2"/>
                  <w:vAlign w:val="center"/>
                </w:tcPr>
                <w:p>
                  <w:pPr>
                    <w:pStyle w:val="33"/>
                    <w:bidi w:val="0"/>
                    <w:rPr>
                      <w:rFonts w:hint="default"/>
                      <w:color w:val="auto"/>
                    </w:rPr>
                  </w:pPr>
                  <w:r>
                    <w:rPr>
                      <w:rFonts w:hint="default"/>
                      <w:color w:val="auto"/>
                    </w:rPr>
                    <w:t>主要生态服务功能</w:t>
                  </w:r>
                </w:p>
              </w:tc>
              <w:tc>
                <w:tcPr>
                  <w:tcW w:w="3547" w:type="pct"/>
                  <w:vAlign w:val="center"/>
                </w:tcPr>
                <w:p>
                  <w:pPr>
                    <w:pStyle w:val="33"/>
                    <w:bidi w:val="0"/>
                    <w:rPr>
                      <w:rFonts w:hint="default"/>
                      <w:color w:val="auto"/>
                      <w:lang w:eastAsia="zh-CN"/>
                    </w:rPr>
                  </w:pPr>
                  <w:r>
                    <w:rPr>
                      <w:rFonts w:hint="eastAsia"/>
                      <w:color w:val="auto"/>
                    </w:rPr>
                    <w:t>煤炭资源、土壤保持、冷季草场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0" w:hRule="atLeast"/>
              </w:trPr>
              <w:tc>
                <w:tcPr>
                  <w:tcW w:w="1452" w:type="pct"/>
                  <w:gridSpan w:val="2"/>
                  <w:vAlign w:val="center"/>
                </w:tcPr>
                <w:p>
                  <w:pPr>
                    <w:pStyle w:val="33"/>
                    <w:bidi w:val="0"/>
                    <w:rPr>
                      <w:rFonts w:hint="default"/>
                      <w:color w:val="auto"/>
                    </w:rPr>
                  </w:pPr>
                  <w:r>
                    <w:rPr>
                      <w:rFonts w:hint="default"/>
                      <w:color w:val="auto"/>
                    </w:rPr>
                    <w:t>主要生态环境问题</w:t>
                  </w:r>
                </w:p>
              </w:tc>
              <w:tc>
                <w:tcPr>
                  <w:tcW w:w="3547" w:type="pct"/>
                  <w:vAlign w:val="center"/>
                </w:tcPr>
                <w:p>
                  <w:pPr>
                    <w:pStyle w:val="33"/>
                    <w:bidi w:val="0"/>
                    <w:rPr>
                      <w:rFonts w:hint="default"/>
                      <w:color w:val="auto"/>
                      <w:lang w:eastAsia="zh-CN"/>
                    </w:rPr>
                  </w:pPr>
                  <w:r>
                    <w:rPr>
                      <w:rFonts w:hint="eastAsia"/>
                      <w:color w:val="auto"/>
                    </w:rPr>
                    <w:t>煤层自燃、地表塌陷、地貌破坏、环境污染、草场植被退化、水土流失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0" w:hRule="atLeast"/>
              </w:trPr>
              <w:tc>
                <w:tcPr>
                  <w:tcW w:w="1452" w:type="pct"/>
                  <w:gridSpan w:val="2"/>
                  <w:vAlign w:val="center"/>
                </w:tcPr>
                <w:p>
                  <w:pPr>
                    <w:pStyle w:val="33"/>
                    <w:bidi w:val="0"/>
                    <w:rPr>
                      <w:rFonts w:hint="default"/>
                      <w:color w:val="auto"/>
                    </w:rPr>
                  </w:pPr>
                  <w:r>
                    <w:rPr>
                      <w:rFonts w:hint="default"/>
                      <w:color w:val="auto"/>
                    </w:rPr>
                    <w:t>生态敏感因子敏感</w:t>
                  </w:r>
                </w:p>
                <w:p>
                  <w:pPr>
                    <w:pStyle w:val="33"/>
                    <w:bidi w:val="0"/>
                    <w:rPr>
                      <w:rFonts w:hint="default"/>
                      <w:color w:val="auto"/>
                    </w:rPr>
                  </w:pPr>
                  <w:r>
                    <w:rPr>
                      <w:rFonts w:hint="default"/>
                      <w:color w:val="auto"/>
                    </w:rPr>
                    <w:t>程度</w:t>
                  </w:r>
                </w:p>
              </w:tc>
              <w:tc>
                <w:tcPr>
                  <w:tcW w:w="3547" w:type="pct"/>
                  <w:vAlign w:val="center"/>
                </w:tcPr>
                <w:p>
                  <w:pPr>
                    <w:pStyle w:val="33"/>
                    <w:bidi w:val="0"/>
                    <w:rPr>
                      <w:rFonts w:hint="default"/>
                      <w:color w:val="auto"/>
                      <w:lang w:eastAsia="zh-CN"/>
                    </w:rPr>
                  </w:pPr>
                  <w:r>
                    <w:rPr>
                      <w:rFonts w:hint="eastAsia"/>
                      <w:color w:val="auto"/>
                    </w:rPr>
                    <w:t>生物多样性及其生境高度敏感，土壤侵蚀轻度敏感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0" w:hRule="atLeast"/>
              </w:trPr>
              <w:tc>
                <w:tcPr>
                  <w:tcW w:w="1452" w:type="pct"/>
                  <w:gridSpan w:val="2"/>
                  <w:vAlign w:val="center"/>
                </w:tcPr>
                <w:p>
                  <w:pPr>
                    <w:pStyle w:val="33"/>
                    <w:bidi w:val="0"/>
                    <w:rPr>
                      <w:rFonts w:hint="default"/>
                      <w:color w:val="auto"/>
                    </w:rPr>
                  </w:pPr>
                  <w:r>
                    <w:rPr>
                      <w:rFonts w:hint="default"/>
                      <w:color w:val="auto"/>
                    </w:rPr>
                    <w:t>保护目标</w:t>
                  </w:r>
                </w:p>
              </w:tc>
              <w:tc>
                <w:tcPr>
                  <w:tcW w:w="3547" w:type="pct"/>
                  <w:vAlign w:val="center"/>
                </w:tcPr>
                <w:p>
                  <w:pPr>
                    <w:pStyle w:val="33"/>
                    <w:bidi w:val="0"/>
                    <w:rPr>
                      <w:rFonts w:hint="default"/>
                      <w:color w:val="auto"/>
                      <w:lang w:eastAsia="zh-CN"/>
                    </w:rPr>
                  </w:pPr>
                  <w:r>
                    <w:rPr>
                      <w:rFonts w:hint="eastAsia"/>
                      <w:color w:val="auto"/>
                    </w:rPr>
                    <w:t>保护煤炭资源、保护地貌和地表植被，防止泥石流和滑坡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0" w:hRule="atLeast"/>
              </w:trPr>
              <w:tc>
                <w:tcPr>
                  <w:tcW w:w="1452" w:type="pct"/>
                  <w:gridSpan w:val="2"/>
                  <w:vAlign w:val="center"/>
                </w:tcPr>
                <w:p>
                  <w:pPr>
                    <w:pStyle w:val="33"/>
                    <w:bidi w:val="0"/>
                    <w:rPr>
                      <w:rFonts w:hint="default"/>
                      <w:color w:val="auto"/>
                    </w:rPr>
                  </w:pPr>
                  <w:r>
                    <w:rPr>
                      <w:rFonts w:hint="default"/>
                      <w:color w:val="auto"/>
                    </w:rPr>
                    <w:t>保护措施</w:t>
                  </w:r>
                </w:p>
              </w:tc>
              <w:tc>
                <w:tcPr>
                  <w:tcW w:w="3547" w:type="pct"/>
                  <w:vAlign w:val="center"/>
                </w:tcPr>
                <w:p>
                  <w:pPr>
                    <w:pStyle w:val="33"/>
                    <w:bidi w:val="0"/>
                    <w:rPr>
                      <w:rFonts w:hint="default"/>
                      <w:color w:val="auto"/>
                      <w:lang w:eastAsia="zh-CN"/>
                    </w:rPr>
                  </w:pPr>
                  <w:r>
                    <w:rPr>
                      <w:rFonts w:hint="eastAsia"/>
                      <w:color w:val="auto"/>
                    </w:rPr>
                    <w:t>加强煤炭开发管理、草场减牧、煤田灭火、退耕还草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0" w:hRule="atLeast"/>
              </w:trPr>
              <w:tc>
                <w:tcPr>
                  <w:tcW w:w="1452" w:type="pct"/>
                  <w:gridSpan w:val="2"/>
                  <w:vAlign w:val="center"/>
                </w:tcPr>
                <w:p>
                  <w:pPr>
                    <w:pStyle w:val="33"/>
                    <w:bidi w:val="0"/>
                    <w:rPr>
                      <w:rFonts w:hint="default"/>
                      <w:color w:val="auto"/>
                    </w:rPr>
                  </w:pPr>
                  <w:r>
                    <w:rPr>
                      <w:rFonts w:hint="default"/>
                      <w:color w:val="auto"/>
                    </w:rPr>
                    <w:t>适宜发展方向</w:t>
                  </w:r>
                </w:p>
              </w:tc>
              <w:tc>
                <w:tcPr>
                  <w:tcW w:w="3547" w:type="pct"/>
                  <w:vAlign w:val="center"/>
                </w:tcPr>
                <w:p>
                  <w:pPr>
                    <w:pStyle w:val="33"/>
                    <w:bidi w:val="0"/>
                    <w:rPr>
                      <w:rFonts w:hint="default"/>
                      <w:color w:val="auto"/>
                      <w:lang w:eastAsia="zh-CN"/>
                    </w:rPr>
                  </w:pPr>
                  <w:r>
                    <w:rPr>
                      <w:rFonts w:hint="eastAsia"/>
                      <w:color w:val="auto"/>
                    </w:rPr>
                    <w:t>规范开采矿产资源，发展生态无损的大型高效集约化煤炭工业基地，合理利用草地资源</w:t>
                  </w:r>
                </w:p>
              </w:tc>
            </w:tr>
            <w:bookmarkEnd w:id="23"/>
          </w:tbl>
          <w:p>
            <w:pPr>
              <w:numPr>
                <w:ilvl w:val="0"/>
                <w:numId w:val="0"/>
              </w:numPr>
              <w:tabs>
                <w:tab w:val="left" w:pos="0"/>
              </w:tabs>
              <w:bidi w:val="0"/>
              <w:ind w:left="471" w:leftChars="0"/>
              <w:rPr>
                <w:rFonts w:hint="default"/>
                <w:color w:val="auto"/>
              </w:rPr>
            </w:pPr>
            <w:bookmarkStart w:id="24" w:name="_Hlk136793903"/>
            <w:r>
              <w:rPr>
                <w:rFonts w:hint="eastAsia"/>
                <w:color w:val="auto"/>
                <w:lang w:val="en-US" w:eastAsia="zh-CN"/>
              </w:rPr>
              <w:t xml:space="preserve">   </w:t>
            </w:r>
          </w:p>
          <w:p>
            <w:pPr>
              <w:pStyle w:val="32"/>
              <w:numPr>
                <w:ilvl w:val="0"/>
                <w:numId w:val="5"/>
              </w:numPr>
              <w:bidi w:val="0"/>
              <w:ind w:left="0" w:leftChars="0" w:firstLine="471" w:firstLineChars="0"/>
              <w:rPr>
                <w:rFonts w:hint="default"/>
                <w:color w:val="auto"/>
              </w:rPr>
            </w:pPr>
            <w:r>
              <w:rPr>
                <w:rFonts w:hint="default"/>
                <w:color w:val="auto"/>
              </w:rPr>
              <w:t>生态现状</w:t>
            </w:r>
          </w:p>
          <w:bookmarkEnd w:id="24"/>
          <w:p>
            <w:pPr>
              <w:pStyle w:val="31"/>
              <w:numPr>
                <w:ilvl w:val="1"/>
                <w:numId w:val="5"/>
              </w:numPr>
              <w:bidi w:val="0"/>
              <w:rPr>
                <w:rFonts w:hint="default"/>
                <w:color w:val="auto"/>
              </w:rPr>
            </w:pPr>
            <w:r>
              <w:rPr>
                <w:rFonts w:hint="default"/>
                <w:color w:val="auto"/>
              </w:rPr>
              <w:t>植被现状</w:t>
            </w:r>
          </w:p>
          <w:p>
            <w:pPr>
              <w:pStyle w:val="36"/>
              <w:bidi w:val="0"/>
              <w:rPr>
                <w:rFonts w:hint="eastAsia"/>
                <w:color w:val="auto"/>
                <w:lang w:val="en-US" w:eastAsia="zh-CN"/>
              </w:rPr>
            </w:pPr>
            <w:r>
              <w:rPr>
                <w:rFonts w:hint="eastAsia"/>
                <w:color w:val="auto"/>
                <w:lang w:val="en-US" w:eastAsia="zh-CN"/>
              </w:rPr>
              <w:t>项目区植被类型属蒿类荒漠，分布植被主要为伊犁绢蒿、骆驼蓬等常见种，无《新疆国家重点保护野生植物名录</w:t>
            </w:r>
            <w:r>
              <w:rPr>
                <w:rFonts w:hint="eastAsia" w:ascii="Times New Roman" w:eastAsia="宋体"/>
                <w:color w:val="auto"/>
                <w:lang w:val="en-US" w:eastAsia="zh-CN"/>
              </w:rPr>
              <w:t>（2022年）</w:t>
            </w:r>
            <w:r>
              <w:rPr>
                <w:rFonts w:hint="eastAsia"/>
                <w:color w:val="auto"/>
                <w:lang w:val="en-US" w:eastAsia="zh-CN"/>
              </w:rPr>
              <w:t>》和《新疆维吾尔自治区重点保护野生植物名录</w:t>
            </w:r>
            <w:r>
              <w:rPr>
                <w:rFonts w:hint="eastAsia" w:ascii="Times New Roman" w:eastAsia="宋体"/>
                <w:color w:val="auto"/>
                <w:lang w:val="en-US" w:eastAsia="zh-CN"/>
              </w:rPr>
              <w:t>（2024年）</w:t>
            </w:r>
            <w:r>
              <w:rPr>
                <w:rFonts w:hint="eastAsia"/>
                <w:color w:val="auto"/>
                <w:lang w:val="en-US" w:eastAsia="zh-CN"/>
              </w:rPr>
              <w:t>》中的保护野生植物分布。</w:t>
            </w:r>
          </w:p>
          <w:p>
            <w:pPr>
              <w:pStyle w:val="36"/>
              <w:bidi w:val="0"/>
              <w:rPr>
                <w:rFonts w:hint="eastAsia"/>
                <w:color w:val="auto"/>
                <w:lang w:val="en-US" w:eastAsia="zh-CN"/>
              </w:rPr>
            </w:pPr>
            <w:r>
              <w:rPr>
                <w:rFonts w:hint="eastAsia"/>
                <w:color w:val="auto"/>
                <w:lang w:val="en-US" w:eastAsia="zh-CN"/>
              </w:rPr>
              <w:t>本次环评采用</w:t>
            </w:r>
            <w:r>
              <w:rPr>
                <w:rFonts w:hint="default"/>
                <w:color w:val="auto"/>
                <w:lang w:val="en-US" w:eastAsia="zh-CN"/>
              </w:rPr>
              <w:t>《环境影响评价技术导则 生态影响》（HJ 19—2022）</w:t>
            </w:r>
            <w:r>
              <w:rPr>
                <w:rFonts w:hint="eastAsia"/>
                <w:color w:val="auto"/>
                <w:lang w:val="en-US" w:eastAsia="zh-CN"/>
              </w:rPr>
              <w:t>中的归一化植被指数（NDVI）方法计算植被覆盖度，数据来源为2024年6月中旬的Landsat9卫星数据，先计算出项目用地范围内的NDVI范围为0.07404～0.1306，再根据置信度区间内的NDVI值计算植被覆盖度，计算公式如下：</w:t>
            </w:r>
          </w:p>
          <w:p>
            <w:pPr>
              <w:pStyle w:val="36"/>
              <w:bidi w:val="0"/>
              <w:rPr>
                <w:rFonts w:hint="default"/>
                <w:color w:val="auto"/>
                <w:lang w:val="en-US" w:eastAsia="zh-CN"/>
              </w:rPr>
            </w:pPr>
            <w:r>
              <w:rPr>
                <w:rFonts w:hint="eastAsia"/>
                <w:color w:val="auto"/>
                <w:lang w:val="en-US" w:eastAsia="zh-CN"/>
              </w:rPr>
              <w:drawing>
                <wp:anchor distT="0" distB="0" distL="114300" distR="114300" simplePos="0" relativeHeight="251662336" behindDoc="0" locked="0" layoutInCell="1" allowOverlap="1">
                  <wp:simplePos x="0" y="0"/>
                  <wp:positionH relativeFrom="page">
                    <wp:posOffset>1156335</wp:posOffset>
                  </wp:positionH>
                  <wp:positionV relativeFrom="paragraph">
                    <wp:posOffset>79375</wp:posOffset>
                  </wp:positionV>
                  <wp:extent cx="2697480" cy="239395"/>
                  <wp:effectExtent l="0" t="0" r="7620" b="8255"/>
                  <wp:wrapNone/>
                  <wp:docPr id="76" name="图片 76" descr="ac17eecd-16de-40f6-bad1-dddc5f65f5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ac17eecd-16de-40f6-bad1-dddc5f65f58e"/>
                          <pic:cNvPicPr>
                            <a:picLocks noChangeAspect="1"/>
                          </pic:cNvPicPr>
                        </pic:nvPicPr>
                        <pic:blipFill>
                          <a:blip r:embed="rId11"/>
                          <a:stretch>
                            <a:fillRect/>
                          </a:stretch>
                        </pic:blipFill>
                        <pic:spPr>
                          <a:xfrm>
                            <a:off x="0" y="0"/>
                            <a:ext cx="2697480" cy="239395"/>
                          </a:xfrm>
                          <a:prstGeom prst="rect">
                            <a:avLst/>
                          </a:prstGeom>
                        </pic:spPr>
                      </pic:pic>
                    </a:graphicData>
                  </a:graphic>
                </wp:anchor>
              </w:drawing>
            </w:r>
          </w:p>
          <w:p>
            <w:pPr>
              <w:pStyle w:val="36"/>
              <w:bidi w:val="0"/>
              <w:rPr>
                <w:rFonts w:hint="eastAsia"/>
                <w:color w:val="auto"/>
                <w:lang w:val="en-US" w:eastAsia="zh-CN"/>
              </w:rPr>
            </w:pPr>
            <w:r>
              <w:rPr>
                <w:rFonts w:hint="eastAsia"/>
                <w:color w:val="auto"/>
                <w:lang w:val="en-US" w:eastAsia="zh-CN"/>
              </w:rPr>
              <w:t>式中：</w:t>
            </w:r>
            <w:r>
              <w:rPr>
                <w:rFonts w:hint="eastAsia"/>
                <w:i/>
                <w:iCs/>
                <w:color w:val="auto"/>
                <w:lang w:val="en-US" w:eastAsia="zh-CN"/>
              </w:rPr>
              <w:t>FVC</w:t>
            </w:r>
            <w:r>
              <w:rPr>
                <w:rFonts w:hint="default"/>
                <w:color w:val="auto"/>
              </w:rPr>
              <w:t>——</w:t>
            </w:r>
            <w:r>
              <w:rPr>
                <w:rFonts w:hint="eastAsia"/>
                <w:color w:val="auto"/>
                <w:lang w:val="en-US" w:eastAsia="zh-CN"/>
              </w:rPr>
              <w:t>所计算像元的植被覆盖度；</w:t>
            </w:r>
          </w:p>
          <w:p>
            <w:pPr>
              <w:pStyle w:val="36"/>
              <w:bidi w:val="0"/>
              <w:rPr>
                <w:rFonts w:hint="default"/>
                <w:color w:val="auto"/>
                <w:lang w:val="en-US" w:eastAsia="zh-CN"/>
              </w:rPr>
            </w:pPr>
            <w:r>
              <w:rPr>
                <w:rFonts w:hint="eastAsia"/>
                <w:color w:val="auto"/>
                <w:lang w:val="en-US" w:eastAsia="zh-CN"/>
              </w:rPr>
              <w:t xml:space="preserve">      </w:t>
            </w:r>
            <w:r>
              <w:rPr>
                <w:rFonts w:hint="eastAsia"/>
                <w:i/>
                <w:iCs/>
                <w:color w:val="auto"/>
                <w:lang w:val="en-US" w:eastAsia="zh-CN"/>
              </w:rPr>
              <w:t>NDVI</w:t>
            </w:r>
            <w:r>
              <w:rPr>
                <w:rFonts w:hint="default"/>
                <w:color w:val="auto"/>
              </w:rPr>
              <w:t>——</w:t>
            </w:r>
            <w:r>
              <w:rPr>
                <w:rFonts w:hint="eastAsia"/>
                <w:color w:val="auto"/>
                <w:lang w:val="en-US" w:eastAsia="zh-CN"/>
              </w:rPr>
              <w:t>所计算像元的 NDVI值；</w:t>
            </w:r>
          </w:p>
          <w:p>
            <w:pPr>
              <w:pStyle w:val="36"/>
              <w:bidi w:val="0"/>
              <w:rPr>
                <w:rFonts w:hint="eastAsia"/>
                <w:color w:val="auto"/>
                <w:lang w:val="en-US" w:eastAsia="zh-CN"/>
              </w:rPr>
            </w:pPr>
            <w:r>
              <w:rPr>
                <w:rFonts w:hint="eastAsia"/>
                <w:color w:val="auto"/>
                <w:lang w:val="en-US" w:eastAsia="zh-CN"/>
              </w:rPr>
              <w:t xml:space="preserve">      </w:t>
            </w:r>
            <w:r>
              <w:rPr>
                <w:rFonts w:hint="eastAsia"/>
                <w:i/>
                <w:iCs/>
                <w:color w:val="auto"/>
                <w:lang w:val="en-US" w:eastAsia="zh-CN"/>
              </w:rPr>
              <w:t>NDVI</w:t>
            </w:r>
            <w:r>
              <w:rPr>
                <w:rFonts w:hint="eastAsia"/>
                <w:i/>
                <w:iCs/>
                <w:color w:val="auto"/>
                <w:vertAlign w:val="subscript"/>
                <w:lang w:val="en-US" w:eastAsia="zh-CN"/>
              </w:rPr>
              <w:t>v</w:t>
            </w:r>
            <w:r>
              <w:rPr>
                <w:rFonts w:hint="default"/>
                <w:color w:val="auto"/>
              </w:rPr>
              <w:t>——</w:t>
            </w:r>
            <w:r>
              <w:rPr>
                <w:rFonts w:hint="eastAsia"/>
                <w:color w:val="auto"/>
                <w:lang w:val="en-US" w:eastAsia="zh-CN"/>
              </w:rPr>
              <w:t>纯植物像元的 NDVI 值；</w:t>
            </w:r>
          </w:p>
          <w:p>
            <w:pPr>
              <w:pStyle w:val="36"/>
              <w:bidi w:val="0"/>
              <w:rPr>
                <w:rFonts w:hint="eastAsia"/>
                <w:color w:val="auto"/>
                <w:lang w:val="en-US" w:eastAsia="zh-CN"/>
              </w:rPr>
            </w:pPr>
            <w:r>
              <w:rPr>
                <w:rFonts w:hint="eastAsia"/>
                <w:color w:val="auto"/>
                <w:lang w:val="en-US" w:eastAsia="zh-CN"/>
              </w:rPr>
              <w:t xml:space="preserve">      </w:t>
            </w:r>
            <w:r>
              <w:rPr>
                <w:rFonts w:hint="eastAsia"/>
                <w:i/>
                <w:iCs/>
                <w:color w:val="auto"/>
                <w:lang w:val="en-US" w:eastAsia="zh-CN"/>
              </w:rPr>
              <w:t>NDVI</w:t>
            </w:r>
            <w:r>
              <w:rPr>
                <w:rFonts w:hint="eastAsia"/>
                <w:i/>
                <w:iCs/>
                <w:color w:val="auto"/>
                <w:vertAlign w:val="subscript"/>
                <w:lang w:val="en-US" w:eastAsia="zh-CN"/>
              </w:rPr>
              <w:t>S</w:t>
            </w:r>
            <w:r>
              <w:rPr>
                <w:rFonts w:hint="default"/>
                <w:color w:val="auto"/>
              </w:rPr>
              <w:t>——</w:t>
            </w:r>
            <w:r>
              <w:rPr>
                <w:rFonts w:hint="eastAsia"/>
                <w:color w:val="auto"/>
                <w:lang w:val="en-US" w:eastAsia="zh-CN"/>
              </w:rPr>
              <w:t>完全无植被覆盖像元的 NDVI值。</w:t>
            </w:r>
          </w:p>
          <w:p>
            <w:pPr>
              <w:pStyle w:val="36"/>
              <w:bidi w:val="0"/>
              <w:rPr>
                <w:rFonts w:hint="default"/>
                <w:color w:val="auto"/>
                <w:lang w:val="en-US" w:eastAsia="zh-CN"/>
              </w:rPr>
            </w:pPr>
            <w:r>
              <w:rPr>
                <w:rFonts w:hint="eastAsia"/>
                <w:color w:val="auto"/>
                <w:lang w:val="en-US" w:eastAsia="zh-CN"/>
              </w:rPr>
              <w:t>计算结果为：植被覆盖度8.63</w:t>
            </w:r>
            <w:r>
              <w:rPr>
                <w:rFonts w:hint="eastAsia" w:ascii="Times New Roman" w:eastAsia="宋体"/>
                <w:color w:val="auto"/>
                <w:lang w:val="en-US" w:eastAsia="zh-CN"/>
              </w:rPr>
              <w:t>%</w:t>
            </w:r>
            <w:r>
              <w:rPr>
                <w:rFonts w:hint="eastAsia"/>
                <w:color w:val="auto"/>
                <w:lang w:val="en-US" w:eastAsia="zh-CN"/>
              </w:rPr>
              <w:t>～24.2%，平均15%。</w:t>
            </w:r>
          </w:p>
          <w:p>
            <w:pPr>
              <w:pStyle w:val="36"/>
              <w:bidi w:val="0"/>
              <w:rPr>
                <w:rFonts w:hint="default"/>
                <w:color w:val="auto"/>
              </w:rPr>
            </w:pPr>
            <w:r>
              <w:rPr>
                <w:rFonts w:hint="default"/>
                <w:color w:val="auto"/>
              </w:rPr>
              <w:t>（2）野生动物现状</w:t>
            </w:r>
          </w:p>
          <w:p>
            <w:pPr>
              <w:pStyle w:val="36"/>
              <w:bidi w:val="0"/>
              <w:rPr>
                <w:rFonts w:hint="default"/>
                <w:color w:val="auto"/>
                <w:lang w:val="en-US" w:eastAsia="zh-CN"/>
              </w:rPr>
            </w:pPr>
            <w:r>
              <w:rPr>
                <w:rFonts w:hint="eastAsia"/>
                <w:color w:val="auto"/>
                <w:lang w:val="en-US" w:eastAsia="zh-CN"/>
              </w:rPr>
              <w:t>本项目所在区域植被类型为荒漠草原，受放牧等人类活动影响，无大型野生动物分布，主要分布的动物有野兔、田鼠等哺乳类、蜥蜴等爬行，</w:t>
            </w:r>
            <w:r>
              <w:rPr>
                <w:rFonts w:hint="eastAsia" w:ascii="Times New Roman" w:eastAsia="宋体"/>
                <w:color w:val="auto"/>
                <w:lang w:val="en-US" w:eastAsia="zh-CN"/>
              </w:rPr>
              <w:t>常见</w:t>
            </w:r>
            <w:r>
              <w:rPr>
                <w:rFonts w:hint="eastAsia"/>
                <w:color w:val="auto"/>
                <w:lang w:val="en-US" w:eastAsia="zh-CN"/>
              </w:rPr>
              <w:t>鸟类为乌鸦和麻雀等，</w:t>
            </w:r>
            <w:r>
              <w:rPr>
                <w:rFonts w:hint="default"/>
                <w:color w:val="auto"/>
                <w:lang w:val="en-US" w:eastAsia="zh-CN"/>
              </w:rPr>
              <w:t>未见《国家重点保护野生动物名录</w:t>
            </w:r>
            <w:r>
              <w:rPr>
                <w:rFonts w:hint="eastAsia" w:ascii="Times New Roman" w:eastAsia="宋体"/>
                <w:color w:val="auto"/>
                <w:lang w:val="en-US" w:eastAsia="zh-CN"/>
              </w:rPr>
              <w:t>（2021年）</w:t>
            </w:r>
            <w:r>
              <w:rPr>
                <w:rFonts w:hint="default"/>
                <w:color w:val="auto"/>
                <w:lang w:val="en-US" w:eastAsia="zh-CN"/>
              </w:rPr>
              <w:t>》及《新疆维吾尔自治区重点保护野生动物名录（20</w:t>
            </w:r>
            <w:r>
              <w:rPr>
                <w:rFonts w:hint="eastAsia"/>
                <w:color w:val="auto"/>
                <w:lang w:val="en-US" w:eastAsia="zh-CN"/>
              </w:rPr>
              <w:t>24</w:t>
            </w:r>
            <w:r>
              <w:rPr>
                <w:rFonts w:hint="default"/>
                <w:color w:val="auto"/>
                <w:lang w:val="en-US" w:eastAsia="zh-CN"/>
              </w:rPr>
              <w:t>年）》中保护野生动物</w:t>
            </w:r>
            <w:r>
              <w:rPr>
                <w:rFonts w:hint="eastAsia"/>
                <w:color w:val="auto"/>
                <w:lang w:val="en-US" w:eastAsia="zh-CN"/>
              </w:rPr>
              <w:t>分布</w:t>
            </w:r>
            <w:r>
              <w:rPr>
                <w:rFonts w:hint="default"/>
                <w:color w:val="auto"/>
                <w:lang w:val="en-US" w:eastAsia="zh-CN"/>
              </w:rPr>
              <w:t>。</w:t>
            </w:r>
          </w:p>
          <w:p>
            <w:pPr>
              <w:pStyle w:val="36"/>
              <w:bidi w:val="0"/>
              <w:rPr>
                <w:rFonts w:hint="default"/>
                <w:color w:val="auto"/>
              </w:rPr>
            </w:pPr>
            <w:bookmarkStart w:id="25" w:name="_Hlk136793978"/>
            <w:r>
              <w:rPr>
                <w:rFonts w:hint="default"/>
                <w:color w:val="auto"/>
              </w:rPr>
              <w:t>（3）土地利用类型</w:t>
            </w:r>
          </w:p>
          <w:p>
            <w:pPr>
              <w:pStyle w:val="36"/>
              <w:bidi w:val="0"/>
              <w:rPr>
                <w:rFonts w:hint="default"/>
                <w:color w:val="auto"/>
              </w:rPr>
            </w:pPr>
            <w:bookmarkStart w:id="26" w:name="_Hlk168224186"/>
            <w:r>
              <w:rPr>
                <w:rFonts w:hint="eastAsia"/>
                <w:color w:val="auto"/>
                <w:lang w:val="en-US" w:eastAsia="zh-CN"/>
              </w:rPr>
              <w:t>根据勘界资料，天湾102井</w:t>
            </w:r>
            <w:r>
              <w:rPr>
                <w:rFonts w:hint="default"/>
                <w:color w:val="auto"/>
              </w:rPr>
              <w:t>临时占地范围土地利用类型</w:t>
            </w:r>
            <w:r>
              <w:rPr>
                <w:rFonts w:hint="eastAsia"/>
                <w:color w:val="auto"/>
                <w:lang w:val="en-US" w:eastAsia="zh-CN"/>
              </w:rPr>
              <w:t>主要</w:t>
            </w:r>
            <w:r>
              <w:rPr>
                <w:rFonts w:hint="default"/>
                <w:color w:val="auto"/>
              </w:rPr>
              <w:t>为</w:t>
            </w:r>
            <w:bookmarkEnd w:id="26"/>
            <w:r>
              <w:rPr>
                <w:rFonts w:hint="eastAsia"/>
                <w:color w:val="auto"/>
                <w:lang w:val="en-US" w:eastAsia="zh-CN"/>
              </w:rPr>
              <w:t>天然牧草地，此外有少量农村道路</w:t>
            </w:r>
            <w:r>
              <w:rPr>
                <w:rFonts w:hint="default"/>
                <w:color w:val="auto"/>
                <w:lang w:eastAsia="zh-CN"/>
              </w:rPr>
              <w:t>；</w:t>
            </w:r>
            <w:r>
              <w:rPr>
                <w:rFonts w:hint="default"/>
                <w:color w:val="auto"/>
                <w:lang w:val="en-US" w:eastAsia="zh-CN"/>
              </w:rPr>
              <w:t>项目土地利用</w:t>
            </w:r>
            <w:r>
              <w:rPr>
                <w:rFonts w:hint="eastAsia"/>
                <w:color w:val="auto"/>
                <w:lang w:val="en-US" w:eastAsia="zh-CN"/>
              </w:rPr>
              <w:t>现状见</w:t>
            </w:r>
            <w:r>
              <w:rPr>
                <w:rFonts w:hint="default"/>
                <w:color w:val="auto"/>
              </w:rPr>
              <w:t>附图</w:t>
            </w:r>
            <w:r>
              <w:rPr>
                <w:rFonts w:hint="eastAsia"/>
                <w:color w:val="auto"/>
                <w:lang w:val="en-US" w:eastAsia="zh-CN"/>
              </w:rPr>
              <w:t>10</w:t>
            </w:r>
            <w:r>
              <w:rPr>
                <w:rFonts w:hint="default"/>
                <w:color w:val="auto"/>
              </w:rPr>
              <w:t>。</w:t>
            </w:r>
          </w:p>
          <w:bookmarkEnd w:id="25"/>
          <w:p>
            <w:pPr>
              <w:pStyle w:val="36"/>
              <w:bidi w:val="0"/>
              <w:rPr>
                <w:rFonts w:hint="default"/>
                <w:color w:val="auto"/>
              </w:rPr>
            </w:pPr>
            <w:r>
              <w:rPr>
                <w:rFonts w:hint="default"/>
                <w:color w:val="auto"/>
              </w:rPr>
              <w:t>（4）土地沙化现状</w:t>
            </w:r>
          </w:p>
          <w:p>
            <w:pPr>
              <w:pStyle w:val="36"/>
              <w:bidi w:val="0"/>
              <w:rPr>
                <w:rFonts w:hint="default"/>
                <w:color w:val="auto"/>
              </w:rPr>
            </w:pPr>
            <w:r>
              <w:rPr>
                <w:rFonts w:hint="default"/>
                <w:color w:val="auto"/>
                <w:lang w:val="zh-CN" w:eastAsia="zh-CN"/>
              </w:rPr>
              <w:t>根据《新疆第</w:t>
            </w:r>
            <w:r>
              <w:rPr>
                <w:rFonts w:hint="default"/>
                <w:color w:val="auto"/>
                <w:lang w:val="en-US" w:eastAsia="zh-CN"/>
              </w:rPr>
              <w:t>六</w:t>
            </w:r>
            <w:r>
              <w:rPr>
                <w:rFonts w:hint="default"/>
                <w:color w:val="auto"/>
                <w:lang w:val="zh-CN" w:eastAsia="zh-CN"/>
              </w:rPr>
              <w:t>次沙化监测报告》，</w:t>
            </w:r>
            <w:r>
              <w:rPr>
                <w:rFonts w:hint="default"/>
                <w:color w:val="auto"/>
                <w:lang w:val="en-US" w:eastAsia="zh-CN"/>
              </w:rPr>
              <w:t>本项目所在</w:t>
            </w:r>
            <w:r>
              <w:rPr>
                <w:rFonts w:hint="eastAsia"/>
                <w:color w:val="auto"/>
                <w:lang w:val="en-US" w:eastAsia="zh-CN"/>
              </w:rPr>
              <w:t>区域为非沙化土地。项目在</w:t>
            </w:r>
            <w:r>
              <w:rPr>
                <w:rFonts w:hint="default"/>
                <w:color w:val="auto"/>
                <w:lang w:val="zh-CN" w:eastAsia="zh-CN"/>
              </w:rPr>
              <w:t>《新疆第</w:t>
            </w:r>
            <w:r>
              <w:rPr>
                <w:rFonts w:hint="default"/>
                <w:color w:val="auto"/>
                <w:lang w:val="en-US" w:eastAsia="zh-CN"/>
              </w:rPr>
              <w:t>六</w:t>
            </w:r>
            <w:r>
              <w:rPr>
                <w:rFonts w:hint="default"/>
                <w:color w:val="auto"/>
                <w:lang w:val="zh-CN" w:eastAsia="zh-CN"/>
              </w:rPr>
              <w:t>次沙化监测报告》</w:t>
            </w:r>
            <w:r>
              <w:rPr>
                <w:rFonts w:hint="eastAsia"/>
                <w:color w:val="auto"/>
                <w:lang w:val="en-US" w:eastAsia="zh-CN"/>
              </w:rPr>
              <w:t>沙化土地分布图中的位置见</w:t>
            </w:r>
            <w:r>
              <w:rPr>
                <w:rFonts w:hint="default"/>
                <w:color w:val="auto"/>
              </w:rPr>
              <w:t>附图</w:t>
            </w:r>
            <w:r>
              <w:rPr>
                <w:rFonts w:hint="default"/>
                <w:color w:val="auto"/>
                <w:lang w:val="en-US" w:eastAsia="zh-CN"/>
              </w:rPr>
              <w:t>1</w:t>
            </w:r>
            <w:r>
              <w:rPr>
                <w:rFonts w:hint="eastAsia"/>
                <w:color w:val="auto"/>
                <w:lang w:val="en-US" w:eastAsia="zh-CN"/>
              </w:rPr>
              <w:t>1</w:t>
            </w:r>
            <w:r>
              <w:rPr>
                <w:rFonts w:hint="default"/>
                <w:color w:val="auto"/>
              </w:rPr>
              <w:t>。</w:t>
            </w:r>
          </w:p>
          <w:p>
            <w:pPr>
              <w:pStyle w:val="36"/>
              <w:bidi w:val="0"/>
              <w:rPr>
                <w:rFonts w:hint="default"/>
                <w:color w:val="auto"/>
              </w:rPr>
            </w:pPr>
            <w:r>
              <w:rPr>
                <w:rFonts w:hint="default"/>
                <w:color w:val="auto"/>
              </w:rPr>
              <w:t>（5）水土流失现状</w:t>
            </w:r>
          </w:p>
          <w:p>
            <w:pPr>
              <w:pStyle w:val="36"/>
              <w:bidi w:val="0"/>
              <w:rPr>
                <w:rFonts w:hint="default"/>
                <w:color w:val="auto"/>
                <w:lang w:val="en-US" w:eastAsia="zh-CN"/>
              </w:rPr>
            </w:pPr>
            <w:r>
              <w:rPr>
                <w:rFonts w:hint="default"/>
                <w:color w:val="auto"/>
              </w:rPr>
              <w:t>根据《新疆维吾尔自治区昌吉回族自治州水土保持规划（2021</w:t>
            </w:r>
            <w:r>
              <w:rPr>
                <w:rFonts w:hint="eastAsia"/>
                <w:color w:val="auto"/>
                <w:lang w:eastAsia="zh-CN"/>
              </w:rPr>
              <w:t>—</w:t>
            </w:r>
            <w:r>
              <w:rPr>
                <w:rFonts w:hint="default"/>
                <w:color w:val="auto"/>
              </w:rPr>
              <w:t>2030年）》，</w:t>
            </w:r>
            <w:r>
              <w:rPr>
                <w:rFonts w:hint="eastAsia"/>
                <w:color w:val="auto"/>
                <w:lang w:val="en-US" w:eastAsia="zh-CN"/>
              </w:rPr>
              <w:t>本项目位于昌吉回族自治州水土流失重点治理区（见</w:t>
            </w:r>
            <w:r>
              <w:rPr>
                <w:rFonts w:hint="default"/>
                <w:color w:val="auto"/>
                <w:lang w:val="en-US" w:eastAsia="zh-CN"/>
              </w:rPr>
              <w:t>附图1</w:t>
            </w:r>
            <w:r>
              <w:rPr>
                <w:rFonts w:hint="eastAsia"/>
                <w:color w:val="auto"/>
                <w:lang w:val="en-US" w:eastAsia="zh-CN"/>
              </w:rPr>
              <w:t>2</w:t>
            </w:r>
            <w:r>
              <w:rPr>
                <w:rFonts w:hint="eastAsia" w:ascii="Times New Roman" w:eastAsia="宋体"/>
                <w:color w:val="auto"/>
                <w:lang w:val="en-US" w:eastAsia="zh-CN"/>
              </w:rPr>
              <w:t>）</w:t>
            </w:r>
            <w:r>
              <w:rPr>
                <w:rFonts w:hint="default"/>
                <w:color w:val="auto"/>
              </w:rPr>
              <w:t>。</w:t>
            </w:r>
            <w:r>
              <w:rPr>
                <w:rFonts w:hint="eastAsia"/>
                <w:color w:val="auto"/>
                <w:lang w:val="en-US" w:eastAsia="zh-CN"/>
              </w:rPr>
              <w:t>根据《新疆维吾尔自治区2024年度水土流失动态监测年报》（见附图13），项目所在区域2024年度水土流失程度为微度，水土流失类型为水力侵蚀。</w:t>
            </w:r>
          </w:p>
          <w:p>
            <w:pPr>
              <w:pStyle w:val="32"/>
              <w:numPr>
                <w:ilvl w:val="0"/>
                <w:numId w:val="5"/>
              </w:numPr>
              <w:bidi w:val="0"/>
              <w:ind w:left="0" w:leftChars="0" w:firstLine="471" w:firstLineChars="0"/>
              <w:rPr>
                <w:rFonts w:hint="default"/>
                <w:color w:val="auto"/>
              </w:rPr>
            </w:pPr>
            <w:r>
              <w:rPr>
                <w:rFonts w:hint="default"/>
                <w:color w:val="auto"/>
              </w:rPr>
              <w:t>区域环境质量现状</w:t>
            </w:r>
          </w:p>
          <w:p>
            <w:pPr>
              <w:pStyle w:val="31"/>
              <w:numPr>
                <w:ilvl w:val="1"/>
                <w:numId w:val="8"/>
              </w:numPr>
              <w:bidi w:val="0"/>
              <w:rPr>
                <w:rFonts w:hint="default"/>
                <w:color w:val="auto"/>
              </w:rPr>
            </w:pPr>
            <w:bookmarkStart w:id="27" w:name="_Hlk136793645"/>
            <w:r>
              <w:rPr>
                <w:rFonts w:hint="default"/>
                <w:color w:val="auto"/>
              </w:rPr>
              <w:t>环境空气质量现状调查</w:t>
            </w:r>
          </w:p>
          <w:bookmarkEnd w:id="27"/>
          <w:p>
            <w:pPr>
              <w:pStyle w:val="36"/>
              <w:bidi w:val="0"/>
              <w:rPr>
                <w:rFonts w:hint="default"/>
                <w:color w:val="auto"/>
                <w:lang w:val="en-US"/>
              </w:rPr>
            </w:pPr>
            <w:r>
              <w:rPr>
                <w:rFonts w:hint="eastAsia"/>
                <w:color w:val="auto"/>
                <w:lang w:val="en-US" w:eastAsia="zh-CN"/>
              </w:rPr>
              <w:t>根据《新疆维吾尔自治区2024年生态环境状况公报》，</w:t>
            </w:r>
            <w:r>
              <w:rPr>
                <w:rFonts w:hint="default"/>
                <w:color w:val="auto"/>
                <w:lang w:val="en-US" w:eastAsia="zh-CN"/>
              </w:rPr>
              <w:t>本</w:t>
            </w:r>
            <w:r>
              <w:rPr>
                <w:rFonts w:hint="default"/>
                <w:color w:val="auto"/>
              </w:rPr>
              <w:t>项目所在地</w:t>
            </w:r>
            <w:r>
              <w:rPr>
                <w:rFonts w:hint="eastAsia"/>
                <w:color w:val="auto"/>
                <w:lang w:val="en-US" w:eastAsia="zh-CN"/>
              </w:rPr>
              <w:t>玛纳斯县为环境空气质量达标区（见附图14）。</w:t>
            </w:r>
          </w:p>
          <w:p>
            <w:pPr>
              <w:pStyle w:val="31"/>
              <w:numPr>
                <w:ilvl w:val="1"/>
                <w:numId w:val="8"/>
              </w:numPr>
              <w:bidi w:val="0"/>
              <w:rPr>
                <w:rFonts w:hint="default"/>
                <w:color w:val="auto"/>
              </w:rPr>
            </w:pPr>
            <w:r>
              <w:rPr>
                <w:rFonts w:hint="default"/>
                <w:color w:val="auto"/>
              </w:rPr>
              <w:t>水环境质量现状调查</w:t>
            </w:r>
          </w:p>
          <w:p>
            <w:pPr>
              <w:pStyle w:val="36"/>
              <w:bidi w:val="0"/>
              <w:rPr>
                <w:rFonts w:hint="default"/>
                <w:color w:val="auto"/>
              </w:rPr>
            </w:pPr>
            <w:r>
              <w:rPr>
                <w:rFonts w:hint="eastAsia"/>
                <w:color w:val="auto"/>
                <w:lang w:val="en-US" w:eastAsia="zh-CN"/>
              </w:rPr>
              <w:t>本项目</w:t>
            </w:r>
            <w:r>
              <w:rPr>
                <w:rFonts w:hint="default"/>
                <w:color w:val="auto"/>
              </w:rPr>
              <w:t>试油期产生的废水均不外排，项目与地表水体无任何水力联系，根据《环境影响评价技术导则 地表水环境》（HJ2.3-2018），本项目地表水评价等级为三级B，不进行地表水环境质量现状</w:t>
            </w:r>
            <w:r>
              <w:rPr>
                <w:rFonts w:hint="eastAsia"/>
                <w:color w:val="auto"/>
                <w:lang w:val="en-US" w:eastAsia="zh-CN"/>
              </w:rPr>
              <w:t>调查</w:t>
            </w:r>
            <w:r>
              <w:rPr>
                <w:rFonts w:hint="default"/>
                <w:color w:val="auto"/>
              </w:rPr>
              <w:t>。</w:t>
            </w:r>
          </w:p>
          <w:p>
            <w:pPr>
              <w:pStyle w:val="36"/>
              <w:bidi w:val="0"/>
              <w:rPr>
                <w:rFonts w:hint="default"/>
                <w:color w:val="auto"/>
              </w:rPr>
            </w:pPr>
            <w:r>
              <w:rPr>
                <w:rFonts w:hint="default"/>
                <w:color w:val="auto"/>
              </w:rPr>
              <w:t>钻井期间采用钻井液不落地工艺，钻井液循环利用，不会对地下水环境造成污染；参照《环境影响评价技术导则 地下水环境》（HJ 610-2016），本项目为Ⅳ类项目；无需对地下水环境质量现状进行评价。</w:t>
            </w:r>
          </w:p>
          <w:p>
            <w:pPr>
              <w:pStyle w:val="31"/>
              <w:numPr>
                <w:ilvl w:val="1"/>
                <w:numId w:val="8"/>
              </w:numPr>
              <w:bidi w:val="0"/>
              <w:rPr>
                <w:rFonts w:hint="default"/>
                <w:color w:val="auto"/>
              </w:rPr>
            </w:pPr>
            <w:r>
              <w:rPr>
                <w:rFonts w:hint="default"/>
                <w:color w:val="auto"/>
              </w:rPr>
              <w:t>声环境质量现状调查</w:t>
            </w:r>
          </w:p>
          <w:p>
            <w:pPr>
              <w:pStyle w:val="36"/>
              <w:bidi w:val="0"/>
              <w:rPr>
                <w:rFonts w:hint="default"/>
                <w:color w:val="auto"/>
              </w:rPr>
            </w:pPr>
            <w:r>
              <w:rPr>
                <w:rFonts w:hint="default"/>
                <w:color w:val="auto"/>
                <w:lang w:val="en-US" w:eastAsia="zh-CN"/>
              </w:rPr>
              <w:t>本项目</w:t>
            </w:r>
            <w:r>
              <w:rPr>
                <w:rFonts w:hint="default"/>
                <w:color w:val="auto"/>
              </w:rPr>
              <w:t>周边</w:t>
            </w:r>
            <w:r>
              <w:rPr>
                <w:rFonts w:hint="eastAsia"/>
                <w:color w:val="auto"/>
                <w:lang w:val="en-US" w:eastAsia="zh-CN"/>
              </w:rPr>
              <w:t>200</w:t>
            </w:r>
            <w:r>
              <w:rPr>
                <w:rFonts w:hint="default"/>
                <w:color w:val="auto"/>
              </w:rPr>
              <w:t>m范围内无声环境保护目标，参照《建设项目环境影响报告表编制技术指南（污染影响类）</w:t>
            </w:r>
            <w:r>
              <w:rPr>
                <w:rFonts w:hint="eastAsia"/>
                <w:color w:val="auto"/>
                <w:lang w:eastAsia="zh-CN"/>
              </w:rPr>
              <w:t>（试行）》</w:t>
            </w:r>
            <w:r>
              <w:rPr>
                <w:rFonts w:hint="default"/>
                <w:color w:val="auto"/>
              </w:rPr>
              <w:t>相关要求，无需对声环境质量现状进行评价。</w:t>
            </w:r>
          </w:p>
          <w:p>
            <w:pPr>
              <w:pStyle w:val="31"/>
              <w:numPr>
                <w:ilvl w:val="1"/>
                <w:numId w:val="8"/>
              </w:numPr>
              <w:bidi w:val="0"/>
              <w:rPr>
                <w:rFonts w:hint="default"/>
                <w:color w:val="auto"/>
              </w:rPr>
            </w:pPr>
            <w:r>
              <w:rPr>
                <w:rFonts w:hint="default"/>
                <w:color w:val="auto"/>
              </w:rPr>
              <w:t>土壤环境质量现状调查</w:t>
            </w:r>
          </w:p>
          <w:p>
            <w:pPr>
              <w:pStyle w:val="36"/>
              <w:bidi w:val="0"/>
              <w:rPr>
                <w:rFonts w:hint="default"/>
                <w:color w:val="auto"/>
                <w:lang w:val="en-US" w:eastAsia="zh-CN"/>
              </w:rPr>
            </w:pPr>
            <w:r>
              <w:rPr>
                <w:rFonts w:hint="default"/>
                <w:color w:val="auto"/>
              </w:rPr>
              <w:t>参照《环境影响评价技术导则 土壤环境（试行）》（HJ964-2018），本项目为Ⅳ类项目，无需对土壤环境质量现状进行评价。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53" w:type="pct"/>
            <w:vAlign w:val="center"/>
          </w:tcPr>
          <w:p>
            <w:pPr>
              <w:pStyle w:val="53"/>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color w:val="auto"/>
              </w:rPr>
            </w:pPr>
            <w:r>
              <w:rPr>
                <w:rFonts w:hint="default"/>
                <w:color w:val="auto"/>
              </w:rPr>
              <w:t>与项目有关的原有环境污染和生态破坏问题</w:t>
            </w:r>
          </w:p>
        </w:tc>
        <w:tc>
          <w:tcPr>
            <w:tcW w:w="4746" w:type="pct"/>
            <w:vAlign w:val="center"/>
          </w:tcPr>
          <w:p>
            <w:pPr>
              <w:pStyle w:val="36"/>
              <w:bidi w:val="0"/>
              <w:rPr>
                <w:rFonts w:hint="default" w:ascii="Times New Roman" w:hAnsi="Times New Roman" w:cs="Times New Roman"/>
                <w:color w:val="auto"/>
              </w:rPr>
            </w:pPr>
            <w:r>
              <w:rPr>
                <w:rFonts w:hint="default"/>
                <w:color w:val="auto"/>
              </w:rPr>
              <w:t>本项目为新建项目，无与本项目有关的原有环境污染和生态破坏问题。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53" w:type="pct"/>
            <w:vAlign w:val="center"/>
          </w:tcPr>
          <w:p>
            <w:pPr>
              <w:pStyle w:val="53"/>
              <w:bidi w:val="0"/>
              <w:rPr>
                <w:rFonts w:hint="default"/>
                <w:color w:val="auto"/>
              </w:rPr>
            </w:pPr>
            <w:r>
              <w:rPr>
                <w:rFonts w:hint="default"/>
                <w:color w:val="auto"/>
              </w:rPr>
              <w:t>生态环境保护目标</w:t>
            </w:r>
          </w:p>
        </w:tc>
        <w:tc>
          <w:tcPr>
            <w:tcW w:w="4746" w:type="pct"/>
            <w:vAlign w:val="center"/>
          </w:tcPr>
          <w:p>
            <w:pPr>
              <w:pStyle w:val="36"/>
              <w:bidi w:val="0"/>
              <w:rPr>
                <w:rFonts w:hint="default"/>
                <w:color w:val="auto"/>
              </w:rPr>
            </w:pPr>
            <w:r>
              <w:rPr>
                <w:rFonts w:hint="default"/>
                <w:color w:val="auto"/>
              </w:rPr>
              <w:t>根据《建设项目环境影响报告表编制技术指南（生态影响类）</w:t>
            </w:r>
            <w:r>
              <w:rPr>
                <w:rFonts w:hint="eastAsia"/>
                <w:color w:val="auto"/>
                <w:lang w:eastAsia="zh-CN"/>
              </w:rPr>
              <w:t>（试行）》</w:t>
            </w:r>
            <w:r>
              <w:rPr>
                <w:rFonts w:hint="default"/>
                <w:color w:val="auto"/>
              </w:rPr>
              <w:t>，按照环境影响评价相关技术导则要求确定评价范围并识别环境保护目标。</w:t>
            </w:r>
            <w:r>
              <w:rPr>
                <w:rFonts w:hint="default"/>
                <w:color w:val="auto"/>
                <w:lang w:val="en-US" w:eastAsia="zh-CN"/>
              </w:rPr>
              <w:t>本项目</w:t>
            </w:r>
            <w:r>
              <w:rPr>
                <w:rFonts w:hint="default"/>
                <w:color w:val="auto"/>
              </w:rPr>
              <w:t>环境保护目标识别如下表所示。</w:t>
            </w:r>
          </w:p>
          <w:p>
            <w:pPr>
              <w:pStyle w:val="52"/>
              <w:bidi w:val="0"/>
              <w:rPr>
                <w:rFonts w:hint="default"/>
                <w:color w:val="auto"/>
                <w:lang w:val="en-US" w:eastAsia="zh-CN"/>
              </w:rPr>
            </w:pPr>
            <w:r>
              <w:rPr>
                <w:rFonts w:hint="default"/>
                <w:color w:val="auto"/>
              </w:rPr>
              <w:t>表</w:t>
            </w:r>
            <w:r>
              <w:rPr>
                <w:rFonts w:hint="default"/>
                <w:color w:val="auto"/>
                <w:lang w:val="en-US" w:eastAsia="zh-CN"/>
              </w:rPr>
              <w:t>3-</w:t>
            </w:r>
            <w:r>
              <w:rPr>
                <w:rFonts w:hint="eastAsia"/>
                <w:color w:val="auto"/>
                <w:lang w:val="en-US" w:eastAsia="zh-CN"/>
              </w:rPr>
              <w:t>2</w:t>
            </w:r>
            <w:r>
              <w:rPr>
                <w:rFonts w:hint="default"/>
                <w:color w:val="auto"/>
                <w:lang w:val="en-US" w:eastAsia="zh-CN"/>
              </w:rPr>
              <w:t xml:space="preserve">  环境保护目标识别</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3050"/>
              <w:gridCol w:w="1810"/>
              <w:gridCol w:w="22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682" w:type="pct"/>
                  <w:vAlign w:val="center"/>
                </w:tcPr>
                <w:p>
                  <w:pPr>
                    <w:pStyle w:val="33"/>
                    <w:bidi w:val="0"/>
                    <w:rPr>
                      <w:rFonts w:hint="default" w:ascii="Times New Roman" w:hAnsi="Times New Roman" w:eastAsia="宋体" w:cs="Times New Roman"/>
                      <w:color w:val="auto"/>
                      <w:szCs w:val="21"/>
                    </w:rPr>
                  </w:pPr>
                  <w:r>
                    <w:rPr>
                      <w:rFonts w:hint="default"/>
                      <w:color w:val="auto"/>
                    </w:rPr>
                    <w:t>环境要素</w:t>
                  </w:r>
                </w:p>
              </w:tc>
              <w:tc>
                <w:tcPr>
                  <w:tcW w:w="1842" w:type="pct"/>
                  <w:vAlign w:val="center"/>
                </w:tcPr>
                <w:p>
                  <w:pPr>
                    <w:pStyle w:val="33"/>
                    <w:bidi w:val="0"/>
                    <w:rPr>
                      <w:rFonts w:hint="default" w:ascii="Times New Roman" w:hAnsi="Times New Roman" w:eastAsia="宋体" w:cs="Times New Roman"/>
                      <w:color w:val="auto"/>
                      <w:szCs w:val="21"/>
                      <w:lang w:val="en-US" w:eastAsia="zh-CN"/>
                    </w:rPr>
                  </w:pPr>
                  <w:r>
                    <w:rPr>
                      <w:rFonts w:hint="eastAsia"/>
                      <w:color w:val="auto"/>
                      <w:lang w:val="en-US" w:eastAsia="zh-CN"/>
                    </w:rPr>
                    <w:t>判定依据</w:t>
                  </w:r>
                </w:p>
              </w:tc>
              <w:tc>
                <w:tcPr>
                  <w:tcW w:w="1093" w:type="pct"/>
                  <w:shd w:val="clear" w:color="auto" w:fill="auto"/>
                  <w:vAlign w:val="center"/>
                </w:tcPr>
                <w:p>
                  <w:pPr>
                    <w:pStyle w:val="33"/>
                    <w:bidi w:val="0"/>
                    <w:rPr>
                      <w:rFonts w:hint="default" w:ascii="Times New Roman" w:hAnsi="Times New Roman" w:eastAsia="宋体" w:cs="Times New Roman"/>
                      <w:color w:val="auto"/>
                      <w:kern w:val="0"/>
                      <w:szCs w:val="21"/>
                      <w:lang w:val="en-US" w:eastAsia="zh-CN" w:bidi="ar-SA"/>
                    </w:rPr>
                  </w:pPr>
                  <w:r>
                    <w:rPr>
                      <w:rFonts w:hint="default"/>
                      <w:color w:val="auto"/>
                    </w:rPr>
                    <w:t>评价范围</w:t>
                  </w:r>
                </w:p>
              </w:tc>
              <w:tc>
                <w:tcPr>
                  <w:tcW w:w="1382" w:type="pct"/>
                  <w:shd w:val="clear" w:color="auto" w:fill="auto"/>
                  <w:vAlign w:val="center"/>
                </w:tcPr>
                <w:p>
                  <w:pPr>
                    <w:pStyle w:val="33"/>
                    <w:bidi w:val="0"/>
                    <w:rPr>
                      <w:rFonts w:hint="default" w:ascii="Times New Roman" w:hAnsi="Times New Roman" w:eastAsia="宋体" w:cs="Times New Roman"/>
                      <w:color w:val="auto"/>
                      <w:kern w:val="0"/>
                      <w:szCs w:val="21"/>
                      <w:lang w:val="en-US" w:eastAsia="zh-CN" w:bidi="ar-SA"/>
                    </w:rPr>
                  </w:pPr>
                  <w:r>
                    <w:rPr>
                      <w:rFonts w:hint="default"/>
                      <w:color w:val="auto"/>
                    </w:rPr>
                    <w:t>环境保护目标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82" w:type="pct"/>
                  <w:vAlign w:val="center"/>
                </w:tcPr>
                <w:p>
                  <w:pPr>
                    <w:pStyle w:val="33"/>
                    <w:bidi w:val="0"/>
                    <w:rPr>
                      <w:rFonts w:hint="default" w:ascii="Times New Roman" w:hAnsi="Times New Roman" w:eastAsia="宋体" w:cs="Times New Roman"/>
                      <w:color w:val="auto"/>
                      <w:szCs w:val="21"/>
                    </w:rPr>
                  </w:pPr>
                  <w:r>
                    <w:rPr>
                      <w:rFonts w:hint="default"/>
                      <w:color w:val="auto"/>
                    </w:rPr>
                    <w:t>大气</w:t>
                  </w:r>
                </w:p>
              </w:tc>
              <w:tc>
                <w:tcPr>
                  <w:tcW w:w="1842" w:type="pct"/>
                  <w:shd w:val="clear" w:color="auto" w:fill="auto"/>
                  <w:vAlign w:val="center"/>
                </w:tcPr>
                <w:p>
                  <w:pPr>
                    <w:pStyle w:val="33"/>
                    <w:bidi w:val="0"/>
                    <w:rPr>
                      <w:rFonts w:hint="default" w:ascii="宋体" w:hAnsi="宋体" w:eastAsia="宋体" w:cs="Times New Roman"/>
                      <w:color w:val="auto"/>
                      <w:kern w:val="0"/>
                      <w:szCs w:val="21"/>
                      <w:lang w:val="en-US" w:eastAsia="zh-CN" w:bidi="ar-SA"/>
                    </w:rPr>
                  </w:pPr>
                  <w:r>
                    <w:rPr>
                      <w:rFonts w:hint="eastAsia"/>
                      <w:color w:val="auto"/>
                    </w:rPr>
                    <w:t>《环境影响评价技术导则 大气环境》（HJ2.2-2018）</w:t>
                  </w:r>
                </w:p>
              </w:tc>
              <w:tc>
                <w:tcPr>
                  <w:tcW w:w="1093" w:type="pct"/>
                  <w:shd w:val="clear" w:color="auto" w:fill="auto"/>
                  <w:vAlign w:val="center"/>
                </w:tcPr>
                <w:p>
                  <w:pPr>
                    <w:pStyle w:val="33"/>
                    <w:bidi w:val="0"/>
                    <w:rPr>
                      <w:rFonts w:hint="default" w:ascii="Times New Roman" w:hAnsi="Times New Roman" w:eastAsia="宋体" w:cs="Times New Roman"/>
                      <w:color w:val="auto"/>
                      <w:kern w:val="0"/>
                      <w:szCs w:val="21"/>
                      <w:lang w:val="en-US" w:eastAsia="zh-CN" w:bidi="ar-SA"/>
                    </w:rPr>
                  </w:pPr>
                  <w:r>
                    <w:rPr>
                      <w:rFonts w:hint="default"/>
                      <w:color w:val="auto"/>
                    </w:rPr>
                    <w:t>不设置评价范围</w:t>
                  </w:r>
                </w:p>
              </w:tc>
              <w:tc>
                <w:tcPr>
                  <w:tcW w:w="1382" w:type="pct"/>
                  <w:shd w:val="clear" w:color="auto" w:fill="auto"/>
                  <w:vAlign w:val="center"/>
                </w:tcPr>
                <w:p>
                  <w:pPr>
                    <w:pStyle w:val="33"/>
                    <w:bidi w:val="0"/>
                    <w:rPr>
                      <w:rFonts w:hint="eastAsia" w:ascii="Times New Roman" w:hAnsi="Times New Roman" w:eastAsia="宋体" w:cs="Times New Roman"/>
                      <w:color w:val="auto"/>
                      <w:kern w:val="0"/>
                      <w:szCs w:val="21"/>
                      <w:lang w:val="en-US" w:eastAsia="zh-CN" w:bidi="ar-SA"/>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82" w:type="pct"/>
                  <w:vAlign w:val="center"/>
                </w:tcPr>
                <w:p>
                  <w:pPr>
                    <w:pStyle w:val="33"/>
                    <w:bidi w:val="0"/>
                    <w:rPr>
                      <w:rFonts w:hint="default" w:ascii="Times New Roman" w:hAnsi="Times New Roman" w:eastAsia="宋体" w:cs="Times New Roman"/>
                      <w:color w:val="auto"/>
                      <w:szCs w:val="21"/>
                    </w:rPr>
                  </w:pPr>
                  <w:r>
                    <w:rPr>
                      <w:rFonts w:hint="default"/>
                      <w:color w:val="auto"/>
                    </w:rPr>
                    <w:t>地表水</w:t>
                  </w:r>
                </w:p>
              </w:tc>
              <w:tc>
                <w:tcPr>
                  <w:tcW w:w="1842" w:type="pct"/>
                  <w:shd w:val="clear" w:color="auto" w:fill="auto"/>
                  <w:vAlign w:val="center"/>
                </w:tcPr>
                <w:p>
                  <w:pPr>
                    <w:pStyle w:val="33"/>
                    <w:bidi w:val="0"/>
                    <w:rPr>
                      <w:rFonts w:hint="default" w:ascii="宋体" w:hAnsi="宋体" w:eastAsia="宋体" w:cs="Times New Roman"/>
                      <w:color w:val="auto"/>
                      <w:kern w:val="0"/>
                      <w:szCs w:val="21"/>
                      <w:lang w:val="en-US" w:eastAsia="zh-CN" w:bidi="ar-SA"/>
                    </w:rPr>
                  </w:pPr>
                  <w:r>
                    <w:rPr>
                      <w:rFonts w:hint="eastAsia"/>
                      <w:color w:val="auto"/>
                    </w:rPr>
                    <w:t>《环境影响评价技术导则 地表水环境》（HJ2.3-2018）</w:t>
                  </w:r>
                </w:p>
              </w:tc>
              <w:tc>
                <w:tcPr>
                  <w:tcW w:w="1093" w:type="pct"/>
                  <w:shd w:val="clear" w:color="auto" w:fill="auto"/>
                  <w:vAlign w:val="center"/>
                </w:tcPr>
                <w:p>
                  <w:pPr>
                    <w:pStyle w:val="33"/>
                    <w:bidi w:val="0"/>
                    <w:rPr>
                      <w:rFonts w:hint="default" w:ascii="Times New Roman" w:hAnsi="Times New Roman" w:eastAsia="宋体" w:cs="Times New Roman"/>
                      <w:color w:val="auto"/>
                      <w:kern w:val="0"/>
                      <w:szCs w:val="21"/>
                      <w:lang w:val="en-US" w:eastAsia="zh-CN" w:bidi="ar-SA"/>
                    </w:rPr>
                  </w:pPr>
                  <w:r>
                    <w:rPr>
                      <w:rFonts w:hint="default"/>
                      <w:color w:val="auto"/>
                    </w:rPr>
                    <w:t>不设置评价范围</w:t>
                  </w:r>
                </w:p>
              </w:tc>
              <w:tc>
                <w:tcPr>
                  <w:tcW w:w="1382" w:type="pct"/>
                  <w:shd w:val="clear" w:color="auto" w:fill="auto"/>
                  <w:vAlign w:val="center"/>
                </w:tcPr>
                <w:p>
                  <w:pPr>
                    <w:pStyle w:val="33"/>
                    <w:bidi w:val="0"/>
                    <w:rPr>
                      <w:rFonts w:hint="eastAsia" w:eastAsia="宋体" w:cs="Times New Roman"/>
                      <w:color w:val="auto"/>
                      <w:szCs w:val="21"/>
                      <w:lang w:val="en-US" w:eastAsia="zh-CN"/>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82" w:type="pct"/>
                  <w:vAlign w:val="center"/>
                </w:tcPr>
                <w:p>
                  <w:pPr>
                    <w:pStyle w:val="33"/>
                    <w:bidi w:val="0"/>
                    <w:rPr>
                      <w:rFonts w:hint="default" w:ascii="Times New Roman" w:hAnsi="Times New Roman" w:eastAsia="宋体" w:cs="Times New Roman"/>
                      <w:color w:val="auto"/>
                      <w:szCs w:val="21"/>
                    </w:rPr>
                  </w:pPr>
                  <w:r>
                    <w:rPr>
                      <w:rFonts w:hint="default"/>
                      <w:color w:val="auto"/>
                    </w:rPr>
                    <w:t>地下水</w:t>
                  </w:r>
                </w:p>
              </w:tc>
              <w:tc>
                <w:tcPr>
                  <w:tcW w:w="1842" w:type="pct"/>
                  <w:shd w:val="clear" w:color="auto" w:fill="auto"/>
                  <w:vAlign w:val="center"/>
                </w:tcPr>
                <w:p>
                  <w:pPr>
                    <w:pStyle w:val="33"/>
                    <w:bidi w:val="0"/>
                    <w:rPr>
                      <w:rFonts w:hint="default" w:ascii="宋体" w:hAnsi="宋体" w:eastAsia="宋体" w:cs="Times New Roman"/>
                      <w:color w:val="auto"/>
                      <w:kern w:val="0"/>
                      <w:szCs w:val="21"/>
                      <w:lang w:val="en-US" w:eastAsia="zh-CN" w:bidi="ar-SA"/>
                    </w:rPr>
                  </w:pPr>
                  <w:r>
                    <w:rPr>
                      <w:rFonts w:hint="eastAsia"/>
                      <w:color w:val="auto"/>
                    </w:rPr>
                    <w:t>《环境影响评价技术导则 地下水环境》（HJ610-2016）</w:t>
                  </w:r>
                </w:p>
              </w:tc>
              <w:tc>
                <w:tcPr>
                  <w:tcW w:w="1093" w:type="pct"/>
                  <w:shd w:val="clear" w:color="auto" w:fill="auto"/>
                  <w:vAlign w:val="center"/>
                </w:tcPr>
                <w:p>
                  <w:pPr>
                    <w:pStyle w:val="33"/>
                    <w:bidi w:val="0"/>
                    <w:rPr>
                      <w:rFonts w:hint="default" w:ascii="Times New Roman" w:hAnsi="Times New Roman" w:eastAsia="宋体" w:cs="Times New Roman"/>
                      <w:color w:val="auto"/>
                      <w:kern w:val="0"/>
                      <w:szCs w:val="21"/>
                      <w:lang w:val="en-US" w:eastAsia="zh-CN" w:bidi="ar-SA"/>
                    </w:rPr>
                  </w:pPr>
                  <w:r>
                    <w:rPr>
                      <w:rFonts w:hint="default"/>
                      <w:color w:val="auto"/>
                    </w:rPr>
                    <w:t>不设置评价范围</w:t>
                  </w:r>
                </w:p>
              </w:tc>
              <w:tc>
                <w:tcPr>
                  <w:tcW w:w="1382" w:type="pct"/>
                  <w:shd w:val="clear" w:color="auto" w:fill="auto"/>
                  <w:vAlign w:val="center"/>
                </w:tcPr>
                <w:p>
                  <w:pPr>
                    <w:pStyle w:val="33"/>
                    <w:bidi w:val="0"/>
                    <w:rPr>
                      <w:rFonts w:hint="eastAsia" w:ascii="Times New Roman" w:hAnsi="Times New Roman" w:eastAsia="宋体" w:cs="Times New Roman"/>
                      <w:color w:val="auto"/>
                      <w:kern w:val="0"/>
                      <w:szCs w:val="21"/>
                      <w:lang w:val="en-US" w:eastAsia="zh-CN" w:bidi="ar-SA"/>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82" w:type="pct"/>
                  <w:vAlign w:val="center"/>
                </w:tcPr>
                <w:p>
                  <w:pPr>
                    <w:pStyle w:val="33"/>
                    <w:bidi w:val="0"/>
                    <w:rPr>
                      <w:rFonts w:hint="default" w:ascii="Times New Roman" w:hAnsi="Times New Roman" w:eastAsia="宋体" w:cs="Times New Roman"/>
                      <w:color w:val="auto"/>
                      <w:szCs w:val="21"/>
                    </w:rPr>
                  </w:pPr>
                  <w:r>
                    <w:rPr>
                      <w:rFonts w:hint="default"/>
                      <w:color w:val="auto"/>
                    </w:rPr>
                    <w:t>声环境</w:t>
                  </w:r>
                </w:p>
              </w:tc>
              <w:tc>
                <w:tcPr>
                  <w:tcW w:w="1842" w:type="pct"/>
                  <w:shd w:val="clear" w:color="auto" w:fill="auto"/>
                  <w:vAlign w:val="center"/>
                </w:tcPr>
                <w:p>
                  <w:pPr>
                    <w:pStyle w:val="33"/>
                    <w:bidi w:val="0"/>
                    <w:rPr>
                      <w:rFonts w:hint="default" w:ascii="宋体" w:hAnsi="宋体" w:eastAsia="宋体" w:cs="Times New Roman"/>
                      <w:color w:val="auto"/>
                      <w:kern w:val="0"/>
                      <w:szCs w:val="21"/>
                      <w:lang w:val="en-US" w:eastAsia="zh-CN" w:bidi="ar-SA"/>
                    </w:rPr>
                  </w:pPr>
                  <w:r>
                    <w:rPr>
                      <w:rFonts w:hint="eastAsia"/>
                      <w:color w:val="auto"/>
                    </w:rPr>
                    <w:t>《环境影响评价技术导则 声环境》（HJ2.4-</w:t>
                  </w:r>
                  <w:r>
                    <w:rPr>
                      <w:color w:val="auto"/>
                    </w:rPr>
                    <w:t>2021</w:t>
                  </w:r>
                  <w:r>
                    <w:rPr>
                      <w:rFonts w:hint="eastAsia"/>
                      <w:color w:val="auto"/>
                    </w:rPr>
                    <w:t>）</w:t>
                  </w:r>
                </w:p>
              </w:tc>
              <w:tc>
                <w:tcPr>
                  <w:tcW w:w="1093" w:type="pct"/>
                  <w:shd w:val="clear" w:color="auto" w:fill="auto"/>
                  <w:vAlign w:val="center"/>
                </w:tcPr>
                <w:p>
                  <w:pPr>
                    <w:pStyle w:val="33"/>
                    <w:bidi w:val="0"/>
                    <w:rPr>
                      <w:rFonts w:hint="default" w:ascii="Times New Roman" w:hAnsi="Times New Roman" w:eastAsia="宋体" w:cs="Times New Roman"/>
                      <w:color w:val="auto"/>
                      <w:kern w:val="0"/>
                      <w:szCs w:val="21"/>
                      <w:lang w:val="en-US" w:eastAsia="zh-CN" w:bidi="ar-SA"/>
                    </w:rPr>
                  </w:pPr>
                  <w:r>
                    <w:rPr>
                      <w:rFonts w:hint="default"/>
                      <w:color w:val="auto"/>
                    </w:rPr>
                    <w:t>井场外</w:t>
                  </w:r>
                  <w:r>
                    <w:rPr>
                      <w:rFonts w:hint="eastAsia"/>
                      <w:color w:val="auto"/>
                      <w:lang w:val="en-US" w:eastAsia="zh-CN"/>
                    </w:rPr>
                    <w:t>200</w:t>
                  </w:r>
                  <w:r>
                    <w:rPr>
                      <w:rFonts w:hint="default"/>
                      <w:color w:val="auto"/>
                    </w:rPr>
                    <w:t>m范围</w:t>
                  </w:r>
                </w:p>
              </w:tc>
              <w:tc>
                <w:tcPr>
                  <w:tcW w:w="1382" w:type="pct"/>
                  <w:shd w:val="clear" w:color="auto" w:fill="auto"/>
                  <w:vAlign w:val="center"/>
                </w:tcPr>
                <w:p>
                  <w:pPr>
                    <w:pStyle w:val="33"/>
                    <w:bidi w:val="0"/>
                    <w:rPr>
                      <w:rFonts w:hint="default" w:ascii="Times New Roman" w:hAnsi="Times New Roman" w:eastAsia="宋体" w:cs="Times New Roman"/>
                      <w:color w:val="auto"/>
                      <w:kern w:val="0"/>
                      <w:szCs w:val="21"/>
                      <w:lang w:val="en-US" w:eastAsia="zh-CN" w:bidi="ar-SA"/>
                    </w:rPr>
                  </w:pPr>
                  <w:r>
                    <w:rPr>
                      <w:rFonts w:hint="default"/>
                      <w:color w:val="auto"/>
                    </w:rPr>
                    <w:t>无</w:t>
                  </w:r>
                  <w:r>
                    <w:rPr>
                      <w:rFonts w:hint="eastAsia"/>
                      <w:color w:val="auto"/>
                      <w:lang w:val="en-US" w:eastAsia="zh-CN"/>
                    </w:rPr>
                    <w:t>居民区、学校等声环境保护目标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82" w:type="pct"/>
                  <w:vAlign w:val="center"/>
                </w:tcPr>
                <w:p>
                  <w:pPr>
                    <w:pStyle w:val="33"/>
                    <w:bidi w:val="0"/>
                    <w:rPr>
                      <w:rFonts w:hint="default" w:ascii="Times New Roman" w:hAnsi="Times New Roman" w:eastAsia="宋体" w:cs="Times New Roman"/>
                      <w:color w:val="auto"/>
                      <w:szCs w:val="21"/>
                    </w:rPr>
                  </w:pPr>
                  <w:r>
                    <w:rPr>
                      <w:rFonts w:hint="default"/>
                      <w:color w:val="auto"/>
                    </w:rPr>
                    <w:t>土壤</w:t>
                  </w:r>
                </w:p>
              </w:tc>
              <w:tc>
                <w:tcPr>
                  <w:tcW w:w="1842" w:type="pct"/>
                  <w:shd w:val="clear" w:color="auto" w:fill="auto"/>
                  <w:vAlign w:val="center"/>
                </w:tcPr>
                <w:p>
                  <w:pPr>
                    <w:pStyle w:val="33"/>
                    <w:bidi w:val="0"/>
                    <w:rPr>
                      <w:rFonts w:hint="default" w:ascii="宋体" w:hAnsi="宋体" w:eastAsia="宋体" w:cs="Times New Roman"/>
                      <w:color w:val="auto"/>
                      <w:kern w:val="0"/>
                      <w:szCs w:val="21"/>
                      <w:lang w:val="en-US" w:eastAsia="zh-CN" w:bidi="ar-SA"/>
                    </w:rPr>
                  </w:pPr>
                  <w:r>
                    <w:rPr>
                      <w:rFonts w:hint="eastAsia"/>
                      <w:color w:val="auto"/>
                    </w:rPr>
                    <w:t>《环境影响评价技术导则 土壤环境（试行）》（HJ964-2018）</w:t>
                  </w:r>
                </w:p>
              </w:tc>
              <w:tc>
                <w:tcPr>
                  <w:tcW w:w="1093" w:type="pct"/>
                  <w:shd w:val="clear" w:color="auto" w:fill="auto"/>
                  <w:vAlign w:val="center"/>
                </w:tcPr>
                <w:p>
                  <w:pPr>
                    <w:pStyle w:val="33"/>
                    <w:bidi w:val="0"/>
                    <w:rPr>
                      <w:rFonts w:hint="default" w:ascii="Times New Roman" w:hAnsi="Times New Roman" w:eastAsia="宋体" w:cs="Times New Roman"/>
                      <w:color w:val="auto"/>
                      <w:kern w:val="0"/>
                      <w:szCs w:val="21"/>
                      <w:lang w:val="en-US" w:eastAsia="zh-CN" w:bidi="ar-SA"/>
                    </w:rPr>
                  </w:pPr>
                  <w:r>
                    <w:rPr>
                      <w:rFonts w:hint="default"/>
                      <w:color w:val="auto"/>
                    </w:rPr>
                    <w:t>不设置评价范围</w:t>
                  </w:r>
                </w:p>
              </w:tc>
              <w:tc>
                <w:tcPr>
                  <w:tcW w:w="1382" w:type="pct"/>
                  <w:shd w:val="clear" w:color="auto" w:fill="auto"/>
                  <w:vAlign w:val="center"/>
                </w:tcPr>
                <w:p>
                  <w:pPr>
                    <w:pStyle w:val="33"/>
                    <w:bidi w:val="0"/>
                    <w:rPr>
                      <w:rFonts w:hint="eastAsia" w:ascii="Times New Roman" w:hAnsi="Times New Roman" w:eastAsia="宋体" w:cs="Times New Roman"/>
                      <w:color w:val="auto"/>
                      <w:kern w:val="0"/>
                      <w:szCs w:val="21"/>
                      <w:lang w:val="en-US" w:eastAsia="zh-CN" w:bidi="ar-SA"/>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82" w:type="pct"/>
                  <w:vAlign w:val="center"/>
                </w:tcPr>
                <w:p>
                  <w:pPr>
                    <w:pStyle w:val="33"/>
                    <w:bidi w:val="0"/>
                    <w:rPr>
                      <w:rFonts w:hint="default" w:ascii="Times New Roman" w:hAnsi="Times New Roman" w:eastAsia="宋体" w:cs="Times New Roman"/>
                      <w:color w:val="auto"/>
                      <w:szCs w:val="21"/>
                    </w:rPr>
                  </w:pPr>
                  <w:r>
                    <w:rPr>
                      <w:rFonts w:hint="default"/>
                      <w:color w:val="auto"/>
                    </w:rPr>
                    <w:t>生态</w:t>
                  </w:r>
                </w:p>
              </w:tc>
              <w:tc>
                <w:tcPr>
                  <w:tcW w:w="1842" w:type="pct"/>
                  <w:shd w:val="clear" w:color="auto" w:fill="auto"/>
                  <w:vAlign w:val="center"/>
                </w:tcPr>
                <w:p>
                  <w:pPr>
                    <w:pStyle w:val="33"/>
                    <w:bidi w:val="0"/>
                    <w:rPr>
                      <w:rFonts w:hint="default" w:ascii="宋体" w:hAnsi="宋体" w:eastAsia="宋体" w:cs="Times New Roman"/>
                      <w:color w:val="auto"/>
                      <w:kern w:val="0"/>
                      <w:szCs w:val="21"/>
                      <w:lang w:val="en-US" w:eastAsia="zh-CN" w:bidi="ar-SA"/>
                    </w:rPr>
                  </w:pPr>
                  <w:r>
                    <w:rPr>
                      <w:rFonts w:hint="eastAsia"/>
                      <w:color w:val="auto"/>
                    </w:rPr>
                    <w:t>《环境影响评价技术导则  陆地石油天然气开发建设项目》（</w:t>
                  </w:r>
                  <w:r>
                    <w:rPr>
                      <w:color w:val="auto"/>
                    </w:rPr>
                    <w:t>HJ 349—2023</w:t>
                  </w:r>
                  <w:r>
                    <w:rPr>
                      <w:rFonts w:hint="eastAsia"/>
                      <w:color w:val="auto"/>
                    </w:rPr>
                    <w:t>）</w:t>
                  </w:r>
                </w:p>
              </w:tc>
              <w:tc>
                <w:tcPr>
                  <w:tcW w:w="1093" w:type="pct"/>
                  <w:shd w:val="clear" w:color="auto" w:fill="auto"/>
                  <w:vAlign w:val="center"/>
                </w:tcPr>
                <w:p>
                  <w:pPr>
                    <w:pStyle w:val="33"/>
                    <w:bidi w:val="0"/>
                    <w:rPr>
                      <w:rFonts w:hint="default" w:ascii="Times New Roman" w:hAnsi="Times New Roman" w:eastAsia="宋体" w:cs="Times New Roman"/>
                      <w:color w:val="auto"/>
                      <w:kern w:val="0"/>
                      <w:szCs w:val="21"/>
                      <w:lang w:val="en-US" w:eastAsia="zh-CN" w:bidi="ar-SA"/>
                    </w:rPr>
                  </w:pPr>
                  <w:r>
                    <w:rPr>
                      <w:rFonts w:hint="default"/>
                      <w:color w:val="auto"/>
                      <w:lang w:val="en-US" w:eastAsia="zh-CN"/>
                    </w:rPr>
                    <w:t>井场周围50m范围探临道路两侧外延300m范围</w:t>
                  </w:r>
                </w:p>
              </w:tc>
              <w:tc>
                <w:tcPr>
                  <w:tcW w:w="1382" w:type="pct"/>
                  <w:shd w:val="clear" w:color="auto" w:fill="auto"/>
                  <w:vAlign w:val="center"/>
                </w:tcPr>
                <w:p>
                  <w:pPr>
                    <w:pStyle w:val="33"/>
                    <w:bidi w:val="0"/>
                    <w:rPr>
                      <w:rFonts w:hint="default" w:ascii="Times New Roman" w:hAnsi="Times New Roman" w:eastAsia="宋体" w:cs="Times New Roman"/>
                      <w:color w:val="auto"/>
                      <w:spacing w:val="-6"/>
                      <w:kern w:val="0"/>
                      <w:szCs w:val="21"/>
                      <w:lang w:val="en-US" w:eastAsia="zh-CN" w:bidi="ar-SA"/>
                    </w:rPr>
                  </w:pPr>
                  <w:r>
                    <w:rPr>
                      <w:rFonts w:hint="default"/>
                      <w:color w:val="auto"/>
                    </w:rPr>
                    <w:t>无</w:t>
                  </w:r>
                  <w:r>
                    <w:rPr>
                      <w:rFonts w:hint="eastAsia"/>
                      <w:color w:val="auto"/>
                      <w:lang w:val="en-US" w:eastAsia="zh-CN"/>
                    </w:rPr>
                    <w:t>重要物种、生态敏感区及其他需要保护的物种、种群、生活群落、生态空间等生态保护目标；水土流失重点治理区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82" w:type="pct"/>
                  <w:vAlign w:val="center"/>
                </w:tcPr>
                <w:p>
                  <w:pPr>
                    <w:pStyle w:val="33"/>
                    <w:bidi w:val="0"/>
                    <w:rPr>
                      <w:rFonts w:hint="default" w:ascii="Times New Roman" w:hAnsi="Times New Roman" w:eastAsia="宋体" w:cs="Times New Roman"/>
                      <w:color w:val="auto"/>
                      <w:szCs w:val="21"/>
                    </w:rPr>
                  </w:pPr>
                  <w:r>
                    <w:rPr>
                      <w:rFonts w:hint="default"/>
                      <w:color w:val="auto"/>
                    </w:rPr>
                    <w:t>环境风险</w:t>
                  </w:r>
                </w:p>
              </w:tc>
              <w:tc>
                <w:tcPr>
                  <w:tcW w:w="1842" w:type="pct"/>
                  <w:shd w:val="clear" w:color="auto" w:fill="auto"/>
                  <w:vAlign w:val="center"/>
                </w:tcPr>
                <w:p>
                  <w:pPr>
                    <w:pStyle w:val="33"/>
                    <w:bidi w:val="0"/>
                    <w:rPr>
                      <w:rFonts w:hint="default" w:ascii="宋体" w:hAnsi="宋体" w:eastAsia="宋体" w:cs="Times New Roman"/>
                      <w:color w:val="auto"/>
                      <w:kern w:val="0"/>
                      <w:szCs w:val="21"/>
                      <w:lang w:val="en-US" w:eastAsia="zh-CN" w:bidi="ar-SA"/>
                    </w:rPr>
                  </w:pPr>
                  <w:r>
                    <w:rPr>
                      <w:rFonts w:hint="eastAsia"/>
                      <w:color w:val="auto"/>
                    </w:rPr>
                    <w:t>参照《建设项目环境风险评价技术导则》（HJ169-2018）</w:t>
                  </w:r>
                </w:p>
              </w:tc>
              <w:tc>
                <w:tcPr>
                  <w:tcW w:w="1093" w:type="pct"/>
                  <w:shd w:val="clear" w:color="auto" w:fill="auto"/>
                  <w:vAlign w:val="center"/>
                </w:tcPr>
                <w:p>
                  <w:pPr>
                    <w:pStyle w:val="33"/>
                    <w:bidi w:val="0"/>
                    <w:rPr>
                      <w:rFonts w:hint="default" w:ascii="Times New Roman" w:hAnsi="Times New Roman" w:eastAsia="宋体" w:cs="Times New Roman"/>
                      <w:color w:val="auto"/>
                      <w:kern w:val="0"/>
                      <w:szCs w:val="21"/>
                      <w:lang w:val="en-US" w:eastAsia="zh-CN" w:bidi="ar-SA"/>
                    </w:rPr>
                  </w:pPr>
                  <w:r>
                    <w:rPr>
                      <w:rFonts w:hint="default"/>
                      <w:color w:val="auto"/>
                    </w:rPr>
                    <w:t>不设置评价范围</w:t>
                  </w:r>
                </w:p>
              </w:tc>
              <w:tc>
                <w:tcPr>
                  <w:tcW w:w="1382" w:type="pct"/>
                  <w:shd w:val="clear" w:color="auto" w:fill="auto"/>
                  <w:vAlign w:val="center"/>
                </w:tcPr>
                <w:p>
                  <w:pPr>
                    <w:pStyle w:val="33"/>
                    <w:bidi w:val="0"/>
                    <w:rPr>
                      <w:rFonts w:hint="default" w:ascii="Times New Roman" w:hAnsi="Times New Roman" w:eastAsia="宋体" w:cs="Times New Roman"/>
                      <w:color w:val="auto"/>
                      <w:kern w:val="0"/>
                      <w:szCs w:val="21"/>
                      <w:lang w:val="en-US" w:eastAsia="zh-CN" w:bidi="ar-SA"/>
                    </w:rPr>
                  </w:pPr>
                  <w:r>
                    <w:rPr>
                      <w:rFonts w:hint="eastAsia"/>
                      <w:color w:val="auto"/>
                      <w:lang w:val="en-US" w:eastAsia="zh-CN"/>
                    </w:rPr>
                    <w:t>/</w:t>
                  </w:r>
                </w:p>
              </w:tc>
            </w:tr>
          </w:tbl>
          <w:p>
            <w:pPr>
              <w:bidi w:val="0"/>
              <w:rPr>
                <w:rFonts w:hint="default"/>
                <w:color w:val="auto"/>
                <w:lang w:val="en-US" w:eastAsia="zh-CN"/>
              </w:rPr>
            </w:pPr>
            <w:r>
              <w:rPr>
                <w:rFonts w:hint="eastAsia"/>
                <w:color w:val="auto"/>
                <w:lang w:val="en-US" w:eastAsia="zh-CN"/>
              </w:rPr>
              <w:t>项目声评价范围内无医院、学校、机关、科研单位、住宅等需要保持安静的建筑物；</w:t>
            </w:r>
            <w:r>
              <w:rPr>
                <w:rFonts w:hint="eastAsia" w:ascii="Times New Roman" w:eastAsia="宋体"/>
                <w:color w:val="auto"/>
                <w:lang w:val="en-US" w:eastAsia="zh-CN"/>
              </w:rPr>
              <w:t>生态评价范围内</w:t>
            </w:r>
            <w:r>
              <w:rPr>
                <w:rFonts w:hint="default"/>
                <w:color w:val="auto"/>
              </w:rPr>
              <w:t>无</w:t>
            </w:r>
            <w:r>
              <w:rPr>
                <w:rFonts w:hint="eastAsia" w:ascii="Times New Roman" w:eastAsia="宋体"/>
                <w:color w:val="auto"/>
                <w:lang w:val="en-US" w:eastAsia="zh-CN"/>
              </w:rPr>
              <w:t>重要物种、生态敏感区及其他需要保护的物种、种群、生活群落、生态空间等生态保护目标</w:t>
            </w:r>
            <w:r>
              <w:rPr>
                <w:rFonts w:hint="eastAsia"/>
                <w:color w:val="auto"/>
                <w:lang w:val="en-US" w:eastAsia="zh-CN"/>
              </w:rPr>
              <w:t>，植被主要是</w:t>
            </w:r>
            <w:r>
              <w:rPr>
                <w:rFonts w:hint="eastAsia" w:ascii="Times New Roman" w:eastAsia="宋体"/>
                <w:color w:val="auto"/>
                <w:lang w:val="en-US" w:eastAsia="zh-CN"/>
              </w:rPr>
              <w:t>伊犁绢蒿、骆驼蓬</w:t>
            </w:r>
            <w:r>
              <w:rPr>
                <w:rFonts w:hint="eastAsia"/>
                <w:color w:val="auto"/>
                <w:lang w:val="en-US" w:eastAsia="zh-CN"/>
              </w:rPr>
              <w:t>、</w:t>
            </w:r>
            <w:r>
              <w:rPr>
                <w:rFonts w:hint="eastAsia" w:ascii="Times New Roman" w:eastAsia="宋体"/>
                <w:color w:val="auto"/>
                <w:lang w:val="en-US" w:eastAsia="zh-CN"/>
              </w:rPr>
              <w:t>少量散枝猪毛菜、芨芨草等，未见保护野生植物分布；项目所在区域草地设有铁丝围栏，无大型野生动物分布，野生动物主要是野兔、田鼠等啮齿类动物、蜥蜴等爬行类及乌鸦和麻雀等普通鸟类。项目评价范围无林地、水域、沼泽、草甸、石山、石崖等适宜鸟类栖息、繁殖的生境分布，无</w:t>
            </w:r>
            <w:r>
              <w:rPr>
                <w:rFonts w:hint="default"/>
                <w:color w:val="auto"/>
                <w:lang w:val="en-US" w:eastAsia="zh-CN"/>
              </w:rPr>
              <w:t>《国家重点保护野生动物名录</w:t>
            </w:r>
            <w:r>
              <w:rPr>
                <w:rFonts w:hint="eastAsia" w:ascii="Times New Roman" w:eastAsia="宋体"/>
                <w:color w:val="auto"/>
                <w:lang w:val="en-US" w:eastAsia="zh-CN"/>
              </w:rPr>
              <w:t>（2021年）</w:t>
            </w:r>
            <w:r>
              <w:rPr>
                <w:rFonts w:hint="default"/>
                <w:color w:val="auto"/>
                <w:lang w:val="en-US" w:eastAsia="zh-CN"/>
              </w:rPr>
              <w:t>》《新疆维吾尔自治区重点保护野生动物名录（20</w:t>
            </w:r>
            <w:r>
              <w:rPr>
                <w:rFonts w:hint="eastAsia" w:ascii="Times New Roman" w:eastAsia="宋体"/>
                <w:color w:val="auto"/>
                <w:lang w:val="en-US" w:eastAsia="zh-CN"/>
              </w:rPr>
              <w:t>24</w:t>
            </w:r>
            <w:r>
              <w:rPr>
                <w:rFonts w:hint="default"/>
                <w:color w:val="auto"/>
                <w:lang w:val="en-US" w:eastAsia="zh-CN"/>
              </w:rPr>
              <w:t>年）》中</w:t>
            </w:r>
            <w:r>
              <w:rPr>
                <w:rFonts w:hint="eastAsia" w:ascii="Times New Roman" w:eastAsia="宋体"/>
                <w:color w:val="auto"/>
                <w:lang w:val="en-US" w:eastAsia="zh-CN"/>
              </w:rPr>
              <w:t>的</w:t>
            </w:r>
            <w:r>
              <w:rPr>
                <w:rFonts w:hint="default"/>
                <w:color w:val="auto"/>
                <w:lang w:val="en-US" w:eastAsia="zh-CN"/>
              </w:rPr>
              <w:t>保护野生动物</w:t>
            </w:r>
            <w:r>
              <w:rPr>
                <w:rFonts w:hint="eastAsia" w:ascii="Times New Roman" w:eastAsia="宋体"/>
                <w:color w:val="auto"/>
                <w:lang w:val="en-US" w:eastAsia="zh-CN"/>
              </w:rPr>
              <w:t>。</w:t>
            </w:r>
            <w:r>
              <w:rPr>
                <w:rFonts w:hint="eastAsia"/>
                <w:color w:val="auto"/>
                <w:lang w:val="en-US" w:eastAsia="zh-CN"/>
              </w:rPr>
              <w:t>项目属于水土流失重点治理区，保护目标为：不因本项目造成区域水土流失土地面积的增加。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53" w:type="pct"/>
            <w:shd w:val="clear" w:color="auto" w:fill="auto"/>
            <w:vAlign w:val="center"/>
          </w:tcPr>
          <w:p>
            <w:pPr>
              <w:pStyle w:val="53"/>
              <w:bidi w:val="0"/>
              <w:rPr>
                <w:rFonts w:hint="eastAsia"/>
                <w:color w:val="auto"/>
                <w:lang w:val="en-US" w:eastAsia="zh-CN"/>
              </w:rPr>
            </w:pPr>
            <w:bookmarkStart w:id="28" w:name="_Hlk136793712"/>
            <w:r>
              <w:rPr>
                <w:rFonts w:hint="eastAsia"/>
                <w:color w:val="auto"/>
                <w:lang w:val="en-US" w:eastAsia="zh-CN"/>
              </w:rPr>
              <w:t>评价</w:t>
            </w:r>
          </w:p>
          <w:p>
            <w:pPr>
              <w:pStyle w:val="53"/>
              <w:bidi w:val="0"/>
              <w:rPr>
                <w:rFonts w:hint="default"/>
                <w:color w:val="auto"/>
                <w:lang w:val="en-US" w:eastAsia="zh-CN"/>
              </w:rPr>
            </w:pPr>
            <w:r>
              <w:rPr>
                <w:rFonts w:hint="eastAsia"/>
                <w:color w:val="auto"/>
                <w:lang w:val="en-US" w:eastAsia="zh-CN"/>
              </w:rPr>
              <w:t>标准</w:t>
            </w:r>
          </w:p>
        </w:tc>
        <w:tc>
          <w:tcPr>
            <w:tcW w:w="4746" w:type="pct"/>
            <w:vAlign w:val="center"/>
          </w:tcPr>
          <w:p>
            <w:pPr>
              <w:pStyle w:val="32"/>
              <w:keepNext w:val="0"/>
              <w:keepLines w:val="0"/>
              <w:pageBreakBefore w:val="0"/>
              <w:widowControl w:val="0"/>
              <w:numPr>
                <w:ilvl w:val="0"/>
                <w:numId w:val="10"/>
              </w:numPr>
              <w:kinsoku/>
              <w:wordWrap/>
              <w:overflowPunct/>
              <w:topLinePunct w:val="0"/>
              <w:bidi w:val="0"/>
              <w:snapToGrid w:val="0"/>
              <w:spacing w:before="0" w:after="0"/>
              <w:textAlignment w:val="auto"/>
              <w:rPr>
                <w:rFonts w:hint="default" w:ascii="Times New Roman" w:hAnsi="Times New Roman" w:cs="Times New Roman"/>
                <w:color w:val="auto"/>
              </w:rPr>
            </w:pPr>
            <w:r>
              <w:rPr>
                <w:rFonts w:hint="default" w:ascii="Times New Roman" w:hAnsi="Times New Roman" w:cs="Times New Roman"/>
                <w:color w:val="auto"/>
              </w:rPr>
              <w:t>环境质量标准</w:t>
            </w:r>
          </w:p>
          <w:p>
            <w:pPr>
              <w:pStyle w:val="36"/>
              <w:bidi w:val="0"/>
              <w:rPr>
                <w:rFonts w:hint="default"/>
                <w:color w:val="auto"/>
                <w:lang w:eastAsia="zh-CN"/>
              </w:rPr>
            </w:pPr>
            <w:r>
              <w:rPr>
                <w:rFonts w:hint="default"/>
                <w:color w:val="auto"/>
                <w:lang w:val="en-US" w:eastAsia="zh-CN"/>
              </w:rPr>
              <w:t>环境空气</w:t>
            </w:r>
            <w:r>
              <w:rPr>
                <w:rFonts w:hint="default"/>
                <w:color w:val="auto"/>
              </w:rPr>
              <w:t>基本污染物</w:t>
            </w:r>
            <w:r>
              <w:rPr>
                <w:rFonts w:hint="default"/>
                <w:color w:val="auto"/>
                <w:lang w:val="en-US" w:eastAsia="zh-CN"/>
              </w:rPr>
              <w:t>执行</w:t>
            </w:r>
            <w:r>
              <w:rPr>
                <w:rFonts w:hint="default"/>
                <w:color w:val="auto"/>
              </w:rPr>
              <w:t>《环境空气质量标准》（GB3095-2012）及修改单中二级标准</w:t>
            </w:r>
            <w:r>
              <w:rPr>
                <w:rFonts w:hint="default"/>
                <w:color w:val="auto"/>
                <w:lang w:eastAsia="zh-CN"/>
              </w:rPr>
              <w:t>。</w:t>
            </w:r>
          </w:p>
          <w:p>
            <w:pPr>
              <w:pStyle w:val="32"/>
              <w:keepNext w:val="0"/>
              <w:keepLines w:val="0"/>
              <w:pageBreakBefore w:val="0"/>
              <w:widowControl w:val="0"/>
              <w:numPr>
                <w:ilvl w:val="0"/>
                <w:numId w:val="10"/>
              </w:numPr>
              <w:kinsoku/>
              <w:wordWrap/>
              <w:overflowPunct/>
              <w:topLinePunct w:val="0"/>
              <w:bidi w:val="0"/>
              <w:snapToGrid w:val="0"/>
              <w:spacing w:before="0" w:after="0"/>
              <w:textAlignment w:val="auto"/>
              <w:rPr>
                <w:rFonts w:hint="default" w:ascii="Times New Roman" w:hAnsi="Times New Roman" w:cs="Times New Roman"/>
                <w:color w:val="auto"/>
              </w:rPr>
            </w:pPr>
            <w:r>
              <w:rPr>
                <w:rFonts w:hint="default" w:ascii="Times New Roman" w:hAnsi="Times New Roman" w:cs="Times New Roman"/>
                <w:color w:val="auto"/>
              </w:rPr>
              <w:t>污染物排放标准</w:t>
            </w:r>
          </w:p>
          <w:p>
            <w:pPr>
              <w:pStyle w:val="31"/>
              <w:numPr>
                <w:ilvl w:val="1"/>
                <w:numId w:val="11"/>
              </w:numPr>
              <w:bidi w:val="0"/>
              <w:rPr>
                <w:rFonts w:hint="default"/>
                <w:color w:val="auto"/>
              </w:rPr>
            </w:pPr>
            <w:r>
              <w:rPr>
                <w:rFonts w:hint="default"/>
                <w:color w:val="auto"/>
                <w:lang w:val="en-US" w:eastAsia="zh-CN"/>
              </w:rPr>
              <w:t>废气</w:t>
            </w:r>
          </w:p>
          <w:p>
            <w:pPr>
              <w:pStyle w:val="36"/>
              <w:bidi w:val="0"/>
              <w:rPr>
                <w:rFonts w:hint="default"/>
                <w:color w:val="auto"/>
                <w:lang w:eastAsia="zh-CN"/>
              </w:rPr>
            </w:pPr>
            <w:r>
              <w:rPr>
                <w:rFonts w:hint="default"/>
                <w:color w:val="auto"/>
              </w:rPr>
              <w:t>①</w:t>
            </w:r>
            <w:r>
              <w:rPr>
                <w:rFonts w:hint="default"/>
                <w:color w:val="auto"/>
                <w:lang w:val="en-US" w:eastAsia="zh-CN"/>
              </w:rPr>
              <w:t>扬尘执行</w:t>
            </w:r>
            <w:r>
              <w:rPr>
                <w:rFonts w:hint="default"/>
                <w:color w:val="auto"/>
              </w:rPr>
              <w:t>《大气污染物综合排放标准》（GB16297-1996）周界外浓度最高点限值，≤1.0mg/m³</w:t>
            </w:r>
            <w:r>
              <w:rPr>
                <w:rFonts w:hint="default"/>
                <w:color w:val="auto"/>
                <w:lang w:eastAsia="zh-CN"/>
              </w:rPr>
              <w:t>；</w:t>
            </w:r>
          </w:p>
          <w:p>
            <w:pPr>
              <w:pStyle w:val="36"/>
              <w:bidi w:val="0"/>
              <w:rPr>
                <w:rFonts w:hint="default"/>
                <w:color w:val="auto"/>
                <w:lang w:val="en-US" w:eastAsia="zh-CN"/>
              </w:rPr>
            </w:pPr>
            <w:r>
              <w:rPr>
                <w:rFonts w:hint="default"/>
                <w:color w:val="auto"/>
              </w:rPr>
              <w:t>②试油期无组织排放非甲烷总烃参照《陆上石油天然气开采工业大气污染物排放标准》（GB39728-2020）限值</w:t>
            </w:r>
            <w:r>
              <w:rPr>
                <w:rFonts w:hint="default"/>
                <w:color w:val="auto"/>
                <w:lang w:eastAsia="zh-CN"/>
              </w:rPr>
              <w:t>；</w:t>
            </w:r>
          </w:p>
          <w:p>
            <w:pPr>
              <w:pStyle w:val="36"/>
              <w:bidi w:val="0"/>
              <w:rPr>
                <w:rFonts w:hint="default"/>
                <w:color w:val="auto"/>
              </w:rPr>
            </w:pPr>
            <w:r>
              <w:rPr>
                <w:rFonts w:hint="default"/>
                <w:color w:val="auto"/>
              </w:rPr>
              <w:t>③</w:t>
            </w:r>
            <w:r>
              <w:rPr>
                <w:rFonts w:hint="default"/>
                <w:color w:val="auto"/>
                <w:lang w:val="en-US" w:eastAsia="zh-CN"/>
              </w:rPr>
              <w:t>车辆尾气、柴油机、发电机排放废气、</w:t>
            </w:r>
            <w:r>
              <w:rPr>
                <w:rFonts w:hint="default"/>
                <w:color w:val="auto"/>
              </w:rPr>
              <w:t>伴生气燃烧</w:t>
            </w:r>
            <w:r>
              <w:rPr>
                <w:rFonts w:hint="default"/>
                <w:color w:val="auto"/>
                <w:lang w:val="en-US" w:eastAsia="zh-CN"/>
              </w:rPr>
              <w:t>废气</w:t>
            </w:r>
            <w:r>
              <w:rPr>
                <w:rFonts w:hint="default"/>
                <w:color w:val="auto"/>
              </w:rPr>
              <w:t>执行《大气污染物综合排放标准》（GB16297-1996）厂界无组织</w:t>
            </w:r>
            <w:r>
              <w:rPr>
                <w:rFonts w:hint="default"/>
                <w:color w:val="auto"/>
                <w:lang w:val="en-US" w:eastAsia="zh-CN"/>
              </w:rPr>
              <w:t>排放限值。</w:t>
            </w:r>
          </w:p>
          <w:p>
            <w:pPr>
              <w:pStyle w:val="31"/>
              <w:numPr>
                <w:ilvl w:val="1"/>
                <w:numId w:val="8"/>
              </w:numPr>
              <w:bidi w:val="0"/>
              <w:rPr>
                <w:rFonts w:hint="default"/>
                <w:color w:val="auto"/>
                <w:lang w:val="en-US" w:eastAsia="zh-CN"/>
              </w:rPr>
            </w:pPr>
            <w:r>
              <w:rPr>
                <w:rFonts w:hint="default"/>
                <w:color w:val="auto"/>
                <w:lang w:val="en-US" w:eastAsia="zh-CN"/>
              </w:rPr>
              <w:t>噪声</w:t>
            </w:r>
          </w:p>
          <w:p>
            <w:pPr>
              <w:pStyle w:val="36"/>
              <w:bidi w:val="0"/>
              <w:rPr>
                <w:rFonts w:hint="eastAsia"/>
                <w:color w:val="auto"/>
                <w:lang w:eastAsia="zh-CN"/>
              </w:rPr>
            </w:pPr>
            <w:r>
              <w:rPr>
                <w:rFonts w:hint="default"/>
                <w:color w:val="auto"/>
              </w:rPr>
              <w:t>施工期噪声执行《建筑施工场界环境噪声排放标准》（GB12523-2011）</w:t>
            </w:r>
            <w:r>
              <w:rPr>
                <w:rFonts w:hint="eastAsia"/>
                <w:color w:val="auto"/>
                <w:lang w:eastAsia="zh-CN"/>
              </w:rPr>
              <w:t>。</w:t>
            </w:r>
          </w:p>
          <w:p>
            <w:pPr>
              <w:pStyle w:val="31"/>
              <w:numPr>
                <w:ilvl w:val="1"/>
                <w:numId w:val="8"/>
              </w:numPr>
              <w:bidi w:val="0"/>
              <w:rPr>
                <w:rFonts w:hint="default"/>
                <w:color w:val="auto"/>
                <w:lang w:val="en-US" w:eastAsia="zh-CN"/>
              </w:rPr>
            </w:pPr>
            <w:r>
              <w:rPr>
                <w:rFonts w:hint="default"/>
                <w:color w:val="auto"/>
                <w:lang w:val="en-US" w:eastAsia="zh-CN"/>
              </w:rPr>
              <w:t>固体废物</w:t>
            </w:r>
          </w:p>
          <w:p>
            <w:pPr>
              <w:pStyle w:val="36"/>
              <w:bidi w:val="0"/>
              <w:rPr>
                <w:rFonts w:hint="default"/>
                <w:color w:val="auto"/>
              </w:rPr>
            </w:pPr>
            <w:r>
              <w:rPr>
                <w:rFonts w:hint="default"/>
                <w:color w:val="auto"/>
              </w:rPr>
              <w:t>①一般工业固废执行《一般工业固体废物贮存和填埋污染控制标准》（GB18599-2020）；</w:t>
            </w:r>
          </w:p>
          <w:p>
            <w:pPr>
              <w:pStyle w:val="36"/>
              <w:bidi w:val="0"/>
              <w:rPr>
                <w:rFonts w:hint="default"/>
                <w:color w:val="auto"/>
                <w:lang w:val="en-US" w:eastAsia="zh-CN"/>
              </w:rPr>
            </w:pPr>
            <w:r>
              <w:rPr>
                <w:rFonts w:hint="default"/>
                <w:color w:val="auto"/>
              </w:rPr>
              <w:t>②危险废物执行《危险废物贮存污染控制标准》（GB18597-2023）、《危险废物收集 贮存 运输技术规范》（HJ2025-2012）、《危险废物管理计划和管理台账制定技术导则》（HJ1259-2022）</w:t>
            </w:r>
            <w:r>
              <w:rPr>
                <w:rFonts w:hint="default"/>
                <w:color w:val="auto"/>
                <w:lang w:eastAsia="zh-CN"/>
              </w:rPr>
              <w:t>。</w:t>
            </w:r>
          </w:p>
        </w:tc>
      </w:tr>
      <w:bookmark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53" w:type="pct"/>
            <w:vAlign w:val="center"/>
          </w:tcPr>
          <w:p>
            <w:pPr>
              <w:pStyle w:val="53"/>
              <w:bidi w:val="0"/>
              <w:spacing w:line="240" w:lineRule="auto"/>
              <w:rPr>
                <w:rFonts w:hint="default"/>
                <w:color w:val="auto"/>
              </w:rPr>
            </w:pPr>
            <w:r>
              <w:rPr>
                <w:rFonts w:hint="default"/>
                <w:color w:val="auto"/>
              </w:rPr>
              <w:t>其他</w:t>
            </w:r>
          </w:p>
        </w:tc>
        <w:tc>
          <w:tcPr>
            <w:tcW w:w="4746" w:type="pct"/>
            <w:vAlign w:val="center"/>
          </w:tcPr>
          <w:p>
            <w:pPr>
              <w:pStyle w:val="36"/>
              <w:bidi w:val="0"/>
              <w:rPr>
                <w:rFonts w:hint="default"/>
                <w:color w:val="auto"/>
                <w:lang w:val="en-US" w:eastAsia="zh-CN"/>
              </w:rPr>
            </w:pPr>
            <w:r>
              <w:rPr>
                <w:rFonts w:hint="default"/>
                <w:color w:val="auto"/>
              </w:rPr>
              <w:t>总量控制指标：本项目不涉及总量控制指标。</w:t>
            </w:r>
          </w:p>
        </w:tc>
      </w:tr>
    </w:tbl>
    <w:p>
      <w:pPr>
        <w:pStyle w:val="36"/>
        <w:bidi w:val="0"/>
        <w:rPr>
          <w:rFonts w:hint="default"/>
          <w:color w:val="auto"/>
        </w:rPr>
        <w:sectPr>
          <w:pgSz w:w="11906" w:h="16838"/>
          <w:pgMar w:top="1417" w:right="1587" w:bottom="1417"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rPr>
          <w:rFonts w:hint="default" w:ascii="Times New Roman" w:hAnsi="Times New Roman" w:eastAsia="黑体" w:cs="Times New Roman"/>
          <w:b w:val="0"/>
          <w:bCs/>
          <w:color w:val="auto"/>
          <w:sz w:val="30"/>
          <w:szCs w:val="30"/>
          <w:highlight w:val="none"/>
        </w:rPr>
      </w:pPr>
      <w:bookmarkStart w:id="29" w:name="_Toc1264"/>
      <w:r>
        <w:rPr>
          <w:rFonts w:hint="default" w:ascii="Times New Roman" w:hAnsi="Times New Roman" w:eastAsia="黑体" w:cs="Times New Roman"/>
          <w:b w:val="0"/>
          <w:bCs/>
          <w:color w:val="auto"/>
          <w:sz w:val="30"/>
          <w:szCs w:val="30"/>
          <w:highlight w:val="none"/>
        </w:rPr>
        <w:t>四、生态环境影响分析</w:t>
      </w:r>
      <w:bookmarkEnd w:id="29"/>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3" w:type="pct"/>
            <w:vAlign w:val="center"/>
          </w:tcPr>
          <w:p>
            <w:pPr>
              <w:pStyle w:val="53"/>
              <w:bidi w:val="0"/>
              <w:rPr>
                <w:rFonts w:hint="default"/>
                <w:color w:val="auto"/>
              </w:rPr>
            </w:pPr>
            <w:r>
              <w:rPr>
                <w:rFonts w:hint="default"/>
                <w:color w:val="auto"/>
              </w:rPr>
              <w:t>施工期生态环境影响分析</w:t>
            </w:r>
          </w:p>
        </w:tc>
        <w:tc>
          <w:tcPr>
            <w:tcW w:w="4746" w:type="pct"/>
          </w:tcPr>
          <w:p>
            <w:pPr>
              <w:pStyle w:val="32"/>
              <w:numPr>
                <w:ilvl w:val="0"/>
                <w:numId w:val="12"/>
              </w:numPr>
              <w:bidi w:val="0"/>
              <w:rPr>
                <w:rFonts w:hint="default"/>
                <w:color w:val="auto"/>
              </w:rPr>
            </w:pPr>
            <w:bookmarkStart w:id="30" w:name="_Hlk136794071"/>
            <w:r>
              <w:rPr>
                <w:rFonts w:hint="default"/>
                <w:color w:val="auto"/>
              </w:rPr>
              <w:t>生态影响分析</w:t>
            </w:r>
          </w:p>
          <w:bookmarkEnd w:id="30"/>
          <w:p>
            <w:pPr>
              <w:pStyle w:val="31"/>
              <w:numPr>
                <w:ilvl w:val="1"/>
                <w:numId w:val="5"/>
              </w:numPr>
              <w:bidi w:val="0"/>
              <w:ind w:left="0" w:leftChars="0" w:firstLine="480" w:firstLineChars="200"/>
              <w:rPr>
                <w:rFonts w:hint="default"/>
                <w:color w:val="auto"/>
              </w:rPr>
            </w:pPr>
            <w:r>
              <w:rPr>
                <w:rFonts w:hint="default"/>
                <w:color w:val="auto"/>
              </w:rPr>
              <w:t>工程占地</w:t>
            </w:r>
          </w:p>
          <w:p>
            <w:pPr>
              <w:pStyle w:val="36"/>
              <w:bidi w:val="0"/>
              <w:rPr>
                <w:rFonts w:hint="default" w:eastAsia="宋体"/>
                <w:color w:val="auto"/>
                <w:lang w:val="en-US" w:eastAsia="zh-CN"/>
              </w:rPr>
            </w:pPr>
            <w:r>
              <w:rPr>
                <w:rFonts w:hint="default"/>
                <w:color w:val="auto"/>
                <w:lang w:val="en-US" w:eastAsia="zh-CN"/>
              </w:rPr>
              <w:t>项目</w:t>
            </w:r>
            <w:r>
              <w:rPr>
                <w:rFonts w:hint="eastAsia"/>
                <w:color w:val="auto"/>
                <w:lang w:val="en-US" w:eastAsia="zh-CN"/>
              </w:rPr>
              <w:t>占地土地利用现状</w:t>
            </w:r>
            <w:r>
              <w:rPr>
                <w:rFonts w:hint="eastAsia" w:ascii="Times New Roman" w:eastAsia="宋体"/>
                <w:color w:val="auto"/>
                <w:lang w:val="en-US" w:eastAsia="zh-CN"/>
              </w:rPr>
              <w:t>类型</w:t>
            </w:r>
            <w:r>
              <w:rPr>
                <w:rFonts w:hint="eastAsia"/>
                <w:color w:val="auto"/>
                <w:lang w:val="en-US" w:eastAsia="zh-CN"/>
              </w:rPr>
              <w:t>主要是天然牧草地，探临道路占用少量农村道路用地，</w:t>
            </w:r>
            <w:r>
              <w:rPr>
                <w:rFonts w:hint="default"/>
                <w:color w:val="auto"/>
              </w:rPr>
              <w:t>占地情况</w:t>
            </w:r>
            <w:r>
              <w:rPr>
                <w:rFonts w:hint="eastAsia"/>
                <w:color w:val="auto"/>
                <w:lang w:val="en-US" w:eastAsia="zh-CN"/>
              </w:rPr>
              <w:t>详</w:t>
            </w:r>
            <w:r>
              <w:rPr>
                <w:rFonts w:hint="default"/>
                <w:color w:val="auto"/>
              </w:rPr>
              <w:t>见表</w:t>
            </w:r>
            <w:r>
              <w:rPr>
                <w:rFonts w:hint="default"/>
                <w:color w:val="auto"/>
                <w:lang w:val="en-US" w:eastAsia="zh-CN"/>
              </w:rPr>
              <w:t>4-1</w:t>
            </w:r>
            <w:r>
              <w:rPr>
                <w:rFonts w:hint="default"/>
                <w:color w:val="auto"/>
              </w:rPr>
              <w:t>。</w:t>
            </w:r>
            <w:r>
              <w:rPr>
                <w:rFonts w:hint="eastAsia"/>
                <w:color w:val="auto"/>
                <w:lang w:val="en-US" w:eastAsia="zh-CN"/>
              </w:rPr>
              <w:t>项目为临时用地，施工期间会改变天然牧草地的使用功能，但随着施工结束，场地得到恢复，天然牧草地可得到恢复，项目不会改变土地利用类型。</w:t>
            </w:r>
          </w:p>
          <w:p>
            <w:pPr>
              <w:pStyle w:val="52"/>
              <w:bidi w:val="0"/>
              <w:rPr>
                <w:rFonts w:hint="default"/>
                <w:color w:val="auto"/>
              </w:rPr>
            </w:pPr>
            <w:bookmarkStart w:id="31" w:name="_Ref67772631"/>
            <w:r>
              <w:rPr>
                <w:rFonts w:hint="default"/>
                <w:color w:val="auto"/>
              </w:rPr>
              <w:t>表</w:t>
            </w:r>
            <w:r>
              <w:rPr>
                <w:rFonts w:hint="default"/>
                <w:color w:val="auto"/>
                <w:lang w:val="en-US" w:eastAsia="zh-CN"/>
              </w:rPr>
              <w:t>4-1</w:t>
            </w:r>
            <w:r>
              <w:rPr>
                <w:rFonts w:hint="default"/>
                <w:color w:val="auto"/>
              </w:rPr>
              <w:t xml:space="preserve">  </w:t>
            </w:r>
            <w:r>
              <w:rPr>
                <w:rFonts w:hint="default"/>
                <w:color w:val="auto"/>
                <w:lang w:val="en-US" w:eastAsia="zh-CN"/>
              </w:rPr>
              <w:t>本项目</w:t>
            </w:r>
            <w:r>
              <w:rPr>
                <w:rFonts w:hint="default"/>
                <w:color w:val="auto"/>
              </w:rPr>
              <w:t>占地</w:t>
            </w:r>
            <w:r>
              <w:rPr>
                <w:rFonts w:hint="default"/>
                <w:color w:val="auto"/>
                <w:lang w:val="en-US" w:eastAsia="zh-CN"/>
              </w:rPr>
              <w:t>面积及土地利用类型</w:t>
            </w:r>
            <w:r>
              <w:rPr>
                <w:rFonts w:hint="default"/>
                <w:color w:val="auto"/>
              </w:rPr>
              <w:t>一览表</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57" w:type="dxa"/>
                <w:bottom w:w="0" w:type="dxa"/>
                <w:right w:w="57" w:type="dxa"/>
              </w:tblCellMar>
            </w:tblPr>
            <w:tblGrid>
              <w:gridCol w:w="1443"/>
              <w:gridCol w:w="1752"/>
              <w:gridCol w:w="2190"/>
              <w:gridCol w:w="288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872" w:type="pct"/>
                  <w:vAlign w:val="center"/>
                </w:tcPr>
                <w:p>
                  <w:pPr>
                    <w:pStyle w:val="33"/>
                    <w:bidi w:val="0"/>
                    <w:rPr>
                      <w:rFonts w:hint="default"/>
                      <w:color w:val="auto"/>
                    </w:rPr>
                  </w:pPr>
                  <w:bookmarkStart w:id="32" w:name="_Hlk180059234"/>
                  <w:r>
                    <w:rPr>
                      <w:rFonts w:hint="default"/>
                      <w:color w:val="auto"/>
                      <w:lang w:val="en-US" w:eastAsia="zh-CN"/>
                    </w:rPr>
                    <w:t>项目占地</w:t>
                  </w:r>
                </w:p>
              </w:tc>
              <w:tc>
                <w:tcPr>
                  <w:tcW w:w="1059" w:type="pct"/>
                  <w:tcBorders>
                    <w:right w:val="single" w:color="auto" w:sz="4" w:space="0"/>
                  </w:tcBorders>
                  <w:vAlign w:val="center"/>
                </w:tcPr>
                <w:p>
                  <w:pPr>
                    <w:pStyle w:val="33"/>
                    <w:bidi w:val="0"/>
                    <w:rPr>
                      <w:rFonts w:hint="default"/>
                      <w:color w:val="auto"/>
                    </w:rPr>
                  </w:pPr>
                  <w:r>
                    <w:rPr>
                      <w:rFonts w:hint="default"/>
                      <w:color w:val="auto"/>
                      <w:lang w:val="en-US" w:eastAsia="zh-CN"/>
                    </w:rPr>
                    <w:t>占地</w:t>
                  </w:r>
                  <w:r>
                    <w:rPr>
                      <w:rFonts w:hint="default"/>
                      <w:color w:val="auto"/>
                    </w:rPr>
                    <w:t>面积（m</w:t>
                  </w:r>
                  <w:r>
                    <w:rPr>
                      <w:rFonts w:hint="default"/>
                      <w:color w:val="auto"/>
                      <w:vertAlign w:val="superscript"/>
                    </w:rPr>
                    <w:t>2</w:t>
                  </w:r>
                  <w:r>
                    <w:rPr>
                      <w:rFonts w:hint="default"/>
                      <w:color w:val="auto"/>
                    </w:rPr>
                    <w:t>）</w:t>
                  </w:r>
                </w:p>
              </w:tc>
              <w:tc>
                <w:tcPr>
                  <w:tcW w:w="1324" w:type="pct"/>
                  <w:tcBorders>
                    <w:left w:val="single" w:color="auto" w:sz="4" w:space="0"/>
                  </w:tcBorders>
                  <w:vAlign w:val="center"/>
                </w:tcPr>
                <w:p>
                  <w:pPr>
                    <w:pStyle w:val="33"/>
                    <w:bidi w:val="0"/>
                    <w:rPr>
                      <w:rFonts w:hint="default"/>
                      <w:color w:val="auto"/>
                      <w:lang w:val="en-US" w:eastAsia="zh-CN"/>
                    </w:rPr>
                  </w:pPr>
                  <w:r>
                    <w:rPr>
                      <w:rFonts w:hint="eastAsia"/>
                      <w:color w:val="auto"/>
                      <w:lang w:val="en-US" w:eastAsia="zh-CN"/>
                    </w:rPr>
                    <w:t>尺寸（长×宽/m）</w:t>
                  </w:r>
                </w:p>
              </w:tc>
              <w:tc>
                <w:tcPr>
                  <w:tcW w:w="1743" w:type="pct"/>
                  <w:tcBorders>
                    <w:left w:val="single" w:color="auto" w:sz="4" w:space="0"/>
                  </w:tcBorders>
                  <w:vAlign w:val="center"/>
                </w:tcPr>
                <w:p>
                  <w:pPr>
                    <w:pStyle w:val="33"/>
                    <w:bidi w:val="0"/>
                    <w:rPr>
                      <w:rFonts w:hint="default"/>
                      <w:color w:val="auto"/>
                      <w:lang w:val="en-US" w:eastAsia="zh-CN"/>
                    </w:rPr>
                  </w:pPr>
                  <w:r>
                    <w:rPr>
                      <w:rFonts w:hint="default"/>
                      <w:color w:val="auto"/>
                      <w:lang w:val="en-US" w:eastAsia="zh-CN"/>
                    </w:rPr>
                    <w:t>土地利用类型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872" w:type="pct"/>
                  <w:vMerge w:val="restart"/>
                  <w:vAlign w:val="center"/>
                </w:tcPr>
                <w:p>
                  <w:pPr>
                    <w:pStyle w:val="33"/>
                    <w:bidi w:val="0"/>
                    <w:rPr>
                      <w:rFonts w:hint="eastAsia" w:eastAsia="宋体"/>
                      <w:color w:val="auto"/>
                      <w:lang w:eastAsia="zh-CN"/>
                    </w:rPr>
                  </w:pPr>
                  <w:r>
                    <w:rPr>
                      <w:rFonts w:hint="default"/>
                      <w:color w:val="auto"/>
                    </w:rPr>
                    <w:t>井场</w:t>
                  </w:r>
                  <w:r>
                    <w:rPr>
                      <w:rFonts w:hint="eastAsia"/>
                      <w:color w:val="auto"/>
                      <w:lang w:eastAsia="zh-CN"/>
                    </w:rPr>
                    <w:t>（</w:t>
                  </w:r>
                  <w:r>
                    <w:rPr>
                      <w:rFonts w:hint="eastAsia"/>
                      <w:color w:val="auto"/>
                      <w:lang w:val="en-US" w:eastAsia="zh-CN"/>
                    </w:rPr>
                    <w:t>含放喷管线</w:t>
                  </w:r>
                  <w:r>
                    <w:rPr>
                      <w:rFonts w:hint="eastAsia"/>
                      <w:color w:val="auto"/>
                      <w:lang w:eastAsia="zh-CN"/>
                    </w:rPr>
                    <w:t>）</w:t>
                  </w:r>
                </w:p>
              </w:tc>
              <w:tc>
                <w:tcPr>
                  <w:tcW w:w="1059" w:type="pct"/>
                  <w:vMerge w:val="restart"/>
                  <w:tcBorders>
                    <w:right w:val="single" w:color="auto" w:sz="4" w:space="0"/>
                  </w:tcBorders>
                  <w:vAlign w:val="center"/>
                </w:tcPr>
                <w:p>
                  <w:pPr>
                    <w:pStyle w:val="33"/>
                    <w:bidi w:val="0"/>
                    <w:rPr>
                      <w:rFonts w:hint="default"/>
                      <w:color w:val="auto"/>
                      <w:lang w:val="en-US"/>
                    </w:rPr>
                  </w:pPr>
                  <w:r>
                    <w:rPr>
                      <w:rFonts w:hint="eastAsia"/>
                      <w:color w:val="auto"/>
                      <w:lang w:val="en-US" w:eastAsia="zh-CN"/>
                    </w:rPr>
                    <w:t>27776</w:t>
                  </w:r>
                </w:p>
              </w:tc>
              <w:tc>
                <w:tcPr>
                  <w:tcW w:w="1324" w:type="pct"/>
                  <w:tcBorders>
                    <w:left w:val="single" w:color="auto" w:sz="4" w:space="0"/>
                  </w:tcBorders>
                  <w:vAlign w:val="center"/>
                </w:tcPr>
                <w:p>
                  <w:pPr>
                    <w:pStyle w:val="33"/>
                    <w:bidi w:val="0"/>
                    <w:rPr>
                      <w:rFonts w:hint="default"/>
                      <w:color w:val="auto"/>
                      <w:lang w:val="en-US" w:eastAsia="zh-CN"/>
                    </w:rPr>
                  </w:pPr>
                  <w:r>
                    <w:rPr>
                      <w:rFonts w:hint="eastAsia"/>
                      <w:color w:val="auto"/>
                      <w:lang w:val="en-US" w:eastAsia="zh-CN"/>
                    </w:rPr>
                    <w:t>165×110</w:t>
                  </w:r>
                </w:p>
              </w:tc>
              <w:tc>
                <w:tcPr>
                  <w:tcW w:w="1743" w:type="pct"/>
                  <w:vMerge w:val="restart"/>
                  <w:tcBorders>
                    <w:left w:val="single" w:color="auto" w:sz="4" w:space="0"/>
                  </w:tcBorders>
                  <w:vAlign w:val="center"/>
                </w:tcPr>
                <w:p>
                  <w:pPr>
                    <w:pStyle w:val="33"/>
                    <w:bidi w:val="0"/>
                    <w:rPr>
                      <w:rFonts w:hint="default"/>
                      <w:color w:val="auto"/>
                      <w:lang w:val="en-US" w:eastAsia="zh-CN"/>
                    </w:rPr>
                  </w:pPr>
                  <w:r>
                    <w:rPr>
                      <w:rFonts w:hint="eastAsia"/>
                      <w:color w:val="auto"/>
                      <w:lang w:val="en-US" w:eastAsia="zh-CN"/>
                    </w:rPr>
                    <w:t>天然牧草地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872" w:type="pct"/>
                  <w:vMerge w:val="continue"/>
                  <w:vAlign w:val="center"/>
                </w:tcPr>
                <w:p>
                  <w:pPr>
                    <w:pStyle w:val="33"/>
                    <w:bidi w:val="0"/>
                    <w:rPr>
                      <w:rFonts w:hint="default"/>
                      <w:color w:val="auto"/>
                    </w:rPr>
                  </w:pPr>
                </w:p>
              </w:tc>
              <w:tc>
                <w:tcPr>
                  <w:tcW w:w="1059" w:type="pct"/>
                  <w:vMerge w:val="continue"/>
                  <w:tcBorders>
                    <w:right w:val="single" w:color="auto" w:sz="4" w:space="0"/>
                  </w:tcBorders>
                  <w:vAlign w:val="center"/>
                </w:tcPr>
                <w:p>
                  <w:pPr>
                    <w:pStyle w:val="33"/>
                    <w:bidi w:val="0"/>
                    <w:rPr>
                      <w:rFonts w:hint="eastAsia"/>
                      <w:color w:val="auto"/>
                      <w:lang w:val="en-US" w:eastAsia="zh-CN"/>
                    </w:rPr>
                  </w:pPr>
                </w:p>
              </w:tc>
              <w:tc>
                <w:tcPr>
                  <w:tcW w:w="1324" w:type="pct"/>
                  <w:tcBorders>
                    <w:left w:val="single" w:color="auto" w:sz="4" w:space="0"/>
                  </w:tcBorders>
                  <w:vAlign w:val="center"/>
                </w:tcPr>
                <w:p>
                  <w:pPr>
                    <w:pStyle w:val="33"/>
                    <w:bidi w:val="0"/>
                    <w:rPr>
                      <w:rFonts w:hint="default"/>
                      <w:color w:val="auto"/>
                      <w:lang w:val="en-US" w:eastAsia="zh-CN"/>
                    </w:rPr>
                  </w:pPr>
                  <w:r>
                    <w:rPr>
                      <w:rFonts w:hint="eastAsia"/>
                      <w:color w:val="auto"/>
                      <w:lang w:val="en-US" w:eastAsia="zh-CN"/>
                    </w:rPr>
                    <w:t>197×37（放喷管线）</w:t>
                  </w:r>
                </w:p>
              </w:tc>
              <w:tc>
                <w:tcPr>
                  <w:tcW w:w="1743" w:type="pct"/>
                  <w:vMerge w:val="continue"/>
                  <w:tcBorders>
                    <w:left w:val="single" w:color="auto" w:sz="4" w:space="0"/>
                  </w:tcBorders>
                  <w:vAlign w:val="center"/>
                </w:tcPr>
                <w:p>
                  <w:pPr>
                    <w:pStyle w:val="33"/>
                    <w:bidi w:val="0"/>
                    <w:rPr>
                      <w:rFonts w:hint="eastAsia"/>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872" w:type="pct"/>
                  <w:vAlign w:val="center"/>
                </w:tcPr>
                <w:p>
                  <w:pPr>
                    <w:pStyle w:val="33"/>
                    <w:bidi w:val="0"/>
                    <w:rPr>
                      <w:rFonts w:hint="default"/>
                      <w:color w:val="auto"/>
                      <w:lang w:eastAsia="zh-CN"/>
                    </w:rPr>
                  </w:pPr>
                  <w:r>
                    <w:rPr>
                      <w:rFonts w:hint="default"/>
                      <w:color w:val="auto"/>
                      <w:lang w:eastAsia="zh-CN"/>
                    </w:rPr>
                    <w:t>探临道路</w:t>
                  </w:r>
                </w:p>
              </w:tc>
              <w:tc>
                <w:tcPr>
                  <w:tcW w:w="1059" w:type="pct"/>
                  <w:tcBorders>
                    <w:right w:val="single" w:color="auto" w:sz="4" w:space="0"/>
                  </w:tcBorders>
                  <w:vAlign w:val="center"/>
                </w:tcPr>
                <w:p>
                  <w:pPr>
                    <w:pStyle w:val="33"/>
                    <w:bidi w:val="0"/>
                    <w:rPr>
                      <w:rFonts w:hint="default"/>
                      <w:color w:val="auto"/>
                      <w:lang w:val="en-US"/>
                    </w:rPr>
                  </w:pPr>
                  <w:r>
                    <w:rPr>
                      <w:rFonts w:hint="eastAsia"/>
                      <w:color w:val="auto"/>
                      <w:lang w:val="en-US" w:eastAsia="zh-CN"/>
                    </w:rPr>
                    <w:t>81712</w:t>
                  </w:r>
                </w:p>
              </w:tc>
              <w:tc>
                <w:tcPr>
                  <w:tcW w:w="1324" w:type="pct"/>
                  <w:tcBorders>
                    <w:left w:val="single" w:color="auto" w:sz="4" w:space="0"/>
                  </w:tcBorders>
                  <w:shd w:val="clear" w:color="auto" w:fill="auto"/>
                  <w:vAlign w:val="center"/>
                </w:tcPr>
                <w:p>
                  <w:pPr>
                    <w:pStyle w:val="33"/>
                    <w:bidi w:val="0"/>
                    <w:rPr>
                      <w:rFonts w:hint="default"/>
                      <w:color w:val="auto"/>
                      <w:lang w:val="en-US" w:eastAsia="zh-CN"/>
                    </w:rPr>
                  </w:pPr>
                  <w:r>
                    <w:rPr>
                      <w:rFonts w:hint="eastAsia"/>
                      <w:color w:val="auto"/>
                      <w:lang w:val="en-US" w:eastAsia="zh-CN"/>
                    </w:rPr>
                    <w:t>5767×14.1</w:t>
                  </w:r>
                </w:p>
              </w:tc>
              <w:tc>
                <w:tcPr>
                  <w:tcW w:w="1743" w:type="pct"/>
                  <w:tcBorders>
                    <w:left w:val="single" w:color="auto" w:sz="4" w:space="0"/>
                  </w:tcBorders>
                  <w:shd w:val="clear" w:color="auto" w:fill="auto"/>
                  <w:vAlign w:val="center"/>
                </w:tcPr>
                <w:p>
                  <w:pPr>
                    <w:pStyle w:val="33"/>
                    <w:bidi w:val="0"/>
                    <w:rPr>
                      <w:rFonts w:hint="default"/>
                      <w:color w:val="auto"/>
                      <w:lang w:val="en-US" w:eastAsia="zh-CN"/>
                    </w:rPr>
                  </w:pPr>
                  <w:r>
                    <w:rPr>
                      <w:rFonts w:hint="eastAsia"/>
                      <w:color w:val="auto"/>
                      <w:lang w:val="en-US" w:eastAsia="zh-CN"/>
                    </w:rPr>
                    <w:t>天然牧草地、农村道路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872" w:type="pct"/>
                  <w:vAlign w:val="center"/>
                </w:tcPr>
                <w:p>
                  <w:pPr>
                    <w:pStyle w:val="33"/>
                    <w:bidi w:val="0"/>
                    <w:rPr>
                      <w:rFonts w:hint="default"/>
                      <w:color w:val="auto"/>
                      <w:lang w:val="en-US" w:eastAsia="zh-CN"/>
                    </w:rPr>
                  </w:pPr>
                  <w:r>
                    <w:rPr>
                      <w:rFonts w:hint="eastAsia"/>
                      <w:color w:val="auto"/>
                      <w:lang w:val="en-US" w:eastAsia="zh-CN"/>
                    </w:rPr>
                    <w:t>生活营地</w:t>
                  </w:r>
                </w:p>
              </w:tc>
              <w:tc>
                <w:tcPr>
                  <w:tcW w:w="1059" w:type="pct"/>
                  <w:tcBorders>
                    <w:right w:val="single" w:color="auto" w:sz="4" w:space="0"/>
                  </w:tcBorders>
                  <w:vAlign w:val="center"/>
                </w:tcPr>
                <w:p>
                  <w:pPr>
                    <w:pStyle w:val="33"/>
                    <w:bidi w:val="0"/>
                    <w:rPr>
                      <w:rFonts w:hint="default"/>
                      <w:color w:val="auto"/>
                      <w:lang w:val="en-US" w:eastAsia="zh-CN"/>
                    </w:rPr>
                  </w:pPr>
                  <w:r>
                    <w:rPr>
                      <w:rFonts w:hint="eastAsia"/>
                      <w:color w:val="auto"/>
                      <w:lang w:val="en-US" w:eastAsia="zh-CN"/>
                    </w:rPr>
                    <w:t>3665</w:t>
                  </w:r>
                </w:p>
              </w:tc>
              <w:tc>
                <w:tcPr>
                  <w:tcW w:w="1324" w:type="pct"/>
                  <w:tcBorders>
                    <w:left w:val="single" w:color="auto" w:sz="4" w:space="0"/>
                  </w:tcBorders>
                  <w:shd w:val="clear" w:color="auto" w:fill="auto"/>
                  <w:vAlign w:val="center"/>
                </w:tcPr>
                <w:p>
                  <w:pPr>
                    <w:pStyle w:val="33"/>
                    <w:bidi w:val="0"/>
                    <w:rPr>
                      <w:rFonts w:hint="default"/>
                      <w:color w:val="auto"/>
                      <w:lang w:val="en-US" w:eastAsia="zh-CN"/>
                    </w:rPr>
                  </w:pPr>
                  <w:r>
                    <w:rPr>
                      <w:rFonts w:hint="eastAsia"/>
                      <w:color w:val="auto"/>
                      <w:lang w:val="en-US" w:eastAsia="zh-CN"/>
                    </w:rPr>
                    <w:t>70×51</w:t>
                  </w:r>
                </w:p>
              </w:tc>
              <w:tc>
                <w:tcPr>
                  <w:tcW w:w="1743" w:type="pct"/>
                  <w:tcBorders>
                    <w:left w:val="single" w:color="auto" w:sz="4" w:space="0"/>
                  </w:tcBorders>
                  <w:shd w:val="clear" w:color="auto" w:fill="auto"/>
                  <w:vAlign w:val="center"/>
                </w:tcPr>
                <w:p>
                  <w:pPr>
                    <w:pStyle w:val="33"/>
                    <w:bidi w:val="0"/>
                    <w:rPr>
                      <w:rFonts w:hint="default"/>
                      <w:color w:val="auto"/>
                      <w:lang w:val="en-US" w:eastAsia="zh-CN"/>
                    </w:rPr>
                  </w:pPr>
                  <w:r>
                    <w:rPr>
                      <w:rFonts w:hint="eastAsia"/>
                      <w:color w:val="auto"/>
                      <w:lang w:val="en-US" w:eastAsia="zh-CN"/>
                    </w:rPr>
                    <w:t>天然牧草地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872" w:type="pct"/>
                  <w:vAlign w:val="center"/>
                </w:tcPr>
                <w:p>
                  <w:pPr>
                    <w:pStyle w:val="33"/>
                    <w:bidi w:val="0"/>
                    <w:rPr>
                      <w:rFonts w:hint="default"/>
                      <w:color w:val="auto"/>
                    </w:rPr>
                  </w:pPr>
                  <w:r>
                    <w:rPr>
                      <w:rFonts w:hint="default"/>
                      <w:color w:val="auto"/>
                    </w:rPr>
                    <w:t>总计</w:t>
                  </w:r>
                </w:p>
              </w:tc>
              <w:tc>
                <w:tcPr>
                  <w:tcW w:w="1059" w:type="pct"/>
                  <w:tcBorders>
                    <w:right w:val="single" w:color="auto" w:sz="4" w:space="0"/>
                  </w:tcBorders>
                  <w:shd w:val="clear" w:color="auto" w:fill="auto"/>
                  <w:vAlign w:val="center"/>
                </w:tcPr>
                <w:p>
                  <w:pPr>
                    <w:pStyle w:val="33"/>
                    <w:bidi w:val="0"/>
                    <w:rPr>
                      <w:rFonts w:hint="default"/>
                      <w:color w:val="auto"/>
                      <w:lang w:val="en-US" w:eastAsia="zh-CN"/>
                    </w:rPr>
                  </w:pPr>
                  <w:r>
                    <w:rPr>
                      <w:rFonts w:hint="eastAsia"/>
                      <w:color w:val="auto"/>
                      <w:lang w:val="en-US" w:eastAsia="zh-CN"/>
                    </w:rPr>
                    <w:t>113153</w:t>
                  </w:r>
                </w:p>
              </w:tc>
              <w:tc>
                <w:tcPr>
                  <w:tcW w:w="1324" w:type="pct"/>
                  <w:tcBorders>
                    <w:left w:val="single" w:color="auto" w:sz="4" w:space="0"/>
                  </w:tcBorders>
                  <w:shd w:val="clear" w:color="auto" w:fill="auto"/>
                  <w:vAlign w:val="center"/>
                </w:tcPr>
                <w:p>
                  <w:pPr>
                    <w:pStyle w:val="33"/>
                    <w:bidi w:val="0"/>
                    <w:rPr>
                      <w:rFonts w:hint="default"/>
                      <w:color w:val="auto"/>
                      <w:lang w:val="en-US" w:eastAsia="zh-CN"/>
                    </w:rPr>
                  </w:pPr>
                  <w:r>
                    <w:rPr>
                      <w:rFonts w:hint="default"/>
                      <w:color w:val="auto"/>
                      <w:lang w:val="en-US" w:eastAsia="zh-CN"/>
                    </w:rPr>
                    <w:t>—</w:t>
                  </w:r>
                </w:p>
              </w:tc>
              <w:tc>
                <w:tcPr>
                  <w:tcW w:w="1743" w:type="pct"/>
                  <w:tcBorders>
                    <w:left w:val="single" w:color="auto" w:sz="4" w:space="0"/>
                  </w:tcBorders>
                  <w:shd w:val="clear" w:color="auto" w:fill="auto"/>
                  <w:vAlign w:val="center"/>
                </w:tcPr>
                <w:p>
                  <w:pPr>
                    <w:pStyle w:val="33"/>
                    <w:bidi w:val="0"/>
                    <w:rPr>
                      <w:rFonts w:hint="default"/>
                      <w:color w:val="auto"/>
                      <w:lang w:val="en-US" w:eastAsia="zh-CN"/>
                    </w:rPr>
                  </w:pPr>
                  <w:r>
                    <w:rPr>
                      <w:rFonts w:hint="default"/>
                      <w:color w:val="auto"/>
                      <w:lang w:val="en-US" w:eastAsia="zh-CN"/>
                    </w:rPr>
                    <w:t>—</w:t>
                  </w:r>
                </w:p>
              </w:tc>
            </w:tr>
            <w:bookmarkEnd w:id="31"/>
            <w:bookmarkEnd w:id="32"/>
          </w:tbl>
          <w:p>
            <w:pPr>
              <w:pStyle w:val="31"/>
              <w:numPr>
                <w:ilvl w:val="1"/>
                <w:numId w:val="5"/>
              </w:numPr>
              <w:bidi w:val="0"/>
              <w:rPr>
                <w:rFonts w:hint="default"/>
                <w:color w:val="auto"/>
              </w:rPr>
            </w:pPr>
            <w:r>
              <w:rPr>
                <w:rFonts w:hint="default"/>
                <w:color w:val="auto"/>
              </w:rPr>
              <w:t>对植被的影响分析</w:t>
            </w:r>
          </w:p>
          <w:p>
            <w:pPr>
              <w:pStyle w:val="36"/>
              <w:bidi w:val="0"/>
              <w:rPr>
                <w:rFonts w:hint="default"/>
                <w:color w:val="auto"/>
                <w:lang w:val="en-US" w:eastAsia="zh-CN"/>
              </w:rPr>
            </w:pPr>
            <w:r>
              <w:rPr>
                <w:rFonts w:hint="eastAsia"/>
                <w:color w:val="auto"/>
                <w:lang w:val="en-US" w:eastAsia="zh-CN"/>
              </w:rPr>
              <w:t>项目植被类型为荒漠草原，主要分布的植物为伊犁绢蒿和骆驼蓬，平均植被覆盖度15%。项目对植被的直接影响主要是</w:t>
            </w:r>
            <w:r>
              <w:rPr>
                <w:rFonts w:hint="default"/>
                <w:color w:val="auto"/>
              </w:rPr>
              <w:t>钻前工程</w:t>
            </w:r>
            <w:r>
              <w:rPr>
                <w:rFonts w:hint="eastAsia"/>
                <w:color w:val="auto"/>
                <w:lang w:val="en-US" w:eastAsia="zh-CN"/>
              </w:rPr>
              <w:t>对地表清理过程损毁占地范围内的植被损失；间接损失包括施工过程对土地的压占造成植物暂时无法恢复，地表清理等施工活动对造成表层土壤肥力下降，对施工后植被恢复的影响。项目生态影响范围为施工扰动的范围，影响时段为整个施工期及施工结束后的恢复阶段。应在设计、选址、施工和施工后采取避让、减缓、恢复、补偿、管理等措施，降低对生态的不利影响范围和影响程度。</w:t>
            </w:r>
          </w:p>
          <w:p>
            <w:pPr>
              <w:pStyle w:val="31"/>
              <w:numPr>
                <w:ilvl w:val="1"/>
                <w:numId w:val="5"/>
              </w:numPr>
              <w:bidi w:val="0"/>
              <w:rPr>
                <w:rFonts w:hint="default"/>
                <w:color w:val="auto"/>
              </w:rPr>
            </w:pPr>
            <w:r>
              <w:rPr>
                <w:rFonts w:hint="default"/>
                <w:color w:val="auto"/>
              </w:rPr>
              <w:t>对野生动物的影响分析</w:t>
            </w:r>
          </w:p>
          <w:p>
            <w:pPr>
              <w:pStyle w:val="36"/>
              <w:bidi w:val="0"/>
              <w:rPr>
                <w:rFonts w:hint="default"/>
                <w:color w:val="auto"/>
              </w:rPr>
            </w:pPr>
            <w:r>
              <w:rPr>
                <w:rFonts w:hint="eastAsia"/>
                <w:color w:val="auto"/>
                <w:lang w:val="en-US" w:eastAsia="zh-CN"/>
              </w:rPr>
              <w:t>项目</w:t>
            </w:r>
            <w:r>
              <w:rPr>
                <w:rFonts w:hint="default"/>
                <w:color w:val="auto"/>
              </w:rPr>
              <w:t>的实施对野生动物生存环境、分布范围和种群数量的影响分为直接影响和间接影响两个方面。直接影响主要表现为建设项目占地使野生动物的</w:t>
            </w:r>
            <w:r>
              <w:rPr>
                <w:rFonts w:hint="default"/>
                <w:color w:val="auto"/>
                <w:lang w:val="en-US" w:eastAsia="zh-CN"/>
              </w:rPr>
              <w:t>原有</w:t>
            </w:r>
            <w:r>
              <w:rPr>
                <w:rFonts w:hint="default"/>
                <w:color w:val="auto"/>
              </w:rPr>
              <w:t>生存环境被破坏或改变；间接影响主要表现为由于植被的减少或污染破坏而引起野生动物食物来源减少。钻试过程中，由于机械设备的轰鸣惊扰，人群活动的增加，项目区内的野生动物将远离施工现场，使区域内单位面积上的动物种群数量下降，原有的野生动物将逐渐避开人类活动的干扰迁至</w:t>
            </w:r>
            <w:r>
              <w:rPr>
                <w:rFonts w:hint="eastAsia"/>
                <w:color w:val="auto"/>
                <w:lang w:eastAsia="zh-CN"/>
              </w:rPr>
              <w:t>其他</w:t>
            </w:r>
            <w:r>
              <w:rPr>
                <w:rFonts w:hint="default"/>
                <w:color w:val="auto"/>
              </w:rPr>
              <w:t>区域，远离影响范围；</w:t>
            </w:r>
            <w:r>
              <w:rPr>
                <w:rFonts w:hint="eastAsia"/>
                <w:color w:val="auto"/>
                <w:lang w:eastAsia="zh-CN"/>
              </w:rPr>
              <w:t>施工</w:t>
            </w:r>
            <w:r>
              <w:rPr>
                <w:rFonts w:hint="default"/>
                <w:color w:val="auto"/>
              </w:rPr>
              <w:t>设备及车辆发出的噪声、人为活动会惊扰项目区附近的野生动物，影响其觅食、活动等行为。</w:t>
            </w:r>
          </w:p>
          <w:p>
            <w:pPr>
              <w:pStyle w:val="36"/>
              <w:bidi w:val="0"/>
              <w:rPr>
                <w:rFonts w:hint="default"/>
                <w:color w:val="auto"/>
              </w:rPr>
            </w:pPr>
            <w:r>
              <w:rPr>
                <w:rFonts w:hint="eastAsia"/>
                <w:color w:val="auto"/>
                <w:lang w:val="en-US" w:eastAsia="zh-CN"/>
              </w:rPr>
              <w:t>根据现状调查结果，受区域放牧和人类活动影响，项目区无大型陆生野生动物活动，主要分布的野生动物有野兔、田鼠和蜥蜴以及乌鸦、戴胜和麻雀等常见鸟类。</w:t>
            </w:r>
            <w:r>
              <w:rPr>
                <w:rFonts w:hint="default"/>
                <w:color w:val="auto"/>
              </w:rPr>
              <w:t>项目区不是野生动物的唯一栖息地，</w:t>
            </w:r>
            <w:r>
              <w:rPr>
                <w:rFonts w:hint="eastAsia"/>
                <w:color w:val="auto"/>
                <w:lang w:val="en-US" w:eastAsia="zh-CN"/>
              </w:rPr>
              <w:t>施工期</w:t>
            </w:r>
            <w:r>
              <w:rPr>
                <w:rFonts w:hint="default"/>
                <w:color w:val="auto"/>
                <w:lang w:val="en-US" w:eastAsia="zh-CN"/>
              </w:rPr>
              <w:t>野生动物可迁移至周边类似的生境，且</w:t>
            </w:r>
            <w:r>
              <w:rPr>
                <w:rFonts w:hint="default"/>
                <w:color w:val="auto"/>
              </w:rPr>
              <w:t>工程占地面积较小</w:t>
            </w:r>
            <w:r>
              <w:rPr>
                <w:rFonts w:hint="default"/>
                <w:color w:val="auto"/>
                <w:lang w:eastAsia="zh-CN"/>
              </w:rPr>
              <w:t>，</w:t>
            </w:r>
            <w:r>
              <w:rPr>
                <w:rFonts w:hint="default"/>
                <w:color w:val="auto"/>
              </w:rPr>
              <w:t>施工结束后，机械噪声</w:t>
            </w:r>
            <w:r>
              <w:rPr>
                <w:rFonts w:hint="default"/>
                <w:color w:val="auto"/>
                <w:lang w:eastAsia="zh-CN"/>
              </w:rPr>
              <w:t>、</w:t>
            </w:r>
            <w:r>
              <w:rPr>
                <w:rFonts w:hint="default"/>
                <w:color w:val="auto"/>
              </w:rPr>
              <w:t>人类活动</w:t>
            </w:r>
            <w:r>
              <w:rPr>
                <w:rFonts w:hint="default"/>
                <w:color w:val="auto"/>
                <w:lang w:val="en-US" w:eastAsia="zh-CN"/>
              </w:rPr>
              <w:t>影响消失</w:t>
            </w:r>
            <w:r>
              <w:rPr>
                <w:rFonts w:hint="default"/>
                <w:color w:val="auto"/>
              </w:rPr>
              <w:t>。野生动物可能逐渐返回原来的区域。故该建设项目对动物</w:t>
            </w:r>
            <w:r>
              <w:rPr>
                <w:rFonts w:hint="default"/>
                <w:color w:val="auto"/>
                <w:lang w:val="en-US" w:eastAsia="zh-CN"/>
              </w:rPr>
              <w:t>影响较小</w:t>
            </w:r>
            <w:r>
              <w:rPr>
                <w:rFonts w:hint="default"/>
                <w:color w:val="auto"/>
              </w:rPr>
              <w:t>。</w:t>
            </w:r>
          </w:p>
          <w:p>
            <w:pPr>
              <w:pStyle w:val="31"/>
              <w:numPr>
                <w:ilvl w:val="1"/>
                <w:numId w:val="5"/>
              </w:numPr>
              <w:bidi w:val="0"/>
              <w:rPr>
                <w:rFonts w:hint="default"/>
                <w:color w:val="auto"/>
                <w:highlight w:val="none"/>
              </w:rPr>
            </w:pPr>
            <w:bookmarkStart w:id="33" w:name="_Hlk140835968"/>
            <w:r>
              <w:rPr>
                <w:rFonts w:hint="default"/>
                <w:color w:val="auto"/>
                <w:highlight w:val="none"/>
              </w:rPr>
              <w:t>水土流失影响分析</w:t>
            </w:r>
          </w:p>
          <w:bookmarkEnd w:id="33"/>
          <w:p>
            <w:pPr>
              <w:pStyle w:val="36"/>
              <w:bidi w:val="0"/>
              <w:rPr>
                <w:rFonts w:hint="eastAsia"/>
                <w:color w:val="auto"/>
              </w:rPr>
            </w:pPr>
            <w:r>
              <w:rPr>
                <w:rFonts w:hint="eastAsia"/>
                <w:color w:val="auto"/>
              </w:rPr>
              <w:t>施工过程中将破坏地表原有稳定结构，施工作业范围内的土壤表层遭到破坏，下层</w:t>
            </w:r>
            <w:r>
              <w:rPr>
                <w:rFonts w:hint="eastAsia"/>
                <w:color w:val="auto"/>
                <w:lang w:val="en-US" w:eastAsia="zh-CN"/>
              </w:rPr>
              <w:t>粉质土壤颗粒</w:t>
            </w:r>
            <w:r>
              <w:rPr>
                <w:rFonts w:hint="eastAsia"/>
                <w:color w:val="auto"/>
              </w:rPr>
              <w:t>暴露在地层表面，降雨形成地表径流时可能会增加区域水蚀量。项目区以小到中雨为主，大雨较少，降雨大部分被干燥的地表土壤吸收及蒸发，剩余降雨量形成地表径流的可能性较小，不会明显增加区域水蚀量；且随着地表植被的恢复，水蚀量会随着地表新保护层的逐渐形成而减弱，水土流失的程度会慢慢减轻。</w:t>
            </w:r>
          </w:p>
          <w:p>
            <w:pPr>
              <w:pStyle w:val="32"/>
              <w:numPr>
                <w:ilvl w:val="0"/>
                <w:numId w:val="12"/>
              </w:numPr>
              <w:bidi w:val="0"/>
              <w:rPr>
                <w:rStyle w:val="57"/>
                <w:rFonts w:hint="default"/>
                <w:b/>
                <w:color w:val="auto"/>
              </w:rPr>
            </w:pPr>
            <w:r>
              <w:rPr>
                <w:rStyle w:val="57"/>
                <w:rFonts w:hint="default"/>
                <w:b/>
                <w:color w:val="auto"/>
              </w:rPr>
              <w:t>大气环境影响分析</w:t>
            </w:r>
          </w:p>
          <w:p>
            <w:pPr>
              <w:pStyle w:val="36"/>
              <w:bidi w:val="0"/>
              <w:rPr>
                <w:rFonts w:hint="default"/>
                <w:color w:val="auto"/>
              </w:rPr>
            </w:pPr>
            <w:r>
              <w:rPr>
                <w:rFonts w:hint="default"/>
                <w:color w:val="auto"/>
                <w:lang w:val="en-US" w:eastAsia="zh-CN"/>
              </w:rPr>
              <w:t>本项目施工期</w:t>
            </w:r>
            <w:r>
              <w:rPr>
                <w:rFonts w:hint="default"/>
                <w:color w:val="auto"/>
              </w:rPr>
              <w:t>废气主要为施工扬尘、柴油机</w:t>
            </w:r>
            <w:r>
              <w:rPr>
                <w:rFonts w:hint="default"/>
                <w:color w:val="auto"/>
                <w:lang w:val="en-US" w:eastAsia="zh-CN"/>
              </w:rPr>
              <w:t>和</w:t>
            </w:r>
            <w:r>
              <w:rPr>
                <w:rFonts w:hint="default"/>
                <w:color w:val="auto"/>
              </w:rPr>
              <w:t>发电机燃料燃烧</w:t>
            </w:r>
            <w:r>
              <w:rPr>
                <w:rFonts w:hint="default"/>
                <w:color w:val="auto"/>
                <w:lang w:val="en-US" w:eastAsia="zh-CN"/>
              </w:rPr>
              <w:t>废</w:t>
            </w:r>
            <w:r>
              <w:rPr>
                <w:rFonts w:hint="default"/>
                <w:color w:val="auto"/>
              </w:rPr>
              <w:t>气、施工机械及车辆尾气、伴生气燃烧</w:t>
            </w:r>
            <w:r>
              <w:rPr>
                <w:rFonts w:hint="default"/>
                <w:color w:val="auto"/>
                <w:lang w:val="en-US" w:eastAsia="zh-CN"/>
              </w:rPr>
              <w:t>废气</w:t>
            </w:r>
            <w:r>
              <w:rPr>
                <w:rFonts w:hint="default"/>
                <w:color w:val="auto"/>
              </w:rPr>
              <w:t>、试油期采出液储存及装车过程中无组织逸散废气。</w:t>
            </w:r>
          </w:p>
          <w:p>
            <w:pPr>
              <w:pStyle w:val="36"/>
              <w:bidi w:val="0"/>
              <w:rPr>
                <w:rFonts w:hint="default"/>
                <w:color w:val="auto"/>
              </w:rPr>
            </w:pPr>
            <w:r>
              <w:rPr>
                <w:rFonts w:hint="default"/>
                <w:color w:val="auto"/>
              </w:rPr>
              <w:t>（</w:t>
            </w:r>
            <w:r>
              <w:rPr>
                <w:rFonts w:hint="default"/>
                <w:color w:val="auto"/>
                <w:lang w:val="en-US" w:eastAsia="zh-CN"/>
              </w:rPr>
              <w:t>1</w:t>
            </w:r>
            <w:r>
              <w:rPr>
                <w:rFonts w:hint="default"/>
                <w:color w:val="auto"/>
              </w:rPr>
              <w:t>）施工扬尘</w:t>
            </w:r>
          </w:p>
          <w:p>
            <w:pPr>
              <w:pStyle w:val="36"/>
              <w:bidi w:val="0"/>
              <w:rPr>
                <w:rFonts w:hint="default"/>
                <w:color w:val="auto"/>
              </w:rPr>
            </w:pPr>
            <w:r>
              <w:rPr>
                <w:rFonts w:hint="default"/>
                <w:color w:val="auto"/>
                <w:lang w:val="en-US" w:eastAsia="zh-CN"/>
              </w:rPr>
              <w:t>本项目对场地平整、</w:t>
            </w:r>
            <w:r>
              <w:rPr>
                <w:rFonts w:hint="default"/>
                <w:color w:val="auto"/>
              </w:rPr>
              <w:t>井场、</w:t>
            </w:r>
            <w:r>
              <w:rPr>
                <w:rFonts w:hint="eastAsia"/>
                <w:color w:val="auto"/>
                <w:lang w:eastAsia="zh-CN"/>
              </w:rPr>
              <w:t>探临道路</w:t>
            </w:r>
            <w:r>
              <w:rPr>
                <w:rFonts w:hint="default"/>
                <w:color w:val="auto"/>
              </w:rPr>
              <w:t>等建设及施工运输车辆会产生扬尘，对周围大气环境产生一定的影响；施工期加强管理、对易起尘物料进行</w:t>
            </w:r>
            <w:r>
              <w:rPr>
                <w:rFonts w:hint="default"/>
                <w:color w:val="auto"/>
                <w:lang w:val="en-US" w:eastAsia="zh-CN"/>
              </w:rPr>
              <w:t>苫盖</w:t>
            </w:r>
            <w:r>
              <w:rPr>
                <w:rFonts w:hint="default"/>
                <w:color w:val="auto"/>
              </w:rPr>
              <w:t>、车辆低速慢行</w:t>
            </w:r>
            <w:r>
              <w:rPr>
                <w:rFonts w:hint="default"/>
                <w:color w:val="auto"/>
                <w:lang w:eastAsia="zh-CN"/>
              </w:rPr>
              <w:t>，</w:t>
            </w:r>
            <w:r>
              <w:rPr>
                <w:rFonts w:hint="default"/>
                <w:color w:val="auto"/>
                <w:lang w:val="en-US" w:eastAsia="zh-CN"/>
              </w:rPr>
              <w:t>合理安排施工时间，避开大风天气进行施工</w:t>
            </w:r>
            <w:r>
              <w:rPr>
                <w:rFonts w:hint="default"/>
                <w:color w:val="auto"/>
              </w:rPr>
              <w:t>等措施</w:t>
            </w:r>
            <w:r>
              <w:rPr>
                <w:rFonts w:hint="default"/>
                <w:color w:val="auto"/>
                <w:lang w:eastAsia="zh-CN"/>
              </w:rPr>
              <w:t>；</w:t>
            </w:r>
            <w:r>
              <w:rPr>
                <w:rFonts w:hint="default"/>
                <w:color w:val="auto"/>
              </w:rPr>
              <w:t>扬尘随着施工期结束而消失，对周围大气环境</w:t>
            </w:r>
            <w:r>
              <w:rPr>
                <w:rFonts w:hint="default"/>
                <w:color w:val="auto"/>
                <w:lang w:val="en-US" w:eastAsia="zh-CN"/>
              </w:rPr>
              <w:t>影响较小</w:t>
            </w:r>
            <w:r>
              <w:rPr>
                <w:rFonts w:hint="default"/>
                <w:color w:val="auto"/>
              </w:rPr>
              <w:t>。</w:t>
            </w:r>
          </w:p>
          <w:p>
            <w:pPr>
              <w:pStyle w:val="36"/>
              <w:bidi w:val="0"/>
              <w:rPr>
                <w:rFonts w:hint="default"/>
                <w:color w:val="auto"/>
              </w:rPr>
            </w:pPr>
            <w:r>
              <w:rPr>
                <w:rFonts w:hint="default"/>
                <w:color w:val="auto"/>
              </w:rPr>
              <w:t>（</w:t>
            </w:r>
            <w:r>
              <w:rPr>
                <w:rFonts w:hint="default"/>
                <w:color w:val="auto"/>
                <w:lang w:val="en-US" w:eastAsia="zh-CN"/>
              </w:rPr>
              <w:t>2</w:t>
            </w:r>
            <w:r>
              <w:rPr>
                <w:rFonts w:hint="default"/>
                <w:color w:val="auto"/>
              </w:rPr>
              <w:t>）柴油机、发电机燃料燃烧烟气</w:t>
            </w:r>
          </w:p>
          <w:p>
            <w:pPr>
              <w:pStyle w:val="36"/>
              <w:bidi w:val="0"/>
              <w:rPr>
                <w:rFonts w:hint="default"/>
                <w:color w:val="auto"/>
              </w:rPr>
            </w:pPr>
            <w:r>
              <w:rPr>
                <w:rFonts w:hint="default"/>
                <w:color w:val="auto"/>
              </w:rPr>
              <w:t>施工期井场动力系统设柴油机和柴油发电机为钻机及井场提供动力、电力和照明，消耗的燃料为柴油</w:t>
            </w:r>
            <w:r>
              <w:rPr>
                <w:rFonts w:hint="eastAsia"/>
                <w:color w:val="auto"/>
                <w:lang w:eastAsia="zh-CN"/>
              </w:rPr>
              <w:t>，</w:t>
            </w:r>
            <w:r>
              <w:rPr>
                <w:rFonts w:hint="default"/>
                <w:color w:val="auto"/>
              </w:rPr>
              <w:t>燃烧产生</w:t>
            </w:r>
            <w:r>
              <w:rPr>
                <w:rFonts w:hint="default"/>
                <w:color w:val="auto"/>
                <w:lang w:val="en-US" w:eastAsia="zh-CN"/>
              </w:rPr>
              <w:t>的</w:t>
            </w:r>
            <w:r>
              <w:rPr>
                <w:rFonts w:hint="default"/>
                <w:color w:val="auto"/>
              </w:rPr>
              <w:t>烟气以无组织形式逸散，烟气中主要污染物为二氧化硫、氮氧化物及总烃等。</w:t>
            </w:r>
            <w:r>
              <w:rPr>
                <w:rFonts w:hint="default"/>
                <w:color w:val="auto"/>
                <w:lang w:val="en-US" w:eastAsia="zh-CN"/>
              </w:rPr>
              <w:t>本</w:t>
            </w:r>
            <w:r>
              <w:rPr>
                <w:rFonts w:hint="default"/>
                <w:color w:val="auto"/>
              </w:rPr>
              <w:t>项目区地域空旷，周围扩散条件良好，且废气随施工的结束而消失。因此，对区域大气环境影响</w:t>
            </w:r>
            <w:r>
              <w:rPr>
                <w:rFonts w:hint="default"/>
                <w:color w:val="auto"/>
                <w:lang w:val="en-US" w:eastAsia="zh-CN"/>
              </w:rPr>
              <w:t>较小</w:t>
            </w:r>
            <w:r>
              <w:rPr>
                <w:rFonts w:hint="default"/>
                <w:color w:val="auto"/>
              </w:rPr>
              <w:t>。</w:t>
            </w:r>
          </w:p>
          <w:p>
            <w:pPr>
              <w:pStyle w:val="36"/>
              <w:bidi w:val="0"/>
              <w:rPr>
                <w:rFonts w:hint="default"/>
                <w:color w:val="auto"/>
              </w:rPr>
            </w:pPr>
            <w:r>
              <w:rPr>
                <w:rFonts w:hint="default"/>
                <w:color w:val="auto"/>
              </w:rPr>
              <w:t>（</w:t>
            </w:r>
            <w:r>
              <w:rPr>
                <w:rFonts w:hint="default"/>
                <w:color w:val="auto"/>
                <w:lang w:val="en-US" w:eastAsia="zh-CN"/>
              </w:rPr>
              <w:t>3</w:t>
            </w:r>
            <w:r>
              <w:rPr>
                <w:rFonts w:hint="default"/>
                <w:color w:val="auto"/>
              </w:rPr>
              <w:t>）施工机械及车辆尾气</w:t>
            </w:r>
          </w:p>
          <w:p>
            <w:pPr>
              <w:pStyle w:val="36"/>
              <w:bidi w:val="0"/>
              <w:rPr>
                <w:rFonts w:hint="default"/>
                <w:color w:val="auto"/>
              </w:rPr>
            </w:pPr>
            <w:r>
              <w:rPr>
                <w:rFonts w:hint="default"/>
                <w:color w:val="auto"/>
              </w:rPr>
              <w:t>施工机械及车辆运行过程中会产生一定的尾气，对周围大气环境产生一定的影响；各类施工机械及施工车辆均采用符合国家标准的油品，定期对施工机械及车辆</w:t>
            </w:r>
            <w:r>
              <w:rPr>
                <w:rFonts w:hint="eastAsia"/>
                <w:color w:val="auto"/>
                <w:lang w:val="en-US" w:eastAsia="zh-CN"/>
              </w:rPr>
              <w:t>维护、</w:t>
            </w:r>
            <w:r>
              <w:rPr>
                <w:rFonts w:hint="default"/>
                <w:color w:val="auto"/>
              </w:rPr>
              <w:t>保养，保证施工机械及车辆正常运行，且废气随着施工期的结束而消失，对周围大气环境影响</w:t>
            </w:r>
            <w:r>
              <w:rPr>
                <w:rFonts w:hint="default"/>
                <w:color w:val="auto"/>
                <w:lang w:val="en-US" w:eastAsia="zh-CN"/>
              </w:rPr>
              <w:t>较小</w:t>
            </w:r>
            <w:r>
              <w:rPr>
                <w:rFonts w:hint="default"/>
                <w:color w:val="auto"/>
              </w:rPr>
              <w:t>。</w:t>
            </w:r>
          </w:p>
          <w:p>
            <w:pPr>
              <w:pStyle w:val="36"/>
              <w:bidi w:val="0"/>
              <w:rPr>
                <w:rFonts w:hint="default"/>
                <w:color w:val="auto"/>
              </w:rPr>
            </w:pPr>
            <w:r>
              <w:rPr>
                <w:rFonts w:hint="default"/>
                <w:color w:val="auto"/>
              </w:rPr>
              <w:t>（4）伴生气燃烧烟气</w:t>
            </w:r>
          </w:p>
          <w:p>
            <w:pPr>
              <w:pStyle w:val="36"/>
              <w:bidi w:val="0"/>
              <w:rPr>
                <w:rFonts w:hint="default"/>
                <w:color w:val="auto"/>
              </w:rPr>
            </w:pPr>
            <w:r>
              <w:rPr>
                <w:rFonts w:hint="default"/>
                <w:color w:val="auto"/>
              </w:rPr>
              <w:t>本项目为矿产资源地质勘探项目，目的是获取地层油气藏参数，</w:t>
            </w:r>
            <w:r>
              <w:rPr>
                <w:rFonts w:hint="default"/>
                <w:color w:val="auto"/>
                <w:lang w:val="en-US" w:eastAsia="zh-CN"/>
              </w:rPr>
              <w:t>为后期油气开发提供基础数据</w:t>
            </w:r>
            <w:r>
              <w:rPr>
                <w:rFonts w:hint="default"/>
                <w:color w:val="auto"/>
              </w:rPr>
              <w:t>，试油期产生的伴生气产量不稳定，不具备回收利</w:t>
            </w:r>
            <w:bookmarkStart w:id="34" w:name="_Hlk170206616"/>
            <w:r>
              <w:rPr>
                <w:rFonts w:hint="default"/>
                <w:color w:val="auto"/>
              </w:rPr>
              <w:t>用条件，通过排气管线充分燃烧后放空，燃烧烟气的主要污染物为二氧化硫、氮氧化物、非甲烷总烃和颗粒物，</w:t>
            </w:r>
            <w:r>
              <w:rPr>
                <w:rFonts w:hint="eastAsia"/>
                <w:color w:val="auto"/>
                <w:lang w:val="en-US" w:eastAsia="zh-CN"/>
              </w:rPr>
              <w:t>排放各污染物中</w:t>
            </w:r>
            <w:r>
              <w:rPr>
                <w:rFonts w:hint="default"/>
                <w:color w:val="auto"/>
              </w:rPr>
              <w:t>非甲烷总烃应满足《陆上石油天然气开采工业大气污染物排放标准》（GB39728-2020）要求，其余污染物应满足《大气污染物综合排放标准》（GB16297-1996）相关要求。由于燃烧烟气属于阶段性排放，且随着试油结束而停止产生。井场周边无集中居民区，地域空旷、扩散条件良好，不会对周围大气环境产生明显不利影响。</w:t>
            </w:r>
          </w:p>
          <w:p>
            <w:pPr>
              <w:pStyle w:val="36"/>
              <w:bidi w:val="0"/>
              <w:rPr>
                <w:rFonts w:hint="default"/>
                <w:color w:val="auto"/>
              </w:rPr>
            </w:pPr>
            <w:r>
              <w:rPr>
                <w:rFonts w:hint="default"/>
                <w:color w:val="auto"/>
              </w:rPr>
              <w:t>（5）采出液储存及装车过程的无组织废气</w:t>
            </w:r>
          </w:p>
          <w:p>
            <w:pPr>
              <w:pStyle w:val="36"/>
              <w:bidi w:val="0"/>
              <w:rPr>
                <w:rFonts w:hint="default"/>
                <w:color w:val="auto"/>
              </w:rPr>
            </w:pPr>
            <w:r>
              <w:rPr>
                <w:rFonts w:hint="default"/>
                <w:color w:val="auto"/>
              </w:rPr>
              <w:t>试油期产生的采出液暂存于地面储罐，由罐车定期拉运至车89</w:t>
            </w:r>
            <w:r>
              <w:rPr>
                <w:rFonts w:hint="eastAsia"/>
                <w:color w:val="auto"/>
                <w:lang w:val="en-US" w:eastAsia="zh-CN"/>
              </w:rPr>
              <w:t>集中</w:t>
            </w:r>
            <w:r>
              <w:rPr>
                <w:rFonts w:hint="default"/>
                <w:color w:val="auto"/>
              </w:rPr>
              <w:t>处理站，采出液在储存及装车过程中会产生无组织挥发烃类（以非甲烷总烃计）。本项目主要为探明区域油藏含油气性及规模，试油过程不确定性大，采出液产生情况无法确定，且采出液装载仅在试油期进行，随试油期结束而停止产生；项目周边地域空旷、扩散条件良好；试油期采出液储存及装车过</w:t>
            </w:r>
            <w:r>
              <w:rPr>
                <w:rFonts w:hint="eastAsia"/>
                <w:color w:val="auto"/>
                <w:lang w:eastAsia="zh-CN"/>
              </w:rPr>
              <w:t>程中</w:t>
            </w:r>
            <w:r>
              <w:rPr>
                <w:rFonts w:hint="default"/>
                <w:color w:val="auto"/>
              </w:rPr>
              <w:t>产生的无组织非甲烷总烃应符合《陆上石油天然气开采工业大气污染物排放标准》（GB39728-2020）中相关标准限值要求</w:t>
            </w:r>
            <w:r>
              <w:rPr>
                <w:rFonts w:hint="default"/>
                <w:color w:val="auto"/>
                <w:lang w:eastAsia="zh-CN"/>
              </w:rPr>
              <w:t>；</w:t>
            </w:r>
            <w:r>
              <w:rPr>
                <w:rFonts w:hint="default"/>
                <w:color w:val="auto"/>
                <w:lang w:val="en-US" w:eastAsia="zh-CN"/>
              </w:rPr>
              <w:t>井场周边无大气环境保护目标，地域空旷、扩散条件良好，</w:t>
            </w:r>
            <w:r>
              <w:rPr>
                <w:rFonts w:hint="default"/>
                <w:color w:val="auto"/>
              </w:rPr>
              <w:t>不会对区域环境产生较大影响。</w:t>
            </w:r>
            <w:bookmarkStart w:id="35" w:name="_Hlk136794460"/>
          </w:p>
          <w:bookmarkEnd w:id="34"/>
          <w:bookmarkEnd w:id="35"/>
          <w:p>
            <w:pPr>
              <w:pStyle w:val="32"/>
              <w:numPr>
                <w:ilvl w:val="0"/>
                <w:numId w:val="12"/>
              </w:numPr>
              <w:bidi w:val="0"/>
              <w:rPr>
                <w:rFonts w:hint="default"/>
                <w:color w:val="auto"/>
              </w:rPr>
            </w:pPr>
            <w:bookmarkStart w:id="36" w:name="_Hlk136795076"/>
            <w:r>
              <w:rPr>
                <w:rFonts w:hint="default"/>
                <w:color w:val="auto"/>
              </w:rPr>
              <w:t>地表水环境影响分析</w:t>
            </w:r>
          </w:p>
          <w:bookmarkEnd w:id="36"/>
          <w:p>
            <w:pPr>
              <w:pStyle w:val="36"/>
              <w:bidi w:val="0"/>
              <w:rPr>
                <w:rFonts w:hint="default"/>
                <w:color w:val="auto"/>
              </w:rPr>
            </w:pPr>
            <w:r>
              <w:rPr>
                <w:rFonts w:hint="default"/>
                <w:color w:val="auto"/>
                <w:lang w:val="en-US" w:eastAsia="zh-CN"/>
              </w:rPr>
              <w:t>本项目施工期</w:t>
            </w:r>
            <w:r>
              <w:rPr>
                <w:rFonts w:hint="default"/>
                <w:color w:val="auto"/>
              </w:rPr>
              <w:t>废</w:t>
            </w:r>
            <w:r>
              <w:rPr>
                <w:rFonts w:hint="default"/>
                <w:color w:val="auto"/>
                <w:lang w:val="en-US" w:eastAsia="zh-CN"/>
              </w:rPr>
              <w:t>水</w:t>
            </w:r>
            <w:r>
              <w:rPr>
                <w:rFonts w:hint="default"/>
                <w:color w:val="auto"/>
              </w:rPr>
              <w:t>主要为生活污水和试油期废水</w:t>
            </w:r>
            <w:r>
              <w:rPr>
                <w:rFonts w:hint="default"/>
                <w:color w:val="auto"/>
                <w:lang w:eastAsia="zh-CN"/>
              </w:rPr>
              <w:t>（</w:t>
            </w:r>
            <w:r>
              <w:rPr>
                <w:rFonts w:hint="default"/>
                <w:color w:val="auto"/>
                <w:lang w:val="en-US" w:eastAsia="zh-CN"/>
              </w:rPr>
              <w:t>洗井废水和压裂返排液</w:t>
            </w:r>
            <w:r>
              <w:rPr>
                <w:rFonts w:hint="default"/>
                <w:color w:val="auto"/>
                <w:lang w:eastAsia="zh-CN"/>
              </w:rPr>
              <w:t>）</w:t>
            </w:r>
            <w:r>
              <w:rPr>
                <w:rFonts w:hint="default"/>
                <w:color w:val="auto"/>
              </w:rPr>
              <w:t>。</w:t>
            </w:r>
          </w:p>
          <w:p>
            <w:pPr>
              <w:pStyle w:val="36"/>
              <w:bidi w:val="0"/>
              <w:rPr>
                <w:rFonts w:hint="default"/>
                <w:color w:val="auto"/>
              </w:rPr>
            </w:pPr>
            <w:r>
              <w:rPr>
                <w:rFonts w:hint="default"/>
                <w:color w:val="auto"/>
              </w:rPr>
              <w:t>（1）生活污水</w:t>
            </w:r>
          </w:p>
          <w:p>
            <w:pPr>
              <w:pStyle w:val="36"/>
              <w:bidi w:val="0"/>
              <w:rPr>
                <w:rFonts w:hint="default"/>
                <w:color w:val="auto"/>
              </w:rPr>
            </w:pPr>
            <w:r>
              <w:rPr>
                <w:rFonts w:hint="eastAsia"/>
                <w:color w:val="auto"/>
                <w:lang w:val="en-US" w:eastAsia="zh-CN"/>
              </w:rPr>
              <w:t>项目施工期间生活用水总量约为241.5m</w:t>
            </w:r>
            <w:r>
              <w:rPr>
                <w:rFonts w:hint="default"/>
                <w:color w:val="auto"/>
                <w:vertAlign w:val="superscript"/>
              </w:rPr>
              <w:t>3</w:t>
            </w:r>
            <w:r>
              <w:rPr>
                <w:rFonts w:hint="eastAsia"/>
                <w:color w:val="auto"/>
                <w:lang w:val="en-US" w:eastAsia="zh-CN"/>
              </w:rPr>
              <w:t>；排水系数取0.8，则生活污水产生量约为193.2</w:t>
            </w:r>
            <w:r>
              <w:rPr>
                <w:rFonts w:hint="eastAsia" w:ascii="Times New Roman" w:eastAsia="宋体"/>
                <w:color w:val="auto"/>
                <w:lang w:val="en-US" w:eastAsia="zh-CN"/>
              </w:rPr>
              <w:t>m</w:t>
            </w:r>
            <w:r>
              <w:rPr>
                <w:rFonts w:hint="default"/>
                <w:color w:val="auto"/>
                <w:vertAlign w:val="superscript"/>
              </w:rPr>
              <w:t>3</w:t>
            </w:r>
            <w:r>
              <w:rPr>
                <w:rFonts w:hint="eastAsia"/>
                <w:color w:val="auto"/>
                <w:vertAlign w:val="baseline"/>
                <w:lang w:eastAsia="zh-CN"/>
              </w:rPr>
              <w:t>，</w:t>
            </w:r>
            <w:r>
              <w:rPr>
                <w:rFonts w:hint="eastAsia"/>
                <w:color w:val="auto"/>
                <w:vertAlign w:val="baseline"/>
                <w:lang w:val="en-US" w:eastAsia="zh-CN"/>
              </w:rPr>
              <w:t>平均0.56m</w:t>
            </w:r>
            <w:r>
              <w:rPr>
                <w:rFonts w:hint="eastAsia"/>
                <w:color w:val="auto"/>
                <w:vertAlign w:val="superscript"/>
                <w:lang w:val="en-US" w:eastAsia="zh-CN"/>
              </w:rPr>
              <w:t>3</w:t>
            </w:r>
            <w:r>
              <w:rPr>
                <w:rFonts w:hint="eastAsia"/>
                <w:color w:val="auto"/>
                <w:vertAlign w:val="baseline"/>
                <w:lang w:val="en-US" w:eastAsia="zh-CN"/>
              </w:rPr>
              <w:t>/d</w:t>
            </w:r>
            <w:r>
              <w:rPr>
                <w:rFonts w:hint="eastAsia"/>
                <w:color w:val="auto"/>
                <w:lang w:val="en-US" w:eastAsia="zh-CN"/>
              </w:rPr>
              <w:t>。</w:t>
            </w:r>
            <w:r>
              <w:rPr>
                <w:rFonts w:hint="default"/>
                <w:color w:val="auto"/>
              </w:rPr>
              <w:t>生活污水水质与居民生活污水相似，主要污染物</w:t>
            </w:r>
            <w:r>
              <w:rPr>
                <w:rFonts w:hint="eastAsia"/>
                <w:color w:val="auto"/>
                <w:lang w:val="en-US" w:eastAsia="zh-CN"/>
              </w:rPr>
              <w:t>及相应</w:t>
            </w:r>
            <w:r>
              <w:rPr>
                <w:rFonts w:hint="default"/>
                <w:color w:val="auto"/>
              </w:rPr>
              <w:t>浓度为</w:t>
            </w:r>
            <w:r>
              <w:rPr>
                <w:rFonts w:hint="eastAsia"/>
                <w:color w:val="auto"/>
                <w:lang w:eastAsia="zh-CN"/>
              </w:rPr>
              <w:t>：</w:t>
            </w:r>
            <w:r>
              <w:rPr>
                <w:rFonts w:hint="default"/>
                <w:color w:val="auto"/>
              </w:rPr>
              <w:t>化学需氧量（COD）350mg/L、氨氮（NH</w:t>
            </w:r>
            <w:r>
              <w:rPr>
                <w:rFonts w:hint="default"/>
                <w:color w:val="auto"/>
                <w:vertAlign w:val="subscript"/>
              </w:rPr>
              <w:t>3</w:t>
            </w:r>
            <w:r>
              <w:rPr>
                <w:rFonts w:hint="default"/>
                <w:color w:val="auto"/>
              </w:rPr>
              <w:t>-N）30mg/L、悬浮物（SS）200mg/L。</w:t>
            </w:r>
          </w:p>
          <w:p>
            <w:pPr>
              <w:pStyle w:val="36"/>
              <w:bidi w:val="0"/>
              <w:rPr>
                <w:rFonts w:hint="default"/>
                <w:color w:val="auto"/>
              </w:rPr>
            </w:pPr>
            <w:r>
              <w:rPr>
                <w:rFonts w:hint="eastAsia"/>
                <w:color w:val="auto"/>
                <w:lang w:val="en-US" w:eastAsia="zh-CN"/>
              </w:rPr>
              <w:t>项目</w:t>
            </w:r>
            <w:r>
              <w:rPr>
                <w:rFonts w:hint="default"/>
                <w:color w:val="auto"/>
              </w:rPr>
              <w:t>生活营地内设</w:t>
            </w:r>
            <w:r>
              <w:rPr>
                <w:rFonts w:hint="eastAsia"/>
                <w:color w:val="auto"/>
                <w:lang w:val="en-US" w:eastAsia="zh-CN"/>
              </w:rPr>
              <w:t>有</w:t>
            </w:r>
            <w:r>
              <w:rPr>
                <w:rFonts w:hint="default"/>
                <w:color w:val="auto"/>
              </w:rPr>
              <w:t>1座临时</w:t>
            </w:r>
            <w:r>
              <w:rPr>
                <w:rFonts w:hint="eastAsia"/>
                <w:color w:val="auto"/>
                <w:lang w:eastAsia="zh-CN"/>
              </w:rPr>
              <w:t>防渗储集池</w:t>
            </w:r>
            <w:r>
              <w:rPr>
                <w:rFonts w:hint="default"/>
                <w:color w:val="auto"/>
              </w:rPr>
              <w:t>，用于收集和暂存生活污水，采用HDPE防渗膜铺垫防渗。</w:t>
            </w:r>
            <w:r>
              <w:rPr>
                <w:rFonts w:hint="eastAsia" w:eastAsia="宋体"/>
                <w:color w:val="auto"/>
                <w:lang w:eastAsia="zh-CN"/>
              </w:rPr>
              <w:t>储集池</w:t>
            </w:r>
            <w:r>
              <w:rPr>
                <w:rFonts w:hint="eastAsia"/>
                <w:color w:val="auto"/>
                <w:lang w:val="en-US" w:eastAsia="zh-CN"/>
              </w:rPr>
              <w:t>内</w:t>
            </w:r>
            <w:r>
              <w:rPr>
                <w:rFonts w:hint="default"/>
                <w:color w:val="auto"/>
              </w:rPr>
              <w:t>生活污水定期</w:t>
            </w:r>
            <w:r>
              <w:rPr>
                <w:rFonts w:hint="eastAsia"/>
                <w:color w:val="auto"/>
                <w:lang w:val="en-US" w:eastAsia="zh-CN"/>
              </w:rPr>
              <w:t>由吸污车</w:t>
            </w:r>
            <w:r>
              <w:rPr>
                <w:rFonts w:hint="default"/>
                <w:color w:val="auto"/>
              </w:rPr>
              <w:t>清运至</w:t>
            </w:r>
            <w:r>
              <w:rPr>
                <w:rFonts w:hint="eastAsia"/>
                <w:color w:val="auto"/>
                <w:lang w:val="en-US" w:eastAsia="zh-CN"/>
              </w:rPr>
              <w:t>玛纳斯县污水处理厂处理</w:t>
            </w:r>
            <w:r>
              <w:rPr>
                <w:rFonts w:hint="default"/>
                <w:color w:val="auto"/>
              </w:rPr>
              <w:t>，施工结束后，</w:t>
            </w:r>
            <w:r>
              <w:rPr>
                <w:rFonts w:hint="eastAsia"/>
                <w:color w:val="auto"/>
                <w:lang w:eastAsia="zh-CN"/>
              </w:rPr>
              <w:t>防渗储集池</w:t>
            </w:r>
            <w:r>
              <w:rPr>
                <w:rFonts w:hint="default"/>
                <w:color w:val="auto"/>
              </w:rPr>
              <w:t>占地及时清理并恢复原貌、防渗膜回收。</w:t>
            </w:r>
          </w:p>
          <w:p>
            <w:pPr>
              <w:pStyle w:val="36"/>
              <w:bidi w:val="0"/>
              <w:rPr>
                <w:rFonts w:hint="default"/>
                <w:color w:val="auto"/>
              </w:rPr>
            </w:pPr>
            <w:r>
              <w:rPr>
                <w:rFonts w:hint="default"/>
                <w:color w:val="auto"/>
              </w:rPr>
              <w:t>（2）试油废水</w:t>
            </w:r>
          </w:p>
          <w:p>
            <w:pPr>
              <w:pStyle w:val="36"/>
              <w:bidi w:val="0"/>
              <w:rPr>
                <w:rFonts w:hint="default"/>
                <w:color w:val="auto"/>
              </w:rPr>
            </w:pPr>
            <w:r>
              <w:rPr>
                <w:rFonts w:hint="default"/>
                <w:color w:val="auto"/>
              </w:rPr>
              <w:t>钻井期无废水产生，试油废水包括洗井废水和压裂返排液。洗井用水量300</w:t>
            </w:r>
            <w:r>
              <w:rPr>
                <w:rFonts w:hint="eastAsia" w:ascii="Times New Roman" w:eastAsia="宋体"/>
                <w:color w:val="auto"/>
                <w:lang w:val="en-US" w:eastAsia="zh-CN"/>
              </w:rPr>
              <w:t>m</w:t>
            </w:r>
            <w:r>
              <w:rPr>
                <w:rFonts w:hint="default"/>
                <w:color w:val="auto"/>
                <w:vertAlign w:val="superscript"/>
              </w:rPr>
              <w:t>3</w:t>
            </w:r>
            <w:r>
              <w:rPr>
                <w:rFonts w:hint="default"/>
                <w:color w:val="auto"/>
              </w:rPr>
              <w:t>，全部返回井场设置的储罐内，洗井废水产生量为300</w:t>
            </w:r>
            <w:r>
              <w:rPr>
                <w:rFonts w:hint="eastAsia" w:ascii="Times New Roman" w:eastAsia="宋体"/>
                <w:color w:val="auto"/>
                <w:lang w:val="en-US" w:eastAsia="zh-CN"/>
              </w:rPr>
              <w:t>m</w:t>
            </w:r>
            <w:r>
              <w:rPr>
                <w:rFonts w:hint="default"/>
                <w:color w:val="auto"/>
                <w:vertAlign w:val="superscript"/>
              </w:rPr>
              <w:t>3</w:t>
            </w:r>
            <w:r>
              <w:rPr>
                <w:rFonts w:hint="default"/>
                <w:color w:val="auto"/>
              </w:rPr>
              <w:t>，主要污染物为石油类和悬浮物等；压裂期间使用压裂液约</w:t>
            </w:r>
            <w:r>
              <w:rPr>
                <w:rFonts w:hint="eastAsia"/>
                <w:color w:val="auto"/>
                <w:lang w:val="en-US" w:eastAsia="zh-CN"/>
              </w:rPr>
              <w:t>50</w:t>
            </w:r>
            <w:r>
              <w:rPr>
                <w:rFonts w:hint="default"/>
                <w:color w:val="auto"/>
              </w:rPr>
              <w:t>0</w:t>
            </w:r>
            <w:r>
              <w:rPr>
                <w:rFonts w:hint="eastAsia" w:ascii="Times New Roman" w:eastAsia="宋体"/>
                <w:color w:val="auto"/>
                <w:lang w:val="en-US" w:eastAsia="zh-CN"/>
              </w:rPr>
              <w:t>m</w:t>
            </w:r>
            <w:r>
              <w:rPr>
                <w:rFonts w:hint="default"/>
                <w:color w:val="auto"/>
                <w:vertAlign w:val="superscript"/>
              </w:rPr>
              <w:t>3</w:t>
            </w:r>
            <w:r>
              <w:rPr>
                <w:rFonts w:hint="default"/>
                <w:color w:val="auto"/>
              </w:rPr>
              <w:t>，根据同类项目施工数据，压裂液返排量约20%</w:t>
            </w:r>
            <w:r>
              <w:rPr>
                <w:rFonts w:hint="eastAsia"/>
                <w:color w:val="auto"/>
                <w:lang w:eastAsia="zh-CN"/>
              </w:rPr>
              <w:t>～</w:t>
            </w:r>
            <w:r>
              <w:rPr>
                <w:rFonts w:hint="default"/>
                <w:color w:val="auto"/>
              </w:rPr>
              <w:t>50%，取最大值50%计算，则压裂返排液产生量约</w:t>
            </w:r>
            <w:r>
              <w:rPr>
                <w:rFonts w:hint="eastAsia"/>
                <w:color w:val="auto"/>
                <w:lang w:val="en-US" w:eastAsia="zh-CN"/>
              </w:rPr>
              <w:t>25</w:t>
            </w:r>
            <w:r>
              <w:rPr>
                <w:rFonts w:hint="default"/>
                <w:color w:val="auto"/>
              </w:rPr>
              <w:t>0</w:t>
            </w:r>
            <w:r>
              <w:rPr>
                <w:rFonts w:hint="eastAsia" w:ascii="Times New Roman" w:eastAsia="宋体"/>
                <w:color w:val="auto"/>
                <w:lang w:val="en-US" w:eastAsia="zh-CN"/>
              </w:rPr>
              <w:t>m</w:t>
            </w:r>
            <w:r>
              <w:rPr>
                <w:rFonts w:hint="default"/>
                <w:color w:val="auto"/>
                <w:vertAlign w:val="superscript"/>
              </w:rPr>
              <w:t>3</w:t>
            </w:r>
            <w:r>
              <w:rPr>
                <w:rFonts w:hint="default"/>
                <w:color w:val="auto"/>
              </w:rPr>
              <w:t>，主要污染物为石油类、悬浮物等。洗井废水和压裂返排液经专用储罐收集后由罐车拉运至采油一厂车89处理站，废水经该站污水处理系统处理后，根据回注区域渗透率不同，执行《碎屑岩油藏注水水质指标技术要求及分析方法》（SY/T5329-2022）中Ⅱ级（储层空气渗透率0.01～0.05μm</w:t>
            </w:r>
            <w:r>
              <w:rPr>
                <w:rFonts w:hint="default"/>
                <w:color w:val="auto"/>
                <w:vertAlign w:val="superscript"/>
              </w:rPr>
              <w:t>2</w:t>
            </w:r>
            <w:r>
              <w:rPr>
                <w:rFonts w:hint="default"/>
                <w:color w:val="auto"/>
              </w:rPr>
              <w:t>）、Ⅲ级（储层空气渗透率0.05～0.5μm</w:t>
            </w:r>
            <w:r>
              <w:rPr>
                <w:rFonts w:hint="default"/>
                <w:color w:val="auto"/>
                <w:vertAlign w:val="superscript"/>
              </w:rPr>
              <w:t>2</w:t>
            </w:r>
            <w:r>
              <w:rPr>
                <w:rFonts w:hint="default"/>
                <w:color w:val="auto"/>
              </w:rPr>
              <w:t>）标准，全部回注油藏。</w:t>
            </w:r>
          </w:p>
          <w:p>
            <w:pPr>
              <w:pStyle w:val="36"/>
              <w:bidi w:val="0"/>
              <w:rPr>
                <w:rFonts w:hint="eastAsia"/>
                <w:color w:val="auto"/>
                <w:lang w:val="en-US" w:eastAsia="zh-CN"/>
              </w:rPr>
            </w:pPr>
            <w:r>
              <w:rPr>
                <w:rFonts w:hint="eastAsia"/>
                <w:color w:val="auto"/>
                <w:lang w:val="en-US" w:eastAsia="zh-CN"/>
              </w:rPr>
              <w:t>综上所述，施工期产生的废水不会对地表水环境产生不利影响。</w:t>
            </w:r>
          </w:p>
          <w:p>
            <w:pPr>
              <w:pStyle w:val="32"/>
              <w:numPr>
                <w:ilvl w:val="0"/>
                <w:numId w:val="12"/>
              </w:numPr>
              <w:bidi w:val="0"/>
              <w:rPr>
                <w:rFonts w:hint="default"/>
                <w:color w:val="auto"/>
              </w:rPr>
            </w:pPr>
            <w:r>
              <w:rPr>
                <w:rFonts w:hint="default"/>
                <w:color w:val="auto"/>
              </w:rPr>
              <w:t>地下水、土壤环境影响分析</w:t>
            </w:r>
          </w:p>
          <w:p>
            <w:pPr>
              <w:pStyle w:val="36"/>
              <w:bidi w:val="0"/>
              <w:rPr>
                <w:rFonts w:hint="eastAsia"/>
                <w:color w:val="auto"/>
                <w:lang w:val="en-US" w:eastAsia="zh-CN"/>
              </w:rPr>
            </w:pPr>
            <w:bookmarkStart w:id="37" w:name="_Hlk170207859"/>
            <w:bookmarkStart w:id="38" w:name="_Hlk170208004"/>
            <w:r>
              <w:rPr>
                <w:rFonts w:hint="eastAsia"/>
                <w:color w:val="auto"/>
                <w:lang w:val="en-US" w:eastAsia="zh-CN"/>
              </w:rPr>
              <w:t>井场井口、柴油储罐、采出液储罐、废水储罐、发电机、材料堆场、水基钻井岩屑储罐、油基钻井岩屑储罐底部、危废贮存点和生活污水储集池等区域均采用防渗膜防渗，可避免对地下水和土壤的不利影响。</w:t>
            </w:r>
          </w:p>
          <w:p>
            <w:pPr>
              <w:pStyle w:val="36"/>
              <w:bidi w:val="0"/>
              <w:rPr>
                <w:rFonts w:hint="eastAsia"/>
                <w:color w:val="auto"/>
                <w:lang w:val="en-US" w:eastAsia="zh-CN"/>
              </w:rPr>
            </w:pPr>
            <w:r>
              <w:rPr>
                <w:rFonts w:hint="eastAsia"/>
                <w:color w:val="auto"/>
                <w:lang w:val="en-US" w:eastAsia="zh-CN"/>
              </w:rPr>
              <w:t>项目钻井采用下套管注水泥固井的完井方式进行水泥固井，项目区潜水含水层埋深＞30m。本项目为五开直井井身结构，目的层深度</w:t>
            </w:r>
            <w:r>
              <w:rPr>
                <w:rFonts w:hint="eastAsia" w:ascii="Times New Roman" w:eastAsia="宋体"/>
                <w:color w:val="auto"/>
                <w:lang w:val="en-US" w:eastAsia="zh-CN"/>
              </w:rPr>
              <w:t>8750</w:t>
            </w:r>
            <w:r>
              <w:rPr>
                <w:rFonts w:hint="default"/>
                <w:color w:val="auto"/>
              </w:rPr>
              <w:t>m</w:t>
            </w:r>
            <w:r>
              <w:rPr>
                <w:rFonts w:hint="eastAsia"/>
                <w:color w:val="auto"/>
                <w:lang w:eastAsia="zh-CN"/>
              </w:rPr>
              <w:t>，</w:t>
            </w:r>
            <w:r>
              <w:rPr>
                <w:rFonts w:hint="eastAsia"/>
                <w:color w:val="auto"/>
                <w:lang w:val="en-US" w:eastAsia="zh-CN"/>
              </w:rPr>
              <w:t>一开钻井深度300m，二开钻井深度</w:t>
            </w:r>
            <w:r>
              <w:rPr>
                <w:rFonts w:hint="eastAsia" w:ascii="Times New Roman" w:eastAsia="宋体"/>
                <w:color w:val="auto"/>
                <w:lang w:val="en-US" w:eastAsia="zh-CN"/>
              </w:rPr>
              <w:t>3050</w:t>
            </w:r>
            <w:r>
              <w:rPr>
                <w:rFonts w:hint="eastAsia"/>
                <w:color w:val="auto"/>
                <w:lang w:val="en-US" w:eastAsia="zh-CN"/>
              </w:rPr>
              <w:t>m，水泥浆均返至地面，对地层进行了固封处理，固封处理深度远超地下水潜水含水层深度，可有效保护土壤和地下水层；试油目的层与地下水处于不同层系，在施工过程中确保套管下入指定深度，可有效避免钻试工程对地下水环境的影响。</w:t>
            </w:r>
            <w:r>
              <w:rPr>
                <w:rFonts w:hint="eastAsia"/>
                <w:color w:val="auto"/>
              </w:rPr>
              <w:t>施工结束后，</w:t>
            </w:r>
            <w:r>
              <w:rPr>
                <w:rFonts w:hint="eastAsia"/>
                <w:color w:val="auto"/>
                <w:lang w:val="en-US" w:eastAsia="zh-CN"/>
              </w:rPr>
              <w:t>设备、储罐的离场，采出液、废水和固废全部得到清运处置，</w:t>
            </w:r>
            <w:r>
              <w:rPr>
                <w:rFonts w:hint="eastAsia"/>
                <w:color w:val="auto"/>
              </w:rPr>
              <w:t>不会</w:t>
            </w:r>
            <w:r>
              <w:rPr>
                <w:rFonts w:hint="eastAsia"/>
                <w:color w:val="auto"/>
                <w:lang w:val="en-US" w:eastAsia="zh-CN"/>
              </w:rPr>
              <w:t>再对</w:t>
            </w:r>
            <w:r>
              <w:rPr>
                <w:rFonts w:hint="eastAsia"/>
                <w:color w:val="auto"/>
              </w:rPr>
              <w:t>土壤</w:t>
            </w:r>
            <w:r>
              <w:rPr>
                <w:rFonts w:hint="eastAsia"/>
                <w:color w:val="auto"/>
                <w:lang w:val="en-US" w:eastAsia="zh-CN"/>
              </w:rPr>
              <w:t>和地下水</w:t>
            </w:r>
            <w:r>
              <w:rPr>
                <w:rFonts w:hint="eastAsia"/>
                <w:color w:val="auto"/>
              </w:rPr>
              <w:t>环境产生影响。</w:t>
            </w:r>
            <w:r>
              <w:rPr>
                <w:rFonts w:hint="eastAsia"/>
                <w:color w:val="auto"/>
                <w:lang w:val="en-US" w:eastAsia="zh-CN"/>
              </w:rPr>
              <w:t>项目在加强施工期废水、固废污染防治措施后，对土壤和地下水影响可接受。</w:t>
            </w:r>
          </w:p>
          <w:bookmarkEnd w:id="37"/>
          <w:bookmarkEnd w:id="38"/>
          <w:p>
            <w:pPr>
              <w:pStyle w:val="32"/>
              <w:numPr>
                <w:ilvl w:val="0"/>
                <w:numId w:val="12"/>
              </w:numPr>
              <w:bidi w:val="0"/>
              <w:rPr>
                <w:rFonts w:hint="default"/>
                <w:color w:val="auto"/>
              </w:rPr>
            </w:pPr>
            <w:r>
              <w:rPr>
                <w:rFonts w:hint="default"/>
                <w:color w:val="auto"/>
              </w:rPr>
              <w:t>声环境影响分析</w:t>
            </w:r>
          </w:p>
          <w:p>
            <w:pPr>
              <w:pStyle w:val="36"/>
              <w:bidi w:val="0"/>
              <w:rPr>
                <w:rFonts w:hint="default"/>
                <w:color w:val="auto"/>
              </w:rPr>
            </w:pPr>
            <w:r>
              <w:rPr>
                <w:rFonts w:hint="default"/>
                <w:color w:val="auto"/>
                <w:lang w:val="en-US" w:eastAsia="zh-CN"/>
              </w:rPr>
              <w:t>本项目</w:t>
            </w:r>
            <w:r>
              <w:rPr>
                <w:rFonts w:hint="default"/>
                <w:color w:val="auto"/>
              </w:rPr>
              <w:t>施工期噪声源</w:t>
            </w:r>
            <w:r>
              <w:rPr>
                <w:rFonts w:hint="default"/>
                <w:color w:val="auto"/>
                <w:lang w:val="en-US" w:eastAsia="zh-CN"/>
              </w:rPr>
              <w:t>主要为</w:t>
            </w:r>
            <w:r>
              <w:rPr>
                <w:rFonts w:hint="default"/>
                <w:color w:val="auto"/>
              </w:rPr>
              <w:t>柴油发电机、柴油机、钻井液循环泵和压裂车等各类施工机械，源强一般为</w:t>
            </w:r>
            <w:r>
              <w:rPr>
                <w:rFonts w:hint="eastAsia"/>
                <w:color w:val="auto"/>
                <w:lang w:val="en-US" w:eastAsia="zh-CN"/>
              </w:rPr>
              <w:t>85</w:t>
            </w:r>
            <w:r>
              <w:rPr>
                <w:rFonts w:hint="eastAsia" w:eastAsia="宋体"/>
                <w:color w:val="auto"/>
                <w:lang w:eastAsia="zh-CN"/>
              </w:rPr>
              <w:t>～</w:t>
            </w:r>
            <w:r>
              <w:rPr>
                <w:rFonts w:hint="default"/>
                <w:color w:val="auto"/>
              </w:rPr>
              <w:t>1</w:t>
            </w:r>
            <w:r>
              <w:rPr>
                <w:rFonts w:hint="eastAsia"/>
                <w:color w:val="auto"/>
                <w:lang w:val="en-US" w:eastAsia="zh-CN"/>
              </w:rPr>
              <w:t>0</w:t>
            </w:r>
            <w:r>
              <w:rPr>
                <w:rFonts w:hint="default"/>
                <w:color w:val="auto"/>
              </w:rPr>
              <w:t>0dB（A），基础减振降噪效果约10dB（A）</w:t>
            </w:r>
            <w:r>
              <w:rPr>
                <w:rFonts w:hint="default"/>
                <w:color w:val="auto"/>
                <w:lang w:eastAsia="zh-CN"/>
              </w:rPr>
              <w:t>。</w:t>
            </w:r>
            <w:r>
              <w:rPr>
                <w:rFonts w:hint="default"/>
                <w:color w:val="auto"/>
              </w:rPr>
              <w:t>根据现场调查，声环境评价范围内没有固定居住人群等声敏感目标，不会造成扰民现象，施工期的噪声仅对施工人员产生影响。</w:t>
            </w:r>
            <w:bookmarkStart w:id="39" w:name="_Hlk163506224"/>
            <w:r>
              <w:rPr>
                <w:rFonts w:hint="default"/>
                <w:color w:val="auto"/>
              </w:rPr>
              <w:t>施工期噪声源及特性见</w:t>
            </w:r>
            <w:r>
              <w:rPr>
                <w:rFonts w:hint="eastAsia"/>
                <w:color w:val="auto"/>
                <w:lang w:val="en-US" w:eastAsia="zh-CN"/>
              </w:rPr>
              <w:t>下表</w:t>
            </w:r>
            <w:r>
              <w:rPr>
                <w:rFonts w:hint="default"/>
                <w:color w:val="auto"/>
              </w:rPr>
              <w:t>。</w:t>
            </w:r>
          </w:p>
          <w:p>
            <w:pPr>
              <w:pStyle w:val="52"/>
              <w:bidi w:val="0"/>
              <w:rPr>
                <w:rFonts w:hint="default"/>
                <w:color w:val="auto"/>
              </w:rPr>
            </w:pPr>
            <w:r>
              <w:rPr>
                <w:rFonts w:hint="default"/>
                <w:color w:val="auto"/>
              </w:rPr>
              <w:t>表</w:t>
            </w:r>
            <w:r>
              <w:rPr>
                <w:rFonts w:hint="default"/>
                <w:color w:val="auto"/>
                <w:lang w:val="en-US" w:eastAsia="zh-CN"/>
              </w:rPr>
              <w:t>4-2</w:t>
            </w:r>
            <w:r>
              <w:rPr>
                <w:rFonts w:hint="default"/>
                <w:color w:val="auto"/>
              </w:rPr>
              <w:t xml:space="preserve">  施工期主要噪声源强特性</w:t>
            </w:r>
            <w:r>
              <w:rPr>
                <w:rFonts w:hint="default"/>
                <w:color w:val="auto"/>
                <w:lang w:val="en-US" w:eastAsia="zh-CN"/>
              </w:rPr>
              <w:t xml:space="preserve">    </w:t>
            </w:r>
            <w:r>
              <w:rPr>
                <w:rFonts w:hint="default"/>
                <w:color w:val="auto"/>
              </w:rPr>
              <w:t>单位：dB(A)</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8" w:type="dxa"/>
                <w:bottom w:w="0" w:type="dxa"/>
                <w:right w:w="28" w:type="dxa"/>
              </w:tblCellMar>
            </w:tblPr>
            <w:tblGrid>
              <w:gridCol w:w="804"/>
              <w:gridCol w:w="1344"/>
              <w:gridCol w:w="647"/>
              <w:gridCol w:w="1138"/>
              <w:gridCol w:w="808"/>
              <w:gridCol w:w="1181"/>
              <w:gridCol w:w="1219"/>
              <w:gridCol w:w="113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86" w:type="pct"/>
                  <w:vAlign w:val="center"/>
                </w:tcPr>
                <w:p>
                  <w:pPr>
                    <w:pStyle w:val="33"/>
                    <w:bidi w:val="0"/>
                    <w:rPr>
                      <w:rFonts w:hint="default" w:ascii="Times New Roman" w:hAnsi="Times New Roman" w:cs="Times New Roman"/>
                      <w:color w:val="auto"/>
                    </w:rPr>
                  </w:pPr>
                  <w:r>
                    <w:rPr>
                      <w:rFonts w:hint="default"/>
                      <w:color w:val="auto"/>
                    </w:rPr>
                    <w:t>时段</w:t>
                  </w:r>
                </w:p>
              </w:tc>
              <w:tc>
                <w:tcPr>
                  <w:tcW w:w="812" w:type="pct"/>
                  <w:vAlign w:val="center"/>
                </w:tcPr>
                <w:p>
                  <w:pPr>
                    <w:pStyle w:val="33"/>
                    <w:bidi w:val="0"/>
                    <w:rPr>
                      <w:rFonts w:hint="default" w:ascii="Times New Roman" w:hAnsi="Times New Roman" w:cs="Times New Roman"/>
                      <w:color w:val="auto"/>
                    </w:rPr>
                  </w:pPr>
                  <w:r>
                    <w:rPr>
                      <w:rFonts w:hint="default"/>
                      <w:color w:val="auto"/>
                    </w:rPr>
                    <w:t>噪声设备</w:t>
                  </w:r>
                </w:p>
              </w:tc>
              <w:tc>
                <w:tcPr>
                  <w:tcW w:w="391" w:type="pct"/>
                  <w:vAlign w:val="center"/>
                </w:tcPr>
                <w:p>
                  <w:pPr>
                    <w:pStyle w:val="33"/>
                    <w:bidi w:val="0"/>
                    <w:rPr>
                      <w:rFonts w:hint="default" w:ascii="Times New Roman" w:hAnsi="Times New Roman" w:cs="Times New Roman"/>
                      <w:color w:val="auto"/>
                    </w:rPr>
                  </w:pPr>
                  <w:r>
                    <w:rPr>
                      <w:rFonts w:hint="default"/>
                      <w:color w:val="auto"/>
                    </w:rPr>
                    <w:t>数量</w:t>
                  </w:r>
                </w:p>
              </w:tc>
              <w:tc>
                <w:tcPr>
                  <w:tcW w:w="687" w:type="pct"/>
                  <w:vAlign w:val="center"/>
                </w:tcPr>
                <w:p>
                  <w:pPr>
                    <w:pStyle w:val="33"/>
                    <w:bidi w:val="0"/>
                    <w:rPr>
                      <w:rFonts w:hint="default" w:ascii="Times New Roman" w:hAnsi="Times New Roman" w:cs="Times New Roman"/>
                      <w:color w:val="auto"/>
                    </w:rPr>
                  </w:pPr>
                  <w:r>
                    <w:rPr>
                      <w:rFonts w:hint="default"/>
                      <w:color w:val="auto"/>
                    </w:rPr>
                    <w:t>单台源强</w:t>
                  </w:r>
                </w:p>
              </w:tc>
              <w:tc>
                <w:tcPr>
                  <w:tcW w:w="488" w:type="pct"/>
                  <w:vAlign w:val="center"/>
                </w:tcPr>
                <w:p>
                  <w:pPr>
                    <w:pStyle w:val="33"/>
                    <w:bidi w:val="0"/>
                    <w:rPr>
                      <w:rFonts w:hint="default" w:ascii="Times New Roman" w:hAnsi="Times New Roman" w:cs="Times New Roman"/>
                      <w:color w:val="auto"/>
                    </w:rPr>
                  </w:pPr>
                  <w:r>
                    <w:rPr>
                      <w:rFonts w:hint="default"/>
                      <w:color w:val="auto"/>
                    </w:rPr>
                    <w:t>距声源</w:t>
                  </w:r>
                </w:p>
              </w:tc>
              <w:tc>
                <w:tcPr>
                  <w:tcW w:w="713" w:type="pct"/>
                  <w:vAlign w:val="center"/>
                </w:tcPr>
                <w:p>
                  <w:pPr>
                    <w:pStyle w:val="33"/>
                    <w:bidi w:val="0"/>
                    <w:rPr>
                      <w:rFonts w:hint="default" w:ascii="Times New Roman" w:hAnsi="Times New Roman" w:cs="Times New Roman"/>
                      <w:color w:val="auto"/>
                    </w:rPr>
                  </w:pPr>
                  <w:r>
                    <w:rPr>
                      <w:rFonts w:hint="default"/>
                      <w:color w:val="auto"/>
                    </w:rPr>
                    <w:t>噪声特性</w:t>
                  </w:r>
                </w:p>
              </w:tc>
              <w:tc>
                <w:tcPr>
                  <w:tcW w:w="736" w:type="pct"/>
                  <w:vAlign w:val="center"/>
                </w:tcPr>
                <w:p>
                  <w:pPr>
                    <w:pStyle w:val="33"/>
                    <w:bidi w:val="0"/>
                    <w:rPr>
                      <w:rFonts w:hint="default" w:ascii="Times New Roman" w:hAnsi="Times New Roman" w:cs="Times New Roman"/>
                      <w:color w:val="auto"/>
                    </w:rPr>
                  </w:pPr>
                  <w:r>
                    <w:rPr>
                      <w:rFonts w:hint="default"/>
                      <w:color w:val="auto"/>
                    </w:rPr>
                    <w:t>排放时间</w:t>
                  </w:r>
                </w:p>
              </w:tc>
              <w:tc>
                <w:tcPr>
                  <w:tcW w:w="683" w:type="pct"/>
                  <w:vAlign w:val="center"/>
                </w:tcPr>
                <w:p>
                  <w:pPr>
                    <w:pStyle w:val="33"/>
                    <w:bidi w:val="0"/>
                    <w:rPr>
                      <w:rFonts w:hint="default" w:ascii="Times New Roman" w:hAnsi="Times New Roman" w:cs="Times New Roman"/>
                      <w:color w:val="auto"/>
                    </w:rPr>
                  </w:pPr>
                  <w:r>
                    <w:rPr>
                      <w:rFonts w:hint="default"/>
                      <w:color w:val="auto"/>
                    </w:rPr>
                    <w:t>声源种类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86" w:type="pct"/>
                  <w:vMerge w:val="restart"/>
                  <w:vAlign w:val="center"/>
                </w:tcPr>
                <w:p>
                  <w:pPr>
                    <w:pStyle w:val="33"/>
                    <w:bidi w:val="0"/>
                    <w:rPr>
                      <w:rFonts w:hint="default" w:ascii="Times New Roman" w:hAnsi="Times New Roman" w:cs="Times New Roman"/>
                      <w:color w:val="auto"/>
                    </w:rPr>
                  </w:pPr>
                  <w:r>
                    <w:rPr>
                      <w:rFonts w:hint="default"/>
                      <w:color w:val="auto"/>
                    </w:rPr>
                    <w:t>钻井期</w:t>
                  </w:r>
                </w:p>
              </w:tc>
              <w:tc>
                <w:tcPr>
                  <w:tcW w:w="812" w:type="pct"/>
                  <w:vAlign w:val="center"/>
                </w:tcPr>
                <w:p>
                  <w:pPr>
                    <w:pStyle w:val="33"/>
                    <w:bidi w:val="0"/>
                    <w:rPr>
                      <w:rFonts w:hint="default" w:ascii="Times New Roman" w:hAnsi="Times New Roman" w:eastAsia="宋体" w:cs="Times New Roman"/>
                      <w:color w:val="auto"/>
                      <w:lang w:val="en-US" w:eastAsia="zh-CN"/>
                    </w:rPr>
                  </w:pPr>
                  <w:r>
                    <w:rPr>
                      <w:rFonts w:hint="default"/>
                      <w:color w:val="auto"/>
                      <w:lang w:val="en-US" w:eastAsia="zh-CN"/>
                    </w:rPr>
                    <w:t>钻机</w:t>
                  </w:r>
                </w:p>
              </w:tc>
              <w:tc>
                <w:tcPr>
                  <w:tcW w:w="391" w:type="pct"/>
                  <w:vAlign w:val="center"/>
                </w:tcPr>
                <w:p>
                  <w:pPr>
                    <w:pStyle w:val="33"/>
                    <w:bidi w:val="0"/>
                    <w:rPr>
                      <w:rFonts w:hint="default" w:ascii="Times New Roman" w:hAnsi="Times New Roman" w:cs="Times New Roman"/>
                      <w:color w:val="auto"/>
                    </w:rPr>
                  </w:pPr>
                  <w:r>
                    <w:rPr>
                      <w:rFonts w:hint="default"/>
                      <w:color w:val="auto"/>
                    </w:rPr>
                    <w:t>1</w:t>
                  </w:r>
                </w:p>
              </w:tc>
              <w:tc>
                <w:tcPr>
                  <w:tcW w:w="687" w:type="pct"/>
                  <w:vAlign w:val="center"/>
                </w:tcPr>
                <w:p>
                  <w:pPr>
                    <w:pStyle w:val="33"/>
                    <w:bidi w:val="0"/>
                    <w:rPr>
                      <w:rFonts w:hint="default" w:ascii="Times New Roman" w:hAnsi="Times New Roman" w:cs="Times New Roman"/>
                      <w:color w:val="auto"/>
                    </w:rPr>
                  </w:pPr>
                  <w:r>
                    <w:rPr>
                      <w:rFonts w:hint="default"/>
                      <w:color w:val="auto"/>
                    </w:rPr>
                    <w:t>90</w:t>
                  </w:r>
                </w:p>
              </w:tc>
              <w:tc>
                <w:tcPr>
                  <w:tcW w:w="488" w:type="pct"/>
                  <w:vAlign w:val="center"/>
                </w:tcPr>
                <w:p>
                  <w:pPr>
                    <w:pStyle w:val="33"/>
                    <w:bidi w:val="0"/>
                    <w:rPr>
                      <w:rFonts w:hint="default" w:ascii="Times New Roman" w:hAnsi="Times New Roman" w:cs="Times New Roman"/>
                      <w:color w:val="auto"/>
                    </w:rPr>
                  </w:pPr>
                  <w:r>
                    <w:rPr>
                      <w:rFonts w:hint="default"/>
                      <w:color w:val="auto"/>
                    </w:rPr>
                    <w:t>1m</w:t>
                  </w:r>
                </w:p>
              </w:tc>
              <w:tc>
                <w:tcPr>
                  <w:tcW w:w="713" w:type="pct"/>
                  <w:vAlign w:val="center"/>
                </w:tcPr>
                <w:p>
                  <w:pPr>
                    <w:pStyle w:val="33"/>
                    <w:bidi w:val="0"/>
                    <w:rPr>
                      <w:rFonts w:hint="default" w:ascii="Times New Roman" w:hAnsi="Times New Roman" w:cs="Times New Roman"/>
                      <w:color w:val="auto"/>
                    </w:rPr>
                  </w:pPr>
                  <w:r>
                    <w:rPr>
                      <w:rFonts w:hint="default"/>
                      <w:color w:val="auto"/>
                    </w:rPr>
                    <w:t>机械</w:t>
                  </w:r>
                </w:p>
              </w:tc>
              <w:tc>
                <w:tcPr>
                  <w:tcW w:w="736" w:type="pct"/>
                  <w:vAlign w:val="center"/>
                </w:tcPr>
                <w:p>
                  <w:pPr>
                    <w:pStyle w:val="33"/>
                    <w:bidi w:val="0"/>
                    <w:rPr>
                      <w:rFonts w:hint="default" w:ascii="Times New Roman" w:hAnsi="Times New Roman" w:cs="Times New Roman"/>
                      <w:color w:val="auto"/>
                    </w:rPr>
                  </w:pPr>
                  <w:r>
                    <w:rPr>
                      <w:rFonts w:hint="default"/>
                      <w:color w:val="auto"/>
                    </w:rPr>
                    <w:t>昼夜连续</w:t>
                  </w:r>
                </w:p>
              </w:tc>
              <w:tc>
                <w:tcPr>
                  <w:tcW w:w="683" w:type="pct"/>
                  <w:vAlign w:val="center"/>
                </w:tcPr>
                <w:p>
                  <w:pPr>
                    <w:pStyle w:val="33"/>
                    <w:bidi w:val="0"/>
                    <w:rPr>
                      <w:rFonts w:hint="default" w:ascii="Times New Roman" w:hAnsi="Times New Roman" w:cs="Times New Roman"/>
                      <w:color w:val="auto"/>
                    </w:rPr>
                  </w:pPr>
                  <w:r>
                    <w:rPr>
                      <w:rFonts w:hint="default"/>
                      <w:color w:val="auto"/>
                    </w:rPr>
                    <w:t>固定声源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86" w:type="pct"/>
                  <w:vMerge w:val="continue"/>
                  <w:vAlign w:val="center"/>
                </w:tcPr>
                <w:p>
                  <w:pPr>
                    <w:rPr>
                      <w:rFonts w:hint="default" w:ascii="Times New Roman" w:hAnsi="Times New Roman" w:cs="Times New Roman"/>
                      <w:color w:val="auto"/>
                    </w:rPr>
                  </w:pPr>
                </w:p>
              </w:tc>
              <w:tc>
                <w:tcPr>
                  <w:tcW w:w="812" w:type="pct"/>
                  <w:vAlign w:val="center"/>
                </w:tcPr>
                <w:p>
                  <w:pPr>
                    <w:pStyle w:val="33"/>
                    <w:bidi w:val="0"/>
                    <w:rPr>
                      <w:rFonts w:hint="default" w:ascii="Times New Roman" w:hAnsi="Times New Roman" w:cs="Times New Roman"/>
                      <w:color w:val="auto"/>
                    </w:rPr>
                  </w:pPr>
                  <w:r>
                    <w:rPr>
                      <w:rFonts w:hint="default"/>
                      <w:color w:val="auto"/>
                    </w:rPr>
                    <w:t>泥浆泵</w:t>
                  </w:r>
                </w:p>
              </w:tc>
              <w:tc>
                <w:tcPr>
                  <w:tcW w:w="391" w:type="pct"/>
                  <w:vAlign w:val="center"/>
                </w:tcPr>
                <w:p>
                  <w:pPr>
                    <w:pStyle w:val="33"/>
                    <w:bidi w:val="0"/>
                    <w:rPr>
                      <w:rFonts w:hint="default" w:ascii="Times New Roman" w:hAnsi="Times New Roman" w:cs="Times New Roman"/>
                      <w:color w:val="auto"/>
                    </w:rPr>
                  </w:pPr>
                  <w:r>
                    <w:rPr>
                      <w:rFonts w:hint="default"/>
                      <w:color w:val="auto"/>
                    </w:rPr>
                    <w:t>2</w:t>
                  </w:r>
                </w:p>
              </w:tc>
              <w:tc>
                <w:tcPr>
                  <w:tcW w:w="687" w:type="pct"/>
                  <w:vAlign w:val="center"/>
                </w:tcPr>
                <w:p>
                  <w:pPr>
                    <w:pStyle w:val="33"/>
                    <w:bidi w:val="0"/>
                    <w:rPr>
                      <w:rFonts w:hint="default" w:ascii="Times New Roman" w:hAnsi="Times New Roman" w:cs="Times New Roman"/>
                      <w:color w:val="auto"/>
                    </w:rPr>
                  </w:pPr>
                  <w:r>
                    <w:rPr>
                      <w:rFonts w:hint="default"/>
                      <w:color w:val="auto"/>
                    </w:rPr>
                    <w:t>90</w:t>
                  </w:r>
                </w:p>
              </w:tc>
              <w:tc>
                <w:tcPr>
                  <w:tcW w:w="488" w:type="pct"/>
                  <w:vAlign w:val="center"/>
                </w:tcPr>
                <w:p>
                  <w:pPr>
                    <w:pStyle w:val="33"/>
                    <w:bidi w:val="0"/>
                    <w:rPr>
                      <w:rFonts w:hint="default" w:ascii="Times New Roman" w:hAnsi="Times New Roman" w:cs="Times New Roman"/>
                      <w:color w:val="auto"/>
                    </w:rPr>
                  </w:pPr>
                  <w:r>
                    <w:rPr>
                      <w:rFonts w:hint="default"/>
                      <w:color w:val="auto"/>
                    </w:rPr>
                    <w:t>1m</w:t>
                  </w:r>
                </w:p>
              </w:tc>
              <w:tc>
                <w:tcPr>
                  <w:tcW w:w="713" w:type="pct"/>
                  <w:vAlign w:val="center"/>
                </w:tcPr>
                <w:p>
                  <w:pPr>
                    <w:pStyle w:val="33"/>
                    <w:bidi w:val="0"/>
                    <w:rPr>
                      <w:rFonts w:hint="default" w:ascii="Times New Roman" w:hAnsi="Times New Roman" w:cs="Times New Roman"/>
                      <w:color w:val="auto"/>
                    </w:rPr>
                  </w:pPr>
                  <w:r>
                    <w:rPr>
                      <w:rFonts w:hint="default"/>
                      <w:color w:val="auto"/>
                    </w:rPr>
                    <w:t>机械</w:t>
                  </w:r>
                </w:p>
              </w:tc>
              <w:tc>
                <w:tcPr>
                  <w:tcW w:w="736" w:type="pct"/>
                  <w:vAlign w:val="center"/>
                </w:tcPr>
                <w:p>
                  <w:pPr>
                    <w:pStyle w:val="33"/>
                    <w:bidi w:val="0"/>
                    <w:rPr>
                      <w:rFonts w:hint="default" w:ascii="Times New Roman" w:hAnsi="Times New Roman" w:cs="Times New Roman"/>
                      <w:color w:val="auto"/>
                    </w:rPr>
                  </w:pPr>
                  <w:r>
                    <w:rPr>
                      <w:rFonts w:hint="default"/>
                      <w:color w:val="auto"/>
                    </w:rPr>
                    <w:t>昼夜连续</w:t>
                  </w:r>
                </w:p>
              </w:tc>
              <w:tc>
                <w:tcPr>
                  <w:tcW w:w="683" w:type="pct"/>
                  <w:vAlign w:val="center"/>
                </w:tcPr>
                <w:p>
                  <w:pPr>
                    <w:pStyle w:val="33"/>
                    <w:bidi w:val="0"/>
                    <w:rPr>
                      <w:rFonts w:hint="default" w:ascii="Times New Roman" w:hAnsi="Times New Roman" w:cs="Times New Roman"/>
                      <w:color w:val="auto"/>
                    </w:rPr>
                  </w:pPr>
                  <w:r>
                    <w:rPr>
                      <w:rFonts w:hint="default"/>
                      <w:color w:val="auto"/>
                    </w:rPr>
                    <w:t>固定声源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86" w:type="pct"/>
                  <w:vMerge w:val="continue"/>
                  <w:vAlign w:val="center"/>
                </w:tcPr>
                <w:p>
                  <w:pPr>
                    <w:rPr>
                      <w:rFonts w:hint="default" w:ascii="Times New Roman" w:hAnsi="Times New Roman" w:cs="Times New Roman"/>
                      <w:color w:val="auto"/>
                    </w:rPr>
                  </w:pPr>
                </w:p>
              </w:tc>
              <w:tc>
                <w:tcPr>
                  <w:tcW w:w="812" w:type="pct"/>
                  <w:vAlign w:val="center"/>
                </w:tcPr>
                <w:p>
                  <w:pPr>
                    <w:pStyle w:val="33"/>
                    <w:bidi w:val="0"/>
                    <w:rPr>
                      <w:rFonts w:hint="default" w:ascii="Times New Roman" w:hAnsi="Times New Roman" w:cs="Times New Roman"/>
                      <w:color w:val="auto"/>
                    </w:rPr>
                  </w:pPr>
                  <w:r>
                    <w:rPr>
                      <w:rFonts w:hint="default"/>
                      <w:color w:val="auto"/>
                    </w:rPr>
                    <w:t>振动筛</w:t>
                  </w:r>
                </w:p>
              </w:tc>
              <w:tc>
                <w:tcPr>
                  <w:tcW w:w="391" w:type="pct"/>
                  <w:vAlign w:val="center"/>
                </w:tcPr>
                <w:p>
                  <w:pPr>
                    <w:pStyle w:val="33"/>
                    <w:bidi w:val="0"/>
                    <w:rPr>
                      <w:rFonts w:hint="default" w:ascii="Times New Roman" w:hAnsi="Times New Roman" w:cs="Times New Roman"/>
                      <w:color w:val="auto"/>
                    </w:rPr>
                  </w:pPr>
                  <w:r>
                    <w:rPr>
                      <w:rFonts w:hint="default"/>
                      <w:color w:val="auto"/>
                    </w:rPr>
                    <w:t>3</w:t>
                  </w:r>
                </w:p>
              </w:tc>
              <w:tc>
                <w:tcPr>
                  <w:tcW w:w="687" w:type="pct"/>
                  <w:vAlign w:val="center"/>
                </w:tcPr>
                <w:p>
                  <w:pPr>
                    <w:pStyle w:val="33"/>
                    <w:bidi w:val="0"/>
                    <w:rPr>
                      <w:rFonts w:hint="default" w:ascii="Times New Roman" w:hAnsi="Times New Roman" w:cs="Times New Roman"/>
                      <w:color w:val="auto"/>
                    </w:rPr>
                  </w:pPr>
                  <w:r>
                    <w:rPr>
                      <w:rFonts w:hint="default"/>
                      <w:color w:val="auto"/>
                    </w:rPr>
                    <w:t>100</w:t>
                  </w:r>
                </w:p>
              </w:tc>
              <w:tc>
                <w:tcPr>
                  <w:tcW w:w="488" w:type="pct"/>
                  <w:vAlign w:val="center"/>
                </w:tcPr>
                <w:p>
                  <w:pPr>
                    <w:pStyle w:val="33"/>
                    <w:bidi w:val="0"/>
                    <w:rPr>
                      <w:rFonts w:hint="default" w:ascii="Times New Roman" w:hAnsi="Times New Roman" w:cs="Times New Roman"/>
                      <w:color w:val="auto"/>
                    </w:rPr>
                  </w:pPr>
                  <w:r>
                    <w:rPr>
                      <w:rFonts w:hint="default"/>
                      <w:color w:val="auto"/>
                    </w:rPr>
                    <w:t>1m</w:t>
                  </w:r>
                </w:p>
              </w:tc>
              <w:tc>
                <w:tcPr>
                  <w:tcW w:w="713" w:type="pct"/>
                  <w:vAlign w:val="center"/>
                </w:tcPr>
                <w:p>
                  <w:pPr>
                    <w:pStyle w:val="33"/>
                    <w:bidi w:val="0"/>
                    <w:rPr>
                      <w:rFonts w:hint="default" w:ascii="Times New Roman" w:hAnsi="Times New Roman" w:cs="Times New Roman"/>
                      <w:color w:val="auto"/>
                    </w:rPr>
                  </w:pPr>
                  <w:r>
                    <w:rPr>
                      <w:rFonts w:hint="default"/>
                      <w:color w:val="auto"/>
                    </w:rPr>
                    <w:t>机械</w:t>
                  </w:r>
                </w:p>
              </w:tc>
              <w:tc>
                <w:tcPr>
                  <w:tcW w:w="736" w:type="pct"/>
                  <w:vAlign w:val="center"/>
                </w:tcPr>
                <w:p>
                  <w:pPr>
                    <w:pStyle w:val="33"/>
                    <w:bidi w:val="0"/>
                    <w:rPr>
                      <w:rFonts w:hint="default" w:ascii="Times New Roman" w:hAnsi="Times New Roman" w:cs="Times New Roman"/>
                      <w:color w:val="auto"/>
                    </w:rPr>
                  </w:pPr>
                  <w:r>
                    <w:rPr>
                      <w:rFonts w:hint="default"/>
                      <w:color w:val="auto"/>
                    </w:rPr>
                    <w:t>昼夜连续</w:t>
                  </w:r>
                </w:p>
              </w:tc>
              <w:tc>
                <w:tcPr>
                  <w:tcW w:w="683" w:type="pct"/>
                  <w:vAlign w:val="center"/>
                </w:tcPr>
                <w:p>
                  <w:pPr>
                    <w:pStyle w:val="33"/>
                    <w:bidi w:val="0"/>
                    <w:rPr>
                      <w:rFonts w:hint="default" w:ascii="Times New Roman" w:hAnsi="Times New Roman" w:cs="Times New Roman"/>
                      <w:color w:val="auto"/>
                    </w:rPr>
                  </w:pPr>
                  <w:r>
                    <w:rPr>
                      <w:rFonts w:hint="default"/>
                      <w:color w:val="auto"/>
                    </w:rPr>
                    <w:t>固定声源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86" w:type="pct"/>
                  <w:vMerge w:val="continue"/>
                  <w:vAlign w:val="center"/>
                </w:tcPr>
                <w:p>
                  <w:pPr>
                    <w:rPr>
                      <w:rFonts w:hint="default" w:ascii="Times New Roman" w:hAnsi="Times New Roman" w:cs="Times New Roman"/>
                      <w:color w:val="auto"/>
                    </w:rPr>
                  </w:pPr>
                </w:p>
              </w:tc>
              <w:tc>
                <w:tcPr>
                  <w:tcW w:w="812" w:type="pct"/>
                  <w:vAlign w:val="center"/>
                </w:tcPr>
                <w:p>
                  <w:pPr>
                    <w:pStyle w:val="33"/>
                    <w:bidi w:val="0"/>
                    <w:rPr>
                      <w:rFonts w:hint="default" w:ascii="Times New Roman" w:hAnsi="Times New Roman" w:cs="Times New Roman"/>
                      <w:color w:val="auto"/>
                    </w:rPr>
                  </w:pPr>
                  <w:r>
                    <w:rPr>
                      <w:rFonts w:hint="default"/>
                      <w:color w:val="auto"/>
                    </w:rPr>
                    <w:t>柴油发电机</w:t>
                  </w:r>
                </w:p>
              </w:tc>
              <w:tc>
                <w:tcPr>
                  <w:tcW w:w="391" w:type="pct"/>
                  <w:vAlign w:val="center"/>
                </w:tcPr>
                <w:p>
                  <w:pPr>
                    <w:pStyle w:val="33"/>
                    <w:bidi w:val="0"/>
                    <w:rPr>
                      <w:rFonts w:hint="default" w:ascii="Times New Roman" w:hAnsi="Times New Roman" w:cs="Times New Roman"/>
                      <w:color w:val="auto"/>
                    </w:rPr>
                  </w:pPr>
                  <w:r>
                    <w:rPr>
                      <w:rFonts w:hint="default"/>
                      <w:color w:val="auto"/>
                    </w:rPr>
                    <w:t>2</w:t>
                  </w:r>
                </w:p>
              </w:tc>
              <w:tc>
                <w:tcPr>
                  <w:tcW w:w="687" w:type="pct"/>
                  <w:vAlign w:val="center"/>
                </w:tcPr>
                <w:p>
                  <w:pPr>
                    <w:pStyle w:val="33"/>
                    <w:bidi w:val="0"/>
                    <w:rPr>
                      <w:rFonts w:hint="default" w:ascii="Times New Roman" w:hAnsi="Times New Roman" w:cs="Times New Roman"/>
                      <w:color w:val="auto"/>
                    </w:rPr>
                  </w:pPr>
                  <w:r>
                    <w:rPr>
                      <w:rFonts w:hint="default"/>
                      <w:color w:val="auto"/>
                    </w:rPr>
                    <w:t>85</w:t>
                  </w:r>
                </w:p>
              </w:tc>
              <w:tc>
                <w:tcPr>
                  <w:tcW w:w="488" w:type="pct"/>
                  <w:vAlign w:val="center"/>
                </w:tcPr>
                <w:p>
                  <w:pPr>
                    <w:pStyle w:val="33"/>
                    <w:bidi w:val="0"/>
                    <w:rPr>
                      <w:rFonts w:hint="default" w:ascii="Times New Roman" w:hAnsi="Times New Roman" w:cs="Times New Roman"/>
                      <w:color w:val="auto"/>
                    </w:rPr>
                  </w:pPr>
                  <w:r>
                    <w:rPr>
                      <w:rFonts w:hint="default"/>
                      <w:color w:val="auto"/>
                    </w:rPr>
                    <w:t>1m</w:t>
                  </w:r>
                </w:p>
              </w:tc>
              <w:tc>
                <w:tcPr>
                  <w:tcW w:w="713" w:type="pct"/>
                  <w:vAlign w:val="center"/>
                </w:tcPr>
                <w:p>
                  <w:pPr>
                    <w:pStyle w:val="33"/>
                    <w:bidi w:val="0"/>
                    <w:rPr>
                      <w:rFonts w:hint="default" w:ascii="Times New Roman" w:hAnsi="Times New Roman" w:cs="Times New Roman"/>
                      <w:color w:val="auto"/>
                    </w:rPr>
                  </w:pPr>
                  <w:r>
                    <w:rPr>
                      <w:rFonts w:hint="default"/>
                      <w:color w:val="auto"/>
                    </w:rPr>
                    <w:t>机械</w:t>
                  </w:r>
                </w:p>
              </w:tc>
              <w:tc>
                <w:tcPr>
                  <w:tcW w:w="736" w:type="pct"/>
                  <w:vAlign w:val="center"/>
                </w:tcPr>
                <w:p>
                  <w:pPr>
                    <w:pStyle w:val="33"/>
                    <w:bidi w:val="0"/>
                    <w:rPr>
                      <w:rFonts w:hint="default" w:ascii="Times New Roman" w:hAnsi="Times New Roman" w:cs="Times New Roman"/>
                      <w:color w:val="auto"/>
                    </w:rPr>
                  </w:pPr>
                  <w:r>
                    <w:rPr>
                      <w:rFonts w:hint="default"/>
                      <w:color w:val="auto"/>
                    </w:rPr>
                    <w:t>昼夜连续</w:t>
                  </w:r>
                </w:p>
              </w:tc>
              <w:tc>
                <w:tcPr>
                  <w:tcW w:w="683" w:type="pct"/>
                  <w:vAlign w:val="center"/>
                </w:tcPr>
                <w:p>
                  <w:pPr>
                    <w:pStyle w:val="33"/>
                    <w:bidi w:val="0"/>
                    <w:rPr>
                      <w:rFonts w:hint="default" w:ascii="Times New Roman" w:hAnsi="Times New Roman" w:cs="Times New Roman"/>
                      <w:color w:val="auto"/>
                    </w:rPr>
                  </w:pPr>
                  <w:r>
                    <w:rPr>
                      <w:rFonts w:hint="default"/>
                      <w:color w:val="auto"/>
                    </w:rPr>
                    <w:t>固定声源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86" w:type="pct"/>
                  <w:vMerge w:val="continue"/>
                  <w:vAlign w:val="center"/>
                </w:tcPr>
                <w:p>
                  <w:pPr>
                    <w:rPr>
                      <w:rFonts w:hint="default" w:ascii="Times New Roman" w:hAnsi="Times New Roman" w:cs="Times New Roman"/>
                      <w:color w:val="auto"/>
                    </w:rPr>
                  </w:pPr>
                </w:p>
              </w:tc>
              <w:tc>
                <w:tcPr>
                  <w:tcW w:w="812" w:type="pct"/>
                  <w:vAlign w:val="center"/>
                </w:tcPr>
                <w:p>
                  <w:pPr>
                    <w:pStyle w:val="33"/>
                    <w:bidi w:val="0"/>
                    <w:rPr>
                      <w:rFonts w:hint="default" w:ascii="Times New Roman" w:hAnsi="Times New Roman" w:cs="Times New Roman"/>
                      <w:color w:val="auto"/>
                    </w:rPr>
                  </w:pPr>
                  <w:r>
                    <w:rPr>
                      <w:rFonts w:hint="default"/>
                      <w:color w:val="auto"/>
                    </w:rPr>
                    <w:t>柴油机</w:t>
                  </w:r>
                </w:p>
              </w:tc>
              <w:tc>
                <w:tcPr>
                  <w:tcW w:w="391" w:type="pct"/>
                  <w:vAlign w:val="center"/>
                </w:tcPr>
                <w:p>
                  <w:pPr>
                    <w:pStyle w:val="33"/>
                    <w:bidi w:val="0"/>
                    <w:rPr>
                      <w:rFonts w:hint="default" w:ascii="Times New Roman" w:hAnsi="Times New Roman" w:cs="Times New Roman"/>
                      <w:color w:val="auto"/>
                    </w:rPr>
                  </w:pPr>
                  <w:r>
                    <w:rPr>
                      <w:rFonts w:hint="default"/>
                      <w:color w:val="auto"/>
                    </w:rPr>
                    <w:t>4</w:t>
                  </w:r>
                </w:p>
              </w:tc>
              <w:tc>
                <w:tcPr>
                  <w:tcW w:w="687" w:type="pct"/>
                  <w:vAlign w:val="center"/>
                </w:tcPr>
                <w:p>
                  <w:pPr>
                    <w:pStyle w:val="33"/>
                    <w:bidi w:val="0"/>
                    <w:rPr>
                      <w:rFonts w:hint="default" w:ascii="Times New Roman" w:hAnsi="Times New Roman" w:cs="Times New Roman"/>
                      <w:color w:val="auto"/>
                    </w:rPr>
                  </w:pPr>
                  <w:r>
                    <w:rPr>
                      <w:rFonts w:hint="default"/>
                      <w:color w:val="auto"/>
                    </w:rPr>
                    <w:t>95</w:t>
                  </w:r>
                </w:p>
              </w:tc>
              <w:tc>
                <w:tcPr>
                  <w:tcW w:w="488" w:type="pct"/>
                  <w:vAlign w:val="center"/>
                </w:tcPr>
                <w:p>
                  <w:pPr>
                    <w:pStyle w:val="33"/>
                    <w:bidi w:val="0"/>
                    <w:rPr>
                      <w:rFonts w:hint="default" w:ascii="Times New Roman" w:hAnsi="Times New Roman" w:cs="Times New Roman"/>
                      <w:color w:val="auto"/>
                    </w:rPr>
                  </w:pPr>
                  <w:r>
                    <w:rPr>
                      <w:rFonts w:hint="default"/>
                      <w:color w:val="auto"/>
                    </w:rPr>
                    <w:t>1m</w:t>
                  </w:r>
                </w:p>
              </w:tc>
              <w:tc>
                <w:tcPr>
                  <w:tcW w:w="713" w:type="pct"/>
                  <w:vAlign w:val="center"/>
                </w:tcPr>
                <w:p>
                  <w:pPr>
                    <w:pStyle w:val="33"/>
                    <w:bidi w:val="0"/>
                    <w:rPr>
                      <w:rFonts w:hint="default" w:ascii="Times New Roman" w:hAnsi="Times New Roman" w:cs="Times New Roman"/>
                      <w:color w:val="auto"/>
                    </w:rPr>
                  </w:pPr>
                  <w:r>
                    <w:rPr>
                      <w:rFonts w:hint="default"/>
                      <w:color w:val="auto"/>
                    </w:rPr>
                    <w:t>机械</w:t>
                  </w:r>
                </w:p>
              </w:tc>
              <w:tc>
                <w:tcPr>
                  <w:tcW w:w="736" w:type="pct"/>
                  <w:vAlign w:val="center"/>
                </w:tcPr>
                <w:p>
                  <w:pPr>
                    <w:pStyle w:val="33"/>
                    <w:bidi w:val="0"/>
                    <w:rPr>
                      <w:rFonts w:hint="default" w:ascii="Times New Roman" w:hAnsi="Times New Roman" w:cs="Times New Roman"/>
                      <w:color w:val="auto"/>
                    </w:rPr>
                  </w:pPr>
                  <w:r>
                    <w:rPr>
                      <w:rFonts w:hint="default"/>
                      <w:color w:val="auto"/>
                    </w:rPr>
                    <w:t>昼夜连续</w:t>
                  </w:r>
                </w:p>
              </w:tc>
              <w:tc>
                <w:tcPr>
                  <w:tcW w:w="683" w:type="pct"/>
                  <w:vAlign w:val="center"/>
                </w:tcPr>
                <w:p>
                  <w:pPr>
                    <w:pStyle w:val="33"/>
                    <w:bidi w:val="0"/>
                    <w:rPr>
                      <w:rFonts w:hint="default" w:ascii="Times New Roman" w:hAnsi="Times New Roman" w:cs="Times New Roman"/>
                      <w:color w:val="auto"/>
                    </w:rPr>
                  </w:pPr>
                  <w:r>
                    <w:rPr>
                      <w:rFonts w:hint="default"/>
                      <w:color w:val="auto"/>
                    </w:rPr>
                    <w:t>固定声源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86" w:type="pct"/>
                  <w:vMerge w:val="restart"/>
                  <w:vAlign w:val="center"/>
                </w:tcPr>
                <w:p>
                  <w:pPr>
                    <w:pStyle w:val="33"/>
                    <w:bidi w:val="0"/>
                    <w:rPr>
                      <w:rFonts w:hint="default" w:ascii="Times New Roman" w:hAnsi="Times New Roman" w:eastAsia="宋体" w:cs="Times New Roman"/>
                      <w:color w:val="auto"/>
                      <w:lang w:val="en-US" w:eastAsia="zh-CN"/>
                    </w:rPr>
                  </w:pPr>
                  <w:r>
                    <w:rPr>
                      <w:rFonts w:hint="default"/>
                      <w:color w:val="auto"/>
                      <w:lang w:val="en-US" w:eastAsia="zh-CN"/>
                    </w:rPr>
                    <w:t>试油期</w:t>
                  </w:r>
                </w:p>
              </w:tc>
              <w:tc>
                <w:tcPr>
                  <w:tcW w:w="812" w:type="pct"/>
                  <w:vAlign w:val="center"/>
                </w:tcPr>
                <w:p>
                  <w:pPr>
                    <w:pStyle w:val="33"/>
                    <w:bidi w:val="0"/>
                    <w:rPr>
                      <w:rFonts w:hint="default" w:ascii="Times New Roman" w:hAnsi="Times New Roman" w:cs="Times New Roman"/>
                      <w:color w:val="auto"/>
                    </w:rPr>
                  </w:pPr>
                  <w:r>
                    <w:rPr>
                      <w:rFonts w:hint="default"/>
                      <w:color w:val="auto"/>
                    </w:rPr>
                    <w:t>压裂车</w:t>
                  </w:r>
                </w:p>
              </w:tc>
              <w:tc>
                <w:tcPr>
                  <w:tcW w:w="391" w:type="pct"/>
                  <w:vAlign w:val="center"/>
                </w:tcPr>
                <w:p>
                  <w:pPr>
                    <w:pStyle w:val="33"/>
                    <w:bidi w:val="0"/>
                    <w:rPr>
                      <w:rFonts w:hint="default" w:ascii="Times New Roman" w:hAnsi="Times New Roman" w:cs="Times New Roman"/>
                      <w:color w:val="auto"/>
                    </w:rPr>
                  </w:pPr>
                  <w:r>
                    <w:rPr>
                      <w:rFonts w:hint="default"/>
                      <w:color w:val="auto"/>
                    </w:rPr>
                    <w:t>8</w:t>
                  </w:r>
                </w:p>
              </w:tc>
              <w:tc>
                <w:tcPr>
                  <w:tcW w:w="687" w:type="pct"/>
                  <w:vAlign w:val="center"/>
                </w:tcPr>
                <w:p>
                  <w:pPr>
                    <w:pStyle w:val="33"/>
                    <w:bidi w:val="0"/>
                    <w:rPr>
                      <w:rFonts w:hint="default" w:ascii="Times New Roman" w:hAnsi="Times New Roman" w:cs="Times New Roman"/>
                      <w:color w:val="auto"/>
                    </w:rPr>
                  </w:pPr>
                  <w:r>
                    <w:rPr>
                      <w:rFonts w:hint="default"/>
                      <w:color w:val="auto"/>
                    </w:rPr>
                    <w:t>100</w:t>
                  </w:r>
                </w:p>
              </w:tc>
              <w:tc>
                <w:tcPr>
                  <w:tcW w:w="488" w:type="pct"/>
                  <w:vAlign w:val="center"/>
                </w:tcPr>
                <w:p>
                  <w:pPr>
                    <w:pStyle w:val="33"/>
                    <w:bidi w:val="0"/>
                    <w:rPr>
                      <w:rFonts w:hint="default" w:ascii="Times New Roman" w:hAnsi="Times New Roman" w:cs="Times New Roman"/>
                      <w:color w:val="auto"/>
                    </w:rPr>
                  </w:pPr>
                  <w:r>
                    <w:rPr>
                      <w:rFonts w:hint="default"/>
                      <w:color w:val="auto"/>
                    </w:rPr>
                    <w:t>1m</w:t>
                  </w:r>
                </w:p>
              </w:tc>
              <w:tc>
                <w:tcPr>
                  <w:tcW w:w="713" w:type="pct"/>
                  <w:vAlign w:val="center"/>
                </w:tcPr>
                <w:p>
                  <w:pPr>
                    <w:pStyle w:val="33"/>
                    <w:bidi w:val="0"/>
                    <w:rPr>
                      <w:rFonts w:hint="default" w:ascii="Times New Roman" w:hAnsi="Times New Roman" w:cs="Times New Roman"/>
                      <w:color w:val="auto"/>
                    </w:rPr>
                  </w:pPr>
                  <w:r>
                    <w:rPr>
                      <w:rFonts w:hint="default"/>
                      <w:color w:val="auto"/>
                    </w:rPr>
                    <w:t>机械</w:t>
                  </w:r>
                </w:p>
              </w:tc>
              <w:tc>
                <w:tcPr>
                  <w:tcW w:w="736" w:type="pct"/>
                  <w:vAlign w:val="center"/>
                </w:tcPr>
                <w:p>
                  <w:pPr>
                    <w:pStyle w:val="33"/>
                    <w:bidi w:val="0"/>
                    <w:rPr>
                      <w:rFonts w:hint="default" w:ascii="Times New Roman" w:hAnsi="Times New Roman" w:cs="Times New Roman"/>
                      <w:color w:val="auto"/>
                    </w:rPr>
                  </w:pPr>
                  <w:r>
                    <w:rPr>
                      <w:rFonts w:hint="default"/>
                      <w:color w:val="auto"/>
                    </w:rPr>
                    <w:t>昼夜连续</w:t>
                  </w:r>
                </w:p>
              </w:tc>
              <w:tc>
                <w:tcPr>
                  <w:tcW w:w="683" w:type="pct"/>
                  <w:vAlign w:val="center"/>
                </w:tcPr>
                <w:p>
                  <w:pPr>
                    <w:pStyle w:val="33"/>
                    <w:bidi w:val="0"/>
                    <w:rPr>
                      <w:rFonts w:hint="default" w:ascii="Times New Roman" w:hAnsi="Times New Roman" w:cs="Times New Roman"/>
                      <w:color w:val="auto"/>
                    </w:rPr>
                  </w:pPr>
                  <w:r>
                    <w:rPr>
                      <w:rFonts w:hint="default"/>
                      <w:color w:val="auto"/>
                    </w:rPr>
                    <w:t>固定声源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86" w:type="pct"/>
                  <w:vMerge w:val="continue"/>
                  <w:vAlign w:val="center"/>
                </w:tcPr>
                <w:p>
                  <w:pPr>
                    <w:rPr>
                      <w:rFonts w:hint="default" w:ascii="Times New Roman" w:hAnsi="Times New Roman" w:cs="Times New Roman"/>
                      <w:color w:val="auto"/>
                    </w:rPr>
                  </w:pPr>
                </w:p>
              </w:tc>
              <w:tc>
                <w:tcPr>
                  <w:tcW w:w="812" w:type="pct"/>
                  <w:vAlign w:val="center"/>
                </w:tcPr>
                <w:p>
                  <w:pPr>
                    <w:pStyle w:val="33"/>
                    <w:bidi w:val="0"/>
                    <w:rPr>
                      <w:rFonts w:hint="default" w:ascii="Times New Roman" w:hAnsi="Times New Roman" w:cs="Times New Roman"/>
                      <w:color w:val="auto"/>
                    </w:rPr>
                  </w:pPr>
                  <w:r>
                    <w:rPr>
                      <w:rFonts w:hint="default"/>
                      <w:color w:val="auto"/>
                    </w:rPr>
                    <w:t>射孔车</w:t>
                  </w:r>
                </w:p>
              </w:tc>
              <w:tc>
                <w:tcPr>
                  <w:tcW w:w="391" w:type="pct"/>
                  <w:vAlign w:val="center"/>
                </w:tcPr>
                <w:p>
                  <w:pPr>
                    <w:pStyle w:val="33"/>
                    <w:bidi w:val="0"/>
                    <w:rPr>
                      <w:rFonts w:hint="default" w:ascii="Times New Roman" w:hAnsi="Times New Roman" w:cs="Times New Roman"/>
                      <w:color w:val="auto"/>
                    </w:rPr>
                  </w:pPr>
                  <w:r>
                    <w:rPr>
                      <w:rFonts w:hint="default"/>
                      <w:color w:val="auto"/>
                    </w:rPr>
                    <w:t>1</w:t>
                  </w:r>
                </w:p>
              </w:tc>
              <w:tc>
                <w:tcPr>
                  <w:tcW w:w="687" w:type="pct"/>
                  <w:vAlign w:val="center"/>
                </w:tcPr>
                <w:p>
                  <w:pPr>
                    <w:pStyle w:val="33"/>
                    <w:bidi w:val="0"/>
                    <w:rPr>
                      <w:rFonts w:hint="default" w:ascii="Times New Roman" w:hAnsi="Times New Roman" w:cs="Times New Roman"/>
                      <w:color w:val="auto"/>
                    </w:rPr>
                  </w:pPr>
                  <w:r>
                    <w:rPr>
                      <w:rFonts w:hint="default"/>
                      <w:color w:val="auto"/>
                    </w:rPr>
                    <w:t>100</w:t>
                  </w:r>
                </w:p>
              </w:tc>
              <w:tc>
                <w:tcPr>
                  <w:tcW w:w="488" w:type="pct"/>
                  <w:vAlign w:val="center"/>
                </w:tcPr>
                <w:p>
                  <w:pPr>
                    <w:pStyle w:val="33"/>
                    <w:bidi w:val="0"/>
                    <w:rPr>
                      <w:rFonts w:hint="default" w:ascii="Times New Roman" w:hAnsi="Times New Roman" w:cs="Times New Roman"/>
                      <w:color w:val="auto"/>
                    </w:rPr>
                  </w:pPr>
                  <w:r>
                    <w:rPr>
                      <w:rFonts w:hint="default"/>
                      <w:color w:val="auto"/>
                    </w:rPr>
                    <w:t>1m</w:t>
                  </w:r>
                </w:p>
              </w:tc>
              <w:tc>
                <w:tcPr>
                  <w:tcW w:w="713" w:type="pct"/>
                  <w:vAlign w:val="center"/>
                </w:tcPr>
                <w:p>
                  <w:pPr>
                    <w:pStyle w:val="33"/>
                    <w:bidi w:val="0"/>
                    <w:rPr>
                      <w:rFonts w:hint="default" w:ascii="Times New Roman" w:hAnsi="Times New Roman" w:cs="Times New Roman"/>
                      <w:color w:val="auto"/>
                    </w:rPr>
                  </w:pPr>
                  <w:r>
                    <w:rPr>
                      <w:rFonts w:hint="default"/>
                      <w:color w:val="auto"/>
                    </w:rPr>
                    <w:t>机械</w:t>
                  </w:r>
                </w:p>
              </w:tc>
              <w:tc>
                <w:tcPr>
                  <w:tcW w:w="736" w:type="pct"/>
                  <w:vAlign w:val="center"/>
                </w:tcPr>
                <w:p>
                  <w:pPr>
                    <w:pStyle w:val="33"/>
                    <w:bidi w:val="0"/>
                    <w:rPr>
                      <w:rFonts w:hint="default" w:ascii="Times New Roman" w:hAnsi="Times New Roman" w:cs="Times New Roman"/>
                      <w:color w:val="auto"/>
                    </w:rPr>
                  </w:pPr>
                  <w:r>
                    <w:rPr>
                      <w:rFonts w:hint="default"/>
                      <w:color w:val="auto"/>
                    </w:rPr>
                    <w:t>昼夜连续</w:t>
                  </w:r>
                </w:p>
              </w:tc>
              <w:tc>
                <w:tcPr>
                  <w:tcW w:w="683" w:type="pct"/>
                  <w:vAlign w:val="center"/>
                </w:tcPr>
                <w:p>
                  <w:pPr>
                    <w:pStyle w:val="33"/>
                    <w:bidi w:val="0"/>
                    <w:rPr>
                      <w:rFonts w:hint="default" w:ascii="Times New Roman" w:hAnsi="Times New Roman" w:cs="Times New Roman"/>
                      <w:color w:val="auto"/>
                    </w:rPr>
                  </w:pPr>
                  <w:r>
                    <w:rPr>
                      <w:rFonts w:hint="default"/>
                      <w:color w:val="auto"/>
                    </w:rPr>
                    <w:t>固定声源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86" w:type="pct"/>
                  <w:vMerge w:val="continue"/>
                  <w:vAlign w:val="center"/>
                </w:tcPr>
                <w:p>
                  <w:pPr>
                    <w:rPr>
                      <w:rFonts w:hint="default" w:ascii="Times New Roman" w:hAnsi="Times New Roman" w:cs="Times New Roman"/>
                      <w:color w:val="auto"/>
                    </w:rPr>
                  </w:pPr>
                </w:p>
              </w:tc>
              <w:tc>
                <w:tcPr>
                  <w:tcW w:w="812" w:type="pct"/>
                  <w:shd w:val="clear" w:color="auto" w:fill="auto"/>
                  <w:vAlign w:val="center"/>
                </w:tcPr>
                <w:p>
                  <w:pPr>
                    <w:pStyle w:val="33"/>
                    <w:bidi w:val="0"/>
                    <w:rPr>
                      <w:rFonts w:hint="default" w:ascii="Times New Roman" w:hAnsi="Times New Roman" w:eastAsia="宋体" w:cs="Times New Roman"/>
                      <w:color w:val="auto"/>
                      <w:kern w:val="0"/>
                      <w:szCs w:val="21"/>
                      <w:lang w:val="en-US" w:eastAsia="zh-CN" w:bidi="ar-SA"/>
                    </w:rPr>
                  </w:pPr>
                  <w:r>
                    <w:rPr>
                      <w:rFonts w:hint="default"/>
                      <w:color w:val="auto"/>
                    </w:rPr>
                    <w:t>柴油发电机</w:t>
                  </w:r>
                </w:p>
              </w:tc>
              <w:tc>
                <w:tcPr>
                  <w:tcW w:w="391" w:type="pct"/>
                  <w:vAlign w:val="center"/>
                </w:tcPr>
                <w:p>
                  <w:pPr>
                    <w:pStyle w:val="33"/>
                    <w:bidi w:val="0"/>
                    <w:rPr>
                      <w:rFonts w:hint="default" w:ascii="Times New Roman" w:hAnsi="Times New Roman" w:eastAsia="宋体" w:cs="Times New Roman"/>
                      <w:color w:val="auto"/>
                      <w:lang w:val="en-US" w:eastAsia="zh-CN"/>
                    </w:rPr>
                  </w:pPr>
                  <w:r>
                    <w:rPr>
                      <w:rFonts w:hint="default"/>
                      <w:color w:val="auto"/>
                      <w:lang w:val="en-US" w:eastAsia="zh-CN"/>
                    </w:rPr>
                    <w:t>1</w:t>
                  </w:r>
                </w:p>
              </w:tc>
              <w:tc>
                <w:tcPr>
                  <w:tcW w:w="687" w:type="pct"/>
                  <w:vAlign w:val="center"/>
                </w:tcPr>
                <w:p>
                  <w:pPr>
                    <w:pStyle w:val="33"/>
                    <w:bidi w:val="0"/>
                    <w:rPr>
                      <w:rFonts w:hint="default" w:ascii="Times New Roman" w:hAnsi="Times New Roman" w:eastAsia="宋体" w:cs="Times New Roman"/>
                      <w:color w:val="auto"/>
                      <w:lang w:val="en-US" w:eastAsia="zh-CN"/>
                    </w:rPr>
                  </w:pPr>
                  <w:r>
                    <w:rPr>
                      <w:rFonts w:hint="default"/>
                      <w:color w:val="auto"/>
                      <w:lang w:val="en-US" w:eastAsia="zh-CN"/>
                    </w:rPr>
                    <w:t>85</w:t>
                  </w:r>
                </w:p>
              </w:tc>
              <w:tc>
                <w:tcPr>
                  <w:tcW w:w="488" w:type="pct"/>
                  <w:vAlign w:val="center"/>
                </w:tcPr>
                <w:p>
                  <w:pPr>
                    <w:pStyle w:val="33"/>
                    <w:bidi w:val="0"/>
                    <w:rPr>
                      <w:rFonts w:hint="default" w:ascii="Times New Roman" w:hAnsi="Times New Roman" w:eastAsia="宋体" w:cs="Times New Roman"/>
                      <w:color w:val="auto"/>
                      <w:lang w:val="en-US" w:eastAsia="zh-CN"/>
                    </w:rPr>
                  </w:pPr>
                  <w:r>
                    <w:rPr>
                      <w:rFonts w:hint="default"/>
                      <w:color w:val="auto"/>
                      <w:lang w:val="en-US" w:eastAsia="zh-CN"/>
                    </w:rPr>
                    <w:t>1m</w:t>
                  </w:r>
                </w:p>
              </w:tc>
              <w:tc>
                <w:tcPr>
                  <w:tcW w:w="713" w:type="pct"/>
                  <w:shd w:val="clear" w:color="auto" w:fill="auto"/>
                  <w:vAlign w:val="center"/>
                </w:tcPr>
                <w:p>
                  <w:pPr>
                    <w:pStyle w:val="33"/>
                    <w:bidi w:val="0"/>
                    <w:rPr>
                      <w:rFonts w:hint="default" w:ascii="Times New Roman" w:hAnsi="Times New Roman" w:eastAsia="宋体" w:cs="Times New Roman"/>
                      <w:color w:val="auto"/>
                      <w:kern w:val="0"/>
                      <w:szCs w:val="21"/>
                      <w:lang w:val="en-US" w:eastAsia="zh-CN" w:bidi="ar-SA"/>
                    </w:rPr>
                  </w:pPr>
                  <w:r>
                    <w:rPr>
                      <w:rFonts w:hint="default"/>
                      <w:color w:val="auto"/>
                    </w:rPr>
                    <w:t>机械</w:t>
                  </w:r>
                </w:p>
              </w:tc>
              <w:tc>
                <w:tcPr>
                  <w:tcW w:w="736" w:type="pct"/>
                  <w:shd w:val="clear" w:color="auto" w:fill="auto"/>
                  <w:vAlign w:val="center"/>
                </w:tcPr>
                <w:p>
                  <w:pPr>
                    <w:pStyle w:val="33"/>
                    <w:bidi w:val="0"/>
                    <w:rPr>
                      <w:rFonts w:hint="default" w:ascii="Times New Roman" w:hAnsi="Times New Roman" w:eastAsia="宋体" w:cs="Times New Roman"/>
                      <w:color w:val="auto"/>
                      <w:kern w:val="0"/>
                      <w:szCs w:val="21"/>
                      <w:lang w:val="en-US" w:eastAsia="zh-CN" w:bidi="ar-SA"/>
                    </w:rPr>
                  </w:pPr>
                  <w:r>
                    <w:rPr>
                      <w:rFonts w:hint="default"/>
                      <w:color w:val="auto"/>
                    </w:rPr>
                    <w:t>昼夜连续</w:t>
                  </w:r>
                </w:p>
              </w:tc>
              <w:tc>
                <w:tcPr>
                  <w:tcW w:w="683" w:type="pct"/>
                  <w:shd w:val="clear" w:color="auto" w:fill="auto"/>
                  <w:vAlign w:val="center"/>
                </w:tcPr>
                <w:p>
                  <w:pPr>
                    <w:pStyle w:val="33"/>
                    <w:bidi w:val="0"/>
                    <w:rPr>
                      <w:rFonts w:hint="default" w:ascii="Times New Roman" w:hAnsi="Times New Roman" w:eastAsia="宋体" w:cs="Times New Roman"/>
                      <w:color w:val="auto"/>
                      <w:kern w:val="0"/>
                      <w:szCs w:val="21"/>
                      <w:lang w:val="en-US" w:eastAsia="zh-CN" w:bidi="ar-SA"/>
                    </w:rPr>
                  </w:pPr>
                  <w:r>
                    <w:rPr>
                      <w:rFonts w:hint="default"/>
                      <w:color w:val="auto"/>
                    </w:rPr>
                    <w:t>固定声源</w:t>
                  </w:r>
                </w:p>
              </w:tc>
            </w:tr>
          </w:tbl>
          <w:p>
            <w:pPr>
              <w:pStyle w:val="36"/>
              <w:bidi w:val="0"/>
              <w:rPr>
                <w:rFonts w:hint="default"/>
                <w:color w:val="auto"/>
              </w:rPr>
            </w:pPr>
            <w:r>
              <w:rPr>
                <w:rFonts w:hint="default"/>
                <w:color w:val="auto"/>
              </w:rPr>
              <w:t>施工过程不同类型施工机械在不同距离处的噪声预测值见</w:t>
            </w:r>
            <w:r>
              <w:rPr>
                <w:rFonts w:hint="eastAsia"/>
                <w:color w:val="auto"/>
                <w:lang w:val="en-US" w:eastAsia="zh-CN"/>
              </w:rPr>
              <w:t>下表</w:t>
            </w:r>
            <w:r>
              <w:rPr>
                <w:rFonts w:hint="default"/>
                <w:color w:val="auto"/>
              </w:rPr>
              <w:t>。</w:t>
            </w:r>
          </w:p>
          <w:p>
            <w:pPr>
              <w:pStyle w:val="52"/>
              <w:bidi w:val="0"/>
              <w:rPr>
                <w:rFonts w:hint="default"/>
                <w:color w:val="auto"/>
              </w:rPr>
            </w:pPr>
            <w:r>
              <w:rPr>
                <w:rFonts w:hint="default"/>
                <w:color w:val="auto"/>
              </w:rPr>
              <w:t>表</w:t>
            </w:r>
            <w:r>
              <w:rPr>
                <w:rFonts w:hint="default"/>
                <w:color w:val="auto"/>
                <w:lang w:val="en-US" w:eastAsia="zh-CN"/>
              </w:rPr>
              <w:t>4-3</w:t>
            </w:r>
            <w:r>
              <w:rPr>
                <w:rFonts w:hint="default"/>
                <w:color w:val="auto"/>
              </w:rPr>
              <w:t xml:space="preserve">  各种施工机械在不同距离的噪声预测值    单位：dB（A）</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97"/>
              <w:gridCol w:w="497"/>
              <w:gridCol w:w="652"/>
              <w:gridCol w:w="422"/>
              <w:gridCol w:w="424"/>
              <w:gridCol w:w="424"/>
              <w:gridCol w:w="425"/>
              <w:gridCol w:w="425"/>
              <w:gridCol w:w="425"/>
              <w:gridCol w:w="425"/>
              <w:gridCol w:w="425"/>
              <w:gridCol w:w="425"/>
              <w:gridCol w:w="425"/>
              <w:gridCol w:w="425"/>
              <w:gridCol w:w="425"/>
              <w:gridCol w:w="426"/>
              <w:gridCol w:w="426"/>
              <w:gridCol w:w="4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1" w:type="pct"/>
                  <w:vMerge w:val="restart"/>
                  <w:vAlign w:val="center"/>
                </w:tcPr>
                <w:p>
                  <w:pPr>
                    <w:pStyle w:val="33"/>
                    <w:bidi w:val="0"/>
                    <w:rPr>
                      <w:rFonts w:hint="eastAsia" w:eastAsia="宋体"/>
                      <w:color w:val="auto"/>
                      <w:lang w:val="en-US" w:eastAsia="zh-CN"/>
                    </w:rPr>
                  </w:pPr>
                  <w:r>
                    <w:rPr>
                      <w:rFonts w:hint="eastAsia"/>
                      <w:color w:val="auto"/>
                      <w:lang w:val="en-US" w:eastAsia="zh-CN"/>
                    </w:rPr>
                    <w:t>声源</w:t>
                  </w:r>
                </w:p>
              </w:tc>
              <w:tc>
                <w:tcPr>
                  <w:tcW w:w="300" w:type="pct"/>
                  <w:vMerge w:val="restart"/>
                  <w:vAlign w:val="center"/>
                </w:tcPr>
                <w:p>
                  <w:pPr>
                    <w:pStyle w:val="33"/>
                    <w:bidi w:val="0"/>
                    <w:rPr>
                      <w:rFonts w:hint="default"/>
                      <w:color w:val="auto"/>
                    </w:rPr>
                  </w:pPr>
                  <w:r>
                    <w:rPr>
                      <w:rFonts w:hint="default"/>
                      <w:color w:val="auto"/>
                    </w:rPr>
                    <w:t>源强</w:t>
                  </w:r>
                </w:p>
              </w:tc>
              <w:tc>
                <w:tcPr>
                  <w:tcW w:w="394" w:type="pct"/>
                  <w:vMerge w:val="restart"/>
                  <w:vAlign w:val="center"/>
                </w:tcPr>
                <w:p>
                  <w:pPr>
                    <w:pStyle w:val="33"/>
                    <w:bidi w:val="0"/>
                    <w:rPr>
                      <w:rFonts w:hint="default"/>
                      <w:color w:val="auto"/>
                    </w:rPr>
                  </w:pPr>
                  <w:r>
                    <w:rPr>
                      <w:rFonts w:hint="default"/>
                      <w:color w:val="auto"/>
                    </w:rPr>
                    <w:t>基础减振后</w:t>
                  </w:r>
                </w:p>
              </w:tc>
              <w:tc>
                <w:tcPr>
                  <w:tcW w:w="3883" w:type="pct"/>
                  <w:gridSpan w:val="15"/>
                  <w:vAlign w:val="center"/>
                </w:tcPr>
                <w:p>
                  <w:pPr>
                    <w:pStyle w:val="33"/>
                    <w:bidi w:val="0"/>
                    <w:rPr>
                      <w:rFonts w:hint="default"/>
                      <w:color w:val="auto"/>
                    </w:rPr>
                  </w:pPr>
                  <w:r>
                    <w:rPr>
                      <w:rFonts w:hint="eastAsia"/>
                      <w:color w:val="auto"/>
                      <w:lang w:val="en-US" w:eastAsia="zh-CN"/>
                    </w:rPr>
                    <w:t>与声源的</w:t>
                  </w:r>
                  <w:r>
                    <w:rPr>
                      <w:rFonts w:hint="default"/>
                      <w:color w:val="auto"/>
                    </w:rPr>
                    <w:t>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1" w:type="pct"/>
                  <w:vMerge w:val="continue"/>
                  <w:vAlign w:val="center"/>
                </w:tcPr>
                <w:p>
                  <w:pPr>
                    <w:pStyle w:val="33"/>
                    <w:bidi w:val="0"/>
                    <w:rPr>
                      <w:rFonts w:hint="default"/>
                      <w:color w:val="auto"/>
                    </w:rPr>
                  </w:pPr>
                </w:p>
              </w:tc>
              <w:tc>
                <w:tcPr>
                  <w:tcW w:w="300" w:type="pct"/>
                  <w:vMerge w:val="continue"/>
                  <w:vAlign w:val="center"/>
                </w:tcPr>
                <w:p>
                  <w:pPr>
                    <w:pStyle w:val="33"/>
                    <w:bidi w:val="0"/>
                    <w:rPr>
                      <w:rFonts w:hint="default"/>
                      <w:color w:val="auto"/>
                    </w:rPr>
                  </w:pPr>
                </w:p>
              </w:tc>
              <w:tc>
                <w:tcPr>
                  <w:tcW w:w="394" w:type="pct"/>
                  <w:vMerge w:val="continue"/>
                  <w:vAlign w:val="center"/>
                </w:tcPr>
                <w:p>
                  <w:pPr>
                    <w:pStyle w:val="33"/>
                    <w:bidi w:val="0"/>
                    <w:rPr>
                      <w:rFonts w:hint="default"/>
                      <w:color w:val="auto"/>
                    </w:rPr>
                  </w:pPr>
                </w:p>
              </w:tc>
              <w:tc>
                <w:tcPr>
                  <w:tcW w:w="255" w:type="pct"/>
                  <w:vAlign w:val="center"/>
                </w:tcPr>
                <w:p>
                  <w:pPr>
                    <w:pStyle w:val="33"/>
                    <w:bidi w:val="0"/>
                    <w:rPr>
                      <w:rFonts w:hint="default"/>
                      <w:color w:val="auto"/>
                    </w:rPr>
                  </w:pPr>
                  <w:r>
                    <w:rPr>
                      <w:rFonts w:hint="default"/>
                      <w:color w:val="auto"/>
                    </w:rPr>
                    <w:t>5</w:t>
                  </w:r>
                </w:p>
              </w:tc>
              <w:tc>
                <w:tcPr>
                  <w:tcW w:w="256" w:type="pct"/>
                  <w:vAlign w:val="center"/>
                </w:tcPr>
                <w:p>
                  <w:pPr>
                    <w:pStyle w:val="33"/>
                    <w:bidi w:val="0"/>
                    <w:rPr>
                      <w:rFonts w:hint="default"/>
                      <w:color w:val="auto"/>
                    </w:rPr>
                  </w:pPr>
                  <w:r>
                    <w:rPr>
                      <w:rFonts w:hint="default"/>
                      <w:color w:val="auto"/>
                    </w:rPr>
                    <w:t>10</w:t>
                  </w:r>
                </w:p>
              </w:tc>
              <w:tc>
                <w:tcPr>
                  <w:tcW w:w="256" w:type="pct"/>
                  <w:vAlign w:val="center"/>
                </w:tcPr>
                <w:p>
                  <w:pPr>
                    <w:pStyle w:val="33"/>
                    <w:bidi w:val="0"/>
                    <w:rPr>
                      <w:rFonts w:hint="default"/>
                      <w:color w:val="auto"/>
                    </w:rPr>
                  </w:pPr>
                  <w:r>
                    <w:rPr>
                      <w:rFonts w:hint="default"/>
                      <w:color w:val="auto"/>
                    </w:rPr>
                    <w:t>15</w:t>
                  </w:r>
                </w:p>
              </w:tc>
              <w:tc>
                <w:tcPr>
                  <w:tcW w:w="257" w:type="pct"/>
                  <w:vAlign w:val="center"/>
                </w:tcPr>
                <w:p>
                  <w:pPr>
                    <w:pStyle w:val="33"/>
                    <w:bidi w:val="0"/>
                    <w:rPr>
                      <w:rFonts w:hint="default"/>
                      <w:color w:val="auto"/>
                    </w:rPr>
                  </w:pPr>
                  <w:r>
                    <w:rPr>
                      <w:rFonts w:hint="default"/>
                      <w:color w:val="auto"/>
                    </w:rPr>
                    <w:t>20</w:t>
                  </w:r>
                </w:p>
              </w:tc>
              <w:tc>
                <w:tcPr>
                  <w:tcW w:w="257" w:type="pct"/>
                  <w:vAlign w:val="center"/>
                </w:tcPr>
                <w:p>
                  <w:pPr>
                    <w:pStyle w:val="33"/>
                    <w:bidi w:val="0"/>
                    <w:rPr>
                      <w:rFonts w:hint="default"/>
                      <w:color w:val="auto"/>
                    </w:rPr>
                  </w:pPr>
                  <w:r>
                    <w:rPr>
                      <w:rFonts w:hint="default"/>
                      <w:color w:val="auto"/>
                    </w:rPr>
                    <w:t>25</w:t>
                  </w:r>
                </w:p>
              </w:tc>
              <w:tc>
                <w:tcPr>
                  <w:tcW w:w="257" w:type="pct"/>
                  <w:vAlign w:val="center"/>
                </w:tcPr>
                <w:p>
                  <w:pPr>
                    <w:pStyle w:val="33"/>
                    <w:bidi w:val="0"/>
                    <w:rPr>
                      <w:rFonts w:hint="default"/>
                      <w:color w:val="auto"/>
                    </w:rPr>
                  </w:pPr>
                  <w:r>
                    <w:rPr>
                      <w:rFonts w:hint="default"/>
                      <w:color w:val="auto"/>
                    </w:rPr>
                    <w:t>30</w:t>
                  </w:r>
                </w:p>
              </w:tc>
              <w:tc>
                <w:tcPr>
                  <w:tcW w:w="257" w:type="pct"/>
                  <w:vAlign w:val="center"/>
                </w:tcPr>
                <w:p>
                  <w:pPr>
                    <w:pStyle w:val="33"/>
                    <w:bidi w:val="0"/>
                    <w:rPr>
                      <w:rFonts w:hint="default"/>
                      <w:color w:val="auto"/>
                    </w:rPr>
                  </w:pPr>
                  <w:r>
                    <w:rPr>
                      <w:rFonts w:hint="default"/>
                      <w:color w:val="auto"/>
                    </w:rPr>
                    <w:t>40</w:t>
                  </w:r>
                </w:p>
              </w:tc>
              <w:tc>
                <w:tcPr>
                  <w:tcW w:w="257" w:type="pct"/>
                  <w:vAlign w:val="center"/>
                </w:tcPr>
                <w:p>
                  <w:pPr>
                    <w:pStyle w:val="33"/>
                    <w:bidi w:val="0"/>
                    <w:rPr>
                      <w:rFonts w:hint="default"/>
                      <w:color w:val="auto"/>
                    </w:rPr>
                  </w:pPr>
                  <w:r>
                    <w:rPr>
                      <w:rFonts w:hint="default"/>
                      <w:color w:val="auto"/>
                    </w:rPr>
                    <w:t>50</w:t>
                  </w:r>
                </w:p>
              </w:tc>
              <w:tc>
                <w:tcPr>
                  <w:tcW w:w="257" w:type="pct"/>
                  <w:vAlign w:val="center"/>
                </w:tcPr>
                <w:p>
                  <w:pPr>
                    <w:pStyle w:val="33"/>
                    <w:bidi w:val="0"/>
                    <w:rPr>
                      <w:rFonts w:hint="default"/>
                      <w:color w:val="auto"/>
                    </w:rPr>
                  </w:pPr>
                  <w:r>
                    <w:rPr>
                      <w:rFonts w:hint="default"/>
                      <w:color w:val="auto"/>
                    </w:rPr>
                    <w:t>60</w:t>
                  </w:r>
                </w:p>
              </w:tc>
              <w:tc>
                <w:tcPr>
                  <w:tcW w:w="257" w:type="pct"/>
                  <w:vAlign w:val="center"/>
                </w:tcPr>
                <w:p>
                  <w:pPr>
                    <w:pStyle w:val="33"/>
                    <w:bidi w:val="0"/>
                    <w:rPr>
                      <w:rFonts w:hint="default"/>
                      <w:color w:val="auto"/>
                    </w:rPr>
                  </w:pPr>
                  <w:r>
                    <w:rPr>
                      <w:rFonts w:hint="default"/>
                      <w:color w:val="auto"/>
                    </w:rPr>
                    <w:t>80</w:t>
                  </w:r>
                </w:p>
              </w:tc>
              <w:tc>
                <w:tcPr>
                  <w:tcW w:w="257" w:type="pct"/>
                  <w:vAlign w:val="center"/>
                </w:tcPr>
                <w:p>
                  <w:pPr>
                    <w:pStyle w:val="33"/>
                    <w:bidi w:val="0"/>
                    <w:rPr>
                      <w:rFonts w:hint="default"/>
                      <w:color w:val="auto"/>
                    </w:rPr>
                  </w:pPr>
                  <w:r>
                    <w:rPr>
                      <w:rFonts w:hint="default"/>
                      <w:color w:val="auto"/>
                    </w:rPr>
                    <w:t>100</w:t>
                  </w:r>
                </w:p>
              </w:tc>
              <w:tc>
                <w:tcPr>
                  <w:tcW w:w="257" w:type="pct"/>
                  <w:vAlign w:val="center"/>
                </w:tcPr>
                <w:p>
                  <w:pPr>
                    <w:pStyle w:val="33"/>
                    <w:bidi w:val="0"/>
                    <w:rPr>
                      <w:rFonts w:hint="default"/>
                      <w:color w:val="auto"/>
                    </w:rPr>
                  </w:pPr>
                  <w:r>
                    <w:rPr>
                      <w:rFonts w:hint="default"/>
                      <w:color w:val="auto"/>
                    </w:rPr>
                    <w:t>120</w:t>
                  </w:r>
                </w:p>
              </w:tc>
              <w:tc>
                <w:tcPr>
                  <w:tcW w:w="257" w:type="pct"/>
                  <w:vAlign w:val="center"/>
                </w:tcPr>
                <w:p>
                  <w:pPr>
                    <w:pStyle w:val="33"/>
                    <w:bidi w:val="0"/>
                    <w:rPr>
                      <w:rFonts w:hint="default"/>
                      <w:color w:val="auto"/>
                    </w:rPr>
                  </w:pPr>
                  <w:r>
                    <w:rPr>
                      <w:rFonts w:hint="default"/>
                      <w:color w:val="auto"/>
                    </w:rPr>
                    <w:t>140</w:t>
                  </w:r>
                </w:p>
              </w:tc>
              <w:tc>
                <w:tcPr>
                  <w:tcW w:w="257" w:type="pct"/>
                  <w:vAlign w:val="center"/>
                </w:tcPr>
                <w:p>
                  <w:pPr>
                    <w:pStyle w:val="33"/>
                    <w:bidi w:val="0"/>
                    <w:rPr>
                      <w:rFonts w:hint="default"/>
                      <w:color w:val="auto"/>
                    </w:rPr>
                  </w:pPr>
                  <w:r>
                    <w:rPr>
                      <w:rFonts w:hint="default"/>
                      <w:color w:val="auto"/>
                    </w:rPr>
                    <w:t>160</w:t>
                  </w:r>
                </w:p>
              </w:tc>
              <w:tc>
                <w:tcPr>
                  <w:tcW w:w="283" w:type="pct"/>
                  <w:vAlign w:val="center"/>
                </w:tcPr>
                <w:p>
                  <w:pPr>
                    <w:pStyle w:val="33"/>
                    <w:bidi w:val="0"/>
                    <w:rPr>
                      <w:rFonts w:hint="default"/>
                      <w:color w:val="auto"/>
                    </w:rPr>
                  </w:pPr>
                  <w:r>
                    <w:rPr>
                      <w:rFonts w:hint="default"/>
                      <w:color w:val="auto"/>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1" w:type="pct"/>
                  <w:vAlign w:val="center"/>
                </w:tcPr>
                <w:p>
                  <w:pPr>
                    <w:pStyle w:val="33"/>
                    <w:bidi w:val="0"/>
                    <w:rPr>
                      <w:rFonts w:hint="default"/>
                      <w:color w:val="auto"/>
                    </w:rPr>
                  </w:pPr>
                  <w:r>
                    <w:rPr>
                      <w:rFonts w:hint="default"/>
                      <w:color w:val="auto"/>
                    </w:rPr>
                    <w:t>钻机</w:t>
                  </w:r>
                </w:p>
              </w:tc>
              <w:tc>
                <w:tcPr>
                  <w:tcW w:w="300" w:type="pct"/>
                  <w:vAlign w:val="center"/>
                </w:tcPr>
                <w:p>
                  <w:pPr>
                    <w:pStyle w:val="33"/>
                    <w:bidi w:val="0"/>
                    <w:rPr>
                      <w:rFonts w:hint="default"/>
                      <w:color w:val="auto"/>
                    </w:rPr>
                  </w:pPr>
                  <w:r>
                    <w:rPr>
                      <w:rFonts w:hint="default"/>
                      <w:color w:val="auto"/>
                    </w:rPr>
                    <w:t>90</w:t>
                  </w:r>
                </w:p>
              </w:tc>
              <w:tc>
                <w:tcPr>
                  <w:tcW w:w="394" w:type="pct"/>
                  <w:vAlign w:val="center"/>
                </w:tcPr>
                <w:p>
                  <w:pPr>
                    <w:pStyle w:val="33"/>
                    <w:bidi w:val="0"/>
                    <w:rPr>
                      <w:rFonts w:hint="default"/>
                      <w:color w:val="auto"/>
                    </w:rPr>
                  </w:pPr>
                  <w:r>
                    <w:rPr>
                      <w:rFonts w:hint="default"/>
                      <w:color w:val="auto"/>
                    </w:rPr>
                    <w:t>80</w:t>
                  </w:r>
                </w:p>
              </w:tc>
              <w:tc>
                <w:tcPr>
                  <w:tcW w:w="255" w:type="pct"/>
                  <w:vAlign w:val="center"/>
                </w:tcPr>
                <w:p>
                  <w:pPr>
                    <w:pStyle w:val="33"/>
                    <w:bidi w:val="0"/>
                    <w:rPr>
                      <w:rFonts w:hint="default"/>
                      <w:color w:val="auto"/>
                    </w:rPr>
                  </w:pPr>
                  <w:r>
                    <w:rPr>
                      <w:rFonts w:hint="default"/>
                      <w:color w:val="auto"/>
                    </w:rPr>
                    <w:t>66</w:t>
                  </w:r>
                </w:p>
              </w:tc>
              <w:tc>
                <w:tcPr>
                  <w:tcW w:w="256" w:type="pct"/>
                  <w:vAlign w:val="center"/>
                </w:tcPr>
                <w:p>
                  <w:pPr>
                    <w:pStyle w:val="33"/>
                    <w:bidi w:val="0"/>
                    <w:rPr>
                      <w:rFonts w:hint="default"/>
                      <w:color w:val="auto"/>
                    </w:rPr>
                  </w:pPr>
                  <w:r>
                    <w:rPr>
                      <w:rFonts w:hint="default"/>
                      <w:color w:val="auto"/>
                    </w:rPr>
                    <w:t>60</w:t>
                  </w:r>
                </w:p>
              </w:tc>
              <w:tc>
                <w:tcPr>
                  <w:tcW w:w="256" w:type="pct"/>
                  <w:vAlign w:val="center"/>
                </w:tcPr>
                <w:p>
                  <w:pPr>
                    <w:pStyle w:val="33"/>
                    <w:bidi w:val="0"/>
                    <w:rPr>
                      <w:rFonts w:hint="default"/>
                      <w:color w:val="auto"/>
                    </w:rPr>
                  </w:pPr>
                  <w:r>
                    <w:rPr>
                      <w:rFonts w:hint="default"/>
                      <w:color w:val="auto"/>
                    </w:rPr>
                    <w:t>56</w:t>
                  </w:r>
                </w:p>
              </w:tc>
              <w:tc>
                <w:tcPr>
                  <w:tcW w:w="257" w:type="pct"/>
                  <w:vAlign w:val="center"/>
                </w:tcPr>
                <w:p>
                  <w:pPr>
                    <w:pStyle w:val="33"/>
                    <w:bidi w:val="0"/>
                    <w:rPr>
                      <w:rFonts w:hint="default"/>
                      <w:color w:val="auto"/>
                    </w:rPr>
                  </w:pPr>
                  <w:r>
                    <w:rPr>
                      <w:rFonts w:hint="default"/>
                      <w:color w:val="auto"/>
                    </w:rPr>
                    <w:t>54</w:t>
                  </w:r>
                </w:p>
              </w:tc>
              <w:tc>
                <w:tcPr>
                  <w:tcW w:w="257" w:type="pct"/>
                  <w:vAlign w:val="center"/>
                </w:tcPr>
                <w:p>
                  <w:pPr>
                    <w:pStyle w:val="33"/>
                    <w:bidi w:val="0"/>
                    <w:rPr>
                      <w:rFonts w:hint="default"/>
                      <w:color w:val="auto"/>
                    </w:rPr>
                  </w:pPr>
                  <w:r>
                    <w:rPr>
                      <w:rFonts w:hint="default"/>
                      <w:color w:val="auto"/>
                    </w:rPr>
                    <w:t>52</w:t>
                  </w:r>
                </w:p>
              </w:tc>
              <w:tc>
                <w:tcPr>
                  <w:tcW w:w="257" w:type="pct"/>
                  <w:vAlign w:val="center"/>
                </w:tcPr>
                <w:p>
                  <w:pPr>
                    <w:pStyle w:val="33"/>
                    <w:bidi w:val="0"/>
                    <w:rPr>
                      <w:rFonts w:hint="default"/>
                      <w:color w:val="auto"/>
                    </w:rPr>
                  </w:pPr>
                  <w:r>
                    <w:rPr>
                      <w:rFonts w:hint="default"/>
                      <w:color w:val="auto"/>
                    </w:rPr>
                    <w:t>50</w:t>
                  </w:r>
                </w:p>
              </w:tc>
              <w:tc>
                <w:tcPr>
                  <w:tcW w:w="257" w:type="pct"/>
                  <w:vAlign w:val="center"/>
                </w:tcPr>
                <w:p>
                  <w:pPr>
                    <w:pStyle w:val="33"/>
                    <w:bidi w:val="0"/>
                    <w:rPr>
                      <w:rFonts w:hint="default"/>
                      <w:color w:val="auto"/>
                    </w:rPr>
                  </w:pPr>
                  <w:r>
                    <w:rPr>
                      <w:rFonts w:hint="default"/>
                      <w:color w:val="auto"/>
                    </w:rPr>
                    <w:t>48</w:t>
                  </w:r>
                </w:p>
              </w:tc>
              <w:tc>
                <w:tcPr>
                  <w:tcW w:w="257" w:type="pct"/>
                  <w:vAlign w:val="center"/>
                </w:tcPr>
                <w:p>
                  <w:pPr>
                    <w:pStyle w:val="33"/>
                    <w:bidi w:val="0"/>
                    <w:rPr>
                      <w:rFonts w:hint="default"/>
                      <w:color w:val="auto"/>
                    </w:rPr>
                  </w:pPr>
                  <w:r>
                    <w:rPr>
                      <w:rFonts w:hint="default"/>
                      <w:color w:val="auto"/>
                    </w:rPr>
                    <w:t>46</w:t>
                  </w:r>
                </w:p>
              </w:tc>
              <w:tc>
                <w:tcPr>
                  <w:tcW w:w="257" w:type="pct"/>
                  <w:vAlign w:val="center"/>
                </w:tcPr>
                <w:p>
                  <w:pPr>
                    <w:pStyle w:val="33"/>
                    <w:bidi w:val="0"/>
                    <w:rPr>
                      <w:rFonts w:hint="default"/>
                      <w:color w:val="auto"/>
                    </w:rPr>
                  </w:pPr>
                  <w:r>
                    <w:rPr>
                      <w:rFonts w:hint="default"/>
                      <w:color w:val="auto"/>
                    </w:rPr>
                    <w:t>44</w:t>
                  </w:r>
                </w:p>
              </w:tc>
              <w:tc>
                <w:tcPr>
                  <w:tcW w:w="257" w:type="pct"/>
                  <w:vAlign w:val="center"/>
                </w:tcPr>
                <w:p>
                  <w:pPr>
                    <w:pStyle w:val="33"/>
                    <w:bidi w:val="0"/>
                    <w:rPr>
                      <w:rFonts w:hint="default"/>
                      <w:color w:val="auto"/>
                    </w:rPr>
                  </w:pPr>
                  <w:r>
                    <w:rPr>
                      <w:rFonts w:hint="default"/>
                      <w:color w:val="auto"/>
                    </w:rPr>
                    <w:t>42</w:t>
                  </w:r>
                </w:p>
              </w:tc>
              <w:tc>
                <w:tcPr>
                  <w:tcW w:w="257" w:type="pct"/>
                  <w:vAlign w:val="center"/>
                </w:tcPr>
                <w:p>
                  <w:pPr>
                    <w:pStyle w:val="33"/>
                    <w:bidi w:val="0"/>
                    <w:rPr>
                      <w:rFonts w:hint="default"/>
                      <w:color w:val="auto"/>
                    </w:rPr>
                  </w:pPr>
                  <w:r>
                    <w:rPr>
                      <w:rFonts w:hint="default"/>
                      <w:color w:val="auto"/>
                    </w:rPr>
                    <w:t>40</w:t>
                  </w:r>
                </w:p>
              </w:tc>
              <w:tc>
                <w:tcPr>
                  <w:tcW w:w="257" w:type="pct"/>
                  <w:vAlign w:val="center"/>
                </w:tcPr>
                <w:p>
                  <w:pPr>
                    <w:pStyle w:val="33"/>
                    <w:bidi w:val="0"/>
                    <w:rPr>
                      <w:rFonts w:hint="default"/>
                      <w:color w:val="auto"/>
                    </w:rPr>
                  </w:pPr>
                  <w:r>
                    <w:rPr>
                      <w:rFonts w:hint="default"/>
                      <w:color w:val="auto"/>
                    </w:rPr>
                    <w:t>38</w:t>
                  </w:r>
                </w:p>
              </w:tc>
              <w:tc>
                <w:tcPr>
                  <w:tcW w:w="257" w:type="pct"/>
                  <w:vAlign w:val="center"/>
                </w:tcPr>
                <w:p>
                  <w:pPr>
                    <w:pStyle w:val="33"/>
                    <w:bidi w:val="0"/>
                    <w:rPr>
                      <w:rFonts w:hint="default"/>
                      <w:color w:val="auto"/>
                    </w:rPr>
                  </w:pPr>
                  <w:r>
                    <w:rPr>
                      <w:rFonts w:hint="default"/>
                      <w:color w:val="auto"/>
                    </w:rPr>
                    <w:t>37</w:t>
                  </w:r>
                </w:p>
              </w:tc>
              <w:tc>
                <w:tcPr>
                  <w:tcW w:w="257" w:type="pct"/>
                  <w:vAlign w:val="center"/>
                </w:tcPr>
                <w:p>
                  <w:pPr>
                    <w:pStyle w:val="33"/>
                    <w:bidi w:val="0"/>
                    <w:rPr>
                      <w:rFonts w:hint="default"/>
                      <w:color w:val="auto"/>
                    </w:rPr>
                  </w:pPr>
                  <w:r>
                    <w:rPr>
                      <w:rFonts w:hint="default"/>
                      <w:color w:val="auto"/>
                    </w:rPr>
                    <w:t>36</w:t>
                  </w:r>
                </w:p>
              </w:tc>
              <w:tc>
                <w:tcPr>
                  <w:tcW w:w="283" w:type="pct"/>
                  <w:vAlign w:val="center"/>
                </w:tcPr>
                <w:p>
                  <w:pPr>
                    <w:pStyle w:val="33"/>
                    <w:bidi w:val="0"/>
                    <w:rPr>
                      <w:rFonts w:hint="default"/>
                      <w:color w:val="auto"/>
                    </w:rPr>
                  </w:pPr>
                  <w:r>
                    <w:rPr>
                      <w:rFonts w:hint="default"/>
                      <w:color w:val="auto"/>
                    </w:rPr>
                    <w:t>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1" w:type="pct"/>
                  <w:vAlign w:val="center"/>
                </w:tcPr>
                <w:p>
                  <w:pPr>
                    <w:pStyle w:val="33"/>
                    <w:bidi w:val="0"/>
                    <w:rPr>
                      <w:rFonts w:hint="default"/>
                      <w:color w:val="auto"/>
                    </w:rPr>
                  </w:pPr>
                  <w:r>
                    <w:rPr>
                      <w:rFonts w:hint="default"/>
                      <w:color w:val="auto"/>
                    </w:rPr>
                    <w:t>泥浆泵</w:t>
                  </w:r>
                </w:p>
              </w:tc>
              <w:tc>
                <w:tcPr>
                  <w:tcW w:w="300" w:type="pct"/>
                  <w:vAlign w:val="center"/>
                </w:tcPr>
                <w:p>
                  <w:pPr>
                    <w:pStyle w:val="33"/>
                    <w:bidi w:val="0"/>
                    <w:rPr>
                      <w:rFonts w:hint="default"/>
                      <w:color w:val="auto"/>
                    </w:rPr>
                  </w:pPr>
                  <w:r>
                    <w:rPr>
                      <w:rFonts w:hint="default"/>
                      <w:color w:val="auto"/>
                    </w:rPr>
                    <w:t>93</w:t>
                  </w:r>
                </w:p>
              </w:tc>
              <w:tc>
                <w:tcPr>
                  <w:tcW w:w="394" w:type="pct"/>
                  <w:vAlign w:val="center"/>
                </w:tcPr>
                <w:p>
                  <w:pPr>
                    <w:pStyle w:val="33"/>
                    <w:bidi w:val="0"/>
                    <w:rPr>
                      <w:rFonts w:hint="default"/>
                      <w:color w:val="auto"/>
                      <w:lang w:val="en-US" w:eastAsia="zh-CN"/>
                    </w:rPr>
                  </w:pPr>
                  <w:r>
                    <w:rPr>
                      <w:rFonts w:hint="default"/>
                      <w:color w:val="auto"/>
                    </w:rPr>
                    <w:t>8</w:t>
                  </w:r>
                  <w:r>
                    <w:rPr>
                      <w:rFonts w:hint="default"/>
                      <w:color w:val="auto"/>
                      <w:lang w:val="en-US" w:eastAsia="zh-CN"/>
                    </w:rPr>
                    <w:t>3</w:t>
                  </w:r>
                </w:p>
              </w:tc>
              <w:tc>
                <w:tcPr>
                  <w:tcW w:w="255" w:type="pct"/>
                  <w:vAlign w:val="center"/>
                </w:tcPr>
                <w:p>
                  <w:pPr>
                    <w:pStyle w:val="33"/>
                    <w:bidi w:val="0"/>
                    <w:rPr>
                      <w:rFonts w:hint="default"/>
                      <w:color w:val="auto"/>
                      <w:lang w:val="en-US" w:eastAsia="zh-CN"/>
                    </w:rPr>
                  </w:pPr>
                  <w:r>
                    <w:rPr>
                      <w:rFonts w:hint="default"/>
                      <w:color w:val="auto"/>
                      <w:lang w:val="en-US" w:eastAsia="zh-CN"/>
                    </w:rPr>
                    <w:t>79</w:t>
                  </w:r>
                </w:p>
              </w:tc>
              <w:tc>
                <w:tcPr>
                  <w:tcW w:w="256" w:type="pct"/>
                  <w:vAlign w:val="center"/>
                </w:tcPr>
                <w:p>
                  <w:pPr>
                    <w:pStyle w:val="33"/>
                    <w:bidi w:val="0"/>
                    <w:rPr>
                      <w:rFonts w:hint="default"/>
                      <w:color w:val="auto"/>
                      <w:lang w:val="en-US" w:eastAsia="zh-CN"/>
                    </w:rPr>
                  </w:pPr>
                  <w:r>
                    <w:rPr>
                      <w:rFonts w:hint="default"/>
                      <w:color w:val="auto"/>
                      <w:lang w:val="en-US" w:eastAsia="zh-CN"/>
                    </w:rPr>
                    <w:t>73</w:t>
                  </w:r>
                </w:p>
              </w:tc>
              <w:tc>
                <w:tcPr>
                  <w:tcW w:w="256" w:type="pct"/>
                  <w:vAlign w:val="center"/>
                </w:tcPr>
                <w:p>
                  <w:pPr>
                    <w:pStyle w:val="33"/>
                    <w:bidi w:val="0"/>
                    <w:rPr>
                      <w:rFonts w:hint="default"/>
                      <w:color w:val="auto"/>
                      <w:lang w:val="en-US" w:eastAsia="zh-CN"/>
                    </w:rPr>
                  </w:pPr>
                  <w:r>
                    <w:rPr>
                      <w:rFonts w:hint="default"/>
                      <w:color w:val="auto"/>
                      <w:lang w:val="en-US" w:eastAsia="zh-CN"/>
                    </w:rPr>
                    <w:t>69</w:t>
                  </w:r>
                </w:p>
              </w:tc>
              <w:tc>
                <w:tcPr>
                  <w:tcW w:w="257" w:type="pct"/>
                  <w:vAlign w:val="center"/>
                </w:tcPr>
                <w:p>
                  <w:pPr>
                    <w:pStyle w:val="33"/>
                    <w:bidi w:val="0"/>
                    <w:rPr>
                      <w:rFonts w:hint="default"/>
                      <w:color w:val="auto"/>
                      <w:lang w:val="en-US" w:eastAsia="zh-CN"/>
                    </w:rPr>
                  </w:pPr>
                  <w:r>
                    <w:rPr>
                      <w:rFonts w:hint="default"/>
                      <w:color w:val="auto"/>
                      <w:lang w:val="en-US" w:eastAsia="zh-CN"/>
                    </w:rPr>
                    <w:t>67</w:t>
                  </w:r>
                </w:p>
              </w:tc>
              <w:tc>
                <w:tcPr>
                  <w:tcW w:w="257" w:type="pct"/>
                  <w:vAlign w:val="center"/>
                </w:tcPr>
                <w:p>
                  <w:pPr>
                    <w:pStyle w:val="33"/>
                    <w:bidi w:val="0"/>
                    <w:rPr>
                      <w:rFonts w:hint="default"/>
                      <w:color w:val="auto"/>
                      <w:lang w:val="en-US" w:eastAsia="zh-CN"/>
                    </w:rPr>
                  </w:pPr>
                  <w:r>
                    <w:rPr>
                      <w:rFonts w:hint="default"/>
                      <w:color w:val="auto"/>
                      <w:lang w:val="en-US" w:eastAsia="zh-CN"/>
                    </w:rPr>
                    <w:t>65</w:t>
                  </w:r>
                </w:p>
              </w:tc>
              <w:tc>
                <w:tcPr>
                  <w:tcW w:w="257" w:type="pct"/>
                  <w:vAlign w:val="center"/>
                </w:tcPr>
                <w:p>
                  <w:pPr>
                    <w:pStyle w:val="33"/>
                    <w:bidi w:val="0"/>
                    <w:rPr>
                      <w:rFonts w:hint="default"/>
                      <w:color w:val="auto"/>
                      <w:lang w:val="en-US" w:eastAsia="zh-CN"/>
                    </w:rPr>
                  </w:pPr>
                  <w:r>
                    <w:rPr>
                      <w:rFonts w:hint="default"/>
                      <w:color w:val="auto"/>
                      <w:lang w:val="en-US" w:eastAsia="zh-CN"/>
                    </w:rPr>
                    <w:t>63</w:t>
                  </w:r>
                </w:p>
              </w:tc>
              <w:tc>
                <w:tcPr>
                  <w:tcW w:w="257" w:type="pct"/>
                  <w:vAlign w:val="center"/>
                </w:tcPr>
                <w:p>
                  <w:pPr>
                    <w:pStyle w:val="33"/>
                    <w:bidi w:val="0"/>
                    <w:rPr>
                      <w:rFonts w:hint="default"/>
                      <w:color w:val="auto"/>
                      <w:lang w:val="en-US" w:eastAsia="zh-CN"/>
                    </w:rPr>
                  </w:pPr>
                  <w:r>
                    <w:rPr>
                      <w:rFonts w:hint="default"/>
                      <w:color w:val="auto"/>
                      <w:lang w:val="en-US" w:eastAsia="zh-CN"/>
                    </w:rPr>
                    <w:t>61</w:t>
                  </w:r>
                </w:p>
              </w:tc>
              <w:tc>
                <w:tcPr>
                  <w:tcW w:w="257" w:type="pct"/>
                  <w:vAlign w:val="center"/>
                </w:tcPr>
                <w:p>
                  <w:pPr>
                    <w:pStyle w:val="33"/>
                    <w:bidi w:val="0"/>
                    <w:rPr>
                      <w:rFonts w:hint="default"/>
                      <w:color w:val="auto"/>
                      <w:lang w:val="en-US" w:eastAsia="zh-CN"/>
                    </w:rPr>
                  </w:pPr>
                  <w:r>
                    <w:rPr>
                      <w:rFonts w:hint="default"/>
                      <w:color w:val="auto"/>
                      <w:lang w:val="en-US" w:eastAsia="zh-CN"/>
                    </w:rPr>
                    <w:t>59</w:t>
                  </w:r>
                </w:p>
              </w:tc>
              <w:tc>
                <w:tcPr>
                  <w:tcW w:w="257" w:type="pct"/>
                  <w:vAlign w:val="center"/>
                </w:tcPr>
                <w:p>
                  <w:pPr>
                    <w:pStyle w:val="33"/>
                    <w:bidi w:val="0"/>
                    <w:rPr>
                      <w:rFonts w:hint="default"/>
                      <w:color w:val="auto"/>
                      <w:lang w:val="en-US" w:eastAsia="zh-CN"/>
                    </w:rPr>
                  </w:pPr>
                  <w:r>
                    <w:rPr>
                      <w:rFonts w:hint="default"/>
                      <w:color w:val="auto"/>
                      <w:lang w:val="en-US" w:eastAsia="zh-CN"/>
                    </w:rPr>
                    <w:t>57</w:t>
                  </w:r>
                </w:p>
              </w:tc>
              <w:tc>
                <w:tcPr>
                  <w:tcW w:w="257" w:type="pct"/>
                  <w:vAlign w:val="center"/>
                </w:tcPr>
                <w:p>
                  <w:pPr>
                    <w:pStyle w:val="33"/>
                    <w:bidi w:val="0"/>
                    <w:rPr>
                      <w:rFonts w:hint="default"/>
                      <w:color w:val="auto"/>
                      <w:lang w:val="en-US" w:eastAsia="zh-CN"/>
                    </w:rPr>
                  </w:pPr>
                  <w:r>
                    <w:rPr>
                      <w:rFonts w:hint="default"/>
                      <w:color w:val="auto"/>
                      <w:lang w:val="en-US" w:eastAsia="zh-CN"/>
                    </w:rPr>
                    <w:t>55</w:t>
                  </w:r>
                </w:p>
              </w:tc>
              <w:tc>
                <w:tcPr>
                  <w:tcW w:w="257" w:type="pct"/>
                  <w:vAlign w:val="center"/>
                </w:tcPr>
                <w:p>
                  <w:pPr>
                    <w:pStyle w:val="33"/>
                    <w:bidi w:val="0"/>
                    <w:rPr>
                      <w:rFonts w:hint="default"/>
                      <w:color w:val="auto"/>
                      <w:lang w:val="en-US" w:eastAsia="zh-CN"/>
                    </w:rPr>
                  </w:pPr>
                  <w:r>
                    <w:rPr>
                      <w:rFonts w:hint="default"/>
                      <w:color w:val="auto"/>
                      <w:lang w:val="en-US" w:eastAsia="zh-CN"/>
                    </w:rPr>
                    <w:t>53</w:t>
                  </w:r>
                </w:p>
              </w:tc>
              <w:tc>
                <w:tcPr>
                  <w:tcW w:w="257" w:type="pct"/>
                  <w:vAlign w:val="center"/>
                </w:tcPr>
                <w:p>
                  <w:pPr>
                    <w:pStyle w:val="33"/>
                    <w:bidi w:val="0"/>
                    <w:rPr>
                      <w:rFonts w:hint="default"/>
                      <w:color w:val="auto"/>
                      <w:lang w:val="en-US" w:eastAsia="zh-CN"/>
                    </w:rPr>
                  </w:pPr>
                  <w:r>
                    <w:rPr>
                      <w:rFonts w:hint="default"/>
                      <w:color w:val="auto"/>
                      <w:lang w:val="en-US" w:eastAsia="zh-CN"/>
                    </w:rPr>
                    <w:t>51</w:t>
                  </w:r>
                </w:p>
              </w:tc>
              <w:tc>
                <w:tcPr>
                  <w:tcW w:w="257" w:type="pct"/>
                  <w:vAlign w:val="center"/>
                </w:tcPr>
                <w:p>
                  <w:pPr>
                    <w:pStyle w:val="33"/>
                    <w:bidi w:val="0"/>
                    <w:rPr>
                      <w:rFonts w:hint="default"/>
                      <w:color w:val="auto"/>
                      <w:lang w:val="en-US" w:eastAsia="zh-CN"/>
                    </w:rPr>
                  </w:pPr>
                  <w:r>
                    <w:rPr>
                      <w:rFonts w:hint="default"/>
                      <w:color w:val="auto"/>
                      <w:lang w:val="en-US" w:eastAsia="zh-CN"/>
                    </w:rPr>
                    <w:t>50</w:t>
                  </w:r>
                </w:p>
              </w:tc>
              <w:tc>
                <w:tcPr>
                  <w:tcW w:w="257" w:type="pct"/>
                  <w:vAlign w:val="center"/>
                </w:tcPr>
                <w:p>
                  <w:pPr>
                    <w:pStyle w:val="33"/>
                    <w:bidi w:val="0"/>
                    <w:rPr>
                      <w:rFonts w:hint="default"/>
                      <w:color w:val="auto"/>
                      <w:lang w:val="en-US" w:eastAsia="zh-CN"/>
                    </w:rPr>
                  </w:pPr>
                  <w:r>
                    <w:rPr>
                      <w:rFonts w:hint="default"/>
                      <w:color w:val="auto"/>
                      <w:lang w:val="en-US" w:eastAsia="zh-CN"/>
                    </w:rPr>
                    <w:t>49</w:t>
                  </w:r>
                </w:p>
              </w:tc>
              <w:tc>
                <w:tcPr>
                  <w:tcW w:w="283" w:type="pct"/>
                  <w:vAlign w:val="center"/>
                </w:tcPr>
                <w:p>
                  <w:pPr>
                    <w:pStyle w:val="33"/>
                    <w:bidi w:val="0"/>
                    <w:rPr>
                      <w:rFonts w:hint="default"/>
                      <w:color w:val="auto"/>
                      <w:lang w:val="en-US" w:eastAsia="zh-CN"/>
                    </w:rPr>
                  </w:pPr>
                  <w:r>
                    <w:rPr>
                      <w:rFonts w:hint="default"/>
                      <w:color w:val="auto"/>
                      <w:lang w:val="en-US" w:eastAsia="zh-CN"/>
                    </w:rPr>
                    <w:t>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1" w:type="pct"/>
                  <w:vAlign w:val="center"/>
                </w:tcPr>
                <w:p>
                  <w:pPr>
                    <w:pStyle w:val="33"/>
                    <w:bidi w:val="0"/>
                    <w:rPr>
                      <w:rFonts w:hint="default"/>
                      <w:color w:val="auto"/>
                    </w:rPr>
                  </w:pPr>
                  <w:r>
                    <w:rPr>
                      <w:rFonts w:hint="default"/>
                      <w:color w:val="auto"/>
                    </w:rPr>
                    <w:t>振动筛</w:t>
                  </w:r>
                </w:p>
              </w:tc>
              <w:tc>
                <w:tcPr>
                  <w:tcW w:w="300" w:type="pct"/>
                  <w:vAlign w:val="center"/>
                </w:tcPr>
                <w:p>
                  <w:pPr>
                    <w:pStyle w:val="33"/>
                    <w:bidi w:val="0"/>
                    <w:rPr>
                      <w:rFonts w:hint="default"/>
                      <w:color w:val="auto"/>
                    </w:rPr>
                  </w:pPr>
                  <w:r>
                    <w:rPr>
                      <w:rFonts w:hint="default"/>
                      <w:color w:val="auto"/>
                    </w:rPr>
                    <w:t>105</w:t>
                  </w:r>
                </w:p>
              </w:tc>
              <w:tc>
                <w:tcPr>
                  <w:tcW w:w="394" w:type="pct"/>
                  <w:vAlign w:val="center"/>
                </w:tcPr>
                <w:p>
                  <w:pPr>
                    <w:pStyle w:val="33"/>
                    <w:bidi w:val="0"/>
                    <w:rPr>
                      <w:rFonts w:hint="default"/>
                      <w:color w:val="auto"/>
                    </w:rPr>
                  </w:pPr>
                  <w:r>
                    <w:rPr>
                      <w:rFonts w:hint="default"/>
                      <w:color w:val="auto"/>
                    </w:rPr>
                    <w:t>95</w:t>
                  </w:r>
                </w:p>
              </w:tc>
              <w:tc>
                <w:tcPr>
                  <w:tcW w:w="255" w:type="pct"/>
                  <w:vAlign w:val="center"/>
                </w:tcPr>
                <w:p>
                  <w:pPr>
                    <w:pStyle w:val="33"/>
                    <w:bidi w:val="0"/>
                    <w:rPr>
                      <w:rFonts w:hint="default"/>
                      <w:color w:val="auto"/>
                    </w:rPr>
                  </w:pPr>
                  <w:r>
                    <w:rPr>
                      <w:rFonts w:hint="default"/>
                      <w:color w:val="auto"/>
                    </w:rPr>
                    <w:t>81</w:t>
                  </w:r>
                </w:p>
              </w:tc>
              <w:tc>
                <w:tcPr>
                  <w:tcW w:w="256" w:type="pct"/>
                  <w:vAlign w:val="center"/>
                </w:tcPr>
                <w:p>
                  <w:pPr>
                    <w:pStyle w:val="33"/>
                    <w:bidi w:val="0"/>
                    <w:rPr>
                      <w:rFonts w:hint="default"/>
                      <w:color w:val="auto"/>
                    </w:rPr>
                  </w:pPr>
                  <w:r>
                    <w:rPr>
                      <w:rFonts w:hint="default"/>
                      <w:color w:val="auto"/>
                    </w:rPr>
                    <w:t>75</w:t>
                  </w:r>
                </w:p>
              </w:tc>
              <w:tc>
                <w:tcPr>
                  <w:tcW w:w="256" w:type="pct"/>
                  <w:vAlign w:val="center"/>
                </w:tcPr>
                <w:p>
                  <w:pPr>
                    <w:pStyle w:val="33"/>
                    <w:bidi w:val="0"/>
                    <w:rPr>
                      <w:rFonts w:hint="default"/>
                      <w:color w:val="auto"/>
                    </w:rPr>
                  </w:pPr>
                  <w:r>
                    <w:rPr>
                      <w:rFonts w:hint="default"/>
                      <w:color w:val="auto"/>
                    </w:rPr>
                    <w:t>71</w:t>
                  </w:r>
                </w:p>
              </w:tc>
              <w:tc>
                <w:tcPr>
                  <w:tcW w:w="257" w:type="pct"/>
                  <w:vAlign w:val="center"/>
                </w:tcPr>
                <w:p>
                  <w:pPr>
                    <w:pStyle w:val="33"/>
                    <w:bidi w:val="0"/>
                    <w:rPr>
                      <w:rFonts w:hint="default"/>
                      <w:color w:val="auto"/>
                    </w:rPr>
                  </w:pPr>
                  <w:r>
                    <w:rPr>
                      <w:rFonts w:hint="default"/>
                      <w:color w:val="auto"/>
                    </w:rPr>
                    <w:t>69</w:t>
                  </w:r>
                </w:p>
              </w:tc>
              <w:tc>
                <w:tcPr>
                  <w:tcW w:w="257" w:type="pct"/>
                  <w:vAlign w:val="center"/>
                </w:tcPr>
                <w:p>
                  <w:pPr>
                    <w:pStyle w:val="33"/>
                    <w:bidi w:val="0"/>
                    <w:rPr>
                      <w:rFonts w:hint="default"/>
                      <w:color w:val="auto"/>
                    </w:rPr>
                  </w:pPr>
                  <w:r>
                    <w:rPr>
                      <w:rFonts w:hint="default"/>
                      <w:color w:val="auto"/>
                    </w:rPr>
                    <w:t>67</w:t>
                  </w:r>
                </w:p>
              </w:tc>
              <w:tc>
                <w:tcPr>
                  <w:tcW w:w="257" w:type="pct"/>
                  <w:vAlign w:val="center"/>
                </w:tcPr>
                <w:p>
                  <w:pPr>
                    <w:pStyle w:val="33"/>
                    <w:bidi w:val="0"/>
                    <w:rPr>
                      <w:rFonts w:hint="default"/>
                      <w:color w:val="auto"/>
                    </w:rPr>
                  </w:pPr>
                  <w:r>
                    <w:rPr>
                      <w:rFonts w:hint="default"/>
                      <w:color w:val="auto"/>
                    </w:rPr>
                    <w:t>65</w:t>
                  </w:r>
                </w:p>
              </w:tc>
              <w:tc>
                <w:tcPr>
                  <w:tcW w:w="257" w:type="pct"/>
                  <w:vAlign w:val="center"/>
                </w:tcPr>
                <w:p>
                  <w:pPr>
                    <w:pStyle w:val="33"/>
                    <w:bidi w:val="0"/>
                    <w:rPr>
                      <w:rFonts w:hint="default"/>
                      <w:color w:val="auto"/>
                    </w:rPr>
                  </w:pPr>
                  <w:r>
                    <w:rPr>
                      <w:rFonts w:hint="default"/>
                      <w:color w:val="auto"/>
                    </w:rPr>
                    <w:t>63</w:t>
                  </w:r>
                </w:p>
              </w:tc>
              <w:tc>
                <w:tcPr>
                  <w:tcW w:w="257" w:type="pct"/>
                  <w:vAlign w:val="center"/>
                </w:tcPr>
                <w:p>
                  <w:pPr>
                    <w:pStyle w:val="33"/>
                    <w:bidi w:val="0"/>
                    <w:rPr>
                      <w:rFonts w:hint="default"/>
                      <w:color w:val="auto"/>
                    </w:rPr>
                  </w:pPr>
                  <w:r>
                    <w:rPr>
                      <w:rFonts w:hint="default"/>
                      <w:color w:val="auto"/>
                    </w:rPr>
                    <w:t>61</w:t>
                  </w:r>
                </w:p>
              </w:tc>
              <w:tc>
                <w:tcPr>
                  <w:tcW w:w="257" w:type="pct"/>
                  <w:vAlign w:val="center"/>
                </w:tcPr>
                <w:p>
                  <w:pPr>
                    <w:pStyle w:val="33"/>
                    <w:bidi w:val="0"/>
                    <w:rPr>
                      <w:rFonts w:hint="default"/>
                      <w:color w:val="auto"/>
                    </w:rPr>
                  </w:pPr>
                  <w:r>
                    <w:rPr>
                      <w:rFonts w:hint="default"/>
                      <w:color w:val="auto"/>
                    </w:rPr>
                    <w:t>59</w:t>
                  </w:r>
                </w:p>
              </w:tc>
              <w:tc>
                <w:tcPr>
                  <w:tcW w:w="257" w:type="pct"/>
                  <w:vAlign w:val="center"/>
                </w:tcPr>
                <w:p>
                  <w:pPr>
                    <w:pStyle w:val="33"/>
                    <w:bidi w:val="0"/>
                    <w:rPr>
                      <w:rFonts w:hint="default"/>
                      <w:color w:val="auto"/>
                    </w:rPr>
                  </w:pPr>
                  <w:r>
                    <w:rPr>
                      <w:rFonts w:hint="default"/>
                      <w:color w:val="auto"/>
                    </w:rPr>
                    <w:t>57</w:t>
                  </w:r>
                </w:p>
              </w:tc>
              <w:tc>
                <w:tcPr>
                  <w:tcW w:w="257" w:type="pct"/>
                  <w:vAlign w:val="center"/>
                </w:tcPr>
                <w:p>
                  <w:pPr>
                    <w:pStyle w:val="33"/>
                    <w:bidi w:val="0"/>
                    <w:rPr>
                      <w:rFonts w:hint="default"/>
                      <w:color w:val="auto"/>
                    </w:rPr>
                  </w:pPr>
                  <w:r>
                    <w:rPr>
                      <w:rFonts w:hint="default"/>
                      <w:color w:val="auto"/>
                    </w:rPr>
                    <w:t>55</w:t>
                  </w:r>
                </w:p>
              </w:tc>
              <w:tc>
                <w:tcPr>
                  <w:tcW w:w="257" w:type="pct"/>
                  <w:vAlign w:val="center"/>
                </w:tcPr>
                <w:p>
                  <w:pPr>
                    <w:pStyle w:val="33"/>
                    <w:bidi w:val="0"/>
                    <w:rPr>
                      <w:rFonts w:hint="default"/>
                      <w:color w:val="auto"/>
                    </w:rPr>
                  </w:pPr>
                  <w:r>
                    <w:rPr>
                      <w:rFonts w:hint="default"/>
                      <w:color w:val="auto"/>
                    </w:rPr>
                    <w:t>53</w:t>
                  </w:r>
                </w:p>
              </w:tc>
              <w:tc>
                <w:tcPr>
                  <w:tcW w:w="257" w:type="pct"/>
                  <w:vAlign w:val="center"/>
                </w:tcPr>
                <w:p>
                  <w:pPr>
                    <w:pStyle w:val="33"/>
                    <w:bidi w:val="0"/>
                    <w:rPr>
                      <w:rFonts w:hint="default"/>
                      <w:color w:val="auto"/>
                    </w:rPr>
                  </w:pPr>
                  <w:r>
                    <w:rPr>
                      <w:rFonts w:hint="default"/>
                      <w:color w:val="auto"/>
                    </w:rPr>
                    <w:t>52</w:t>
                  </w:r>
                </w:p>
              </w:tc>
              <w:tc>
                <w:tcPr>
                  <w:tcW w:w="257" w:type="pct"/>
                  <w:vAlign w:val="center"/>
                </w:tcPr>
                <w:p>
                  <w:pPr>
                    <w:pStyle w:val="33"/>
                    <w:bidi w:val="0"/>
                    <w:rPr>
                      <w:rFonts w:hint="default"/>
                      <w:color w:val="auto"/>
                    </w:rPr>
                  </w:pPr>
                  <w:r>
                    <w:rPr>
                      <w:rFonts w:hint="default"/>
                      <w:color w:val="auto"/>
                    </w:rPr>
                    <w:t>51</w:t>
                  </w:r>
                </w:p>
              </w:tc>
              <w:tc>
                <w:tcPr>
                  <w:tcW w:w="283" w:type="pct"/>
                  <w:vAlign w:val="center"/>
                </w:tcPr>
                <w:p>
                  <w:pPr>
                    <w:pStyle w:val="33"/>
                    <w:bidi w:val="0"/>
                    <w:rPr>
                      <w:rFonts w:hint="default"/>
                      <w:color w:val="auto"/>
                    </w:rPr>
                  </w:pPr>
                  <w:r>
                    <w:rPr>
                      <w:rFonts w:hint="default"/>
                      <w:color w:val="auto"/>
                    </w:rPr>
                    <w:t>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1" w:type="pct"/>
                  <w:vAlign w:val="center"/>
                </w:tcPr>
                <w:p>
                  <w:pPr>
                    <w:pStyle w:val="33"/>
                    <w:bidi w:val="0"/>
                    <w:rPr>
                      <w:rFonts w:hint="default"/>
                      <w:color w:val="auto"/>
                    </w:rPr>
                  </w:pPr>
                  <w:r>
                    <w:rPr>
                      <w:rFonts w:hint="default"/>
                      <w:color w:val="auto"/>
                    </w:rPr>
                    <w:t>柴油发电机</w:t>
                  </w:r>
                </w:p>
              </w:tc>
              <w:tc>
                <w:tcPr>
                  <w:tcW w:w="300" w:type="pct"/>
                  <w:vAlign w:val="center"/>
                </w:tcPr>
                <w:p>
                  <w:pPr>
                    <w:pStyle w:val="33"/>
                    <w:bidi w:val="0"/>
                    <w:rPr>
                      <w:rFonts w:hint="default"/>
                      <w:color w:val="auto"/>
                    </w:rPr>
                  </w:pPr>
                  <w:r>
                    <w:rPr>
                      <w:rFonts w:hint="default"/>
                      <w:color w:val="auto"/>
                    </w:rPr>
                    <w:t>88</w:t>
                  </w:r>
                </w:p>
              </w:tc>
              <w:tc>
                <w:tcPr>
                  <w:tcW w:w="394" w:type="pct"/>
                  <w:vAlign w:val="center"/>
                </w:tcPr>
                <w:p>
                  <w:pPr>
                    <w:pStyle w:val="33"/>
                    <w:bidi w:val="0"/>
                    <w:rPr>
                      <w:rFonts w:hint="default"/>
                      <w:color w:val="auto"/>
                    </w:rPr>
                  </w:pPr>
                  <w:r>
                    <w:rPr>
                      <w:rFonts w:hint="default"/>
                      <w:color w:val="auto"/>
                      <w:lang w:val="en-US" w:eastAsia="zh-CN"/>
                    </w:rPr>
                    <w:t>7</w:t>
                  </w:r>
                  <w:r>
                    <w:rPr>
                      <w:rFonts w:hint="default"/>
                      <w:color w:val="auto"/>
                    </w:rPr>
                    <w:t>8</w:t>
                  </w:r>
                </w:p>
              </w:tc>
              <w:tc>
                <w:tcPr>
                  <w:tcW w:w="255" w:type="pct"/>
                  <w:vAlign w:val="center"/>
                </w:tcPr>
                <w:p>
                  <w:pPr>
                    <w:pStyle w:val="33"/>
                    <w:bidi w:val="0"/>
                    <w:rPr>
                      <w:rFonts w:hint="default"/>
                      <w:color w:val="auto"/>
                      <w:lang w:val="en-US" w:eastAsia="zh-CN"/>
                    </w:rPr>
                  </w:pPr>
                  <w:r>
                    <w:rPr>
                      <w:rFonts w:hint="default"/>
                      <w:color w:val="auto"/>
                      <w:lang w:val="en-US" w:eastAsia="zh-CN"/>
                    </w:rPr>
                    <w:t>64</w:t>
                  </w:r>
                </w:p>
              </w:tc>
              <w:tc>
                <w:tcPr>
                  <w:tcW w:w="256" w:type="pct"/>
                  <w:vAlign w:val="center"/>
                </w:tcPr>
                <w:p>
                  <w:pPr>
                    <w:pStyle w:val="33"/>
                    <w:bidi w:val="0"/>
                    <w:rPr>
                      <w:rFonts w:hint="default"/>
                      <w:color w:val="auto"/>
                      <w:lang w:val="en-US" w:eastAsia="zh-CN"/>
                    </w:rPr>
                  </w:pPr>
                  <w:r>
                    <w:rPr>
                      <w:rFonts w:hint="default"/>
                      <w:color w:val="auto"/>
                      <w:lang w:val="en-US" w:eastAsia="zh-CN"/>
                    </w:rPr>
                    <w:t>58</w:t>
                  </w:r>
                </w:p>
              </w:tc>
              <w:tc>
                <w:tcPr>
                  <w:tcW w:w="256" w:type="pct"/>
                  <w:vAlign w:val="center"/>
                </w:tcPr>
                <w:p>
                  <w:pPr>
                    <w:pStyle w:val="33"/>
                    <w:bidi w:val="0"/>
                    <w:rPr>
                      <w:rFonts w:hint="default"/>
                      <w:color w:val="auto"/>
                      <w:lang w:val="en-US" w:eastAsia="zh-CN"/>
                    </w:rPr>
                  </w:pPr>
                  <w:r>
                    <w:rPr>
                      <w:rFonts w:hint="default"/>
                      <w:color w:val="auto"/>
                      <w:lang w:val="en-US" w:eastAsia="zh-CN"/>
                    </w:rPr>
                    <w:t>54</w:t>
                  </w:r>
                </w:p>
              </w:tc>
              <w:tc>
                <w:tcPr>
                  <w:tcW w:w="257" w:type="pct"/>
                  <w:vAlign w:val="center"/>
                </w:tcPr>
                <w:p>
                  <w:pPr>
                    <w:pStyle w:val="33"/>
                    <w:bidi w:val="0"/>
                    <w:rPr>
                      <w:rFonts w:hint="default"/>
                      <w:color w:val="auto"/>
                      <w:lang w:val="en-US" w:eastAsia="zh-CN"/>
                    </w:rPr>
                  </w:pPr>
                  <w:r>
                    <w:rPr>
                      <w:rFonts w:hint="default"/>
                      <w:color w:val="auto"/>
                      <w:lang w:val="en-US" w:eastAsia="zh-CN"/>
                    </w:rPr>
                    <w:t>52</w:t>
                  </w:r>
                </w:p>
              </w:tc>
              <w:tc>
                <w:tcPr>
                  <w:tcW w:w="257" w:type="pct"/>
                  <w:vAlign w:val="center"/>
                </w:tcPr>
                <w:p>
                  <w:pPr>
                    <w:pStyle w:val="33"/>
                    <w:bidi w:val="0"/>
                    <w:rPr>
                      <w:rFonts w:hint="default"/>
                      <w:color w:val="auto"/>
                      <w:lang w:val="en-US" w:eastAsia="zh-CN"/>
                    </w:rPr>
                  </w:pPr>
                  <w:r>
                    <w:rPr>
                      <w:rFonts w:hint="default"/>
                      <w:color w:val="auto"/>
                      <w:lang w:val="en-US" w:eastAsia="zh-CN"/>
                    </w:rPr>
                    <w:t>50</w:t>
                  </w:r>
                </w:p>
              </w:tc>
              <w:tc>
                <w:tcPr>
                  <w:tcW w:w="257" w:type="pct"/>
                  <w:vAlign w:val="center"/>
                </w:tcPr>
                <w:p>
                  <w:pPr>
                    <w:pStyle w:val="33"/>
                    <w:bidi w:val="0"/>
                    <w:rPr>
                      <w:rFonts w:hint="default"/>
                      <w:color w:val="auto"/>
                      <w:lang w:val="en-US" w:eastAsia="zh-CN"/>
                    </w:rPr>
                  </w:pPr>
                  <w:r>
                    <w:rPr>
                      <w:rFonts w:hint="default"/>
                      <w:color w:val="auto"/>
                      <w:lang w:val="en-US" w:eastAsia="zh-CN"/>
                    </w:rPr>
                    <w:t>48</w:t>
                  </w:r>
                </w:p>
              </w:tc>
              <w:tc>
                <w:tcPr>
                  <w:tcW w:w="257" w:type="pct"/>
                  <w:vAlign w:val="center"/>
                </w:tcPr>
                <w:p>
                  <w:pPr>
                    <w:pStyle w:val="33"/>
                    <w:bidi w:val="0"/>
                    <w:rPr>
                      <w:rFonts w:hint="default"/>
                      <w:color w:val="auto"/>
                      <w:lang w:val="en-US" w:eastAsia="zh-CN"/>
                    </w:rPr>
                  </w:pPr>
                  <w:r>
                    <w:rPr>
                      <w:rFonts w:hint="default"/>
                      <w:color w:val="auto"/>
                      <w:lang w:val="en-US" w:eastAsia="zh-CN"/>
                    </w:rPr>
                    <w:t>46</w:t>
                  </w:r>
                </w:p>
              </w:tc>
              <w:tc>
                <w:tcPr>
                  <w:tcW w:w="257" w:type="pct"/>
                  <w:vAlign w:val="center"/>
                </w:tcPr>
                <w:p>
                  <w:pPr>
                    <w:pStyle w:val="33"/>
                    <w:bidi w:val="0"/>
                    <w:rPr>
                      <w:rFonts w:hint="default"/>
                      <w:color w:val="auto"/>
                      <w:lang w:val="en-US" w:eastAsia="zh-CN"/>
                    </w:rPr>
                  </w:pPr>
                  <w:r>
                    <w:rPr>
                      <w:rFonts w:hint="default"/>
                      <w:color w:val="auto"/>
                      <w:lang w:val="en-US" w:eastAsia="zh-CN"/>
                    </w:rPr>
                    <w:t>44</w:t>
                  </w:r>
                </w:p>
              </w:tc>
              <w:tc>
                <w:tcPr>
                  <w:tcW w:w="257" w:type="pct"/>
                  <w:vAlign w:val="center"/>
                </w:tcPr>
                <w:p>
                  <w:pPr>
                    <w:pStyle w:val="33"/>
                    <w:bidi w:val="0"/>
                    <w:rPr>
                      <w:rFonts w:hint="default"/>
                      <w:color w:val="auto"/>
                      <w:lang w:val="en-US" w:eastAsia="zh-CN"/>
                    </w:rPr>
                  </w:pPr>
                  <w:r>
                    <w:rPr>
                      <w:rFonts w:hint="default"/>
                      <w:color w:val="auto"/>
                      <w:lang w:val="en-US" w:eastAsia="zh-CN"/>
                    </w:rPr>
                    <w:t>42</w:t>
                  </w:r>
                </w:p>
              </w:tc>
              <w:tc>
                <w:tcPr>
                  <w:tcW w:w="257" w:type="pct"/>
                  <w:vAlign w:val="center"/>
                </w:tcPr>
                <w:p>
                  <w:pPr>
                    <w:pStyle w:val="33"/>
                    <w:bidi w:val="0"/>
                    <w:rPr>
                      <w:rFonts w:hint="default"/>
                      <w:color w:val="auto"/>
                      <w:lang w:val="en-US" w:eastAsia="zh-CN"/>
                    </w:rPr>
                  </w:pPr>
                  <w:r>
                    <w:rPr>
                      <w:rFonts w:hint="default"/>
                      <w:color w:val="auto"/>
                      <w:lang w:val="en-US" w:eastAsia="zh-CN"/>
                    </w:rPr>
                    <w:t>40</w:t>
                  </w:r>
                </w:p>
              </w:tc>
              <w:tc>
                <w:tcPr>
                  <w:tcW w:w="257" w:type="pct"/>
                  <w:vAlign w:val="center"/>
                </w:tcPr>
                <w:p>
                  <w:pPr>
                    <w:pStyle w:val="33"/>
                    <w:bidi w:val="0"/>
                    <w:rPr>
                      <w:rFonts w:hint="default"/>
                      <w:color w:val="auto"/>
                      <w:lang w:val="en-US" w:eastAsia="zh-CN"/>
                    </w:rPr>
                  </w:pPr>
                  <w:r>
                    <w:rPr>
                      <w:rFonts w:hint="default"/>
                      <w:color w:val="auto"/>
                      <w:lang w:val="en-US" w:eastAsia="zh-CN"/>
                    </w:rPr>
                    <w:t>38</w:t>
                  </w:r>
                </w:p>
              </w:tc>
              <w:tc>
                <w:tcPr>
                  <w:tcW w:w="257" w:type="pct"/>
                  <w:vAlign w:val="center"/>
                </w:tcPr>
                <w:p>
                  <w:pPr>
                    <w:pStyle w:val="33"/>
                    <w:bidi w:val="0"/>
                    <w:rPr>
                      <w:rFonts w:hint="default"/>
                      <w:color w:val="auto"/>
                      <w:lang w:val="en-US" w:eastAsia="zh-CN"/>
                    </w:rPr>
                  </w:pPr>
                  <w:r>
                    <w:rPr>
                      <w:rFonts w:hint="default"/>
                      <w:color w:val="auto"/>
                      <w:lang w:val="en-US" w:eastAsia="zh-CN"/>
                    </w:rPr>
                    <w:t>36</w:t>
                  </w:r>
                </w:p>
              </w:tc>
              <w:tc>
                <w:tcPr>
                  <w:tcW w:w="257" w:type="pct"/>
                  <w:vAlign w:val="center"/>
                </w:tcPr>
                <w:p>
                  <w:pPr>
                    <w:pStyle w:val="33"/>
                    <w:bidi w:val="0"/>
                    <w:rPr>
                      <w:rFonts w:hint="default"/>
                      <w:color w:val="auto"/>
                      <w:lang w:val="en-US" w:eastAsia="zh-CN"/>
                    </w:rPr>
                  </w:pPr>
                  <w:r>
                    <w:rPr>
                      <w:rFonts w:hint="default"/>
                      <w:color w:val="auto"/>
                      <w:lang w:val="en-US" w:eastAsia="zh-CN"/>
                    </w:rPr>
                    <w:t>35</w:t>
                  </w:r>
                </w:p>
              </w:tc>
              <w:tc>
                <w:tcPr>
                  <w:tcW w:w="257" w:type="pct"/>
                  <w:vAlign w:val="center"/>
                </w:tcPr>
                <w:p>
                  <w:pPr>
                    <w:pStyle w:val="33"/>
                    <w:bidi w:val="0"/>
                    <w:rPr>
                      <w:rFonts w:hint="default"/>
                      <w:color w:val="auto"/>
                      <w:lang w:val="en-US" w:eastAsia="zh-CN"/>
                    </w:rPr>
                  </w:pPr>
                  <w:r>
                    <w:rPr>
                      <w:rFonts w:hint="default"/>
                      <w:color w:val="auto"/>
                      <w:lang w:val="en-US" w:eastAsia="zh-CN"/>
                    </w:rPr>
                    <w:t>34</w:t>
                  </w:r>
                </w:p>
              </w:tc>
              <w:tc>
                <w:tcPr>
                  <w:tcW w:w="283" w:type="pct"/>
                  <w:vAlign w:val="center"/>
                </w:tcPr>
                <w:p>
                  <w:pPr>
                    <w:pStyle w:val="33"/>
                    <w:bidi w:val="0"/>
                    <w:rPr>
                      <w:rFonts w:hint="default"/>
                      <w:color w:val="auto"/>
                      <w:lang w:val="en-US" w:eastAsia="zh-CN"/>
                    </w:rPr>
                  </w:pPr>
                  <w:r>
                    <w:rPr>
                      <w:rFonts w:hint="default"/>
                      <w:color w:val="auto"/>
                      <w:lang w:val="en-US" w:eastAsia="zh-CN"/>
                    </w:rPr>
                    <w:t>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1" w:type="pct"/>
                  <w:vAlign w:val="center"/>
                </w:tcPr>
                <w:p>
                  <w:pPr>
                    <w:pStyle w:val="33"/>
                    <w:bidi w:val="0"/>
                    <w:rPr>
                      <w:rFonts w:hint="default"/>
                      <w:color w:val="auto"/>
                    </w:rPr>
                  </w:pPr>
                  <w:r>
                    <w:rPr>
                      <w:rFonts w:hint="default"/>
                      <w:color w:val="auto"/>
                    </w:rPr>
                    <w:t>柴油机</w:t>
                  </w:r>
                </w:p>
              </w:tc>
              <w:tc>
                <w:tcPr>
                  <w:tcW w:w="300" w:type="pct"/>
                  <w:vAlign w:val="center"/>
                </w:tcPr>
                <w:p>
                  <w:pPr>
                    <w:pStyle w:val="33"/>
                    <w:bidi w:val="0"/>
                    <w:rPr>
                      <w:rFonts w:hint="default"/>
                      <w:color w:val="auto"/>
                    </w:rPr>
                  </w:pPr>
                  <w:r>
                    <w:rPr>
                      <w:rFonts w:hint="default"/>
                      <w:color w:val="auto"/>
                    </w:rPr>
                    <w:t>101</w:t>
                  </w:r>
                </w:p>
              </w:tc>
              <w:tc>
                <w:tcPr>
                  <w:tcW w:w="394" w:type="pct"/>
                  <w:vAlign w:val="center"/>
                </w:tcPr>
                <w:p>
                  <w:pPr>
                    <w:pStyle w:val="33"/>
                    <w:bidi w:val="0"/>
                    <w:rPr>
                      <w:rFonts w:hint="default"/>
                      <w:color w:val="auto"/>
                    </w:rPr>
                  </w:pPr>
                  <w:r>
                    <w:rPr>
                      <w:rFonts w:hint="default"/>
                      <w:color w:val="auto"/>
                      <w:lang w:val="en-US" w:eastAsia="zh-CN"/>
                    </w:rPr>
                    <w:t>9</w:t>
                  </w:r>
                  <w:r>
                    <w:rPr>
                      <w:rFonts w:hint="default"/>
                      <w:color w:val="auto"/>
                    </w:rPr>
                    <w:t>1</w:t>
                  </w:r>
                </w:p>
              </w:tc>
              <w:tc>
                <w:tcPr>
                  <w:tcW w:w="255" w:type="pct"/>
                  <w:vAlign w:val="center"/>
                </w:tcPr>
                <w:p>
                  <w:pPr>
                    <w:pStyle w:val="33"/>
                    <w:bidi w:val="0"/>
                    <w:rPr>
                      <w:rFonts w:hint="default"/>
                      <w:color w:val="auto"/>
                      <w:lang w:val="en-US" w:eastAsia="zh-CN"/>
                    </w:rPr>
                  </w:pPr>
                  <w:r>
                    <w:rPr>
                      <w:rFonts w:hint="default"/>
                      <w:color w:val="auto"/>
                      <w:lang w:val="en-US" w:eastAsia="zh-CN"/>
                    </w:rPr>
                    <w:t>77</w:t>
                  </w:r>
                </w:p>
              </w:tc>
              <w:tc>
                <w:tcPr>
                  <w:tcW w:w="256" w:type="pct"/>
                  <w:vAlign w:val="center"/>
                </w:tcPr>
                <w:p>
                  <w:pPr>
                    <w:pStyle w:val="33"/>
                    <w:bidi w:val="0"/>
                    <w:rPr>
                      <w:rFonts w:hint="default"/>
                      <w:color w:val="auto"/>
                      <w:lang w:val="en-US" w:eastAsia="zh-CN"/>
                    </w:rPr>
                  </w:pPr>
                  <w:r>
                    <w:rPr>
                      <w:rFonts w:hint="default"/>
                      <w:color w:val="auto"/>
                      <w:lang w:val="en-US" w:eastAsia="zh-CN"/>
                    </w:rPr>
                    <w:t>71</w:t>
                  </w:r>
                </w:p>
              </w:tc>
              <w:tc>
                <w:tcPr>
                  <w:tcW w:w="256" w:type="pct"/>
                  <w:vAlign w:val="center"/>
                </w:tcPr>
                <w:p>
                  <w:pPr>
                    <w:pStyle w:val="33"/>
                    <w:bidi w:val="0"/>
                    <w:rPr>
                      <w:rFonts w:hint="default"/>
                      <w:color w:val="auto"/>
                      <w:lang w:val="en-US" w:eastAsia="zh-CN"/>
                    </w:rPr>
                  </w:pPr>
                  <w:r>
                    <w:rPr>
                      <w:rFonts w:hint="default"/>
                      <w:color w:val="auto"/>
                      <w:lang w:val="en-US" w:eastAsia="zh-CN"/>
                    </w:rPr>
                    <w:t>67</w:t>
                  </w:r>
                </w:p>
              </w:tc>
              <w:tc>
                <w:tcPr>
                  <w:tcW w:w="257" w:type="pct"/>
                  <w:vAlign w:val="center"/>
                </w:tcPr>
                <w:p>
                  <w:pPr>
                    <w:pStyle w:val="33"/>
                    <w:bidi w:val="0"/>
                    <w:rPr>
                      <w:rFonts w:hint="default"/>
                      <w:color w:val="auto"/>
                      <w:lang w:val="en-US" w:eastAsia="zh-CN"/>
                    </w:rPr>
                  </w:pPr>
                  <w:r>
                    <w:rPr>
                      <w:rFonts w:hint="default"/>
                      <w:color w:val="auto"/>
                      <w:lang w:val="en-US" w:eastAsia="zh-CN"/>
                    </w:rPr>
                    <w:t>65</w:t>
                  </w:r>
                </w:p>
              </w:tc>
              <w:tc>
                <w:tcPr>
                  <w:tcW w:w="257" w:type="pct"/>
                  <w:vAlign w:val="center"/>
                </w:tcPr>
                <w:p>
                  <w:pPr>
                    <w:pStyle w:val="33"/>
                    <w:bidi w:val="0"/>
                    <w:rPr>
                      <w:rFonts w:hint="default"/>
                      <w:color w:val="auto"/>
                      <w:lang w:val="en-US" w:eastAsia="zh-CN"/>
                    </w:rPr>
                  </w:pPr>
                  <w:r>
                    <w:rPr>
                      <w:rFonts w:hint="default"/>
                      <w:color w:val="auto"/>
                      <w:lang w:val="en-US" w:eastAsia="zh-CN"/>
                    </w:rPr>
                    <w:t>63</w:t>
                  </w:r>
                </w:p>
              </w:tc>
              <w:tc>
                <w:tcPr>
                  <w:tcW w:w="257" w:type="pct"/>
                  <w:vAlign w:val="center"/>
                </w:tcPr>
                <w:p>
                  <w:pPr>
                    <w:pStyle w:val="33"/>
                    <w:bidi w:val="0"/>
                    <w:rPr>
                      <w:rFonts w:hint="default"/>
                      <w:color w:val="auto"/>
                      <w:lang w:val="en-US" w:eastAsia="zh-CN"/>
                    </w:rPr>
                  </w:pPr>
                  <w:r>
                    <w:rPr>
                      <w:rFonts w:hint="default"/>
                      <w:color w:val="auto"/>
                      <w:lang w:val="en-US" w:eastAsia="zh-CN"/>
                    </w:rPr>
                    <w:t>61</w:t>
                  </w:r>
                </w:p>
              </w:tc>
              <w:tc>
                <w:tcPr>
                  <w:tcW w:w="257" w:type="pct"/>
                  <w:vAlign w:val="center"/>
                </w:tcPr>
                <w:p>
                  <w:pPr>
                    <w:pStyle w:val="33"/>
                    <w:bidi w:val="0"/>
                    <w:rPr>
                      <w:rFonts w:hint="default"/>
                      <w:color w:val="auto"/>
                      <w:lang w:val="en-US" w:eastAsia="zh-CN"/>
                    </w:rPr>
                  </w:pPr>
                  <w:r>
                    <w:rPr>
                      <w:rFonts w:hint="default"/>
                      <w:color w:val="auto"/>
                      <w:lang w:val="en-US" w:eastAsia="zh-CN"/>
                    </w:rPr>
                    <w:t>59</w:t>
                  </w:r>
                </w:p>
              </w:tc>
              <w:tc>
                <w:tcPr>
                  <w:tcW w:w="257" w:type="pct"/>
                  <w:vAlign w:val="center"/>
                </w:tcPr>
                <w:p>
                  <w:pPr>
                    <w:pStyle w:val="33"/>
                    <w:bidi w:val="0"/>
                    <w:rPr>
                      <w:rFonts w:hint="default"/>
                      <w:color w:val="auto"/>
                      <w:lang w:val="en-US" w:eastAsia="zh-CN"/>
                    </w:rPr>
                  </w:pPr>
                  <w:r>
                    <w:rPr>
                      <w:rFonts w:hint="default"/>
                      <w:color w:val="auto"/>
                      <w:lang w:val="en-US" w:eastAsia="zh-CN"/>
                    </w:rPr>
                    <w:t>57</w:t>
                  </w:r>
                </w:p>
              </w:tc>
              <w:tc>
                <w:tcPr>
                  <w:tcW w:w="257" w:type="pct"/>
                  <w:vAlign w:val="center"/>
                </w:tcPr>
                <w:p>
                  <w:pPr>
                    <w:pStyle w:val="33"/>
                    <w:bidi w:val="0"/>
                    <w:rPr>
                      <w:rFonts w:hint="default"/>
                      <w:color w:val="auto"/>
                      <w:lang w:val="en-US" w:eastAsia="zh-CN"/>
                    </w:rPr>
                  </w:pPr>
                  <w:r>
                    <w:rPr>
                      <w:rFonts w:hint="default"/>
                      <w:color w:val="auto"/>
                      <w:lang w:val="en-US" w:eastAsia="zh-CN"/>
                    </w:rPr>
                    <w:t>55</w:t>
                  </w:r>
                </w:p>
              </w:tc>
              <w:tc>
                <w:tcPr>
                  <w:tcW w:w="257" w:type="pct"/>
                  <w:vAlign w:val="center"/>
                </w:tcPr>
                <w:p>
                  <w:pPr>
                    <w:pStyle w:val="33"/>
                    <w:bidi w:val="0"/>
                    <w:rPr>
                      <w:rFonts w:hint="default"/>
                      <w:color w:val="auto"/>
                      <w:lang w:val="en-US" w:eastAsia="zh-CN"/>
                    </w:rPr>
                  </w:pPr>
                  <w:r>
                    <w:rPr>
                      <w:rFonts w:hint="default"/>
                      <w:color w:val="auto"/>
                      <w:lang w:val="en-US" w:eastAsia="zh-CN"/>
                    </w:rPr>
                    <w:t>53</w:t>
                  </w:r>
                </w:p>
              </w:tc>
              <w:tc>
                <w:tcPr>
                  <w:tcW w:w="257" w:type="pct"/>
                  <w:vAlign w:val="center"/>
                </w:tcPr>
                <w:p>
                  <w:pPr>
                    <w:pStyle w:val="33"/>
                    <w:bidi w:val="0"/>
                    <w:rPr>
                      <w:rFonts w:hint="default"/>
                      <w:color w:val="auto"/>
                      <w:lang w:val="en-US" w:eastAsia="zh-CN"/>
                    </w:rPr>
                  </w:pPr>
                  <w:r>
                    <w:rPr>
                      <w:rFonts w:hint="default"/>
                      <w:color w:val="auto"/>
                      <w:lang w:val="en-US" w:eastAsia="zh-CN"/>
                    </w:rPr>
                    <w:t>51</w:t>
                  </w:r>
                </w:p>
              </w:tc>
              <w:tc>
                <w:tcPr>
                  <w:tcW w:w="257" w:type="pct"/>
                  <w:vAlign w:val="center"/>
                </w:tcPr>
                <w:p>
                  <w:pPr>
                    <w:pStyle w:val="33"/>
                    <w:bidi w:val="0"/>
                    <w:rPr>
                      <w:rFonts w:hint="default"/>
                      <w:color w:val="auto"/>
                      <w:lang w:val="en-US" w:eastAsia="zh-CN"/>
                    </w:rPr>
                  </w:pPr>
                  <w:r>
                    <w:rPr>
                      <w:rFonts w:hint="default"/>
                      <w:color w:val="auto"/>
                      <w:lang w:val="en-US" w:eastAsia="zh-CN"/>
                    </w:rPr>
                    <w:t>49</w:t>
                  </w:r>
                </w:p>
              </w:tc>
              <w:tc>
                <w:tcPr>
                  <w:tcW w:w="257" w:type="pct"/>
                  <w:vAlign w:val="center"/>
                </w:tcPr>
                <w:p>
                  <w:pPr>
                    <w:pStyle w:val="33"/>
                    <w:bidi w:val="0"/>
                    <w:rPr>
                      <w:rFonts w:hint="default"/>
                      <w:color w:val="auto"/>
                      <w:lang w:val="en-US" w:eastAsia="zh-CN"/>
                    </w:rPr>
                  </w:pPr>
                  <w:r>
                    <w:rPr>
                      <w:rFonts w:hint="default"/>
                      <w:color w:val="auto"/>
                      <w:lang w:val="en-US" w:eastAsia="zh-CN"/>
                    </w:rPr>
                    <w:t>48</w:t>
                  </w:r>
                </w:p>
              </w:tc>
              <w:tc>
                <w:tcPr>
                  <w:tcW w:w="257" w:type="pct"/>
                  <w:vAlign w:val="center"/>
                </w:tcPr>
                <w:p>
                  <w:pPr>
                    <w:pStyle w:val="33"/>
                    <w:bidi w:val="0"/>
                    <w:rPr>
                      <w:rFonts w:hint="default"/>
                      <w:color w:val="auto"/>
                      <w:lang w:val="en-US" w:eastAsia="zh-CN"/>
                    </w:rPr>
                  </w:pPr>
                  <w:r>
                    <w:rPr>
                      <w:rFonts w:hint="default"/>
                      <w:color w:val="auto"/>
                      <w:lang w:val="en-US" w:eastAsia="zh-CN"/>
                    </w:rPr>
                    <w:t>47</w:t>
                  </w:r>
                </w:p>
              </w:tc>
              <w:tc>
                <w:tcPr>
                  <w:tcW w:w="283" w:type="pct"/>
                  <w:vAlign w:val="center"/>
                </w:tcPr>
                <w:p>
                  <w:pPr>
                    <w:pStyle w:val="33"/>
                    <w:bidi w:val="0"/>
                    <w:rPr>
                      <w:rFonts w:hint="default"/>
                      <w:color w:val="auto"/>
                      <w:lang w:val="en-US" w:eastAsia="zh-CN"/>
                    </w:rPr>
                  </w:pPr>
                  <w:r>
                    <w:rPr>
                      <w:rFonts w:hint="default"/>
                      <w:color w:val="auto"/>
                      <w:lang w:val="en-US" w:eastAsia="zh-CN"/>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1" w:type="pct"/>
                  <w:vAlign w:val="center"/>
                </w:tcPr>
                <w:p>
                  <w:pPr>
                    <w:pStyle w:val="33"/>
                    <w:bidi w:val="0"/>
                    <w:rPr>
                      <w:rFonts w:hint="default"/>
                      <w:color w:val="auto"/>
                    </w:rPr>
                  </w:pPr>
                  <w:r>
                    <w:rPr>
                      <w:rFonts w:hint="default"/>
                      <w:color w:val="auto"/>
                    </w:rPr>
                    <w:t>压裂车</w:t>
                  </w:r>
                </w:p>
              </w:tc>
              <w:tc>
                <w:tcPr>
                  <w:tcW w:w="300" w:type="pct"/>
                  <w:vAlign w:val="center"/>
                </w:tcPr>
                <w:p>
                  <w:pPr>
                    <w:pStyle w:val="33"/>
                    <w:bidi w:val="0"/>
                    <w:rPr>
                      <w:rFonts w:hint="default"/>
                      <w:color w:val="auto"/>
                    </w:rPr>
                  </w:pPr>
                  <w:r>
                    <w:rPr>
                      <w:rFonts w:hint="default"/>
                      <w:color w:val="auto"/>
                    </w:rPr>
                    <w:t>109</w:t>
                  </w:r>
                </w:p>
              </w:tc>
              <w:tc>
                <w:tcPr>
                  <w:tcW w:w="394" w:type="pct"/>
                  <w:vAlign w:val="center"/>
                </w:tcPr>
                <w:p>
                  <w:pPr>
                    <w:pStyle w:val="33"/>
                    <w:bidi w:val="0"/>
                    <w:rPr>
                      <w:rFonts w:hint="default"/>
                      <w:color w:val="auto"/>
                    </w:rPr>
                  </w:pPr>
                  <w:r>
                    <w:rPr>
                      <w:rFonts w:hint="default"/>
                      <w:color w:val="auto"/>
                    </w:rPr>
                    <w:t>99</w:t>
                  </w:r>
                </w:p>
              </w:tc>
              <w:tc>
                <w:tcPr>
                  <w:tcW w:w="255" w:type="pct"/>
                  <w:vAlign w:val="center"/>
                </w:tcPr>
                <w:p>
                  <w:pPr>
                    <w:pStyle w:val="33"/>
                    <w:bidi w:val="0"/>
                    <w:rPr>
                      <w:rFonts w:hint="default"/>
                      <w:color w:val="auto"/>
                    </w:rPr>
                  </w:pPr>
                  <w:r>
                    <w:rPr>
                      <w:rFonts w:hint="default"/>
                      <w:color w:val="auto"/>
                    </w:rPr>
                    <w:t>85</w:t>
                  </w:r>
                </w:p>
              </w:tc>
              <w:tc>
                <w:tcPr>
                  <w:tcW w:w="256" w:type="pct"/>
                  <w:vAlign w:val="center"/>
                </w:tcPr>
                <w:p>
                  <w:pPr>
                    <w:pStyle w:val="33"/>
                    <w:bidi w:val="0"/>
                    <w:rPr>
                      <w:rFonts w:hint="default"/>
                      <w:color w:val="auto"/>
                    </w:rPr>
                  </w:pPr>
                  <w:r>
                    <w:rPr>
                      <w:rFonts w:hint="default"/>
                      <w:color w:val="auto"/>
                    </w:rPr>
                    <w:t>79</w:t>
                  </w:r>
                </w:p>
              </w:tc>
              <w:tc>
                <w:tcPr>
                  <w:tcW w:w="256" w:type="pct"/>
                  <w:vAlign w:val="center"/>
                </w:tcPr>
                <w:p>
                  <w:pPr>
                    <w:pStyle w:val="33"/>
                    <w:bidi w:val="0"/>
                    <w:rPr>
                      <w:rFonts w:hint="default"/>
                      <w:color w:val="auto"/>
                    </w:rPr>
                  </w:pPr>
                  <w:r>
                    <w:rPr>
                      <w:rFonts w:hint="default"/>
                      <w:color w:val="auto"/>
                    </w:rPr>
                    <w:t>75</w:t>
                  </w:r>
                </w:p>
              </w:tc>
              <w:tc>
                <w:tcPr>
                  <w:tcW w:w="257" w:type="pct"/>
                  <w:vAlign w:val="center"/>
                </w:tcPr>
                <w:p>
                  <w:pPr>
                    <w:pStyle w:val="33"/>
                    <w:bidi w:val="0"/>
                    <w:rPr>
                      <w:rFonts w:hint="default"/>
                      <w:color w:val="auto"/>
                    </w:rPr>
                  </w:pPr>
                  <w:r>
                    <w:rPr>
                      <w:rFonts w:hint="default"/>
                      <w:color w:val="auto"/>
                    </w:rPr>
                    <w:t>73</w:t>
                  </w:r>
                </w:p>
              </w:tc>
              <w:tc>
                <w:tcPr>
                  <w:tcW w:w="257" w:type="pct"/>
                  <w:vAlign w:val="center"/>
                </w:tcPr>
                <w:p>
                  <w:pPr>
                    <w:pStyle w:val="33"/>
                    <w:bidi w:val="0"/>
                    <w:rPr>
                      <w:rFonts w:hint="default"/>
                      <w:color w:val="auto"/>
                    </w:rPr>
                  </w:pPr>
                  <w:r>
                    <w:rPr>
                      <w:rFonts w:hint="default"/>
                      <w:color w:val="auto"/>
                    </w:rPr>
                    <w:t>71</w:t>
                  </w:r>
                </w:p>
              </w:tc>
              <w:tc>
                <w:tcPr>
                  <w:tcW w:w="257" w:type="pct"/>
                  <w:vAlign w:val="center"/>
                </w:tcPr>
                <w:p>
                  <w:pPr>
                    <w:pStyle w:val="33"/>
                    <w:bidi w:val="0"/>
                    <w:rPr>
                      <w:rFonts w:hint="default"/>
                      <w:color w:val="auto"/>
                    </w:rPr>
                  </w:pPr>
                  <w:r>
                    <w:rPr>
                      <w:rFonts w:hint="default"/>
                      <w:color w:val="auto"/>
                    </w:rPr>
                    <w:t>69</w:t>
                  </w:r>
                </w:p>
              </w:tc>
              <w:tc>
                <w:tcPr>
                  <w:tcW w:w="257" w:type="pct"/>
                  <w:vAlign w:val="center"/>
                </w:tcPr>
                <w:p>
                  <w:pPr>
                    <w:pStyle w:val="33"/>
                    <w:bidi w:val="0"/>
                    <w:rPr>
                      <w:rFonts w:hint="default"/>
                      <w:color w:val="auto"/>
                    </w:rPr>
                  </w:pPr>
                  <w:r>
                    <w:rPr>
                      <w:rFonts w:hint="default"/>
                      <w:color w:val="auto"/>
                    </w:rPr>
                    <w:t>67</w:t>
                  </w:r>
                </w:p>
              </w:tc>
              <w:tc>
                <w:tcPr>
                  <w:tcW w:w="257" w:type="pct"/>
                  <w:vAlign w:val="center"/>
                </w:tcPr>
                <w:p>
                  <w:pPr>
                    <w:pStyle w:val="33"/>
                    <w:bidi w:val="0"/>
                    <w:rPr>
                      <w:rFonts w:hint="default"/>
                      <w:color w:val="auto"/>
                    </w:rPr>
                  </w:pPr>
                  <w:r>
                    <w:rPr>
                      <w:rFonts w:hint="default"/>
                      <w:color w:val="auto"/>
                    </w:rPr>
                    <w:t>65</w:t>
                  </w:r>
                </w:p>
              </w:tc>
              <w:tc>
                <w:tcPr>
                  <w:tcW w:w="257" w:type="pct"/>
                  <w:vAlign w:val="center"/>
                </w:tcPr>
                <w:p>
                  <w:pPr>
                    <w:pStyle w:val="33"/>
                    <w:bidi w:val="0"/>
                    <w:rPr>
                      <w:rFonts w:hint="default"/>
                      <w:color w:val="auto"/>
                    </w:rPr>
                  </w:pPr>
                  <w:r>
                    <w:rPr>
                      <w:rFonts w:hint="default"/>
                      <w:color w:val="auto"/>
                    </w:rPr>
                    <w:t>63</w:t>
                  </w:r>
                </w:p>
              </w:tc>
              <w:tc>
                <w:tcPr>
                  <w:tcW w:w="257" w:type="pct"/>
                  <w:vAlign w:val="center"/>
                </w:tcPr>
                <w:p>
                  <w:pPr>
                    <w:pStyle w:val="33"/>
                    <w:bidi w:val="0"/>
                    <w:rPr>
                      <w:rFonts w:hint="default"/>
                      <w:color w:val="auto"/>
                    </w:rPr>
                  </w:pPr>
                  <w:r>
                    <w:rPr>
                      <w:rFonts w:hint="default"/>
                      <w:color w:val="auto"/>
                    </w:rPr>
                    <w:t>61</w:t>
                  </w:r>
                </w:p>
              </w:tc>
              <w:tc>
                <w:tcPr>
                  <w:tcW w:w="257" w:type="pct"/>
                  <w:vAlign w:val="center"/>
                </w:tcPr>
                <w:p>
                  <w:pPr>
                    <w:pStyle w:val="33"/>
                    <w:bidi w:val="0"/>
                    <w:rPr>
                      <w:rFonts w:hint="default"/>
                      <w:color w:val="auto"/>
                    </w:rPr>
                  </w:pPr>
                  <w:r>
                    <w:rPr>
                      <w:rFonts w:hint="default"/>
                      <w:color w:val="auto"/>
                    </w:rPr>
                    <w:t>59</w:t>
                  </w:r>
                </w:p>
              </w:tc>
              <w:tc>
                <w:tcPr>
                  <w:tcW w:w="257" w:type="pct"/>
                  <w:vAlign w:val="center"/>
                </w:tcPr>
                <w:p>
                  <w:pPr>
                    <w:pStyle w:val="33"/>
                    <w:bidi w:val="0"/>
                    <w:rPr>
                      <w:rFonts w:hint="default"/>
                      <w:color w:val="auto"/>
                    </w:rPr>
                  </w:pPr>
                  <w:r>
                    <w:rPr>
                      <w:rFonts w:hint="default"/>
                      <w:color w:val="auto"/>
                    </w:rPr>
                    <w:t>57</w:t>
                  </w:r>
                </w:p>
              </w:tc>
              <w:tc>
                <w:tcPr>
                  <w:tcW w:w="257" w:type="pct"/>
                  <w:vAlign w:val="center"/>
                </w:tcPr>
                <w:p>
                  <w:pPr>
                    <w:pStyle w:val="33"/>
                    <w:bidi w:val="0"/>
                    <w:rPr>
                      <w:rFonts w:hint="default"/>
                      <w:color w:val="auto"/>
                    </w:rPr>
                  </w:pPr>
                  <w:r>
                    <w:rPr>
                      <w:rFonts w:hint="default"/>
                      <w:color w:val="auto"/>
                    </w:rPr>
                    <w:t>56</w:t>
                  </w:r>
                </w:p>
              </w:tc>
              <w:tc>
                <w:tcPr>
                  <w:tcW w:w="257" w:type="pct"/>
                  <w:vAlign w:val="center"/>
                </w:tcPr>
                <w:p>
                  <w:pPr>
                    <w:pStyle w:val="33"/>
                    <w:bidi w:val="0"/>
                    <w:rPr>
                      <w:rFonts w:hint="default"/>
                      <w:color w:val="auto"/>
                    </w:rPr>
                  </w:pPr>
                  <w:r>
                    <w:rPr>
                      <w:rFonts w:hint="default"/>
                      <w:color w:val="auto"/>
                    </w:rPr>
                    <w:t>55</w:t>
                  </w:r>
                </w:p>
              </w:tc>
              <w:tc>
                <w:tcPr>
                  <w:tcW w:w="283" w:type="pct"/>
                  <w:vAlign w:val="center"/>
                </w:tcPr>
                <w:p>
                  <w:pPr>
                    <w:pStyle w:val="33"/>
                    <w:bidi w:val="0"/>
                    <w:rPr>
                      <w:rFonts w:hint="default"/>
                      <w:color w:val="auto"/>
                    </w:rPr>
                  </w:pPr>
                  <w:r>
                    <w:rPr>
                      <w:rFonts w:hint="default"/>
                      <w:color w:val="auto"/>
                    </w:rPr>
                    <w:t>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1" w:type="pct"/>
                  <w:vAlign w:val="center"/>
                </w:tcPr>
                <w:p>
                  <w:pPr>
                    <w:pStyle w:val="33"/>
                    <w:bidi w:val="0"/>
                    <w:rPr>
                      <w:rFonts w:hint="default"/>
                      <w:color w:val="auto"/>
                    </w:rPr>
                  </w:pPr>
                  <w:r>
                    <w:rPr>
                      <w:rFonts w:hint="default"/>
                      <w:color w:val="auto"/>
                    </w:rPr>
                    <w:t>射孔车</w:t>
                  </w:r>
                </w:p>
              </w:tc>
              <w:tc>
                <w:tcPr>
                  <w:tcW w:w="300" w:type="pct"/>
                  <w:vAlign w:val="center"/>
                </w:tcPr>
                <w:p>
                  <w:pPr>
                    <w:pStyle w:val="33"/>
                    <w:bidi w:val="0"/>
                    <w:rPr>
                      <w:rFonts w:hint="default"/>
                      <w:color w:val="auto"/>
                    </w:rPr>
                  </w:pPr>
                  <w:r>
                    <w:rPr>
                      <w:rFonts w:hint="default"/>
                      <w:color w:val="auto"/>
                    </w:rPr>
                    <w:t>100</w:t>
                  </w:r>
                </w:p>
              </w:tc>
              <w:tc>
                <w:tcPr>
                  <w:tcW w:w="394" w:type="pct"/>
                  <w:vAlign w:val="center"/>
                </w:tcPr>
                <w:p>
                  <w:pPr>
                    <w:pStyle w:val="33"/>
                    <w:bidi w:val="0"/>
                    <w:rPr>
                      <w:rFonts w:hint="default"/>
                      <w:color w:val="auto"/>
                    </w:rPr>
                  </w:pPr>
                  <w:r>
                    <w:rPr>
                      <w:rFonts w:hint="default"/>
                      <w:color w:val="auto"/>
                    </w:rPr>
                    <w:t>90</w:t>
                  </w:r>
                </w:p>
              </w:tc>
              <w:tc>
                <w:tcPr>
                  <w:tcW w:w="255" w:type="pct"/>
                  <w:vAlign w:val="center"/>
                </w:tcPr>
                <w:p>
                  <w:pPr>
                    <w:pStyle w:val="33"/>
                    <w:bidi w:val="0"/>
                    <w:rPr>
                      <w:rFonts w:hint="default"/>
                      <w:color w:val="auto"/>
                    </w:rPr>
                  </w:pPr>
                  <w:r>
                    <w:rPr>
                      <w:rFonts w:hint="default"/>
                      <w:color w:val="auto"/>
                    </w:rPr>
                    <w:t>76</w:t>
                  </w:r>
                </w:p>
              </w:tc>
              <w:tc>
                <w:tcPr>
                  <w:tcW w:w="256" w:type="pct"/>
                  <w:vAlign w:val="center"/>
                </w:tcPr>
                <w:p>
                  <w:pPr>
                    <w:pStyle w:val="33"/>
                    <w:bidi w:val="0"/>
                    <w:rPr>
                      <w:rFonts w:hint="default"/>
                      <w:color w:val="auto"/>
                    </w:rPr>
                  </w:pPr>
                  <w:r>
                    <w:rPr>
                      <w:rFonts w:hint="default"/>
                      <w:color w:val="auto"/>
                    </w:rPr>
                    <w:t>70</w:t>
                  </w:r>
                </w:p>
              </w:tc>
              <w:tc>
                <w:tcPr>
                  <w:tcW w:w="256" w:type="pct"/>
                  <w:vAlign w:val="center"/>
                </w:tcPr>
                <w:p>
                  <w:pPr>
                    <w:pStyle w:val="33"/>
                    <w:bidi w:val="0"/>
                    <w:rPr>
                      <w:rFonts w:hint="default"/>
                      <w:color w:val="auto"/>
                    </w:rPr>
                  </w:pPr>
                  <w:r>
                    <w:rPr>
                      <w:rFonts w:hint="default"/>
                      <w:color w:val="auto"/>
                    </w:rPr>
                    <w:t>66</w:t>
                  </w:r>
                </w:p>
              </w:tc>
              <w:tc>
                <w:tcPr>
                  <w:tcW w:w="257" w:type="pct"/>
                  <w:vAlign w:val="center"/>
                </w:tcPr>
                <w:p>
                  <w:pPr>
                    <w:pStyle w:val="33"/>
                    <w:bidi w:val="0"/>
                    <w:rPr>
                      <w:rFonts w:hint="default"/>
                      <w:color w:val="auto"/>
                    </w:rPr>
                  </w:pPr>
                  <w:r>
                    <w:rPr>
                      <w:rFonts w:hint="default"/>
                      <w:color w:val="auto"/>
                    </w:rPr>
                    <w:t>64</w:t>
                  </w:r>
                </w:p>
              </w:tc>
              <w:tc>
                <w:tcPr>
                  <w:tcW w:w="257" w:type="pct"/>
                  <w:vAlign w:val="center"/>
                </w:tcPr>
                <w:p>
                  <w:pPr>
                    <w:pStyle w:val="33"/>
                    <w:bidi w:val="0"/>
                    <w:rPr>
                      <w:rFonts w:hint="default"/>
                      <w:color w:val="auto"/>
                    </w:rPr>
                  </w:pPr>
                  <w:r>
                    <w:rPr>
                      <w:rFonts w:hint="default"/>
                      <w:color w:val="auto"/>
                    </w:rPr>
                    <w:t>62</w:t>
                  </w:r>
                </w:p>
              </w:tc>
              <w:tc>
                <w:tcPr>
                  <w:tcW w:w="257" w:type="pct"/>
                  <w:vAlign w:val="center"/>
                </w:tcPr>
                <w:p>
                  <w:pPr>
                    <w:pStyle w:val="33"/>
                    <w:bidi w:val="0"/>
                    <w:rPr>
                      <w:rFonts w:hint="default"/>
                      <w:color w:val="auto"/>
                    </w:rPr>
                  </w:pPr>
                  <w:r>
                    <w:rPr>
                      <w:rFonts w:hint="default"/>
                      <w:color w:val="auto"/>
                    </w:rPr>
                    <w:t>60</w:t>
                  </w:r>
                </w:p>
              </w:tc>
              <w:tc>
                <w:tcPr>
                  <w:tcW w:w="257" w:type="pct"/>
                  <w:vAlign w:val="center"/>
                </w:tcPr>
                <w:p>
                  <w:pPr>
                    <w:pStyle w:val="33"/>
                    <w:bidi w:val="0"/>
                    <w:rPr>
                      <w:rFonts w:hint="default"/>
                      <w:color w:val="auto"/>
                    </w:rPr>
                  </w:pPr>
                  <w:r>
                    <w:rPr>
                      <w:rFonts w:hint="default"/>
                      <w:color w:val="auto"/>
                    </w:rPr>
                    <w:t>58</w:t>
                  </w:r>
                </w:p>
              </w:tc>
              <w:tc>
                <w:tcPr>
                  <w:tcW w:w="257" w:type="pct"/>
                  <w:vAlign w:val="center"/>
                </w:tcPr>
                <w:p>
                  <w:pPr>
                    <w:pStyle w:val="33"/>
                    <w:bidi w:val="0"/>
                    <w:rPr>
                      <w:rFonts w:hint="default"/>
                      <w:color w:val="auto"/>
                    </w:rPr>
                  </w:pPr>
                  <w:r>
                    <w:rPr>
                      <w:rFonts w:hint="default"/>
                      <w:color w:val="auto"/>
                    </w:rPr>
                    <w:t>56</w:t>
                  </w:r>
                </w:p>
              </w:tc>
              <w:tc>
                <w:tcPr>
                  <w:tcW w:w="257" w:type="pct"/>
                  <w:vAlign w:val="center"/>
                </w:tcPr>
                <w:p>
                  <w:pPr>
                    <w:pStyle w:val="33"/>
                    <w:bidi w:val="0"/>
                    <w:rPr>
                      <w:rFonts w:hint="default"/>
                      <w:color w:val="auto"/>
                    </w:rPr>
                  </w:pPr>
                  <w:r>
                    <w:rPr>
                      <w:rFonts w:hint="default"/>
                      <w:color w:val="auto"/>
                    </w:rPr>
                    <w:t>54</w:t>
                  </w:r>
                </w:p>
              </w:tc>
              <w:tc>
                <w:tcPr>
                  <w:tcW w:w="257" w:type="pct"/>
                  <w:vAlign w:val="center"/>
                </w:tcPr>
                <w:p>
                  <w:pPr>
                    <w:pStyle w:val="33"/>
                    <w:bidi w:val="0"/>
                    <w:rPr>
                      <w:rFonts w:hint="default"/>
                      <w:color w:val="auto"/>
                    </w:rPr>
                  </w:pPr>
                  <w:r>
                    <w:rPr>
                      <w:rFonts w:hint="default"/>
                      <w:color w:val="auto"/>
                    </w:rPr>
                    <w:t>52</w:t>
                  </w:r>
                </w:p>
              </w:tc>
              <w:tc>
                <w:tcPr>
                  <w:tcW w:w="257" w:type="pct"/>
                  <w:vAlign w:val="center"/>
                </w:tcPr>
                <w:p>
                  <w:pPr>
                    <w:pStyle w:val="33"/>
                    <w:bidi w:val="0"/>
                    <w:rPr>
                      <w:rFonts w:hint="default"/>
                      <w:color w:val="auto"/>
                    </w:rPr>
                  </w:pPr>
                  <w:r>
                    <w:rPr>
                      <w:rFonts w:hint="default"/>
                      <w:color w:val="auto"/>
                    </w:rPr>
                    <w:t>50</w:t>
                  </w:r>
                </w:p>
              </w:tc>
              <w:tc>
                <w:tcPr>
                  <w:tcW w:w="257" w:type="pct"/>
                  <w:vAlign w:val="center"/>
                </w:tcPr>
                <w:p>
                  <w:pPr>
                    <w:pStyle w:val="33"/>
                    <w:bidi w:val="0"/>
                    <w:rPr>
                      <w:rFonts w:hint="default"/>
                      <w:color w:val="auto"/>
                    </w:rPr>
                  </w:pPr>
                  <w:r>
                    <w:rPr>
                      <w:rFonts w:hint="default"/>
                      <w:color w:val="auto"/>
                    </w:rPr>
                    <w:t>48</w:t>
                  </w:r>
                </w:p>
              </w:tc>
              <w:tc>
                <w:tcPr>
                  <w:tcW w:w="257" w:type="pct"/>
                  <w:vAlign w:val="center"/>
                </w:tcPr>
                <w:p>
                  <w:pPr>
                    <w:pStyle w:val="33"/>
                    <w:bidi w:val="0"/>
                    <w:rPr>
                      <w:rFonts w:hint="default"/>
                      <w:color w:val="auto"/>
                    </w:rPr>
                  </w:pPr>
                  <w:r>
                    <w:rPr>
                      <w:rFonts w:hint="default"/>
                      <w:color w:val="auto"/>
                    </w:rPr>
                    <w:t>47</w:t>
                  </w:r>
                </w:p>
              </w:tc>
              <w:tc>
                <w:tcPr>
                  <w:tcW w:w="257" w:type="pct"/>
                  <w:vAlign w:val="center"/>
                </w:tcPr>
                <w:p>
                  <w:pPr>
                    <w:pStyle w:val="33"/>
                    <w:bidi w:val="0"/>
                    <w:rPr>
                      <w:rFonts w:hint="default"/>
                      <w:color w:val="auto"/>
                    </w:rPr>
                  </w:pPr>
                  <w:r>
                    <w:rPr>
                      <w:rFonts w:hint="default"/>
                      <w:color w:val="auto"/>
                    </w:rPr>
                    <w:t>46</w:t>
                  </w:r>
                </w:p>
              </w:tc>
              <w:tc>
                <w:tcPr>
                  <w:tcW w:w="283" w:type="pct"/>
                  <w:vAlign w:val="center"/>
                </w:tcPr>
                <w:p>
                  <w:pPr>
                    <w:pStyle w:val="33"/>
                    <w:bidi w:val="0"/>
                    <w:rPr>
                      <w:rFonts w:hint="default"/>
                      <w:color w:val="auto"/>
                    </w:rPr>
                  </w:pPr>
                  <w:r>
                    <w:rPr>
                      <w:rFonts w:hint="default"/>
                      <w:color w:val="auto"/>
                    </w:rPr>
                    <w:t>44</w:t>
                  </w:r>
                </w:p>
              </w:tc>
            </w:tr>
          </w:tbl>
          <w:p>
            <w:pPr>
              <w:pStyle w:val="36"/>
              <w:bidi w:val="0"/>
              <w:rPr>
                <w:rFonts w:hint="default"/>
                <w:color w:val="auto"/>
              </w:rPr>
            </w:pPr>
            <w:r>
              <w:rPr>
                <w:rFonts w:hint="default"/>
                <w:color w:val="auto"/>
              </w:rPr>
              <w:t>根据预测结果，施工期间，各类施工机械的噪声在距离声源160m处时噪声均可满足《建筑施工场界环境噪声排放标准》（GB12523-2011）标准要求</w:t>
            </w:r>
            <w:r>
              <w:rPr>
                <w:rFonts w:hint="eastAsia"/>
                <w:color w:val="auto"/>
                <w:lang w:eastAsia="zh-CN"/>
              </w:rPr>
              <w:t>，</w:t>
            </w:r>
            <w:r>
              <w:rPr>
                <w:rFonts w:hint="eastAsia"/>
                <w:color w:val="auto"/>
                <w:lang w:val="en-US" w:eastAsia="zh-CN"/>
              </w:rPr>
              <w:t>即：</w:t>
            </w:r>
            <w:r>
              <w:rPr>
                <w:rFonts w:hint="default"/>
                <w:color w:val="auto"/>
              </w:rPr>
              <w:t>昼间70dB（A），夜间55dB（A）。同时，对高噪声设备采取隔声措施，并加强机械设备的保养，保证机械设备的正常运转，以降低设备正常运转的噪声。进一步落实以上措施后，施工期噪声对周边环境及施工人员的影响将进一步减少，施工期产生噪声对周边环境影响不大。</w:t>
            </w:r>
            <w:bookmarkEnd w:id="39"/>
            <w:r>
              <w:rPr>
                <w:rFonts w:hint="default"/>
                <w:color w:val="auto"/>
              </w:rPr>
              <w:t>项目区周边</w:t>
            </w:r>
            <w:r>
              <w:rPr>
                <w:rFonts w:hint="eastAsia"/>
                <w:color w:val="auto"/>
                <w:lang w:val="en-US" w:eastAsia="zh-CN"/>
              </w:rPr>
              <w:t>160</w:t>
            </w:r>
            <w:r>
              <w:rPr>
                <w:rFonts w:hint="default"/>
                <w:color w:val="auto"/>
              </w:rPr>
              <w:t>m范围内无声环境敏感目标，不会对周围声环境产生明显影响。</w:t>
            </w:r>
          </w:p>
          <w:p>
            <w:pPr>
              <w:pStyle w:val="32"/>
              <w:numPr>
                <w:ilvl w:val="0"/>
                <w:numId w:val="12"/>
              </w:numPr>
              <w:bidi w:val="0"/>
              <w:spacing w:line="240" w:lineRule="auto"/>
              <w:rPr>
                <w:rFonts w:hint="default"/>
                <w:color w:val="auto"/>
              </w:rPr>
            </w:pPr>
            <w:r>
              <w:rPr>
                <w:rFonts w:hint="default"/>
                <w:color w:val="auto"/>
              </w:rPr>
              <w:t>固体废物影响分析</w:t>
            </w:r>
          </w:p>
          <w:p>
            <w:pPr>
              <w:bidi w:val="0"/>
              <w:rPr>
                <w:rFonts w:hint="default"/>
                <w:color w:val="auto"/>
                <w:lang w:val="en-US" w:eastAsia="zh-CN"/>
              </w:rPr>
            </w:pPr>
            <w:r>
              <w:rPr>
                <w:rFonts w:hint="eastAsia"/>
                <w:color w:val="auto"/>
                <w:lang w:val="en-US" w:eastAsia="zh-CN"/>
              </w:rPr>
              <w:t>项目固体废物包括一般工业固废、危险废物和生活垃圾等。</w:t>
            </w:r>
          </w:p>
          <w:p>
            <w:pPr>
              <w:pStyle w:val="31"/>
              <w:numPr>
                <w:ilvl w:val="1"/>
                <w:numId w:val="5"/>
              </w:numPr>
              <w:bidi w:val="0"/>
              <w:rPr>
                <w:rFonts w:hint="default"/>
                <w:color w:val="auto"/>
                <w:lang w:val="en-US" w:eastAsia="zh-CN"/>
              </w:rPr>
            </w:pPr>
            <w:bookmarkStart w:id="40" w:name="_Hlk136795783"/>
            <w:r>
              <w:rPr>
                <w:rFonts w:hint="eastAsia"/>
                <w:color w:val="auto"/>
                <w:lang w:val="en-US" w:eastAsia="zh-CN"/>
              </w:rPr>
              <w:t>一般工业固废</w:t>
            </w:r>
          </w:p>
          <w:p>
            <w:pPr>
              <w:bidi w:val="0"/>
              <w:rPr>
                <w:rFonts w:hint="default"/>
                <w:color w:val="auto"/>
              </w:rPr>
            </w:pPr>
            <w:r>
              <w:rPr>
                <w:rFonts w:hint="default"/>
                <w:color w:val="auto"/>
                <w:lang w:val="en-US" w:eastAsia="zh-CN"/>
              </w:rPr>
              <w:t>本项目一般工业固废</w:t>
            </w:r>
            <w:r>
              <w:rPr>
                <w:rFonts w:hint="default"/>
                <w:color w:val="auto"/>
              </w:rPr>
              <w:t>为</w:t>
            </w:r>
            <w:r>
              <w:rPr>
                <w:rFonts w:hint="eastAsia"/>
                <w:color w:val="auto"/>
                <w:lang w:val="en-US" w:eastAsia="zh-CN"/>
              </w:rPr>
              <w:t>水基</w:t>
            </w:r>
            <w:r>
              <w:rPr>
                <w:rFonts w:hint="default"/>
                <w:color w:val="auto"/>
              </w:rPr>
              <w:t>钻井岩屑。钻井过程中，岩石经钻头和钻井液的研磨而破碎成岩屑，随钻井液排出井口，进入钻井液不落地设备处理后岩屑与钻井液分离，液体循环使用，固体（钻井岩屑）拉运处理。岩屑产生量与井身结构有关，可按下式计算：</w:t>
            </w:r>
          </w:p>
          <w:p>
            <w:pPr>
              <w:pStyle w:val="36"/>
              <w:bidi w:val="0"/>
              <w:jc w:val="center"/>
              <w:rPr>
                <w:rFonts w:hint="default"/>
                <w:i/>
                <w:iCs/>
                <w:color w:val="auto"/>
              </w:rPr>
            </w:pPr>
            <w:r>
              <w:rPr>
                <w:rFonts w:hint="default"/>
                <w:i/>
                <w:iCs/>
                <w:color w:val="auto"/>
              </w:rPr>
              <w:t>W=1/4×π×D2×h×P</w:t>
            </w:r>
          </w:p>
          <w:p>
            <w:pPr>
              <w:pStyle w:val="36"/>
              <w:bidi w:val="0"/>
              <w:rPr>
                <w:rFonts w:hint="default"/>
                <w:color w:val="auto"/>
              </w:rPr>
            </w:pPr>
            <w:r>
              <w:rPr>
                <w:rFonts w:hint="default"/>
                <w:color w:val="auto"/>
              </w:rPr>
              <w:t>式中：</w:t>
            </w:r>
            <w:r>
              <w:rPr>
                <w:rFonts w:hint="default"/>
                <w:i/>
                <w:iCs/>
                <w:color w:val="auto"/>
              </w:rPr>
              <w:t>W</w:t>
            </w:r>
            <w:r>
              <w:rPr>
                <w:rFonts w:hint="default"/>
                <w:color w:val="auto"/>
              </w:rPr>
              <w:t>——产生的岩屑量，</w:t>
            </w:r>
            <w:r>
              <w:rPr>
                <w:rFonts w:hint="eastAsia" w:ascii="Times New Roman" w:eastAsia="宋体"/>
                <w:color w:val="auto"/>
                <w:lang w:val="en-US" w:eastAsia="zh-CN"/>
              </w:rPr>
              <w:t>m</w:t>
            </w:r>
            <w:r>
              <w:rPr>
                <w:rFonts w:hint="default"/>
                <w:color w:val="auto"/>
                <w:vertAlign w:val="superscript"/>
              </w:rPr>
              <w:t>3</w:t>
            </w:r>
            <w:r>
              <w:rPr>
                <w:rFonts w:hint="default"/>
                <w:color w:val="auto"/>
              </w:rPr>
              <w:t>；</w:t>
            </w:r>
          </w:p>
          <w:p>
            <w:pPr>
              <w:pStyle w:val="36"/>
              <w:bidi w:val="0"/>
              <w:rPr>
                <w:rFonts w:hint="default"/>
                <w:color w:val="auto"/>
              </w:rPr>
            </w:pPr>
            <w:r>
              <w:rPr>
                <w:rFonts w:hint="default"/>
                <w:color w:val="auto"/>
              </w:rPr>
              <w:t xml:space="preserve">      </w:t>
            </w:r>
            <w:r>
              <w:rPr>
                <w:rFonts w:hint="default"/>
                <w:i/>
                <w:iCs/>
                <w:color w:val="auto"/>
              </w:rPr>
              <w:t>D</w:t>
            </w:r>
            <w:r>
              <w:rPr>
                <w:rFonts w:hint="default"/>
                <w:color w:val="auto"/>
              </w:rPr>
              <w:t>——井眼平均井径，m；</w:t>
            </w:r>
          </w:p>
          <w:p>
            <w:pPr>
              <w:pStyle w:val="36"/>
              <w:bidi w:val="0"/>
              <w:rPr>
                <w:rFonts w:hint="default"/>
                <w:color w:val="auto"/>
              </w:rPr>
            </w:pPr>
            <w:r>
              <w:rPr>
                <w:rFonts w:hint="default"/>
                <w:color w:val="auto"/>
              </w:rPr>
              <w:t xml:space="preserve">      </w:t>
            </w:r>
            <w:r>
              <w:rPr>
                <w:rFonts w:hint="default"/>
                <w:i/>
                <w:iCs/>
                <w:color w:val="auto"/>
              </w:rPr>
              <w:t>h</w:t>
            </w:r>
            <w:r>
              <w:rPr>
                <w:rFonts w:hint="default"/>
                <w:color w:val="auto"/>
              </w:rPr>
              <w:t>——裸眼长度，m；</w:t>
            </w:r>
          </w:p>
          <w:p>
            <w:pPr>
              <w:pStyle w:val="36"/>
              <w:bidi w:val="0"/>
              <w:rPr>
                <w:rFonts w:hint="default"/>
                <w:color w:val="auto"/>
              </w:rPr>
            </w:pPr>
            <w:r>
              <w:rPr>
                <w:rFonts w:hint="default"/>
                <w:color w:val="auto"/>
              </w:rPr>
              <w:t xml:space="preserve">      </w:t>
            </w:r>
            <w:r>
              <w:rPr>
                <w:rFonts w:hint="default"/>
                <w:i/>
                <w:iCs/>
                <w:color w:val="auto"/>
              </w:rPr>
              <w:t>P</w:t>
            </w:r>
            <w:r>
              <w:rPr>
                <w:rFonts w:hint="default"/>
                <w:color w:val="auto"/>
              </w:rPr>
              <w:t>——膨胀系数，水基钻井液体系取2.2</w:t>
            </w:r>
            <w:r>
              <w:rPr>
                <w:rFonts w:hint="eastAsia"/>
                <w:color w:val="auto"/>
                <w:lang w:eastAsia="zh-CN"/>
              </w:rPr>
              <w:t>。</w:t>
            </w:r>
          </w:p>
          <w:p>
            <w:pPr>
              <w:pStyle w:val="36"/>
              <w:bidi w:val="0"/>
              <w:rPr>
                <w:rFonts w:hint="default"/>
                <w:color w:val="auto"/>
              </w:rPr>
            </w:pPr>
            <w:r>
              <w:rPr>
                <w:rFonts w:hint="default"/>
                <w:color w:val="auto"/>
              </w:rPr>
              <w:t>根据井身结构计算钻井期岩屑产生量见表</w:t>
            </w:r>
            <w:r>
              <w:rPr>
                <w:rFonts w:hint="default"/>
                <w:color w:val="auto"/>
                <w:lang w:val="en-US" w:eastAsia="zh-CN"/>
              </w:rPr>
              <w:t>4-4</w:t>
            </w:r>
            <w:r>
              <w:rPr>
                <w:rFonts w:hint="default"/>
                <w:color w:val="auto"/>
              </w:rPr>
              <w:t>。</w:t>
            </w:r>
            <w:bookmarkStart w:id="41" w:name="_Ref19642107"/>
          </w:p>
          <w:p>
            <w:pPr>
              <w:pStyle w:val="52"/>
              <w:bidi w:val="0"/>
              <w:rPr>
                <w:rFonts w:hint="default"/>
                <w:color w:val="auto"/>
              </w:rPr>
            </w:pPr>
            <w:r>
              <w:rPr>
                <w:rFonts w:hint="default"/>
                <w:color w:val="auto"/>
              </w:rPr>
              <w:t>表</w:t>
            </w:r>
            <w:bookmarkEnd w:id="41"/>
            <w:r>
              <w:rPr>
                <w:rFonts w:hint="default"/>
                <w:color w:val="auto"/>
                <w:lang w:val="en-US" w:eastAsia="zh-CN"/>
              </w:rPr>
              <w:t>4-4</w:t>
            </w:r>
            <w:r>
              <w:rPr>
                <w:rFonts w:hint="default"/>
                <w:color w:val="auto"/>
              </w:rPr>
              <w:t xml:space="preserve">  </w:t>
            </w:r>
            <w:r>
              <w:rPr>
                <w:rFonts w:hint="eastAsia"/>
                <w:color w:val="auto"/>
                <w:lang w:val="en-US" w:eastAsia="zh-CN"/>
              </w:rPr>
              <w:t>水基</w:t>
            </w:r>
            <w:r>
              <w:rPr>
                <w:rFonts w:hint="default"/>
                <w:color w:val="auto"/>
              </w:rPr>
              <w:t>钻井岩屑产生情况表</w:t>
            </w:r>
          </w:p>
          <w:tbl>
            <w:tblPr>
              <w:tblStyle w:val="23"/>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autofit"/>
              <w:tblCellMar>
                <w:top w:w="0" w:type="dxa"/>
                <w:left w:w="23" w:type="dxa"/>
                <w:bottom w:w="0" w:type="dxa"/>
                <w:right w:w="23" w:type="dxa"/>
              </w:tblCellMar>
            </w:tblPr>
            <w:tblGrid>
              <w:gridCol w:w="1034"/>
              <w:gridCol w:w="1193"/>
              <w:gridCol w:w="1327"/>
              <w:gridCol w:w="1775"/>
              <w:gridCol w:w="1381"/>
              <w:gridCol w:w="155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3" w:type="dxa"/>
                  <w:bottom w:w="0" w:type="dxa"/>
                  <w:right w:w="23" w:type="dxa"/>
                </w:tblCellMar>
              </w:tblPrEx>
              <w:trPr>
                <w:trHeight w:val="0" w:hRule="atLeast"/>
                <w:jc w:val="center"/>
              </w:trPr>
              <w:tc>
                <w:tcPr>
                  <w:tcW w:w="625" w:type="pct"/>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olor w:val="auto"/>
                    </w:rPr>
                  </w:pPr>
                  <w:r>
                    <w:rPr>
                      <w:color w:val="auto"/>
                      <w:lang w:val="en-US" w:eastAsia="zh-CN"/>
                    </w:rPr>
                    <w:t>井号</w:t>
                  </w:r>
                </w:p>
              </w:tc>
              <w:tc>
                <w:tcPr>
                  <w:tcW w:w="1523" w:type="pct"/>
                  <w:gridSpan w:val="2"/>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olor w:val="auto"/>
                    </w:rPr>
                  </w:pPr>
                  <w:r>
                    <w:rPr>
                      <w:color w:val="auto"/>
                      <w:lang w:val="en-US" w:eastAsia="zh-CN"/>
                    </w:rPr>
                    <w:t>井段</w:t>
                  </w:r>
                </w:p>
              </w:tc>
              <w:tc>
                <w:tcPr>
                  <w:tcW w:w="1073" w:type="pct"/>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olor w:val="auto"/>
                    </w:rPr>
                  </w:pPr>
                  <w:r>
                    <w:rPr>
                      <w:rFonts w:hint="eastAsia"/>
                      <w:color w:val="auto"/>
                      <w:lang w:val="en-US" w:eastAsia="zh-CN"/>
                    </w:rPr>
                    <w:t>钻头尺寸（</w:t>
                  </w:r>
                  <w:r>
                    <w:rPr>
                      <w:color w:val="auto"/>
                      <w:lang w:val="en-US" w:eastAsia="zh-CN"/>
                    </w:rPr>
                    <w:t>m）</w:t>
                  </w:r>
                </w:p>
              </w:tc>
              <w:tc>
                <w:tcPr>
                  <w:tcW w:w="835" w:type="pct"/>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olor w:val="auto"/>
                    </w:rPr>
                  </w:pPr>
                  <w:r>
                    <w:rPr>
                      <w:color w:val="auto"/>
                      <w:lang w:val="en-US" w:eastAsia="zh-CN"/>
                    </w:rPr>
                    <w:t>井段（m）</w:t>
                  </w:r>
                </w:p>
              </w:tc>
              <w:tc>
                <w:tcPr>
                  <w:tcW w:w="942" w:type="pct"/>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olor w:val="auto"/>
                    </w:rPr>
                  </w:pPr>
                  <w:r>
                    <w:rPr>
                      <w:color w:val="auto"/>
                      <w:lang w:val="en-US" w:eastAsia="zh-CN"/>
                    </w:rPr>
                    <w:t>岩屑产生量</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3" w:type="dxa"/>
                  <w:bottom w:w="0" w:type="dxa"/>
                  <w:right w:w="23" w:type="dxa"/>
                </w:tblCellMar>
              </w:tblPrEx>
              <w:trPr>
                <w:trHeight w:val="0" w:hRule="atLeast"/>
                <w:jc w:val="center"/>
              </w:trPr>
              <w:tc>
                <w:tcPr>
                  <w:tcW w:w="625" w:type="pct"/>
                  <w:vMerge w:val="restart"/>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olor w:val="auto"/>
                    </w:rPr>
                  </w:pPr>
                  <w:r>
                    <w:rPr>
                      <w:color w:val="auto"/>
                      <w:lang w:val="en-US" w:eastAsia="zh-CN"/>
                    </w:rPr>
                    <w:t>天湾102井</w:t>
                  </w:r>
                </w:p>
              </w:tc>
              <w:tc>
                <w:tcPr>
                  <w:tcW w:w="721" w:type="pct"/>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olor w:val="auto"/>
                    </w:rPr>
                  </w:pPr>
                  <w:r>
                    <w:rPr>
                      <w:color w:val="auto"/>
                      <w:lang w:val="en-US" w:eastAsia="zh-CN"/>
                    </w:rPr>
                    <w:t>一开</w:t>
                  </w:r>
                </w:p>
              </w:tc>
              <w:tc>
                <w:tcPr>
                  <w:tcW w:w="802" w:type="pct"/>
                  <w:vMerge w:val="restart"/>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olor w:val="auto"/>
                    </w:rPr>
                  </w:pPr>
                  <w:r>
                    <w:rPr>
                      <w:rFonts w:hint="eastAsia"/>
                      <w:color w:val="auto"/>
                      <w:lang w:val="en-US" w:eastAsia="zh-CN"/>
                    </w:rPr>
                    <w:t>水基钻井液</w:t>
                  </w:r>
                </w:p>
              </w:tc>
              <w:tc>
                <w:tcPr>
                  <w:tcW w:w="1073" w:type="pct"/>
                  <w:tcBorders>
                    <w:tl2br w:val="nil"/>
                    <w:tr2bl w:val="nil"/>
                  </w:tcBorders>
                  <w:shd w:val="clear" w:color="auto" w:fill="auto"/>
                  <w:noWrap/>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olor w:val="auto"/>
                    </w:rPr>
                  </w:pPr>
                  <w:r>
                    <w:rPr>
                      <w:rFonts w:hint="eastAsia"/>
                      <w:color w:val="auto"/>
                      <w:lang w:val="en-US" w:eastAsia="zh-CN"/>
                    </w:rPr>
                    <w:t>0.762</w:t>
                  </w:r>
                </w:p>
              </w:tc>
              <w:tc>
                <w:tcPr>
                  <w:tcW w:w="835" w:type="pct"/>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olor w:val="auto"/>
                    </w:rPr>
                  </w:pPr>
                  <w:r>
                    <w:rPr>
                      <w:rFonts w:hint="eastAsia" w:ascii="Times New Roman" w:hAnsi="Times New Roman" w:eastAsia="宋体" w:cs="Arial"/>
                      <w:color w:val="auto"/>
                      <w:kern w:val="2"/>
                      <w:sz w:val="21"/>
                      <w:szCs w:val="21"/>
                      <w:lang w:val="en-US" w:eastAsia="zh-CN" w:bidi="ar-SA"/>
                    </w:rPr>
                    <w:t>0～</w:t>
                  </w:r>
                  <w:r>
                    <w:rPr>
                      <w:rFonts w:hint="default"/>
                      <w:color w:val="auto"/>
                      <w:lang w:val="en-US" w:eastAsia="zh-CN"/>
                    </w:rPr>
                    <w:t>300</w:t>
                  </w:r>
                </w:p>
              </w:tc>
              <w:tc>
                <w:tcPr>
                  <w:tcW w:w="942" w:type="pct"/>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olor w:val="auto"/>
                    </w:rPr>
                  </w:pPr>
                  <w:r>
                    <w:rPr>
                      <w:rFonts w:hint="default"/>
                      <w:color w:val="auto"/>
                      <w:lang w:val="en-US" w:eastAsia="zh-CN"/>
                    </w:rPr>
                    <w:t>300.83</w:t>
                  </w:r>
                  <w:r>
                    <w:rPr>
                      <w:rFonts w:hint="eastAsia" w:ascii="Times New Roman" w:eastAsia="宋体"/>
                      <w:color w:val="auto"/>
                      <w:lang w:val="en-US" w:eastAsia="zh-CN"/>
                    </w:rPr>
                    <w:t>m</w:t>
                  </w:r>
                  <w:r>
                    <w:rPr>
                      <w:color w:val="auto"/>
                      <w:vertAlign w:val="superscript"/>
                      <w:lang w:val="en-US" w:eastAsia="zh-CN"/>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3" w:type="dxa"/>
                  <w:bottom w:w="0" w:type="dxa"/>
                  <w:right w:w="23" w:type="dxa"/>
                </w:tblCellMar>
              </w:tblPrEx>
              <w:trPr>
                <w:trHeight w:val="0" w:hRule="atLeast"/>
                <w:jc w:val="center"/>
              </w:trPr>
              <w:tc>
                <w:tcPr>
                  <w:tcW w:w="625" w:type="pct"/>
                  <w:vMerge w:val="continue"/>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olor w:val="auto"/>
                    </w:rPr>
                  </w:pPr>
                </w:p>
              </w:tc>
              <w:tc>
                <w:tcPr>
                  <w:tcW w:w="721" w:type="pct"/>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olor w:val="auto"/>
                    </w:rPr>
                  </w:pPr>
                  <w:r>
                    <w:rPr>
                      <w:color w:val="auto"/>
                      <w:lang w:val="en-US" w:eastAsia="zh-CN"/>
                    </w:rPr>
                    <w:t>二开</w:t>
                  </w:r>
                </w:p>
              </w:tc>
              <w:tc>
                <w:tcPr>
                  <w:tcW w:w="802" w:type="pct"/>
                  <w:vMerge w:val="continue"/>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olor w:val="auto"/>
                    </w:rPr>
                  </w:pPr>
                </w:p>
              </w:tc>
              <w:tc>
                <w:tcPr>
                  <w:tcW w:w="1073" w:type="pct"/>
                  <w:tcBorders>
                    <w:tl2br w:val="nil"/>
                    <w:tr2bl w:val="nil"/>
                  </w:tcBorders>
                  <w:shd w:val="clear" w:color="auto" w:fill="auto"/>
                  <w:noWrap/>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olor w:val="auto"/>
                    </w:rPr>
                  </w:pPr>
                  <w:r>
                    <w:rPr>
                      <w:rFonts w:hint="eastAsia"/>
                      <w:color w:val="auto"/>
                      <w:lang w:val="en-US" w:eastAsia="zh-CN"/>
                    </w:rPr>
                    <w:t>0.5715</w:t>
                  </w:r>
                </w:p>
              </w:tc>
              <w:tc>
                <w:tcPr>
                  <w:tcW w:w="835" w:type="pct"/>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olor w:val="auto"/>
                    </w:rPr>
                  </w:pPr>
                  <w:r>
                    <w:rPr>
                      <w:rFonts w:hint="eastAsia" w:ascii="Times New Roman" w:hAnsi="Times New Roman" w:eastAsia="宋体" w:cs="Arial"/>
                      <w:color w:val="auto"/>
                      <w:kern w:val="2"/>
                      <w:sz w:val="21"/>
                      <w:szCs w:val="21"/>
                      <w:lang w:val="en-US" w:eastAsia="zh-CN" w:bidi="ar-SA"/>
                    </w:rPr>
                    <w:t>～</w:t>
                  </w:r>
                  <w:r>
                    <w:rPr>
                      <w:rFonts w:hint="default"/>
                      <w:color w:val="auto"/>
                      <w:lang w:val="en-US" w:eastAsia="zh-CN"/>
                    </w:rPr>
                    <w:t>3050</w:t>
                  </w:r>
                </w:p>
              </w:tc>
              <w:tc>
                <w:tcPr>
                  <w:tcW w:w="942" w:type="pct"/>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olor w:val="auto"/>
                    </w:rPr>
                  </w:pPr>
                  <w:r>
                    <w:rPr>
                      <w:rFonts w:hint="default"/>
                      <w:color w:val="auto"/>
                      <w:lang w:val="en-US" w:eastAsia="zh-CN"/>
                    </w:rPr>
                    <w:t>1551.16</w:t>
                  </w:r>
                  <w:r>
                    <w:rPr>
                      <w:rFonts w:hint="eastAsia" w:ascii="Times New Roman" w:eastAsia="宋体"/>
                      <w:color w:val="auto"/>
                      <w:lang w:val="en-US" w:eastAsia="zh-CN"/>
                    </w:rPr>
                    <w:t>m</w:t>
                  </w:r>
                  <w:r>
                    <w:rPr>
                      <w:color w:val="auto"/>
                      <w:vertAlign w:val="superscript"/>
                      <w:lang w:val="en-US" w:eastAsia="zh-CN"/>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3" w:type="dxa"/>
                  <w:bottom w:w="0" w:type="dxa"/>
                  <w:right w:w="23" w:type="dxa"/>
                </w:tblCellMar>
              </w:tblPrEx>
              <w:trPr>
                <w:trHeight w:val="0" w:hRule="atLeast"/>
                <w:jc w:val="center"/>
              </w:trPr>
              <w:tc>
                <w:tcPr>
                  <w:tcW w:w="625" w:type="pct"/>
                  <w:vMerge w:val="continue"/>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olor w:val="auto"/>
                    </w:rPr>
                  </w:pPr>
                </w:p>
              </w:tc>
              <w:tc>
                <w:tcPr>
                  <w:tcW w:w="3431" w:type="pct"/>
                  <w:gridSpan w:val="4"/>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olor w:val="auto"/>
                    </w:rPr>
                  </w:pPr>
                  <w:r>
                    <w:rPr>
                      <w:color w:val="auto"/>
                      <w:lang w:val="en-US" w:eastAsia="zh-CN"/>
                    </w:rPr>
                    <w:t>小计</w:t>
                  </w:r>
                </w:p>
              </w:tc>
              <w:tc>
                <w:tcPr>
                  <w:tcW w:w="942" w:type="pct"/>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olor w:val="auto"/>
                    </w:rPr>
                  </w:pPr>
                  <w:r>
                    <w:rPr>
                      <w:rFonts w:hint="default"/>
                      <w:color w:val="auto"/>
                      <w:lang w:val="en-US" w:eastAsia="zh-CN"/>
                    </w:rPr>
                    <w:t>1851.99</w:t>
                  </w:r>
                  <w:r>
                    <w:rPr>
                      <w:rFonts w:hint="eastAsia" w:ascii="Times New Roman" w:eastAsia="宋体"/>
                      <w:color w:val="auto"/>
                      <w:lang w:val="en-US" w:eastAsia="zh-CN"/>
                    </w:rPr>
                    <w:t>m</w:t>
                  </w:r>
                  <w:r>
                    <w:rPr>
                      <w:color w:val="auto"/>
                      <w:vertAlign w:val="superscript"/>
                      <w:lang w:val="en-US" w:eastAsia="zh-CN"/>
                    </w:rPr>
                    <w:t>3</w:t>
                  </w:r>
                </w:p>
              </w:tc>
            </w:tr>
          </w:tbl>
          <w:p>
            <w:pPr>
              <w:pStyle w:val="36"/>
              <w:bidi w:val="0"/>
              <w:rPr>
                <w:rFonts w:hint="eastAsia"/>
                <w:color w:val="auto"/>
                <w:lang w:val="en-US" w:eastAsia="zh-CN"/>
              </w:rPr>
            </w:pPr>
            <w:bookmarkStart w:id="42" w:name="_Hlk186376309"/>
            <w:r>
              <w:rPr>
                <w:rFonts w:hint="default"/>
                <w:color w:val="auto"/>
              </w:rPr>
              <w:t>由</w:t>
            </w:r>
            <w:r>
              <w:rPr>
                <w:rFonts w:hint="default"/>
                <w:color w:val="auto"/>
                <w:lang w:val="en-US" w:eastAsia="zh-CN"/>
              </w:rPr>
              <w:t>表</w:t>
            </w:r>
            <w:r>
              <w:rPr>
                <w:rFonts w:hint="eastAsia"/>
                <w:color w:val="auto"/>
                <w:lang w:val="en-US" w:eastAsia="zh-CN"/>
              </w:rPr>
              <w:t>4-4</w:t>
            </w:r>
            <w:r>
              <w:rPr>
                <w:rFonts w:hint="default"/>
                <w:color w:val="auto"/>
                <w:lang w:val="en-US" w:eastAsia="zh-CN"/>
              </w:rPr>
              <w:t>可</w:t>
            </w:r>
            <w:r>
              <w:rPr>
                <w:rFonts w:hint="default"/>
                <w:color w:val="auto"/>
              </w:rPr>
              <w:t>知，</w:t>
            </w:r>
            <w:r>
              <w:rPr>
                <w:rFonts w:hint="default"/>
                <w:color w:val="auto"/>
                <w:lang w:val="en-US" w:eastAsia="zh-CN"/>
              </w:rPr>
              <w:t>本项目</w:t>
            </w:r>
            <w:r>
              <w:rPr>
                <w:rFonts w:hint="default"/>
                <w:color w:val="auto"/>
              </w:rPr>
              <w:t>水基钻井岩屑产生量为</w:t>
            </w:r>
            <w:bookmarkEnd w:id="40"/>
            <w:bookmarkEnd w:id="42"/>
            <w:r>
              <w:rPr>
                <w:rFonts w:hint="default"/>
                <w:color w:val="auto"/>
                <w:lang w:val="en-US" w:eastAsia="zh-CN"/>
              </w:rPr>
              <w:t>1851.99</w:t>
            </w:r>
            <w:r>
              <w:rPr>
                <w:rFonts w:hint="eastAsia" w:ascii="Times New Roman" w:eastAsia="宋体"/>
                <w:color w:val="auto"/>
                <w:lang w:val="en-US" w:eastAsia="zh-CN"/>
              </w:rPr>
              <w:t>m</w:t>
            </w:r>
            <w:r>
              <w:rPr>
                <w:rFonts w:hint="default"/>
                <w:color w:val="auto"/>
                <w:vertAlign w:val="superscript"/>
              </w:rPr>
              <w:t>3</w:t>
            </w:r>
            <w:r>
              <w:rPr>
                <w:rFonts w:hint="eastAsia"/>
                <w:color w:val="auto"/>
                <w:lang w:eastAsia="zh-CN"/>
              </w:rPr>
              <w:t>。</w:t>
            </w:r>
          </w:p>
          <w:p>
            <w:pPr>
              <w:pStyle w:val="36"/>
              <w:bidi w:val="0"/>
              <w:rPr>
                <w:rFonts w:hint="eastAsia"/>
                <w:color w:val="auto"/>
                <w:lang w:val="en-US" w:eastAsia="zh-CN"/>
              </w:rPr>
            </w:pPr>
            <w:r>
              <w:rPr>
                <w:rFonts w:hint="eastAsia"/>
                <w:color w:val="auto"/>
                <w:lang w:val="en-US" w:eastAsia="zh-CN"/>
              </w:rPr>
              <w:t>井场设一套钻井液不落地设备，钻井岩屑采用不落地系统进行固液分离处理。分离出的液相回用于钻井，钻井结束后装入钻井液罐由钻井队带至下一个钻井井场，分离出的水基钻井岩屑收集于岩屑专用方罐，委托第三方岩屑处置单位进行最终处置。</w:t>
            </w:r>
          </w:p>
          <w:p>
            <w:pPr>
              <w:pStyle w:val="31"/>
              <w:numPr>
                <w:ilvl w:val="1"/>
                <w:numId w:val="5"/>
              </w:numPr>
              <w:bidi w:val="0"/>
              <w:rPr>
                <w:rFonts w:hint="eastAsia"/>
                <w:color w:val="auto"/>
                <w:lang w:val="en-US" w:eastAsia="zh-CN"/>
              </w:rPr>
            </w:pPr>
            <w:r>
              <w:rPr>
                <w:rFonts w:hint="eastAsia"/>
                <w:color w:val="auto"/>
                <w:lang w:val="en-US" w:eastAsia="zh-CN"/>
              </w:rPr>
              <w:t>危险废物</w:t>
            </w:r>
          </w:p>
          <w:p>
            <w:pPr>
              <w:pStyle w:val="36"/>
              <w:bidi w:val="0"/>
              <w:rPr>
                <w:rFonts w:hint="default"/>
                <w:color w:val="auto"/>
                <w:lang w:val="en-US" w:eastAsia="zh-CN"/>
              </w:rPr>
            </w:pPr>
            <w:r>
              <w:rPr>
                <w:rFonts w:hint="eastAsia"/>
                <w:color w:val="auto"/>
                <w:lang w:val="en-US" w:eastAsia="zh-CN"/>
              </w:rPr>
              <w:t>项目涉及的危险废物包括油基岩屑、</w:t>
            </w:r>
            <w:r>
              <w:rPr>
                <w:rFonts w:hint="default"/>
                <w:color w:val="auto"/>
              </w:rPr>
              <w:t>沾油废防渗材料、废润滑油、废润滑油桶</w:t>
            </w:r>
            <w:r>
              <w:rPr>
                <w:rFonts w:hint="eastAsia"/>
                <w:color w:val="auto"/>
                <w:lang w:eastAsia="zh-CN"/>
              </w:rPr>
              <w:t>、</w:t>
            </w:r>
            <w:r>
              <w:rPr>
                <w:rFonts w:hint="default"/>
                <w:color w:val="auto"/>
                <w:lang w:val="en-US" w:eastAsia="zh-CN"/>
              </w:rPr>
              <w:t>废含油抹布和劳保用品</w:t>
            </w:r>
            <w:r>
              <w:rPr>
                <w:rFonts w:hint="eastAsia"/>
                <w:color w:val="auto"/>
                <w:lang w:eastAsia="zh-CN"/>
              </w:rPr>
              <w:t>。</w:t>
            </w:r>
            <w:r>
              <w:rPr>
                <w:rFonts w:hint="eastAsia"/>
                <w:color w:val="auto"/>
                <w:lang w:val="en-US" w:eastAsia="zh-CN"/>
              </w:rPr>
              <w:t>危险废物名称，产生环节等信息见下表。</w:t>
            </w:r>
          </w:p>
          <w:p>
            <w:pPr>
              <w:pStyle w:val="52"/>
              <w:bidi w:val="0"/>
              <w:rPr>
                <w:rFonts w:hint="default"/>
                <w:color w:val="auto"/>
                <w:lang w:val="en-US" w:eastAsia="zh-CN"/>
              </w:rPr>
            </w:pPr>
            <w:r>
              <w:rPr>
                <w:rFonts w:hint="eastAsia"/>
                <w:color w:val="auto"/>
                <w:lang w:val="en-US" w:eastAsia="zh-CN"/>
              </w:rPr>
              <w:t>表4-5  危险废物信息表</w:t>
            </w:r>
          </w:p>
          <w:tbl>
            <w:tblPr>
              <w:tblStyle w:val="24"/>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3" w:type="dxa"/>
                <w:bottom w:w="0" w:type="dxa"/>
                <w:right w:w="23" w:type="dxa"/>
              </w:tblCellMar>
            </w:tblPr>
            <w:tblGrid>
              <w:gridCol w:w="553"/>
              <w:gridCol w:w="1137"/>
              <w:gridCol w:w="1010"/>
              <w:gridCol w:w="1106"/>
              <w:gridCol w:w="1010"/>
              <w:gridCol w:w="1089"/>
              <w:gridCol w:w="993"/>
              <w:gridCol w:w="13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c>
                <w:tcPr>
                  <w:tcW w:w="335"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序号</w:t>
                  </w:r>
                </w:p>
              </w:tc>
              <w:tc>
                <w:tcPr>
                  <w:tcW w:w="687"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废物名称</w:t>
                  </w:r>
                </w:p>
              </w:tc>
              <w:tc>
                <w:tcPr>
                  <w:tcW w:w="610"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产生环节</w:t>
                  </w:r>
                </w:p>
              </w:tc>
              <w:tc>
                <w:tcPr>
                  <w:tcW w:w="668"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废物代码</w:t>
                  </w:r>
                </w:p>
              </w:tc>
              <w:tc>
                <w:tcPr>
                  <w:tcW w:w="610"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外观性状</w:t>
                  </w:r>
                </w:p>
              </w:tc>
              <w:tc>
                <w:tcPr>
                  <w:tcW w:w="658"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特征污染物</w:t>
                  </w:r>
                </w:p>
              </w:tc>
              <w:tc>
                <w:tcPr>
                  <w:tcW w:w="600"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产生规律</w:t>
                  </w:r>
                </w:p>
              </w:tc>
              <w:tc>
                <w:tcPr>
                  <w:tcW w:w="826"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主要利用处置方式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c>
                <w:tcPr>
                  <w:tcW w:w="335"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1</w:t>
                  </w:r>
                </w:p>
              </w:tc>
              <w:tc>
                <w:tcPr>
                  <w:tcW w:w="687"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油基岩屑</w:t>
                  </w:r>
                </w:p>
              </w:tc>
              <w:tc>
                <w:tcPr>
                  <w:tcW w:w="610"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钻井环节</w:t>
                  </w:r>
                </w:p>
              </w:tc>
              <w:tc>
                <w:tcPr>
                  <w:tcW w:w="668"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072-001-08</w:t>
                  </w:r>
                </w:p>
              </w:tc>
              <w:tc>
                <w:tcPr>
                  <w:tcW w:w="610"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固体</w:t>
                  </w:r>
                </w:p>
              </w:tc>
              <w:tc>
                <w:tcPr>
                  <w:tcW w:w="658"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废矿物油</w:t>
                  </w:r>
                </w:p>
              </w:tc>
              <w:tc>
                <w:tcPr>
                  <w:tcW w:w="600"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连续产生</w:t>
                  </w:r>
                </w:p>
              </w:tc>
              <w:tc>
                <w:tcPr>
                  <w:tcW w:w="826" w:type="pct"/>
                  <w:vMerge w:val="restar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委托持有危险废物经营许可的单位利用处置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c>
                <w:tcPr>
                  <w:tcW w:w="335"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2</w:t>
                  </w:r>
                </w:p>
              </w:tc>
              <w:tc>
                <w:tcPr>
                  <w:tcW w:w="687"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沾油废防渗材料</w:t>
                  </w:r>
                </w:p>
              </w:tc>
              <w:tc>
                <w:tcPr>
                  <w:tcW w:w="610"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场地清理</w:t>
                  </w:r>
                </w:p>
              </w:tc>
              <w:tc>
                <w:tcPr>
                  <w:tcW w:w="668"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900-249-08</w:t>
                  </w:r>
                </w:p>
              </w:tc>
              <w:tc>
                <w:tcPr>
                  <w:tcW w:w="610"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固体</w:t>
                  </w:r>
                </w:p>
              </w:tc>
              <w:tc>
                <w:tcPr>
                  <w:tcW w:w="658"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废矿物油</w:t>
                  </w:r>
                </w:p>
              </w:tc>
              <w:tc>
                <w:tcPr>
                  <w:tcW w:w="600"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间歇产生</w:t>
                  </w:r>
                </w:p>
              </w:tc>
              <w:tc>
                <w:tcPr>
                  <w:tcW w:w="826" w:type="pct"/>
                  <w:vMerge w:val="continue"/>
                  <w:tcBorders>
                    <w:tl2br w:val="nil"/>
                    <w:tr2bl w:val="nil"/>
                  </w:tcBorders>
                  <w:vAlign w:val="center"/>
                </w:tcPr>
                <w:p>
                  <w:pPr>
                    <w:pStyle w:val="33"/>
                    <w:bidi w:val="0"/>
                    <w:jc w:val="center"/>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c>
                <w:tcPr>
                  <w:tcW w:w="335"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3</w:t>
                  </w:r>
                </w:p>
              </w:tc>
              <w:tc>
                <w:tcPr>
                  <w:tcW w:w="687"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废润滑油</w:t>
                  </w:r>
                </w:p>
              </w:tc>
              <w:tc>
                <w:tcPr>
                  <w:tcW w:w="610" w:type="pct"/>
                  <w:vMerge w:val="restar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检修维护</w:t>
                  </w:r>
                </w:p>
              </w:tc>
              <w:tc>
                <w:tcPr>
                  <w:tcW w:w="668" w:type="pct"/>
                  <w:tcBorders>
                    <w:tl2br w:val="nil"/>
                    <w:tr2bl w:val="nil"/>
                  </w:tcBorders>
                  <w:vAlign w:val="center"/>
                </w:tcPr>
                <w:p>
                  <w:pPr>
                    <w:pStyle w:val="33"/>
                    <w:bidi w:val="0"/>
                    <w:jc w:val="center"/>
                    <w:rPr>
                      <w:rFonts w:hint="default"/>
                      <w:color w:val="auto"/>
                      <w:lang w:val="en-US" w:eastAsia="zh-CN"/>
                    </w:rPr>
                  </w:pPr>
                  <w:r>
                    <w:rPr>
                      <w:rFonts w:hint="default"/>
                      <w:color w:val="auto"/>
                      <w:lang w:val="en-US" w:eastAsia="zh-CN"/>
                    </w:rPr>
                    <w:t>900-214-08</w:t>
                  </w:r>
                </w:p>
              </w:tc>
              <w:tc>
                <w:tcPr>
                  <w:tcW w:w="610" w:type="pct"/>
                  <w:tcBorders>
                    <w:tl2br w:val="nil"/>
                    <w:tr2bl w:val="nil"/>
                  </w:tcBorders>
                  <w:vAlign w:val="center"/>
                </w:tcPr>
                <w:p>
                  <w:pPr>
                    <w:pStyle w:val="33"/>
                    <w:bidi w:val="0"/>
                    <w:jc w:val="center"/>
                    <w:rPr>
                      <w:rFonts w:hint="default"/>
                      <w:color w:val="auto"/>
                      <w:lang w:val="en-US" w:eastAsia="zh-CN"/>
                    </w:rPr>
                  </w:pPr>
                  <w:r>
                    <w:rPr>
                      <w:rFonts w:hint="eastAsia" w:ascii="Times New Roman" w:eastAsia="宋体"/>
                      <w:color w:val="auto"/>
                      <w:lang w:val="en-US" w:eastAsia="zh-CN"/>
                    </w:rPr>
                    <w:t>液体</w:t>
                  </w:r>
                </w:p>
              </w:tc>
              <w:tc>
                <w:tcPr>
                  <w:tcW w:w="658" w:type="pct"/>
                  <w:tcBorders>
                    <w:tl2br w:val="nil"/>
                    <w:tr2bl w:val="nil"/>
                  </w:tcBorders>
                  <w:vAlign w:val="center"/>
                </w:tcPr>
                <w:p>
                  <w:pPr>
                    <w:pStyle w:val="33"/>
                    <w:bidi w:val="0"/>
                    <w:ind w:firstLine="0" w:firstLineChars="0"/>
                    <w:jc w:val="center"/>
                    <w:rPr>
                      <w:rFonts w:hint="default"/>
                      <w:color w:val="auto"/>
                      <w:lang w:val="en-US" w:eastAsia="zh-CN"/>
                    </w:rPr>
                  </w:pPr>
                  <w:r>
                    <w:rPr>
                      <w:rFonts w:hint="eastAsia"/>
                      <w:color w:val="auto"/>
                      <w:lang w:val="en-US" w:eastAsia="zh-CN"/>
                    </w:rPr>
                    <w:t>废矿物油</w:t>
                  </w:r>
                </w:p>
              </w:tc>
              <w:tc>
                <w:tcPr>
                  <w:tcW w:w="600" w:type="pct"/>
                  <w:tcBorders>
                    <w:tl2br w:val="nil"/>
                    <w:tr2bl w:val="nil"/>
                  </w:tcBorders>
                  <w:vAlign w:val="center"/>
                </w:tcPr>
                <w:p>
                  <w:pPr>
                    <w:pStyle w:val="33"/>
                    <w:bidi w:val="0"/>
                    <w:ind w:firstLine="0" w:firstLineChars="0"/>
                    <w:jc w:val="center"/>
                    <w:rPr>
                      <w:rFonts w:hint="default"/>
                      <w:color w:val="auto"/>
                      <w:lang w:val="en-US" w:eastAsia="zh-CN"/>
                    </w:rPr>
                  </w:pPr>
                  <w:r>
                    <w:rPr>
                      <w:rFonts w:hint="eastAsia"/>
                      <w:color w:val="auto"/>
                      <w:lang w:val="en-US" w:eastAsia="zh-CN"/>
                    </w:rPr>
                    <w:t>间歇产生</w:t>
                  </w:r>
                </w:p>
              </w:tc>
              <w:tc>
                <w:tcPr>
                  <w:tcW w:w="826" w:type="pct"/>
                  <w:vMerge w:val="continue"/>
                  <w:tcBorders>
                    <w:tl2br w:val="nil"/>
                    <w:tr2bl w:val="nil"/>
                  </w:tcBorders>
                  <w:vAlign w:val="center"/>
                </w:tcPr>
                <w:p>
                  <w:pPr>
                    <w:pStyle w:val="33"/>
                    <w:bidi w:val="0"/>
                    <w:jc w:val="center"/>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c>
                <w:tcPr>
                  <w:tcW w:w="335"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4</w:t>
                  </w:r>
                </w:p>
              </w:tc>
              <w:tc>
                <w:tcPr>
                  <w:tcW w:w="687"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废润滑油桶</w:t>
                  </w:r>
                </w:p>
              </w:tc>
              <w:tc>
                <w:tcPr>
                  <w:tcW w:w="610" w:type="pct"/>
                  <w:vMerge w:val="continue"/>
                  <w:tcBorders>
                    <w:tl2br w:val="nil"/>
                    <w:tr2bl w:val="nil"/>
                  </w:tcBorders>
                  <w:vAlign w:val="center"/>
                </w:tcPr>
                <w:p>
                  <w:pPr>
                    <w:pStyle w:val="33"/>
                    <w:bidi w:val="0"/>
                    <w:jc w:val="center"/>
                    <w:rPr>
                      <w:rFonts w:hint="default"/>
                      <w:color w:val="auto"/>
                      <w:lang w:val="en-US" w:eastAsia="zh-CN"/>
                    </w:rPr>
                  </w:pPr>
                </w:p>
              </w:tc>
              <w:tc>
                <w:tcPr>
                  <w:tcW w:w="668" w:type="pct"/>
                  <w:tcBorders>
                    <w:tl2br w:val="nil"/>
                    <w:tr2bl w:val="nil"/>
                  </w:tcBorders>
                  <w:vAlign w:val="center"/>
                </w:tcPr>
                <w:p>
                  <w:pPr>
                    <w:pStyle w:val="33"/>
                    <w:bidi w:val="0"/>
                    <w:jc w:val="center"/>
                    <w:rPr>
                      <w:rFonts w:hint="default"/>
                      <w:color w:val="auto"/>
                      <w:lang w:val="en-US" w:eastAsia="zh-CN"/>
                    </w:rPr>
                  </w:pPr>
                  <w:r>
                    <w:rPr>
                      <w:rFonts w:hint="default"/>
                      <w:color w:val="auto"/>
                      <w:lang w:val="en-US" w:eastAsia="zh-CN"/>
                    </w:rPr>
                    <w:t>900-041-49</w:t>
                  </w:r>
                </w:p>
              </w:tc>
              <w:tc>
                <w:tcPr>
                  <w:tcW w:w="610"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固体</w:t>
                  </w:r>
                </w:p>
              </w:tc>
              <w:tc>
                <w:tcPr>
                  <w:tcW w:w="658" w:type="pct"/>
                  <w:tcBorders>
                    <w:tl2br w:val="nil"/>
                    <w:tr2bl w:val="nil"/>
                  </w:tcBorders>
                  <w:vAlign w:val="center"/>
                </w:tcPr>
                <w:p>
                  <w:pPr>
                    <w:pStyle w:val="33"/>
                    <w:bidi w:val="0"/>
                    <w:ind w:firstLine="0" w:firstLineChars="0"/>
                    <w:jc w:val="center"/>
                    <w:rPr>
                      <w:rFonts w:hint="default"/>
                      <w:color w:val="auto"/>
                      <w:lang w:val="en-US" w:eastAsia="zh-CN"/>
                    </w:rPr>
                  </w:pPr>
                  <w:r>
                    <w:rPr>
                      <w:rFonts w:hint="eastAsia"/>
                      <w:color w:val="auto"/>
                      <w:lang w:val="en-US" w:eastAsia="zh-CN"/>
                    </w:rPr>
                    <w:t>废矿物油</w:t>
                  </w:r>
                </w:p>
              </w:tc>
              <w:tc>
                <w:tcPr>
                  <w:tcW w:w="600" w:type="pct"/>
                  <w:tcBorders>
                    <w:tl2br w:val="nil"/>
                    <w:tr2bl w:val="nil"/>
                  </w:tcBorders>
                  <w:vAlign w:val="center"/>
                </w:tcPr>
                <w:p>
                  <w:pPr>
                    <w:pStyle w:val="33"/>
                    <w:bidi w:val="0"/>
                    <w:ind w:firstLine="0" w:firstLineChars="0"/>
                    <w:jc w:val="center"/>
                    <w:rPr>
                      <w:rFonts w:hint="default"/>
                      <w:color w:val="auto"/>
                      <w:lang w:val="en-US" w:eastAsia="zh-CN"/>
                    </w:rPr>
                  </w:pPr>
                  <w:r>
                    <w:rPr>
                      <w:rFonts w:hint="eastAsia"/>
                      <w:color w:val="auto"/>
                      <w:lang w:val="en-US" w:eastAsia="zh-CN"/>
                    </w:rPr>
                    <w:t>间歇产生</w:t>
                  </w:r>
                </w:p>
              </w:tc>
              <w:tc>
                <w:tcPr>
                  <w:tcW w:w="826" w:type="pct"/>
                  <w:vMerge w:val="continue"/>
                  <w:tcBorders>
                    <w:tl2br w:val="nil"/>
                    <w:tr2bl w:val="nil"/>
                  </w:tcBorders>
                  <w:vAlign w:val="center"/>
                </w:tcPr>
                <w:p>
                  <w:pPr>
                    <w:pStyle w:val="33"/>
                    <w:bidi w:val="0"/>
                    <w:jc w:val="center"/>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c>
                <w:tcPr>
                  <w:tcW w:w="335"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5</w:t>
                  </w:r>
                </w:p>
              </w:tc>
              <w:tc>
                <w:tcPr>
                  <w:tcW w:w="687" w:type="pct"/>
                  <w:tcBorders>
                    <w:tl2br w:val="nil"/>
                    <w:tr2bl w:val="nil"/>
                  </w:tcBorders>
                  <w:vAlign w:val="center"/>
                </w:tcPr>
                <w:p>
                  <w:pPr>
                    <w:pStyle w:val="33"/>
                    <w:bidi w:val="0"/>
                    <w:jc w:val="center"/>
                    <w:rPr>
                      <w:rFonts w:hint="eastAsia"/>
                      <w:color w:val="auto"/>
                      <w:lang w:val="en-US" w:eastAsia="zh-CN"/>
                    </w:rPr>
                  </w:pPr>
                  <w:r>
                    <w:rPr>
                      <w:rFonts w:hint="default"/>
                      <w:color w:val="auto"/>
                      <w:lang w:val="en-US" w:eastAsia="zh-CN"/>
                    </w:rPr>
                    <w:t>废含油抹布和劳保用品</w:t>
                  </w:r>
                </w:p>
              </w:tc>
              <w:tc>
                <w:tcPr>
                  <w:tcW w:w="610" w:type="pct"/>
                  <w:vMerge w:val="continue"/>
                  <w:tcBorders>
                    <w:tl2br w:val="nil"/>
                    <w:tr2bl w:val="nil"/>
                  </w:tcBorders>
                  <w:vAlign w:val="center"/>
                </w:tcPr>
                <w:p>
                  <w:pPr>
                    <w:pStyle w:val="33"/>
                    <w:bidi w:val="0"/>
                    <w:ind w:firstLine="0" w:firstLineChars="0"/>
                    <w:jc w:val="center"/>
                    <w:rPr>
                      <w:rFonts w:hint="default" w:ascii="Times New Roman" w:hAnsi="Times New Roman" w:eastAsia="宋体" w:cs="Arial"/>
                      <w:color w:val="auto"/>
                      <w:kern w:val="2"/>
                      <w:sz w:val="21"/>
                      <w:szCs w:val="21"/>
                      <w:lang w:val="en-US" w:eastAsia="zh-CN" w:bidi="ar-SA"/>
                    </w:rPr>
                  </w:pPr>
                </w:p>
              </w:tc>
              <w:tc>
                <w:tcPr>
                  <w:tcW w:w="668" w:type="pct"/>
                  <w:tcBorders>
                    <w:tl2br w:val="nil"/>
                    <w:tr2bl w:val="nil"/>
                  </w:tcBorders>
                  <w:vAlign w:val="center"/>
                </w:tcPr>
                <w:p>
                  <w:pPr>
                    <w:pStyle w:val="33"/>
                    <w:bidi w:val="0"/>
                    <w:jc w:val="center"/>
                    <w:rPr>
                      <w:rFonts w:hint="default"/>
                      <w:color w:val="auto"/>
                      <w:lang w:val="en-US" w:eastAsia="zh-CN"/>
                    </w:rPr>
                  </w:pPr>
                  <w:r>
                    <w:rPr>
                      <w:rFonts w:hint="default"/>
                      <w:color w:val="auto"/>
                      <w:lang w:val="en-US" w:eastAsia="zh-CN"/>
                    </w:rPr>
                    <w:t>900-041-49</w:t>
                  </w:r>
                </w:p>
              </w:tc>
              <w:tc>
                <w:tcPr>
                  <w:tcW w:w="610" w:type="pct"/>
                  <w:tcBorders>
                    <w:tl2br w:val="nil"/>
                    <w:tr2bl w:val="nil"/>
                  </w:tcBorders>
                  <w:vAlign w:val="center"/>
                </w:tcPr>
                <w:p>
                  <w:pPr>
                    <w:pStyle w:val="33"/>
                    <w:bidi w:val="0"/>
                    <w:jc w:val="center"/>
                    <w:rPr>
                      <w:rFonts w:hint="default"/>
                      <w:color w:val="auto"/>
                      <w:lang w:val="en-US" w:eastAsia="zh-CN"/>
                    </w:rPr>
                  </w:pPr>
                  <w:r>
                    <w:rPr>
                      <w:rFonts w:hint="eastAsia" w:ascii="Times New Roman" w:eastAsia="宋体"/>
                      <w:color w:val="auto"/>
                      <w:lang w:val="en-US" w:eastAsia="zh-CN"/>
                    </w:rPr>
                    <w:t>固体</w:t>
                  </w:r>
                </w:p>
              </w:tc>
              <w:tc>
                <w:tcPr>
                  <w:tcW w:w="658" w:type="pct"/>
                  <w:tcBorders>
                    <w:tl2br w:val="nil"/>
                    <w:tr2bl w:val="nil"/>
                  </w:tcBorders>
                  <w:vAlign w:val="center"/>
                </w:tcPr>
                <w:p>
                  <w:pPr>
                    <w:pStyle w:val="33"/>
                    <w:bidi w:val="0"/>
                    <w:ind w:firstLine="0" w:firstLineChars="0"/>
                    <w:jc w:val="center"/>
                    <w:rPr>
                      <w:rFonts w:hint="default"/>
                      <w:color w:val="auto"/>
                      <w:lang w:val="en-US" w:eastAsia="zh-CN"/>
                    </w:rPr>
                  </w:pPr>
                  <w:r>
                    <w:rPr>
                      <w:rFonts w:hint="eastAsia"/>
                      <w:color w:val="auto"/>
                      <w:lang w:val="en-US" w:eastAsia="zh-CN"/>
                    </w:rPr>
                    <w:t>废矿物油</w:t>
                  </w:r>
                </w:p>
              </w:tc>
              <w:tc>
                <w:tcPr>
                  <w:tcW w:w="600" w:type="pct"/>
                  <w:tcBorders>
                    <w:tl2br w:val="nil"/>
                    <w:tr2bl w:val="nil"/>
                  </w:tcBorders>
                  <w:vAlign w:val="center"/>
                </w:tcPr>
                <w:p>
                  <w:pPr>
                    <w:pStyle w:val="33"/>
                    <w:bidi w:val="0"/>
                    <w:ind w:firstLine="0" w:firstLineChars="0"/>
                    <w:jc w:val="center"/>
                    <w:rPr>
                      <w:rFonts w:hint="default"/>
                      <w:color w:val="auto"/>
                      <w:lang w:val="en-US" w:eastAsia="zh-CN"/>
                    </w:rPr>
                  </w:pPr>
                  <w:r>
                    <w:rPr>
                      <w:rFonts w:hint="eastAsia"/>
                      <w:color w:val="auto"/>
                      <w:lang w:val="en-US" w:eastAsia="zh-CN"/>
                    </w:rPr>
                    <w:t>间歇产生</w:t>
                  </w:r>
                </w:p>
              </w:tc>
              <w:tc>
                <w:tcPr>
                  <w:tcW w:w="826" w:type="pct"/>
                  <w:vMerge w:val="continue"/>
                  <w:tcBorders>
                    <w:tl2br w:val="nil"/>
                    <w:tr2bl w:val="nil"/>
                  </w:tcBorders>
                  <w:vAlign w:val="center"/>
                </w:tcPr>
                <w:p>
                  <w:pPr>
                    <w:pStyle w:val="33"/>
                    <w:bidi w:val="0"/>
                    <w:jc w:val="center"/>
                    <w:rPr>
                      <w:rFonts w:hint="default"/>
                      <w:color w:val="auto"/>
                      <w:lang w:val="en-US" w:eastAsia="zh-CN"/>
                    </w:rPr>
                  </w:pPr>
                </w:p>
              </w:tc>
            </w:tr>
          </w:tbl>
          <w:p>
            <w:pPr>
              <w:pStyle w:val="36"/>
              <w:bidi w:val="0"/>
              <w:rPr>
                <w:rFonts w:hint="default"/>
                <w:color w:val="auto"/>
                <w:lang w:val="en-US" w:eastAsia="zh-CN"/>
              </w:rPr>
            </w:pPr>
            <w:r>
              <w:rPr>
                <w:rFonts w:hint="eastAsia"/>
                <w:color w:val="auto"/>
                <w:lang w:eastAsia="zh-CN"/>
              </w:rPr>
              <w:t>①</w:t>
            </w:r>
            <w:r>
              <w:rPr>
                <w:rFonts w:hint="eastAsia"/>
                <w:color w:val="auto"/>
                <w:lang w:val="en-US" w:eastAsia="zh-CN"/>
              </w:rPr>
              <w:t>油基岩屑</w:t>
            </w:r>
          </w:p>
          <w:p>
            <w:pPr>
              <w:widowControl w:val="0"/>
              <w:bidi w:val="0"/>
              <w:adjustRightInd w:val="0"/>
              <w:snapToGrid w:val="0"/>
              <w:spacing w:line="520" w:lineRule="exact"/>
              <w:ind w:firstLine="472" w:firstLineChars="200"/>
              <w:jc w:val="both"/>
              <w:rPr>
                <w:rFonts w:hint="default" w:ascii="Times New Roman" w:hAnsi="Times New Roman" w:eastAsia="宋体" w:cs="Times New Roman"/>
                <w:color w:val="auto"/>
                <w:spacing w:val="-2"/>
                <w:kern w:val="0"/>
                <w:sz w:val="24"/>
                <w:szCs w:val="24"/>
                <w:lang w:val="en-US" w:eastAsia="zh-CN" w:bidi="ar-SA"/>
              </w:rPr>
            </w:pPr>
            <w:r>
              <w:rPr>
                <w:rFonts w:hint="eastAsia" w:ascii="Times New Roman" w:hAnsi="Times New Roman" w:eastAsia="宋体" w:cs="Times New Roman"/>
                <w:color w:val="auto"/>
                <w:spacing w:val="-2"/>
                <w:kern w:val="0"/>
                <w:sz w:val="24"/>
                <w:szCs w:val="24"/>
                <w:lang w:val="en-US" w:eastAsia="zh-CN" w:bidi="ar-SA"/>
              </w:rPr>
              <w:t>项目三开～五开使用油基钻井液，油基</w:t>
            </w:r>
            <w:r>
              <w:rPr>
                <w:rFonts w:hint="default" w:ascii="Times New Roman" w:hAnsi="Times New Roman" w:eastAsia="宋体" w:cs="Times New Roman"/>
                <w:color w:val="auto"/>
                <w:spacing w:val="-2"/>
                <w:kern w:val="0"/>
                <w:sz w:val="24"/>
                <w:szCs w:val="24"/>
                <w:lang w:val="en-US" w:eastAsia="zh-CN" w:bidi="ar-SA"/>
              </w:rPr>
              <w:t>岩屑产生量与井身结构有关，</w:t>
            </w:r>
            <w:r>
              <w:rPr>
                <w:rFonts w:hint="eastAsia" w:ascii="Times New Roman" w:hAnsi="Times New Roman" w:eastAsia="宋体" w:cs="Times New Roman"/>
                <w:color w:val="auto"/>
                <w:spacing w:val="-2"/>
                <w:kern w:val="0"/>
                <w:sz w:val="24"/>
                <w:szCs w:val="24"/>
                <w:lang w:val="en-US" w:eastAsia="zh-CN" w:bidi="ar-SA"/>
              </w:rPr>
              <w:t>计算公式同前文水基钻井岩屑，其中</w:t>
            </w:r>
            <w:r>
              <w:rPr>
                <w:rFonts w:hint="default" w:ascii="Times New Roman" w:hAnsi="Times New Roman" w:eastAsia="宋体" w:cs="Times New Roman"/>
                <w:color w:val="auto"/>
                <w:spacing w:val="-2"/>
                <w:kern w:val="0"/>
                <w:sz w:val="24"/>
                <w:szCs w:val="24"/>
                <w:lang w:val="en-US" w:eastAsia="zh-CN" w:bidi="ar-SA"/>
              </w:rPr>
              <w:t>膨胀系数</w:t>
            </w:r>
            <w:r>
              <w:rPr>
                <w:rFonts w:hint="eastAsia" w:ascii="Times New Roman" w:hAnsi="Times New Roman" w:eastAsia="宋体" w:cs="Times New Roman"/>
                <w:color w:val="auto"/>
                <w:spacing w:val="-2"/>
                <w:kern w:val="0"/>
                <w:sz w:val="24"/>
                <w:szCs w:val="24"/>
                <w:lang w:val="en-US" w:eastAsia="zh-CN" w:bidi="ar-SA"/>
              </w:rPr>
              <w:t>取P=5.0，岩屑密度为2.5g/cm</w:t>
            </w:r>
            <w:r>
              <w:rPr>
                <w:rFonts w:hint="default" w:ascii="Times New Roman" w:hAnsi="Times New Roman" w:eastAsia="宋体" w:cs="Times New Roman"/>
                <w:color w:val="auto"/>
                <w:spacing w:val="-2"/>
                <w:kern w:val="0"/>
                <w:sz w:val="24"/>
                <w:szCs w:val="24"/>
                <w:vertAlign w:val="superscript"/>
                <w:lang w:val="en-US" w:eastAsia="zh-CN" w:bidi="ar-SA"/>
              </w:rPr>
              <w:t>3</w:t>
            </w:r>
            <w:r>
              <w:rPr>
                <w:rFonts w:hint="eastAsia" w:ascii="Times New Roman" w:hAnsi="Times New Roman" w:eastAsia="宋体" w:cs="Times New Roman"/>
                <w:color w:val="auto"/>
                <w:spacing w:val="-2"/>
                <w:kern w:val="0"/>
                <w:sz w:val="24"/>
                <w:szCs w:val="24"/>
                <w:lang w:val="en-US" w:eastAsia="zh-CN" w:bidi="ar-SA"/>
              </w:rPr>
              <w:t>。油基</w:t>
            </w:r>
            <w:r>
              <w:rPr>
                <w:rFonts w:hint="default" w:ascii="Times New Roman" w:hAnsi="Times New Roman" w:eastAsia="宋体" w:cs="Times New Roman"/>
                <w:color w:val="auto"/>
                <w:spacing w:val="-2"/>
                <w:kern w:val="0"/>
                <w:sz w:val="24"/>
                <w:szCs w:val="24"/>
                <w:lang w:val="en-US" w:eastAsia="zh-CN" w:bidi="ar-SA"/>
              </w:rPr>
              <w:t>岩屑产生量</w:t>
            </w:r>
            <w:r>
              <w:rPr>
                <w:rFonts w:hint="eastAsia" w:ascii="Times New Roman" w:hAnsi="Times New Roman" w:eastAsia="宋体" w:cs="Times New Roman"/>
                <w:color w:val="auto"/>
                <w:spacing w:val="-2"/>
                <w:kern w:val="0"/>
                <w:sz w:val="24"/>
                <w:szCs w:val="24"/>
                <w:lang w:val="en-US" w:eastAsia="zh-CN" w:bidi="ar-SA"/>
              </w:rPr>
              <w:t>计算结果</w:t>
            </w:r>
            <w:r>
              <w:rPr>
                <w:rFonts w:hint="default" w:ascii="Times New Roman" w:hAnsi="Times New Roman" w:eastAsia="宋体" w:cs="Times New Roman"/>
                <w:color w:val="auto"/>
                <w:spacing w:val="-2"/>
                <w:kern w:val="0"/>
                <w:sz w:val="24"/>
                <w:szCs w:val="24"/>
                <w:lang w:val="en-US" w:eastAsia="zh-CN" w:bidi="ar-SA"/>
              </w:rPr>
              <w:t>见</w:t>
            </w:r>
            <w:r>
              <w:rPr>
                <w:rFonts w:hint="eastAsia" w:ascii="Times New Roman" w:hAnsi="Times New Roman" w:eastAsia="宋体" w:cs="Times New Roman"/>
                <w:color w:val="auto"/>
                <w:spacing w:val="-2"/>
                <w:kern w:val="0"/>
                <w:sz w:val="24"/>
                <w:szCs w:val="24"/>
                <w:lang w:val="en-US" w:eastAsia="zh-CN" w:bidi="ar-SA"/>
              </w:rPr>
              <w:t>下表</w:t>
            </w:r>
            <w:r>
              <w:rPr>
                <w:rFonts w:hint="default" w:ascii="Times New Roman" w:hAnsi="Times New Roman" w:eastAsia="宋体" w:cs="Times New Roman"/>
                <w:color w:val="auto"/>
                <w:spacing w:val="-2"/>
                <w:kern w:val="0"/>
                <w:sz w:val="24"/>
                <w:szCs w:val="24"/>
                <w:lang w:val="en-US" w:eastAsia="zh-CN" w:bidi="ar-SA"/>
              </w:rPr>
              <w:t>。</w:t>
            </w:r>
          </w:p>
          <w:p>
            <w:pPr>
              <w:pStyle w:val="52"/>
              <w:bidi w:val="0"/>
              <w:ind w:firstLine="0"/>
              <w:rPr>
                <w:rFonts w:hint="default"/>
                <w:color w:val="auto"/>
              </w:rPr>
            </w:pPr>
            <w:r>
              <w:rPr>
                <w:rFonts w:hint="default"/>
                <w:color w:val="auto"/>
              </w:rPr>
              <w:t>表</w:t>
            </w:r>
            <w:r>
              <w:rPr>
                <w:rFonts w:hint="default"/>
                <w:color w:val="auto"/>
                <w:lang w:val="en-US" w:eastAsia="zh-CN"/>
              </w:rPr>
              <w:t>4-</w:t>
            </w:r>
            <w:r>
              <w:rPr>
                <w:rFonts w:hint="eastAsia"/>
                <w:color w:val="auto"/>
                <w:lang w:val="en-US" w:eastAsia="zh-CN"/>
              </w:rPr>
              <w:t>6</w:t>
            </w:r>
            <w:r>
              <w:rPr>
                <w:rFonts w:hint="default"/>
                <w:color w:val="auto"/>
              </w:rPr>
              <w:t xml:space="preserve">  </w:t>
            </w:r>
            <w:r>
              <w:rPr>
                <w:rFonts w:hint="eastAsia"/>
                <w:color w:val="auto"/>
                <w:lang w:val="en-US" w:eastAsia="zh-CN"/>
              </w:rPr>
              <w:t>油基</w:t>
            </w:r>
            <w:r>
              <w:rPr>
                <w:rFonts w:hint="default"/>
                <w:color w:val="auto"/>
              </w:rPr>
              <w:t>钻井岩屑产生情况表</w:t>
            </w:r>
          </w:p>
          <w:tbl>
            <w:tblPr>
              <w:tblStyle w:val="23"/>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autofit"/>
              <w:tblCellMar>
                <w:top w:w="0" w:type="dxa"/>
                <w:left w:w="23" w:type="dxa"/>
                <w:bottom w:w="0" w:type="dxa"/>
                <w:right w:w="23" w:type="dxa"/>
              </w:tblCellMar>
            </w:tblPr>
            <w:tblGrid>
              <w:gridCol w:w="1034"/>
              <w:gridCol w:w="1193"/>
              <w:gridCol w:w="1327"/>
              <w:gridCol w:w="1775"/>
              <w:gridCol w:w="1381"/>
              <w:gridCol w:w="155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3" w:type="dxa"/>
                  <w:bottom w:w="0" w:type="dxa"/>
                  <w:right w:w="23" w:type="dxa"/>
                </w:tblCellMar>
              </w:tblPrEx>
              <w:trPr>
                <w:trHeight w:val="0" w:hRule="atLeast"/>
                <w:jc w:val="center"/>
              </w:trPr>
              <w:tc>
                <w:tcPr>
                  <w:tcW w:w="62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r>
                    <w:rPr>
                      <w:rFonts w:ascii="Times New Roman" w:hAnsi="Times New Roman" w:eastAsia="宋体" w:cs="Arial"/>
                      <w:color w:val="auto"/>
                      <w:kern w:val="2"/>
                      <w:sz w:val="21"/>
                      <w:szCs w:val="21"/>
                      <w:lang w:val="en-US" w:eastAsia="zh-CN" w:bidi="ar-SA"/>
                    </w:rPr>
                    <w:t>井号</w:t>
                  </w:r>
                </w:p>
              </w:tc>
              <w:tc>
                <w:tcPr>
                  <w:tcW w:w="1523"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r>
                    <w:rPr>
                      <w:rFonts w:ascii="Times New Roman" w:hAnsi="Times New Roman" w:eastAsia="宋体" w:cs="Arial"/>
                      <w:color w:val="auto"/>
                      <w:kern w:val="2"/>
                      <w:sz w:val="21"/>
                      <w:szCs w:val="21"/>
                      <w:lang w:val="en-US" w:eastAsia="zh-CN" w:bidi="ar-SA"/>
                    </w:rPr>
                    <w:t>井段</w:t>
                  </w:r>
                </w:p>
              </w:tc>
              <w:tc>
                <w:tcPr>
                  <w:tcW w:w="107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r>
                    <w:rPr>
                      <w:rFonts w:hint="eastAsia" w:ascii="Times New Roman" w:hAnsi="Times New Roman" w:eastAsia="宋体" w:cs="Arial"/>
                      <w:color w:val="auto"/>
                      <w:kern w:val="2"/>
                      <w:sz w:val="21"/>
                      <w:szCs w:val="21"/>
                      <w:lang w:val="en-US" w:eastAsia="zh-CN" w:bidi="ar-SA"/>
                    </w:rPr>
                    <w:t>钻头尺寸（</w:t>
                  </w:r>
                  <w:r>
                    <w:rPr>
                      <w:rFonts w:ascii="Times New Roman" w:hAnsi="Times New Roman" w:eastAsia="宋体" w:cs="Arial"/>
                      <w:color w:val="auto"/>
                      <w:kern w:val="2"/>
                      <w:sz w:val="21"/>
                      <w:szCs w:val="21"/>
                      <w:lang w:val="en-US" w:eastAsia="zh-CN" w:bidi="ar-SA"/>
                    </w:rPr>
                    <w:t>m）</w:t>
                  </w:r>
                </w:p>
              </w:tc>
              <w:tc>
                <w:tcPr>
                  <w:tcW w:w="83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r>
                    <w:rPr>
                      <w:rFonts w:ascii="Times New Roman" w:hAnsi="Times New Roman" w:eastAsia="宋体" w:cs="Arial"/>
                      <w:color w:val="auto"/>
                      <w:kern w:val="2"/>
                      <w:sz w:val="21"/>
                      <w:szCs w:val="21"/>
                      <w:lang w:val="en-US" w:eastAsia="zh-CN" w:bidi="ar-SA"/>
                    </w:rPr>
                    <w:t>井段（m）</w:t>
                  </w:r>
                </w:p>
              </w:tc>
              <w:tc>
                <w:tcPr>
                  <w:tcW w:w="942"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r>
                    <w:rPr>
                      <w:rFonts w:ascii="Times New Roman" w:hAnsi="Times New Roman" w:eastAsia="宋体" w:cs="Arial"/>
                      <w:color w:val="auto"/>
                      <w:kern w:val="2"/>
                      <w:sz w:val="21"/>
                      <w:szCs w:val="21"/>
                      <w:lang w:val="en-US" w:eastAsia="zh-CN" w:bidi="ar-SA"/>
                    </w:rPr>
                    <w:t>岩屑产生量</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3" w:type="dxa"/>
                  <w:bottom w:w="0" w:type="dxa"/>
                  <w:right w:w="23" w:type="dxa"/>
                </w:tblCellMar>
              </w:tblPrEx>
              <w:trPr>
                <w:trHeight w:val="0" w:hRule="atLeast"/>
                <w:jc w:val="center"/>
              </w:trPr>
              <w:tc>
                <w:tcPr>
                  <w:tcW w:w="625"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r>
                    <w:rPr>
                      <w:rFonts w:ascii="Times New Roman" w:hAnsi="Times New Roman" w:eastAsia="宋体" w:cs="Arial"/>
                      <w:color w:val="auto"/>
                      <w:kern w:val="2"/>
                      <w:sz w:val="21"/>
                      <w:szCs w:val="21"/>
                      <w:lang w:val="en-US" w:eastAsia="zh-CN" w:bidi="ar-SA"/>
                    </w:rPr>
                    <w:t>天湾102井</w:t>
                  </w:r>
                </w:p>
              </w:tc>
              <w:tc>
                <w:tcPr>
                  <w:tcW w:w="72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r>
                    <w:rPr>
                      <w:rFonts w:ascii="Times New Roman" w:hAnsi="Times New Roman" w:eastAsia="宋体" w:cs="Arial"/>
                      <w:color w:val="auto"/>
                      <w:kern w:val="2"/>
                      <w:sz w:val="21"/>
                      <w:szCs w:val="21"/>
                      <w:lang w:val="en-US" w:eastAsia="zh-CN" w:bidi="ar-SA"/>
                    </w:rPr>
                    <w:t>三开</w:t>
                  </w:r>
                </w:p>
              </w:tc>
              <w:tc>
                <w:tcPr>
                  <w:tcW w:w="802"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r>
                    <w:rPr>
                      <w:rFonts w:hint="eastAsia" w:ascii="Times New Roman" w:hAnsi="Times New Roman" w:eastAsia="宋体" w:cs="Arial"/>
                      <w:color w:val="auto"/>
                      <w:kern w:val="2"/>
                      <w:sz w:val="21"/>
                      <w:szCs w:val="21"/>
                      <w:lang w:val="en-US" w:eastAsia="zh-CN" w:bidi="ar-SA"/>
                    </w:rPr>
                    <w:t>油基钻井液</w:t>
                  </w:r>
                </w:p>
              </w:tc>
              <w:tc>
                <w:tcPr>
                  <w:tcW w:w="107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r>
                    <w:rPr>
                      <w:rFonts w:hint="eastAsia" w:ascii="Times New Roman" w:hAnsi="Times New Roman" w:eastAsia="宋体" w:cs="Arial"/>
                      <w:color w:val="auto"/>
                      <w:kern w:val="2"/>
                      <w:sz w:val="21"/>
                      <w:szCs w:val="21"/>
                      <w:lang w:val="en-US" w:eastAsia="zh-CN" w:bidi="ar-SA"/>
                    </w:rPr>
                    <w:t>0.4318</w:t>
                  </w:r>
                </w:p>
              </w:tc>
              <w:tc>
                <w:tcPr>
                  <w:tcW w:w="83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default" w:ascii="Times New Roman" w:hAnsi="Times New Roman" w:eastAsia="宋体" w:cs="Arial"/>
                      <w:color w:val="auto"/>
                      <w:kern w:val="2"/>
                      <w:sz w:val="21"/>
                      <w:szCs w:val="21"/>
                      <w:lang w:val="en-US" w:eastAsia="zh-CN" w:bidi="ar-SA"/>
                    </w:rPr>
                  </w:pPr>
                  <w:r>
                    <w:rPr>
                      <w:rFonts w:hint="default" w:ascii="Times New Roman" w:hAnsi="Times New Roman" w:eastAsia="宋体" w:cs="Arial"/>
                      <w:color w:val="auto"/>
                      <w:kern w:val="2"/>
                      <w:sz w:val="21"/>
                      <w:szCs w:val="21"/>
                      <w:lang w:val="en-US" w:eastAsia="zh-CN" w:bidi="ar-SA"/>
                    </w:rPr>
                    <w:t>3050</w:t>
                  </w:r>
                  <w:r>
                    <w:rPr>
                      <w:rFonts w:hint="eastAsia" w:ascii="Times New Roman" w:hAnsi="Times New Roman" w:eastAsia="宋体" w:cs="Arial"/>
                      <w:color w:val="auto"/>
                      <w:kern w:val="2"/>
                      <w:sz w:val="21"/>
                      <w:szCs w:val="21"/>
                      <w:lang w:val="en-US" w:eastAsia="zh-CN" w:bidi="ar-SA"/>
                    </w:rPr>
                    <w:t>～</w:t>
                  </w:r>
                  <w:r>
                    <w:rPr>
                      <w:rFonts w:hint="default" w:ascii="Times New Roman" w:hAnsi="Times New Roman" w:eastAsia="宋体" w:cs="Arial"/>
                      <w:color w:val="auto"/>
                      <w:kern w:val="2"/>
                      <w:sz w:val="21"/>
                      <w:szCs w:val="21"/>
                      <w:lang w:val="en-US" w:eastAsia="zh-CN" w:bidi="ar-SA"/>
                    </w:rPr>
                    <w:t>5390</w:t>
                  </w:r>
                </w:p>
              </w:tc>
              <w:tc>
                <w:tcPr>
                  <w:tcW w:w="94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r>
                    <w:rPr>
                      <w:rFonts w:hint="eastAsia" w:ascii="Times New Roman" w:hAnsi="Times New Roman" w:eastAsia="宋体" w:cs="Arial"/>
                      <w:color w:val="auto"/>
                      <w:kern w:val="2"/>
                      <w:sz w:val="21"/>
                      <w:szCs w:val="21"/>
                      <w:lang w:val="en-US" w:eastAsia="zh-CN" w:bidi="ar-SA"/>
                    </w:rPr>
                    <w:t>4281.15t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3" w:type="dxa"/>
                  <w:bottom w:w="0" w:type="dxa"/>
                  <w:right w:w="23" w:type="dxa"/>
                </w:tblCellMar>
              </w:tblPrEx>
              <w:trPr>
                <w:trHeight w:val="0" w:hRule="atLeast"/>
                <w:jc w:val="center"/>
              </w:trPr>
              <w:tc>
                <w:tcPr>
                  <w:tcW w:w="62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p>
              </w:tc>
              <w:tc>
                <w:tcPr>
                  <w:tcW w:w="72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r>
                    <w:rPr>
                      <w:rFonts w:ascii="Times New Roman" w:hAnsi="Times New Roman" w:eastAsia="宋体" w:cs="Arial"/>
                      <w:color w:val="auto"/>
                      <w:kern w:val="2"/>
                      <w:sz w:val="21"/>
                      <w:szCs w:val="21"/>
                      <w:lang w:val="en-US" w:eastAsia="zh-CN" w:bidi="ar-SA"/>
                    </w:rPr>
                    <w:t>四开</w:t>
                  </w:r>
                </w:p>
              </w:tc>
              <w:tc>
                <w:tcPr>
                  <w:tcW w:w="802"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p>
              </w:tc>
              <w:tc>
                <w:tcPr>
                  <w:tcW w:w="107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r>
                    <w:rPr>
                      <w:rFonts w:hint="eastAsia" w:ascii="Times New Roman" w:hAnsi="Times New Roman" w:eastAsia="宋体" w:cs="Arial"/>
                      <w:color w:val="auto"/>
                      <w:kern w:val="2"/>
                      <w:sz w:val="21"/>
                      <w:szCs w:val="21"/>
                      <w:lang w:val="en-US" w:eastAsia="zh-CN" w:bidi="ar-SA"/>
                    </w:rPr>
                    <w:t>0.3334</w:t>
                  </w:r>
                </w:p>
              </w:tc>
              <w:tc>
                <w:tcPr>
                  <w:tcW w:w="83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default" w:ascii="Times New Roman" w:hAnsi="Times New Roman" w:eastAsia="宋体" w:cs="Arial"/>
                      <w:color w:val="auto"/>
                      <w:kern w:val="2"/>
                      <w:sz w:val="21"/>
                      <w:szCs w:val="21"/>
                      <w:lang w:val="en-US" w:eastAsia="zh-CN" w:bidi="ar-SA"/>
                    </w:rPr>
                  </w:pPr>
                  <w:r>
                    <w:rPr>
                      <w:rFonts w:hint="eastAsia" w:ascii="Times New Roman" w:hAnsi="Times New Roman" w:eastAsia="宋体" w:cs="Arial"/>
                      <w:color w:val="auto"/>
                      <w:kern w:val="2"/>
                      <w:sz w:val="21"/>
                      <w:szCs w:val="21"/>
                      <w:lang w:val="en-US" w:eastAsia="zh-CN" w:bidi="ar-SA"/>
                    </w:rPr>
                    <w:t>～</w:t>
                  </w:r>
                  <w:r>
                    <w:rPr>
                      <w:rFonts w:hint="default" w:ascii="Times New Roman" w:hAnsi="Times New Roman" w:eastAsia="宋体" w:cs="Arial"/>
                      <w:color w:val="auto"/>
                      <w:kern w:val="2"/>
                      <w:sz w:val="21"/>
                      <w:szCs w:val="21"/>
                      <w:lang w:val="en-US" w:eastAsia="zh-CN" w:bidi="ar-SA"/>
                    </w:rPr>
                    <w:t>6700</w:t>
                  </w:r>
                </w:p>
              </w:tc>
              <w:tc>
                <w:tcPr>
                  <w:tcW w:w="94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r>
                    <w:rPr>
                      <w:rFonts w:hint="eastAsia" w:ascii="Times New Roman" w:hAnsi="Times New Roman" w:eastAsia="宋体" w:cs="Arial"/>
                      <w:color w:val="auto"/>
                      <w:kern w:val="2"/>
                      <w:sz w:val="21"/>
                      <w:szCs w:val="21"/>
                      <w:lang w:val="en-US" w:eastAsia="zh-CN" w:bidi="ar-SA"/>
                    </w:rPr>
                    <w:t>1428.84t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3" w:type="dxa"/>
                  <w:bottom w:w="0" w:type="dxa"/>
                  <w:right w:w="23" w:type="dxa"/>
                </w:tblCellMar>
              </w:tblPrEx>
              <w:trPr>
                <w:trHeight w:val="0" w:hRule="atLeast"/>
                <w:jc w:val="center"/>
              </w:trPr>
              <w:tc>
                <w:tcPr>
                  <w:tcW w:w="62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p>
              </w:tc>
              <w:tc>
                <w:tcPr>
                  <w:tcW w:w="721"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r>
                    <w:rPr>
                      <w:rFonts w:ascii="Times New Roman" w:hAnsi="Times New Roman" w:eastAsia="宋体" w:cs="Arial"/>
                      <w:color w:val="auto"/>
                      <w:kern w:val="2"/>
                      <w:sz w:val="21"/>
                      <w:szCs w:val="21"/>
                      <w:lang w:val="en-US" w:eastAsia="zh-CN" w:bidi="ar-SA"/>
                    </w:rPr>
                    <w:t>五开</w:t>
                  </w:r>
                </w:p>
              </w:tc>
              <w:tc>
                <w:tcPr>
                  <w:tcW w:w="802"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p>
              </w:tc>
              <w:tc>
                <w:tcPr>
                  <w:tcW w:w="107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r>
                    <w:rPr>
                      <w:rFonts w:hint="eastAsia" w:ascii="Times New Roman" w:hAnsi="Times New Roman" w:eastAsia="宋体" w:cs="Arial"/>
                      <w:color w:val="auto"/>
                      <w:kern w:val="2"/>
                      <w:sz w:val="21"/>
                      <w:szCs w:val="21"/>
                      <w:lang w:val="en-US" w:eastAsia="zh-CN" w:bidi="ar-SA"/>
                    </w:rPr>
                    <w:t>0.2413—0.26</w:t>
                  </w:r>
                </w:p>
              </w:tc>
              <w:tc>
                <w:tcPr>
                  <w:tcW w:w="83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default" w:ascii="Times New Roman" w:hAnsi="Times New Roman" w:eastAsia="宋体" w:cs="Arial"/>
                      <w:color w:val="auto"/>
                      <w:kern w:val="2"/>
                      <w:sz w:val="21"/>
                      <w:szCs w:val="21"/>
                      <w:lang w:val="en-US" w:eastAsia="zh-CN" w:bidi="ar-SA"/>
                    </w:rPr>
                  </w:pPr>
                  <w:r>
                    <w:rPr>
                      <w:rFonts w:hint="eastAsia" w:ascii="Times New Roman" w:hAnsi="Times New Roman" w:eastAsia="宋体" w:cs="Arial"/>
                      <w:color w:val="auto"/>
                      <w:kern w:val="2"/>
                      <w:sz w:val="21"/>
                      <w:szCs w:val="21"/>
                      <w:lang w:val="en-US" w:eastAsia="zh-CN" w:bidi="ar-SA"/>
                    </w:rPr>
                    <w:t>～</w:t>
                  </w:r>
                  <w:r>
                    <w:rPr>
                      <w:rFonts w:hint="default" w:ascii="Times New Roman" w:hAnsi="Times New Roman" w:eastAsia="宋体" w:cs="Arial"/>
                      <w:color w:val="auto"/>
                      <w:kern w:val="2"/>
                      <w:sz w:val="21"/>
                      <w:szCs w:val="21"/>
                      <w:lang w:val="en-US" w:eastAsia="zh-CN" w:bidi="ar-SA"/>
                    </w:rPr>
                    <w:t>7300</w:t>
                  </w:r>
                </w:p>
              </w:tc>
              <w:tc>
                <w:tcPr>
                  <w:tcW w:w="94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r>
                    <w:rPr>
                      <w:rFonts w:hint="eastAsia" w:ascii="Times New Roman" w:hAnsi="Times New Roman" w:eastAsia="宋体" w:cs="Arial"/>
                      <w:color w:val="auto"/>
                      <w:kern w:val="2"/>
                      <w:sz w:val="21"/>
                      <w:szCs w:val="21"/>
                      <w:lang w:val="en-US" w:eastAsia="zh-CN" w:bidi="ar-SA"/>
                    </w:rPr>
                    <w:t>398.00t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3" w:type="dxa"/>
                  <w:bottom w:w="0" w:type="dxa"/>
                  <w:right w:w="23" w:type="dxa"/>
                </w:tblCellMar>
              </w:tblPrEx>
              <w:trPr>
                <w:trHeight w:val="0" w:hRule="atLeast"/>
                <w:jc w:val="center"/>
              </w:trPr>
              <w:tc>
                <w:tcPr>
                  <w:tcW w:w="62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p>
              </w:tc>
              <w:tc>
                <w:tcPr>
                  <w:tcW w:w="721"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p>
              </w:tc>
              <w:tc>
                <w:tcPr>
                  <w:tcW w:w="802"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p>
              </w:tc>
              <w:tc>
                <w:tcPr>
                  <w:tcW w:w="107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r>
                    <w:rPr>
                      <w:rFonts w:hint="eastAsia" w:ascii="Times New Roman" w:hAnsi="Times New Roman" w:eastAsia="宋体" w:cs="Arial"/>
                      <w:color w:val="auto"/>
                      <w:kern w:val="2"/>
                      <w:sz w:val="21"/>
                      <w:szCs w:val="21"/>
                      <w:lang w:val="en-US" w:eastAsia="zh-CN" w:bidi="ar-SA"/>
                    </w:rPr>
                    <w:t>0.2159</w:t>
                  </w:r>
                </w:p>
              </w:tc>
              <w:tc>
                <w:tcPr>
                  <w:tcW w:w="83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default" w:ascii="Times New Roman" w:hAnsi="Times New Roman" w:eastAsia="宋体" w:cs="Arial"/>
                      <w:color w:val="auto"/>
                      <w:kern w:val="2"/>
                      <w:sz w:val="21"/>
                      <w:szCs w:val="21"/>
                      <w:lang w:val="en-US" w:eastAsia="zh-CN" w:bidi="ar-SA"/>
                    </w:rPr>
                  </w:pPr>
                  <w:r>
                    <w:rPr>
                      <w:rFonts w:hint="eastAsia" w:ascii="Times New Roman" w:hAnsi="Times New Roman" w:eastAsia="宋体" w:cs="Arial"/>
                      <w:color w:val="auto"/>
                      <w:kern w:val="2"/>
                      <w:sz w:val="21"/>
                      <w:szCs w:val="21"/>
                      <w:lang w:val="en-US" w:eastAsia="zh-CN" w:bidi="ar-SA"/>
                    </w:rPr>
                    <w:t>～</w:t>
                  </w:r>
                  <w:r>
                    <w:rPr>
                      <w:rFonts w:hint="default" w:ascii="Times New Roman" w:hAnsi="Times New Roman" w:eastAsia="宋体" w:cs="Arial"/>
                      <w:color w:val="auto"/>
                      <w:kern w:val="2"/>
                      <w:sz w:val="21"/>
                      <w:szCs w:val="21"/>
                      <w:lang w:val="en-US" w:eastAsia="zh-CN" w:bidi="ar-SA"/>
                    </w:rPr>
                    <w:t>8750</w:t>
                  </w:r>
                </w:p>
              </w:tc>
              <w:tc>
                <w:tcPr>
                  <w:tcW w:w="94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r>
                    <w:rPr>
                      <w:rFonts w:hint="eastAsia" w:ascii="Times New Roman" w:hAnsi="Times New Roman" w:eastAsia="宋体" w:cs="Arial"/>
                      <w:color w:val="auto"/>
                      <w:kern w:val="2"/>
                      <w:sz w:val="21"/>
                      <w:szCs w:val="21"/>
                      <w:lang w:val="en-US" w:eastAsia="zh-CN" w:bidi="ar-SA"/>
                    </w:rPr>
                    <w:t>663.21t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3" w:type="dxa"/>
                  <w:bottom w:w="0" w:type="dxa"/>
                  <w:right w:w="23" w:type="dxa"/>
                </w:tblCellMar>
              </w:tblPrEx>
              <w:trPr>
                <w:trHeight w:val="0" w:hRule="atLeast"/>
                <w:jc w:val="center"/>
              </w:trPr>
              <w:tc>
                <w:tcPr>
                  <w:tcW w:w="62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p>
              </w:tc>
              <w:tc>
                <w:tcPr>
                  <w:tcW w:w="3431" w:type="pct"/>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default" w:ascii="Times New Roman" w:hAnsi="Times New Roman" w:eastAsia="宋体" w:cs="Arial"/>
                      <w:color w:val="auto"/>
                      <w:kern w:val="2"/>
                      <w:sz w:val="21"/>
                      <w:szCs w:val="21"/>
                      <w:lang w:val="en-US" w:eastAsia="zh-CN" w:bidi="ar-SA"/>
                    </w:rPr>
                  </w:pPr>
                  <w:r>
                    <w:rPr>
                      <w:rFonts w:hint="eastAsia" w:ascii="Times New Roman" w:hAnsi="Times New Roman" w:eastAsia="宋体" w:cs="Arial"/>
                      <w:color w:val="auto"/>
                      <w:kern w:val="2"/>
                      <w:sz w:val="21"/>
                      <w:szCs w:val="21"/>
                      <w:lang w:val="en-US" w:eastAsia="zh-CN" w:bidi="ar-SA"/>
                    </w:rPr>
                    <w:t>小计</w:t>
                  </w:r>
                </w:p>
              </w:tc>
              <w:tc>
                <w:tcPr>
                  <w:tcW w:w="94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eastAsia" w:ascii="Times New Roman" w:hAnsi="Times New Roman" w:eastAsia="宋体" w:cs="Arial"/>
                      <w:color w:val="auto"/>
                      <w:kern w:val="2"/>
                      <w:sz w:val="21"/>
                      <w:szCs w:val="21"/>
                      <w:lang w:val="en-US" w:eastAsia="zh-CN" w:bidi="ar-SA"/>
                    </w:rPr>
                  </w:pPr>
                  <w:r>
                    <w:rPr>
                      <w:rFonts w:hint="eastAsia" w:ascii="Times New Roman" w:hAnsi="Times New Roman" w:eastAsia="宋体" w:cs="Arial"/>
                      <w:color w:val="auto"/>
                      <w:kern w:val="2"/>
                      <w:sz w:val="21"/>
                      <w:szCs w:val="21"/>
                      <w:lang w:val="en-US" w:eastAsia="zh-CN" w:bidi="ar-SA"/>
                    </w:rPr>
                    <w:t>6771.20t</w:t>
                  </w:r>
                </w:p>
              </w:tc>
            </w:tr>
          </w:tbl>
          <w:p>
            <w:pPr>
              <w:widowControl w:val="0"/>
              <w:bidi w:val="0"/>
              <w:adjustRightInd w:val="0"/>
              <w:snapToGrid w:val="0"/>
              <w:spacing w:line="520" w:lineRule="exact"/>
              <w:ind w:firstLine="472" w:firstLineChars="200"/>
              <w:jc w:val="both"/>
              <w:rPr>
                <w:rFonts w:hint="eastAsia" w:ascii="Times New Roman" w:hAnsi="Times New Roman" w:eastAsia="宋体" w:cs="Times New Roman"/>
                <w:color w:val="auto"/>
                <w:spacing w:val="-2"/>
                <w:kern w:val="0"/>
                <w:sz w:val="24"/>
                <w:szCs w:val="24"/>
                <w:lang w:val="en-US" w:eastAsia="zh-CN" w:bidi="ar-SA"/>
              </w:rPr>
            </w:pPr>
            <w:r>
              <w:rPr>
                <w:rFonts w:hint="default" w:ascii="Times New Roman" w:hAnsi="Times New Roman" w:eastAsia="宋体" w:cs="Times New Roman"/>
                <w:color w:val="auto"/>
                <w:spacing w:val="-2"/>
                <w:kern w:val="0"/>
                <w:sz w:val="24"/>
                <w:szCs w:val="24"/>
                <w:lang w:val="en-US" w:eastAsia="zh-CN" w:bidi="ar-SA"/>
              </w:rPr>
              <w:t>由</w:t>
            </w:r>
            <w:r>
              <w:rPr>
                <w:rFonts w:hint="eastAsia" w:ascii="Times New Roman" w:hAnsi="Times New Roman" w:eastAsia="宋体" w:cs="Times New Roman"/>
                <w:color w:val="auto"/>
                <w:spacing w:val="-2"/>
                <w:kern w:val="0"/>
                <w:sz w:val="24"/>
                <w:szCs w:val="24"/>
                <w:lang w:val="en-US" w:eastAsia="zh-CN" w:bidi="ar-SA"/>
              </w:rPr>
              <w:t>上表</w:t>
            </w:r>
            <w:r>
              <w:rPr>
                <w:rFonts w:hint="default" w:ascii="Times New Roman" w:hAnsi="Times New Roman" w:eastAsia="宋体" w:cs="Times New Roman"/>
                <w:color w:val="auto"/>
                <w:spacing w:val="-2"/>
                <w:kern w:val="0"/>
                <w:sz w:val="24"/>
                <w:szCs w:val="24"/>
                <w:lang w:val="en-US" w:eastAsia="zh-CN" w:bidi="ar-SA"/>
              </w:rPr>
              <w:t>可知，本项目</w:t>
            </w:r>
            <w:r>
              <w:rPr>
                <w:rFonts w:hint="eastAsia" w:ascii="Times New Roman" w:hAnsi="Times New Roman" w:eastAsia="宋体" w:cs="Times New Roman"/>
                <w:color w:val="auto"/>
                <w:spacing w:val="-2"/>
                <w:kern w:val="0"/>
                <w:sz w:val="24"/>
                <w:szCs w:val="24"/>
                <w:lang w:val="en-US" w:eastAsia="zh-CN" w:bidi="ar-SA"/>
              </w:rPr>
              <w:t>油基钻井岩屑产生量为6771.20t。</w:t>
            </w:r>
          </w:p>
          <w:p>
            <w:pPr>
              <w:widowControl w:val="0"/>
              <w:bidi w:val="0"/>
              <w:adjustRightInd w:val="0"/>
              <w:snapToGrid w:val="0"/>
              <w:spacing w:line="520" w:lineRule="exact"/>
              <w:ind w:firstLine="472" w:firstLineChars="200"/>
              <w:jc w:val="both"/>
              <w:rPr>
                <w:rFonts w:hint="eastAsia" w:ascii="Times New Roman" w:hAnsi="Times New Roman" w:eastAsia="宋体" w:cs="Times New Roman"/>
                <w:color w:val="auto"/>
                <w:spacing w:val="-2"/>
                <w:kern w:val="0"/>
                <w:sz w:val="24"/>
                <w:szCs w:val="24"/>
                <w:lang w:val="en-US" w:eastAsia="zh-CN" w:bidi="ar-SA"/>
              </w:rPr>
            </w:pPr>
            <w:r>
              <w:rPr>
                <w:rFonts w:hint="eastAsia" w:ascii="Times New Roman" w:hAnsi="Times New Roman" w:eastAsia="宋体" w:cs="Times New Roman"/>
                <w:color w:val="auto"/>
                <w:spacing w:val="-2"/>
                <w:kern w:val="0"/>
                <w:sz w:val="24"/>
                <w:szCs w:val="24"/>
                <w:lang w:val="en-US" w:eastAsia="zh-CN" w:bidi="ar-SA"/>
              </w:rPr>
              <w:t>油基岩屑通过井场钻井液不落地设备进行固液分离处理。分离出的液相回用于钻井，钻井结束后装入钻井液罐由钻井队带至下一个钻井井场，分离出的油基钻井岩屑属于《国家危险废物名录（2025年版）》HW08类危险废物（废物代码：071-002-08，危险特性：毒性），进入油基岩屑专用方罐收集后交由具有相应危险废物处置资质的单位负责接收、转运以及处置。</w:t>
            </w:r>
          </w:p>
          <w:p>
            <w:pPr>
              <w:pStyle w:val="36"/>
              <w:bidi w:val="0"/>
              <w:rPr>
                <w:rFonts w:hint="default"/>
                <w:color w:val="auto"/>
              </w:rPr>
            </w:pPr>
            <w:r>
              <w:rPr>
                <w:rFonts w:hint="default"/>
                <w:color w:val="auto"/>
              </w:rPr>
              <w:t>②废防渗材料</w:t>
            </w:r>
          </w:p>
          <w:p>
            <w:pPr>
              <w:pStyle w:val="36"/>
              <w:bidi w:val="0"/>
              <w:rPr>
                <w:rFonts w:hint="default" w:eastAsia="宋体"/>
                <w:color w:val="auto"/>
                <w:lang w:val="en-US" w:eastAsia="zh-CN"/>
              </w:rPr>
            </w:pPr>
            <w:r>
              <w:rPr>
                <w:rFonts w:hint="default"/>
                <w:color w:val="auto"/>
              </w:rPr>
              <w:t>施工结束对场地进行清理时，会产生一定的废防渗材料，未沾油防渗材料由施工单位集中回收利用，沾油废防渗材料属于《国家危险废物名录（2025年版）》中的HW08废矿物油与含矿物油类危险废物（废物代码为900-249-08，危险特性为毒性和易燃性），分区暂存在井场设置的危险废物贮存点，定期由具有相应危险废物处置资质的单位进行接收、转运和处置。</w:t>
            </w:r>
            <w:r>
              <w:rPr>
                <w:rFonts w:hint="eastAsia"/>
                <w:color w:val="auto"/>
                <w:lang w:val="en-US" w:eastAsia="zh-CN"/>
              </w:rPr>
              <w:t>类比同类项目，预计钻井期沾油废防渗材料产生量为</w:t>
            </w:r>
            <w:r>
              <w:rPr>
                <w:rFonts w:hint="eastAsia" w:ascii="Times New Roman" w:eastAsia="宋体"/>
                <w:color w:val="auto"/>
                <w:lang w:val="en-US" w:eastAsia="zh-CN"/>
              </w:rPr>
              <w:t>0.</w:t>
            </w:r>
            <w:r>
              <w:rPr>
                <w:rFonts w:hint="eastAsia"/>
                <w:color w:val="auto"/>
                <w:lang w:val="en-US" w:eastAsia="zh-CN"/>
              </w:rPr>
              <w:t>5</w:t>
            </w:r>
            <w:r>
              <w:rPr>
                <w:rFonts w:hint="eastAsia" w:ascii="Times New Roman" w:eastAsia="宋体"/>
                <w:color w:val="auto"/>
                <w:lang w:val="en-US" w:eastAsia="zh-CN"/>
              </w:rPr>
              <w:t>t，试油期沾油废防渗材料产生量为</w:t>
            </w:r>
            <w:r>
              <w:rPr>
                <w:rFonts w:hint="eastAsia"/>
                <w:color w:val="auto"/>
                <w:lang w:val="en-US" w:eastAsia="zh-CN"/>
              </w:rPr>
              <w:t>0.2</w:t>
            </w:r>
            <w:r>
              <w:rPr>
                <w:rFonts w:hint="eastAsia" w:ascii="Times New Roman" w:eastAsia="宋体"/>
                <w:color w:val="auto"/>
                <w:lang w:val="en-US" w:eastAsia="zh-CN"/>
              </w:rPr>
              <w:t>t。</w:t>
            </w:r>
          </w:p>
          <w:p>
            <w:pPr>
              <w:pStyle w:val="36"/>
              <w:bidi w:val="0"/>
              <w:rPr>
                <w:rFonts w:hint="default"/>
                <w:color w:val="auto"/>
              </w:rPr>
            </w:pPr>
            <w:r>
              <w:rPr>
                <w:rFonts w:hint="default"/>
                <w:color w:val="auto"/>
              </w:rPr>
              <w:t>③废润滑油及废润滑油桶</w:t>
            </w:r>
          </w:p>
          <w:p>
            <w:pPr>
              <w:pStyle w:val="36"/>
              <w:bidi w:val="0"/>
              <w:rPr>
                <w:rFonts w:hint="default"/>
                <w:color w:val="auto"/>
              </w:rPr>
            </w:pPr>
            <w:bookmarkStart w:id="43" w:name="_Hlk143012744"/>
            <w:r>
              <w:rPr>
                <w:rFonts w:hint="default"/>
                <w:color w:val="auto"/>
              </w:rPr>
              <w:t>施工过程中，若遇到机械、设备需要检修与维护的情况会产生一定量的废润滑油及废润滑油桶，属于间歇性产生，参照同类项目，钻井期废润滑油产生量预计0.</w:t>
            </w:r>
            <w:r>
              <w:rPr>
                <w:rFonts w:hint="eastAsia"/>
                <w:color w:val="auto"/>
                <w:lang w:val="en-US" w:eastAsia="zh-CN"/>
              </w:rPr>
              <w:t>5</w:t>
            </w:r>
            <w:r>
              <w:rPr>
                <w:rFonts w:hint="default"/>
                <w:color w:val="auto"/>
              </w:rPr>
              <w:t>t，试油期废润滑油产生量预计0.</w:t>
            </w:r>
            <w:r>
              <w:rPr>
                <w:rFonts w:hint="eastAsia"/>
                <w:color w:val="auto"/>
                <w:lang w:val="en-US" w:eastAsia="zh-CN"/>
              </w:rPr>
              <w:t>2</w:t>
            </w:r>
            <w:r>
              <w:rPr>
                <w:rFonts w:hint="default"/>
                <w:color w:val="auto"/>
              </w:rPr>
              <w:t>t。钻井期废润滑油产生量预计0.</w:t>
            </w:r>
            <w:r>
              <w:rPr>
                <w:rFonts w:hint="eastAsia"/>
                <w:color w:val="auto"/>
                <w:lang w:val="en-US" w:eastAsia="zh-CN"/>
              </w:rPr>
              <w:t>5</w:t>
            </w:r>
            <w:r>
              <w:rPr>
                <w:rFonts w:hint="default"/>
                <w:color w:val="auto"/>
              </w:rPr>
              <w:t>t，试油期废润滑油产生量预计0.</w:t>
            </w:r>
            <w:r>
              <w:rPr>
                <w:rFonts w:hint="eastAsia"/>
                <w:color w:val="auto"/>
                <w:lang w:val="en-US" w:eastAsia="zh-CN"/>
              </w:rPr>
              <w:t>2</w:t>
            </w:r>
            <w:r>
              <w:rPr>
                <w:rFonts w:hint="default"/>
                <w:color w:val="auto"/>
              </w:rPr>
              <w:t>t。废润滑油、废润滑油桶均属于《国家危险废物名录（2025年版）》中的HW08废矿物油与含矿物油类危险废物，废物代码分别为900-214-08（危险特性：毒性、易燃性）、900-249-08（危险特性：毒性、易燃性），分区暂存在井场设置的危险废物贮存点，定期由具有相应危险废物处置资质的单位进行接收、转运和处置。</w:t>
            </w:r>
          </w:p>
          <w:p>
            <w:pPr>
              <w:pStyle w:val="36"/>
              <w:bidi w:val="0"/>
              <w:rPr>
                <w:rFonts w:hint="default"/>
                <w:color w:val="auto"/>
                <w:lang w:val="en-US" w:eastAsia="zh-CN"/>
              </w:rPr>
            </w:pPr>
            <w:r>
              <w:rPr>
                <w:rFonts w:hint="default"/>
                <w:color w:val="auto"/>
                <w:lang w:val="en-US" w:eastAsia="zh-CN"/>
              </w:rPr>
              <w:t>④废含油抹布和劳保用品</w:t>
            </w:r>
          </w:p>
          <w:bookmarkEnd w:id="43"/>
          <w:p>
            <w:pPr>
              <w:pStyle w:val="36"/>
              <w:bidi w:val="0"/>
              <w:rPr>
                <w:rFonts w:hint="default"/>
                <w:color w:val="auto"/>
              </w:rPr>
            </w:pPr>
            <w:r>
              <w:rPr>
                <w:rFonts w:hint="default"/>
                <w:color w:val="auto"/>
              </w:rPr>
              <w:t>施工过程中会产生沾油废抹布、废手套等危险废物，属于“废含油抹布和劳保用品”，间歇性产生，废物代码900-041-49（危险特性：毒性、易燃性）；参照同类项目，钻井期产生量预计0.</w:t>
            </w:r>
            <w:r>
              <w:rPr>
                <w:rFonts w:hint="eastAsia"/>
                <w:color w:val="auto"/>
                <w:lang w:val="en-US" w:eastAsia="zh-CN"/>
              </w:rPr>
              <w:t>1</w:t>
            </w:r>
            <w:r>
              <w:rPr>
                <w:rFonts w:hint="default"/>
                <w:color w:val="auto"/>
              </w:rPr>
              <w:t>t，试油期产生量预计0.0</w:t>
            </w:r>
            <w:r>
              <w:rPr>
                <w:rFonts w:hint="eastAsia"/>
                <w:color w:val="auto"/>
                <w:lang w:val="en-US" w:eastAsia="zh-CN"/>
              </w:rPr>
              <w:t>5</w:t>
            </w:r>
            <w:r>
              <w:rPr>
                <w:rFonts w:hint="default"/>
                <w:color w:val="auto"/>
              </w:rPr>
              <w:t>t。在井场危险废物贮存点暂存，定期委托具有相应危险废物处置资质的单位进行接收、转运和处置。</w:t>
            </w:r>
          </w:p>
          <w:p>
            <w:pPr>
              <w:pStyle w:val="36"/>
              <w:bidi w:val="0"/>
              <w:rPr>
                <w:rFonts w:hint="eastAsia"/>
                <w:color w:val="auto"/>
                <w:lang w:val="en-US" w:eastAsia="zh-CN"/>
              </w:rPr>
            </w:pPr>
            <w:r>
              <w:rPr>
                <w:rFonts w:hint="eastAsia"/>
                <w:color w:val="auto"/>
                <w:lang w:val="en-US" w:eastAsia="zh-CN"/>
              </w:rPr>
              <w:t>本项目危废贮存点贮存情况见下表。</w:t>
            </w:r>
          </w:p>
          <w:p>
            <w:pPr>
              <w:pStyle w:val="36"/>
              <w:bidi w:val="0"/>
              <w:rPr>
                <w:rFonts w:hint="eastAsia"/>
                <w:color w:val="auto"/>
                <w:lang w:val="en-US" w:eastAsia="zh-CN"/>
              </w:rPr>
            </w:pPr>
          </w:p>
          <w:p>
            <w:pPr>
              <w:pStyle w:val="36"/>
              <w:bidi w:val="0"/>
              <w:rPr>
                <w:rFonts w:hint="eastAsia"/>
                <w:color w:val="auto"/>
                <w:lang w:val="en-US" w:eastAsia="zh-CN"/>
              </w:rPr>
            </w:pPr>
          </w:p>
          <w:p>
            <w:pPr>
              <w:pStyle w:val="52"/>
              <w:bidi w:val="0"/>
              <w:rPr>
                <w:rFonts w:hint="eastAsia"/>
                <w:color w:val="auto"/>
                <w:lang w:val="en-US" w:eastAsia="zh-CN"/>
              </w:rPr>
            </w:pPr>
            <w:r>
              <w:rPr>
                <w:rFonts w:hint="eastAsia"/>
                <w:color w:val="auto"/>
                <w:lang w:val="en-US" w:eastAsia="zh-CN"/>
              </w:rPr>
              <w:t>表4-7  项目危险废物贮存情况一览表</w:t>
            </w:r>
          </w:p>
          <w:tbl>
            <w:tblPr>
              <w:tblStyle w:val="24"/>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3" w:type="dxa"/>
                <w:bottom w:w="0" w:type="dxa"/>
                <w:right w:w="23" w:type="dxa"/>
              </w:tblCellMar>
            </w:tblPr>
            <w:tblGrid>
              <w:gridCol w:w="543"/>
              <w:gridCol w:w="999"/>
              <w:gridCol w:w="2258"/>
              <w:gridCol w:w="1209"/>
              <w:gridCol w:w="1084"/>
              <w:gridCol w:w="794"/>
              <w:gridCol w:w="13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c>
                <w:tcPr>
                  <w:tcW w:w="328"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序号</w:t>
                  </w:r>
                </w:p>
              </w:tc>
              <w:tc>
                <w:tcPr>
                  <w:tcW w:w="604"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产生阶段</w:t>
                  </w:r>
                </w:p>
              </w:tc>
              <w:tc>
                <w:tcPr>
                  <w:tcW w:w="1365"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废物名称</w:t>
                  </w:r>
                </w:p>
              </w:tc>
              <w:tc>
                <w:tcPr>
                  <w:tcW w:w="731"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废物代码</w:t>
                  </w:r>
                </w:p>
              </w:tc>
              <w:tc>
                <w:tcPr>
                  <w:tcW w:w="1135" w:type="pct"/>
                  <w:gridSpan w:val="2"/>
                  <w:tcBorders>
                    <w:tl2br w:val="nil"/>
                    <w:tr2bl w:val="nil"/>
                  </w:tcBorders>
                  <w:vAlign w:val="center"/>
                </w:tcPr>
                <w:p>
                  <w:pPr>
                    <w:pStyle w:val="33"/>
                    <w:bidi w:val="0"/>
                    <w:jc w:val="center"/>
                    <w:rPr>
                      <w:rFonts w:hint="eastAsia"/>
                      <w:color w:val="auto"/>
                      <w:lang w:val="en-US" w:eastAsia="zh-CN"/>
                    </w:rPr>
                  </w:pPr>
                  <w:r>
                    <w:rPr>
                      <w:rFonts w:hint="eastAsia"/>
                      <w:color w:val="auto"/>
                      <w:lang w:val="en-US" w:eastAsia="zh-CN"/>
                    </w:rPr>
                    <w:t>贮存量（t）</w:t>
                  </w:r>
                </w:p>
              </w:tc>
              <w:tc>
                <w:tcPr>
                  <w:tcW w:w="834"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主要利用处置方式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c>
                <w:tcPr>
                  <w:tcW w:w="328" w:type="pct"/>
                  <w:vMerge w:val="restar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1</w:t>
                  </w:r>
                </w:p>
              </w:tc>
              <w:tc>
                <w:tcPr>
                  <w:tcW w:w="604" w:type="pct"/>
                  <w:vMerge w:val="restar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钻井</w:t>
                  </w:r>
                </w:p>
              </w:tc>
              <w:tc>
                <w:tcPr>
                  <w:tcW w:w="1365" w:type="pct"/>
                  <w:tcBorders>
                    <w:tl2br w:val="nil"/>
                    <w:tr2bl w:val="nil"/>
                  </w:tcBorders>
                  <w:vAlign w:val="center"/>
                </w:tcPr>
                <w:p>
                  <w:pPr>
                    <w:pStyle w:val="33"/>
                    <w:bidi w:val="0"/>
                    <w:ind w:firstLine="0" w:firstLineChars="0"/>
                    <w:jc w:val="center"/>
                    <w:rPr>
                      <w:rFonts w:hint="default"/>
                      <w:color w:val="auto"/>
                      <w:lang w:val="en-US" w:eastAsia="zh-CN"/>
                    </w:rPr>
                  </w:pPr>
                  <w:r>
                    <w:rPr>
                      <w:rFonts w:hint="eastAsia"/>
                      <w:color w:val="auto"/>
                      <w:lang w:val="en-US" w:eastAsia="zh-CN"/>
                    </w:rPr>
                    <w:t>沾油废防渗材料</w:t>
                  </w:r>
                </w:p>
              </w:tc>
              <w:tc>
                <w:tcPr>
                  <w:tcW w:w="731" w:type="pct"/>
                  <w:tcBorders>
                    <w:tl2br w:val="nil"/>
                    <w:tr2bl w:val="nil"/>
                  </w:tcBorders>
                  <w:vAlign w:val="center"/>
                </w:tcPr>
                <w:p>
                  <w:pPr>
                    <w:pStyle w:val="33"/>
                    <w:bidi w:val="0"/>
                    <w:ind w:firstLine="0" w:firstLineChars="0"/>
                    <w:jc w:val="center"/>
                    <w:rPr>
                      <w:rFonts w:hint="default"/>
                      <w:color w:val="auto"/>
                      <w:lang w:val="en-US" w:eastAsia="zh-CN"/>
                    </w:rPr>
                  </w:pPr>
                  <w:r>
                    <w:rPr>
                      <w:rFonts w:hint="eastAsia"/>
                      <w:color w:val="auto"/>
                      <w:lang w:val="en-US" w:eastAsia="zh-CN"/>
                    </w:rPr>
                    <w:t>900-249-08</w:t>
                  </w:r>
                </w:p>
              </w:tc>
              <w:tc>
                <w:tcPr>
                  <w:tcW w:w="655"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0.5</w:t>
                  </w:r>
                </w:p>
              </w:tc>
              <w:tc>
                <w:tcPr>
                  <w:tcW w:w="480" w:type="pct"/>
                  <w:vMerge w:val="restar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1.6</w:t>
                  </w:r>
                </w:p>
              </w:tc>
              <w:tc>
                <w:tcPr>
                  <w:tcW w:w="834" w:type="pct"/>
                  <w:vMerge w:val="restar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委托持有危险废物经营许可的单位利用处置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23" w:hRule="atLeast"/>
              </w:trPr>
              <w:tc>
                <w:tcPr>
                  <w:tcW w:w="328" w:type="pct"/>
                  <w:vMerge w:val="continue"/>
                  <w:tcBorders>
                    <w:tl2br w:val="nil"/>
                    <w:tr2bl w:val="nil"/>
                  </w:tcBorders>
                  <w:vAlign w:val="center"/>
                </w:tcPr>
                <w:p>
                  <w:pPr>
                    <w:pStyle w:val="33"/>
                    <w:bidi w:val="0"/>
                    <w:jc w:val="center"/>
                    <w:rPr>
                      <w:rFonts w:hint="default"/>
                      <w:color w:val="auto"/>
                      <w:lang w:val="en-US" w:eastAsia="zh-CN"/>
                    </w:rPr>
                  </w:pPr>
                </w:p>
              </w:tc>
              <w:tc>
                <w:tcPr>
                  <w:tcW w:w="604" w:type="pct"/>
                  <w:vMerge w:val="continue"/>
                  <w:tcBorders>
                    <w:tl2br w:val="nil"/>
                    <w:tr2bl w:val="nil"/>
                  </w:tcBorders>
                  <w:vAlign w:val="center"/>
                </w:tcPr>
                <w:p>
                  <w:pPr>
                    <w:pStyle w:val="33"/>
                    <w:bidi w:val="0"/>
                    <w:jc w:val="center"/>
                    <w:rPr>
                      <w:rFonts w:hint="eastAsia"/>
                      <w:color w:val="auto"/>
                      <w:lang w:val="en-US" w:eastAsia="zh-CN"/>
                    </w:rPr>
                  </w:pPr>
                </w:p>
              </w:tc>
              <w:tc>
                <w:tcPr>
                  <w:tcW w:w="1365" w:type="pct"/>
                  <w:tcBorders>
                    <w:tl2br w:val="nil"/>
                    <w:tr2bl w:val="nil"/>
                  </w:tcBorders>
                  <w:vAlign w:val="center"/>
                </w:tcPr>
                <w:p>
                  <w:pPr>
                    <w:pStyle w:val="33"/>
                    <w:bidi w:val="0"/>
                    <w:ind w:firstLine="0" w:firstLineChars="0"/>
                    <w:jc w:val="center"/>
                    <w:rPr>
                      <w:rFonts w:hint="eastAsia"/>
                      <w:color w:val="auto"/>
                      <w:lang w:val="en-US" w:eastAsia="zh-CN"/>
                    </w:rPr>
                  </w:pPr>
                  <w:r>
                    <w:rPr>
                      <w:rFonts w:hint="eastAsia"/>
                      <w:color w:val="auto"/>
                      <w:lang w:val="en-US" w:eastAsia="zh-CN"/>
                    </w:rPr>
                    <w:t>废润滑油</w:t>
                  </w:r>
                </w:p>
              </w:tc>
              <w:tc>
                <w:tcPr>
                  <w:tcW w:w="731" w:type="pct"/>
                  <w:tcBorders>
                    <w:tl2br w:val="nil"/>
                    <w:tr2bl w:val="nil"/>
                  </w:tcBorders>
                  <w:vAlign w:val="center"/>
                </w:tcPr>
                <w:p>
                  <w:pPr>
                    <w:pStyle w:val="33"/>
                    <w:bidi w:val="0"/>
                    <w:ind w:firstLine="0" w:firstLineChars="0"/>
                    <w:jc w:val="center"/>
                    <w:rPr>
                      <w:rFonts w:hint="eastAsia"/>
                      <w:color w:val="auto"/>
                      <w:lang w:val="en-US" w:eastAsia="zh-CN"/>
                    </w:rPr>
                  </w:pPr>
                  <w:r>
                    <w:rPr>
                      <w:rFonts w:hint="default"/>
                      <w:color w:val="auto"/>
                      <w:lang w:val="en-US" w:eastAsia="zh-CN"/>
                    </w:rPr>
                    <w:t>900-214-08</w:t>
                  </w:r>
                </w:p>
              </w:tc>
              <w:tc>
                <w:tcPr>
                  <w:tcW w:w="655"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0.5</w:t>
                  </w:r>
                </w:p>
              </w:tc>
              <w:tc>
                <w:tcPr>
                  <w:tcW w:w="480" w:type="pct"/>
                  <w:vMerge w:val="continue"/>
                  <w:tcBorders>
                    <w:tl2br w:val="nil"/>
                    <w:tr2bl w:val="nil"/>
                  </w:tcBorders>
                  <w:vAlign w:val="center"/>
                </w:tcPr>
                <w:p>
                  <w:pPr>
                    <w:pStyle w:val="33"/>
                    <w:bidi w:val="0"/>
                    <w:jc w:val="center"/>
                    <w:rPr>
                      <w:rFonts w:hint="eastAsia"/>
                      <w:color w:val="auto"/>
                      <w:lang w:val="en-US" w:eastAsia="zh-CN"/>
                    </w:rPr>
                  </w:pPr>
                </w:p>
              </w:tc>
              <w:tc>
                <w:tcPr>
                  <w:tcW w:w="834" w:type="pct"/>
                  <w:vMerge w:val="continue"/>
                  <w:tcBorders>
                    <w:tl2br w:val="nil"/>
                    <w:tr2bl w:val="nil"/>
                  </w:tcBorders>
                  <w:vAlign w:val="center"/>
                </w:tcPr>
                <w:p>
                  <w:pPr>
                    <w:pStyle w:val="33"/>
                    <w:bidi w:val="0"/>
                    <w:jc w:val="center"/>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c>
                <w:tcPr>
                  <w:tcW w:w="328" w:type="pct"/>
                  <w:vMerge w:val="continue"/>
                  <w:tcBorders>
                    <w:tl2br w:val="nil"/>
                    <w:tr2bl w:val="nil"/>
                  </w:tcBorders>
                  <w:vAlign w:val="center"/>
                </w:tcPr>
                <w:p>
                  <w:pPr>
                    <w:pStyle w:val="33"/>
                    <w:bidi w:val="0"/>
                    <w:jc w:val="center"/>
                    <w:rPr>
                      <w:rFonts w:hint="default"/>
                      <w:color w:val="auto"/>
                      <w:lang w:val="en-US" w:eastAsia="zh-CN"/>
                    </w:rPr>
                  </w:pPr>
                </w:p>
              </w:tc>
              <w:tc>
                <w:tcPr>
                  <w:tcW w:w="604" w:type="pct"/>
                  <w:vMerge w:val="continue"/>
                  <w:tcBorders>
                    <w:tl2br w:val="nil"/>
                    <w:tr2bl w:val="nil"/>
                  </w:tcBorders>
                  <w:vAlign w:val="center"/>
                </w:tcPr>
                <w:p>
                  <w:pPr>
                    <w:pStyle w:val="33"/>
                    <w:bidi w:val="0"/>
                    <w:jc w:val="center"/>
                    <w:rPr>
                      <w:rFonts w:hint="eastAsia"/>
                      <w:color w:val="auto"/>
                      <w:lang w:val="en-US" w:eastAsia="zh-CN"/>
                    </w:rPr>
                  </w:pPr>
                </w:p>
              </w:tc>
              <w:tc>
                <w:tcPr>
                  <w:tcW w:w="1365" w:type="pct"/>
                  <w:tcBorders>
                    <w:tl2br w:val="nil"/>
                    <w:tr2bl w:val="nil"/>
                  </w:tcBorders>
                  <w:vAlign w:val="center"/>
                </w:tcPr>
                <w:p>
                  <w:pPr>
                    <w:pStyle w:val="33"/>
                    <w:bidi w:val="0"/>
                    <w:ind w:firstLine="0" w:firstLineChars="0"/>
                    <w:jc w:val="center"/>
                    <w:rPr>
                      <w:rFonts w:hint="eastAsia"/>
                      <w:color w:val="auto"/>
                      <w:lang w:val="en-US" w:eastAsia="zh-CN"/>
                    </w:rPr>
                  </w:pPr>
                  <w:r>
                    <w:rPr>
                      <w:rFonts w:hint="eastAsia"/>
                      <w:color w:val="auto"/>
                      <w:lang w:val="en-US" w:eastAsia="zh-CN"/>
                    </w:rPr>
                    <w:t>废润滑油桶</w:t>
                  </w:r>
                </w:p>
              </w:tc>
              <w:tc>
                <w:tcPr>
                  <w:tcW w:w="731" w:type="pct"/>
                  <w:tcBorders>
                    <w:tl2br w:val="nil"/>
                    <w:tr2bl w:val="nil"/>
                  </w:tcBorders>
                  <w:vAlign w:val="center"/>
                </w:tcPr>
                <w:p>
                  <w:pPr>
                    <w:pStyle w:val="33"/>
                    <w:bidi w:val="0"/>
                    <w:ind w:firstLine="0" w:firstLineChars="0"/>
                    <w:jc w:val="center"/>
                    <w:rPr>
                      <w:rFonts w:hint="eastAsia"/>
                      <w:color w:val="auto"/>
                      <w:lang w:val="en-US" w:eastAsia="zh-CN"/>
                    </w:rPr>
                  </w:pPr>
                  <w:r>
                    <w:rPr>
                      <w:rFonts w:hint="default"/>
                      <w:color w:val="auto"/>
                      <w:lang w:val="en-US" w:eastAsia="zh-CN"/>
                    </w:rPr>
                    <w:t>900-041-49</w:t>
                  </w:r>
                </w:p>
              </w:tc>
              <w:tc>
                <w:tcPr>
                  <w:tcW w:w="655"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0.5</w:t>
                  </w:r>
                </w:p>
              </w:tc>
              <w:tc>
                <w:tcPr>
                  <w:tcW w:w="480" w:type="pct"/>
                  <w:vMerge w:val="continue"/>
                  <w:tcBorders>
                    <w:tl2br w:val="nil"/>
                    <w:tr2bl w:val="nil"/>
                  </w:tcBorders>
                  <w:vAlign w:val="center"/>
                </w:tcPr>
                <w:p>
                  <w:pPr>
                    <w:pStyle w:val="33"/>
                    <w:bidi w:val="0"/>
                    <w:jc w:val="center"/>
                    <w:rPr>
                      <w:rFonts w:hint="eastAsia"/>
                      <w:color w:val="auto"/>
                      <w:lang w:val="en-US" w:eastAsia="zh-CN"/>
                    </w:rPr>
                  </w:pPr>
                </w:p>
              </w:tc>
              <w:tc>
                <w:tcPr>
                  <w:tcW w:w="834" w:type="pct"/>
                  <w:vMerge w:val="continue"/>
                  <w:tcBorders>
                    <w:tl2br w:val="nil"/>
                    <w:tr2bl w:val="nil"/>
                  </w:tcBorders>
                  <w:vAlign w:val="center"/>
                </w:tcPr>
                <w:p>
                  <w:pPr>
                    <w:pStyle w:val="33"/>
                    <w:bidi w:val="0"/>
                    <w:jc w:val="center"/>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c>
                <w:tcPr>
                  <w:tcW w:w="328" w:type="pct"/>
                  <w:vMerge w:val="continue"/>
                  <w:tcBorders>
                    <w:tl2br w:val="nil"/>
                    <w:tr2bl w:val="nil"/>
                  </w:tcBorders>
                  <w:vAlign w:val="center"/>
                </w:tcPr>
                <w:p>
                  <w:pPr>
                    <w:pStyle w:val="33"/>
                    <w:bidi w:val="0"/>
                    <w:jc w:val="center"/>
                    <w:rPr>
                      <w:rFonts w:hint="default"/>
                      <w:color w:val="auto"/>
                      <w:lang w:val="en-US" w:eastAsia="zh-CN"/>
                    </w:rPr>
                  </w:pPr>
                </w:p>
              </w:tc>
              <w:tc>
                <w:tcPr>
                  <w:tcW w:w="604" w:type="pct"/>
                  <w:vMerge w:val="continue"/>
                  <w:tcBorders>
                    <w:tl2br w:val="nil"/>
                    <w:tr2bl w:val="nil"/>
                  </w:tcBorders>
                  <w:vAlign w:val="center"/>
                </w:tcPr>
                <w:p>
                  <w:pPr>
                    <w:pStyle w:val="33"/>
                    <w:bidi w:val="0"/>
                    <w:jc w:val="center"/>
                    <w:rPr>
                      <w:rFonts w:hint="eastAsia"/>
                      <w:color w:val="auto"/>
                      <w:lang w:val="en-US" w:eastAsia="zh-CN"/>
                    </w:rPr>
                  </w:pPr>
                </w:p>
              </w:tc>
              <w:tc>
                <w:tcPr>
                  <w:tcW w:w="1365" w:type="pct"/>
                  <w:tcBorders>
                    <w:tl2br w:val="nil"/>
                    <w:tr2bl w:val="nil"/>
                  </w:tcBorders>
                  <w:shd w:val="clear" w:color="auto" w:fill="auto"/>
                  <w:vAlign w:val="center"/>
                </w:tcPr>
                <w:p>
                  <w:pPr>
                    <w:pStyle w:val="33"/>
                    <w:bidi w:val="0"/>
                    <w:ind w:firstLine="0" w:firstLineChars="0"/>
                    <w:jc w:val="center"/>
                    <w:rPr>
                      <w:rFonts w:hint="eastAsia" w:ascii="Times New Roman" w:hAnsi="Times New Roman" w:eastAsia="宋体" w:cs="Arial"/>
                      <w:color w:val="auto"/>
                      <w:kern w:val="2"/>
                      <w:sz w:val="21"/>
                      <w:szCs w:val="21"/>
                      <w:lang w:val="en-US" w:eastAsia="zh-CN" w:bidi="ar-SA"/>
                    </w:rPr>
                  </w:pPr>
                  <w:r>
                    <w:rPr>
                      <w:rFonts w:hint="default"/>
                      <w:color w:val="auto"/>
                      <w:lang w:val="en-US" w:eastAsia="zh-CN"/>
                    </w:rPr>
                    <w:t>废含油抹布和劳保用品</w:t>
                  </w:r>
                </w:p>
              </w:tc>
              <w:tc>
                <w:tcPr>
                  <w:tcW w:w="731" w:type="pct"/>
                  <w:tcBorders>
                    <w:tl2br w:val="nil"/>
                    <w:tr2bl w:val="nil"/>
                  </w:tcBorders>
                  <w:shd w:val="clear" w:color="auto" w:fill="auto"/>
                  <w:vAlign w:val="center"/>
                </w:tcPr>
                <w:p>
                  <w:pPr>
                    <w:pStyle w:val="33"/>
                    <w:bidi w:val="0"/>
                    <w:ind w:firstLine="0" w:firstLineChars="0"/>
                    <w:jc w:val="center"/>
                    <w:rPr>
                      <w:rFonts w:hint="default" w:ascii="Times New Roman" w:hAnsi="Times New Roman" w:eastAsia="宋体" w:cs="Arial"/>
                      <w:color w:val="auto"/>
                      <w:kern w:val="2"/>
                      <w:sz w:val="21"/>
                      <w:szCs w:val="21"/>
                      <w:lang w:val="en-US" w:eastAsia="zh-CN" w:bidi="ar-SA"/>
                    </w:rPr>
                  </w:pPr>
                  <w:r>
                    <w:rPr>
                      <w:rFonts w:hint="default"/>
                      <w:color w:val="auto"/>
                      <w:lang w:val="en-US" w:eastAsia="zh-CN"/>
                    </w:rPr>
                    <w:t>900-041-49</w:t>
                  </w:r>
                </w:p>
              </w:tc>
              <w:tc>
                <w:tcPr>
                  <w:tcW w:w="655"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0.1</w:t>
                  </w:r>
                </w:p>
              </w:tc>
              <w:tc>
                <w:tcPr>
                  <w:tcW w:w="480" w:type="pct"/>
                  <w:vMerge w:val="continue"/>
                  <w:tcBorders>
                    <w:tl2br w:val="nil"/>
                    <w:tr2bl w:val="nil"/>
                  </w:tcBorders>
                  <w:vAlign w:val="center"/>
                </w:tcPr>
                <w:p>
                  <w:pPr>
                    <w:pStyle w:val="33"/>
                    <w:bidi w:val="0"/>
                    <w:jc w:val="center"/>
                    <w:rPr>
                      <w:rFonts w:hint="eastAsia"/>
                      <w:color w:val="auto"/>
                      <w:lang w:val="en-US" w:eastAsia="zh-CN"/>
                    </w:rPr>
                  </w:pPr>
                </w:p>
              </w:tc>
              <w:tc>
                <w:tcPr>
                  <w:tcW w:w="834" w:type="pct"/>
                  <w:vMerge w:val="continue"/>
                  <w:tcBorders>
                    <w:tl2br w:val="nil"/>
                    <w:tr2bl w:val="nil"/>
                  </w:tcBorders>
                  <w:vAlign w:val="center"/>
                </w:tcPr>
                <w:p>
                  <w:pPr>
                    <w:pStyle w:val="33"/>
                    <w:bidi w:val="0"/>
                    <w:jc w:val="center"/>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c>
                <w:tcPr>
                  <w:tcW w:w="328" w:type="pct"/>
                  <w:vMerge w:val="restar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2</w:t>
                  </w:r>
                </w:p>
              </w:tc>
              <w:tc>
                <w:tcPr>
                  <w:tcW w:w="604" w:type="pct"/>
                  <w:vMerge w:val="restar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试油</w:t>
                  </w:r>
                </w:p>
              </w:tc>
              <w:tc>
                <w:tcPr>
                  <w:tcW w:w="1365" w:type="pct"/>
                  <w:tcBorders>
                    <w:tl2br w:val="nil"/>
                    <w:tr2bl w:val="nil"/>
                  </w:tcBorders>
                  <w:vAlign w:val="center"/>
                </w:tcPr>
                <w:p>
                  <w:pPr>
                    <w:pStyle w:val="33"/>
                    <w:bidi w:val="0"/>
                    <w:ind w:firstLine="0" w:firstLineChars="0"/>
                    <w:jc w:val="center"/>
                    <w:rPr>
                      <w:rFonts w:hint="eastAsia"/>
                      <w:color w:val="auto"/>
                      <w:lang w:val="en-US" w:eastAsia="zh-CN"/>
                    </w:rPr>
                  </w:pPr>
                  <w:r>
                    <w:rPr>
                      <w:rFonts w:hint="eastAsia"/>
                      <w:color w:val="auto"/>
                      <w:lang w:val="en-US" w:eastAsia="zh-CN"/>
                    </w:rPr>
                    <w:t>沾油废防渗材料</w:t>
                  </w:r>
                </w:p>
              </w:tc>
              <w:tc>
                <w:tcPr>
                  <w:tcW w:w="731" w:type="pct"/>
                  <w:tcBorders>
                    <w:tl2br w:val="nil"/>
                    <w:tr2bl w:val="nil"/>
                  </w:tcBorders>
                  <w:vAlign w:val="center"/>
                </w:tcPr>
                <w:p>
                  <w:pPr>
                    <w:pStyle w:val="33"/>
                    <w:bidi w:val="0"/>
                    <w:ind w:firstLine="0" w:firstLineChars="0"/>
                    <w:jc w:val="center"/>
                    <w:rPr>
                      <w:rFonts w:hint="eastAsia"/>
                      <w:color w:val="auto"/>
                      <w:lang w:val="en-US" w:eastAsia="zh-CN"/>
                    </w:rPr>
                  </w:pPr>
                  <w:r>
                    <w:rPr>
                      <w:rFonts w:hint="eastAsia"/>
                      <w:color w:val="auto"/>
                      <w:lang w:val="en-US" w:eastAsia="zh-CN"/>
                    </w:rPr>
                    <w:t>900-249-08</w:t>
                  </w:r>
                </w:p>
              </w:tc>
              <w:tc>
                <w:tcPr>
                  <w:tcW w:w="655"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0.2</w:t>
                  </w:r>
                </w:p>
              </w:tc>
              <w:tc>
                <w:tcPr>
                  <w:tcW w:w="480" w:type="pct"/>
                  <w:vMerge w:val="restar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0.65</w:t>
                  </w:r>
                </w:p>
              </w:tc>
              <w:tc>
                <w:tcPr>
                  <w:tcW w:w="834" w:type="pct"/>
                  <w:vMerge w:val="continue"/>
                  <w:tcBorders>
                    <w:tl2br w:val="nil"/>
                    <w:tr2bl w:val="nil"/>
                  </w:tcBorders>
                  <w:vAlign w:val="center"/>
                </w:tcPr>
                <w:p>
                  <w:pPr>
                    <w:pStyle w:val="33"/>
                    <w:bidi w:val="0"/>
                    <w:jc w:val="center"/>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c>
                <w:tcPr>
                  <w:tcW w:w="328" w:type="pct"/>
                  <w:vMerge w:val="continue"/>
                  <w:tcBorders>
                    <w:tl2br w:val="nil"/>
                    <w:tr2bl w:val="nil"/>
                  </w:tcBorders>
                  <w:vAlign w:val="center"/>
                </w:tcPr>
                <w:p>
                  <w:pPr>
                    <w:pStyle w:val="33"/>
                    <w:bidi w:val="0"/>
                    <w:jc w:val="center"/>
                    <w:rPr>
                      <w:rFonts w:hint="eastAsia"/>
                      <w:color w:val="auto"/>
                      <w:lang w:val="en-US" w:eastAsia="zh-CN"/>
                    </w:rPr>
                  </w:pPr>
                </w:p>
              </w:tc>
              <w:tc>
                <w:tcPr>
                  <w:tcW w:w="604" w:type="pct"/>
                  <w:vMerge w:val="continue"/>
                  <w:tcBorders>
                    <w:tl2br w:val="nil"/>
                    <w:tr2bl w:val="nil"/>
                  </w:tcBorders>
                  <w:vAlign w:val="center"/>
                </w:tcPr>
                <w:p>
                  <w:pPr>
                    <w:pStyle w:val="33"/>
                    <w:bidi w:val="0"/>
                    <w:jc w:val="center"/>
                    <w:rPr>
                      <w:rFonts w:hint="eastAsia"/>
                      <w:color w:val="auto"/>
                      <w:lang w:val="en-US" w:eastAsia="zh-CN"/>
                    </w:rPr>
                  </w:pPr>
                </w:p>
              </w:tc>
              <w:tc>
                <w:tcPr>
                  <w:tcW w:w="1365" w:type="pct"/>
                  <w:tcBorders>
                    <w:tl2br w:val="nil"/>
                    <w:tr2bl w:val="nil"/>
                  </w:tcBorders>
                  <w:vAlign w:val="center"/>
                </w:tcPr>
                <w:p>
                  <w:pPr>
                    <w:pStyle w:val="33"/>
                    <w:bidi w:val="0"/>
                    <w:ind w:firstLine="0" w:firstLineChars="0"/>
                    <w:jc w:val="center"/>
                    <w:rPr>
                      <w:rFonts w:hint="eastAsia"/>
                      <w:color w:val="auto"/>
                      <w:lang w:val="en-US" w:eastAsia="zh-CN"/>
                    </w:rPr>
                  </w:pPr>
                  <w:r>
                    <w:rPr>
                      <w:rFonts w:hint="eastAsia"/>
                      <w:color w:val="auto"/>
                      <w:lang w:val="en-US" w:eastAsia="zh-CN"/>
                    </w:rPr>
                    <w:t>废润滑油</w:t>
                  </w:r>
                </w:p>
              </w:tc>
              <w:tc>
                <w:tcPr>
                  <w:tcW w:w="731" w:type="pct"/>
                  <w:tcBorders>
                    <w:tl2br w:val="nil"/>
                    <w:tr2bl w:val="nil"/>
                  </w:tcBorders>
                  <w:vAlign w:val="center"/>
                </w:tcPr>
                <w:p>
                  <w:pPr>
                    <w:pStyle w:val="33"/>
                    <w:bidi w:val="0"/>
                    <w:ind w:firstLine="0" w:firstLineChars="0"/>
                    <w:jc w:val="center"/>
                    <w:rPr>
                      <w:rFonts w:hint="eastAsia"/>
                      <w:color w:val="auto"/>
                      <w:lang w:val="en-US" w:eastAsia="zh-CN"/>
                    </w:rPr>
                  </w:pPr>
                  <w:r>
                    <w:rPr>
                      <w:rFonts w:hint="default"/>
                      <w:color w:val="auto"/>
                      <w:lang w:val="en-US" w:eastAsia="zh-CN"/>
                    </w:rPr>
                    <w:t>900-214-08</w:t>
                  </w:r>
                </w:p>
              </w:tc>
              <w:tc>
                <w:tcPr>
                  <w:tcW w:w="655"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0.2</w:t>
                  </w:r>
                </w:p>
              </w:tc>
              <w:tc>
                <w:tcPr>
                  <w:tcW w:w="480" w:type="pct"/>
                  <w:vMerge w:val="continue"/>
                  <w:tcBorders>
                    <w:tl2br w:val="nil"/>
                    <w:tr2bl w:val="nil"/>
                  </w:tcBorders>
                  <w:vAlign w:val="center"/>
                </w:tcPr>
                <w:p>
                  <w:pPr>
                    <w:pStyle w:val="33"/>
                    <w:bidi w:val="0"/>
                    <w:jc w:val="center"/>
                    <w:rPr>
                      <w:rFonts w:hint="eastAsia"/>
                      <w:color w:val="auto"/>
                      <w:lang w:val="en-US" w:eastAsia="zh-CN"/>
                    </w:rPr>
                  </w:pPr>
                </w:p>
              </w:tc>
              <w:tc>
                <w:tcPr>
                  <w:tcW w:w="834" w:type="pct"/>
                  <w:vMerge w:val="continue"/>
                  <w:tcBorders>
                    <w:tl2br w:val="nil"/>
                    <w:tr2bl w:val="nil"/>
                  </w:tcBorders>
                  <w:vAlign w:val="center"/>
                </w:tcPr>
                <w:p>
                  <w:pPr>
                    <w:pStyle w:val="33"/>
                    <w:bidi w:val="0"/>
                    <w:jc w:val="center"/>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c>
                <w:tcPr>
                  <w:tcW w:w="328" w:type="pct"/>
                  <w:vMerge w:val="continue"/>
                  <w:tcBorders>
                    <w:tl2br w:val="nil"/>
                    <w:tr2bl w:val="nil"/>
                  </w:tcBorders>
                  <w:vAlign w:val="center"/>
                </w:tcPr>
                <w:p>
                  <w:pPr>
                    <w:pStyle w:val="33"/>
                    <w:bidi w:val="0"/>
                    <w:jc w:val="center"/>
                    <w:rPr>
                      <w:rFonts w:hint="eastAsia"/>
                      <w:color w:val="auto"/>
                      <w:lang w:val="en-US" w:eastAsia="zh-CN"/>
                    </w:rPr>
                  </w:pPr>
                </w:p>
              </w:tc>
              <w:tc>
                <w:tcPr>
                  <w:tcW w:w="604" w:type="pct"/>
                  <w:vMerge w:val="continue"/>
                  <w:tcBorders>
                    <w:tl2br w:val="nil"/>
                    <w:tr2bl w:val="nil"/>
                  </w:tcBorders>
                  <w:vAlign w:val="center"/>
                </w:tcPr>
                <w:p>
                  <w:pPr>
                    <w:pStyle w:val="33"/>
                    <w:bidi w:val="0"/>
                    <w:jc w:val="center"/>
                    <w:rPr>
                      <w:rFonts w:hint="eastAsia"/>
                      <w:color w:val="auto"/>
                      <w:lang w:val="en-US" w:eastAsia="zh-CN"/>
                    </w:rPr>
                  </w:pPr>
                </w:p>
              </w:tc>
              <w:tc>
                <w:tcPr>
                  <w:tcW w:w="1365" w:type="pct"/>
                  <w:tcBorders>
                    <w:tl2br w:val="nil"/>
                    <w:tr2bl w:val="nil"/>
                  </w:tcBorders>
                  <w:vAlign w:val="center"/>
                </w:tcPr>
                <w:p>
                  <w:pPr>
                    <w:pStyle w:val="33"/>
                    <w:bidi w:val="0"/>
                    <w:ind w:firstLine="0" w:firstLineChars="0"/>
                    <w:jc w:val="center"/>
                    <w:rPr>
                      <w:rFonts w:hint="eastAsia"/>
                      <w:color w:val="auto"/>
                      <w:lang w:val="en-US" w:eastAsia="zh-CN"/>
                    </w:rPr>
                  </w:pPr>
                  <w:r>
                    <w:rPr>
                      <w:rFonts w:hint="eastAsia"/>
                      <w:color w:val="auto"/>
                      <w:lang w:val="en-US" w:eastAsia="zh-CN"/>
                    </w:rPr>
                    <w:t>废润滑油桶</w:t>
                  </w:r>
                </w:p>
              </w:tc>
              <w:tc>
                <w:tcPr>
                  <w:tcW w:w="731" w:type="pct"/>
                  <w:tcBorders>
                    <w:tl2br w:val="nil"/>
                    <w:tr2bl w:val="nil"/>
                  </w:tcBorders>
                  <w:vAlign w:val="center"/>
                </w:tcPr>
                <w:p>
                  <w:pPr>
                    <w:pStyle w:val="33"/>
                    <w:bidi w:val="0"/>
                    <w:ind w:firstLine="0" w:firstLineChars="0"/>
                    <w:jc w:val="center"/>
                    <w:rPr>
                      <w:rFonts w:hint="eastAsia"/>
                      <w:color w:val="auto"/>
                      <w:lang w:val="en-US" w:eastAsia="zh-CN"/>
                    </w:rPr>
                  </w:pPr>
                  <w:r>
                    <w:rPr>
                      <w:rFonts w:hint="default"/>
                      <w:color w:val="auto"/>
                      <w:lang w:val="en-US" w:eastAsia="zh-CN"/>
                    </w:rPr>
                    <w:t>900-041-49</w:t>
                  </w:r>
                </w:p>
              </w:tc>
              <w:tc>
                <w:tcPr>
                  <w:tcW w:w="655"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0.2</w:t>
                  </w:r>
                </w:p>
              </w:tc>
              <w:tc>
                <w:tcPr>
                  <w:tcW w:w="480" w:type="pct"/>
                  <w:vMerge w:val="continue"/>
                  <w:tcBorders>
                    <w:tl2br w:val="nil"/>
                    <w:tr2bl w:val="nil"/>
                  </w:tcBorders>
                  <w:vAlign w:val="center"/>
                </w:tcPr>
                <w:p>
                  <w:pPr>
                    <w:pStyle w:val="33"/>
                    <w:bidi w:val="0"/>
                    <w:jc w:val="center"/>
                    <w:rPr>
                      <w:rFonts w:hint="eastAsia"/>
                      <w:color w:val="auto"/>
                      <w:lang w:val="en-US" w:eastAsia="zh-CN"/>
                    </w:rPr>
                  </w:pPr>
                </w:p>
              </w:tc>
              <w:tc>
                <w:tcPr>
                  <w:tcW w:w="834" w:type="pct"/>
                  <w:vMerge w:val="continue"/>
                  <w:tcBorders>
                    <w:tl2br w:val="nil"/>
                    <w:tr2bl w:val="nil"/>
                  </w:tcBorders>
                  <w:vAlign w:val="center"/>
                </w:tcPr>
                <w:p>
                  <w:pPr>
                    <w:pStyle w:val="33"/>
                    <w:bidi w:val="0"/>
                    <w:jc w:val="center"/>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c>
                <w:tcPr>
                  <w:tcW w:w="328" w:type="pct"/>
                  <w:vMerge w:val="continue"/>
                  <w:tcBorders>
                    <w:tl2br w:val="nil"/>
                    <w:tr2bl w:val="nil"/>
                  </w:tcBorders>
                  <w:vAlign w:val="center"/>
                </w:tcPr>
                <w:p>
                  <w:pPr>
                    <w:pStyle w:val="33"/>
                    <w:bidi w:val="0"/>
                    <w:jc w:val="center"/>
                    <w:rPr>
                      <w:rFonts w:hint="eastAsia"/>
                      <w:color w:val="auto"/>
                      <w:lang w:val="en-US" w:eastAsia="zh-CN"/>
                    </w:rPr>
                  </w:pPr>
                </w:p>
              </w:tc>
              <w:tc>
                <w:tcPr>
                  <w:tcW w:w="604" w:type="pct"/>
                  <w:vMerge w:val="continue"/>
                  <w:tcBorders>
                    <w:tl2br w:val="nil"/>
                    <w:tr2bl w:val="nil"/>
                  </w:tcBorders>
                  <w:vAlign w:val="center"/>
                </w:tcPr>
                <w:p>
                  <w:pPr>
                    <w:pStyle w:val="33"/>
                    <w:bidi w:val="0"/>
                    <w:jc w:val="center"/>
                    <w:rPr>
                      <w:rFonts w:hint="eastAsia"/>
                      <w:color w:val="auto"/>
                      <w:lang w:val="en-US" w:eastAsia="zh-CN"/>
                    </w:rPr>
                  </w:pPr>
                </w:p>
              </w:tc>
              <w:tc>
                <w:tcPr>
                  <w:tcW w:w="1365" w:type="pct"/>
                  <w:tcBorders>
                    <w:tl2br w:val="nil"/>
                    <w:tr2bl w:val="nil"/>
                  </w:tcBorders>
                  <w:shd w:val="clear" w:color="auto" w:fill="auto"/>
                  <w:vAlign w:val="center"/>
                </w:tcPr>
                <w:p>
                  <w:pPr>
                    <w:pStyle w:val="33"/>
                    <w:bidi w:val="0"/>
                    <w:ind w:firstLine="0" w:firstLineChars="0"/>
                    <w:jc w:val="center"/>
                    <w:rPr>
                      <w:rFonts w:hint="eastAsia" w:ascii="Times New Roman" w:hAnsi="Times New Roman" w:eastAsia="宋体" w:cs="Arial"/>
                      <w:color w:val="auto"/>
                      <w:kern w:val="2"/>
                      <w:sz w:val="21"/>
                      <w:szCs w:val="21"/>
                      <w:lang w:val="en-US" w:eastAsia="zh-CN" w:bidi="ar-SA"/>
                    </w:rPr>
                  </w:pPr>
                  <w:r>
                    <w:rPr>
                      <w:rFonts w:hint="default"/>
                      <w:color w:val="auto"/>
                      <w:lang w:val="en-US" w:eastAsia="zh-CN"/>
                    </w:rPr>
                    <w:t>废含油抹布和劳保用品</w:t>
                  </w:r>
                </w:p>
              </w:tc>
              <w:tc>
                <w:tcPr>
                  <w:tcW w:w="731" w:type="pct"/>
                  <w:tcBorders>
                    <w:tl2br w:val="nil"/>
                    <w:tr2bl w:val="nil"/>
                  </w:tcBorders>
                  <w:vAlign w:val="center"/>
                </w:tcPr>
                <w:p>
                  <w:pPr>
                    <w:pStyle w:val="33"/>
                    <w:bidi w:val="0"/>
                    <w:ind w:firstLine="0" w:firstLineChars="0"/>
                    <w:jc w:val="center"/>
                    <w:rPr>
                      <w:rFonts w:hint="eastAsia"/>
                      <w:color w:val="auto"/>
                      <w:lang w:val="en-US" w:eastAsia="zh-CN"/>
                    </w:rPr>
                  </w:pPr>
                  <w:r>
                    <w:rPr>
                      <w:rFonts w:hint="default"/>
                      <w:color w:val="auto"/>
                      <w:lang w:val="en-US" w:eastAsia="zh-CN"/>
                    </w:rPr>
                    <w:t>900-041-49</w:t>
                  </w:r>
                </w:p>
              </w:tc>
              <w:tc>
                <w:tcPr>
                  <w:tcW w:w="655" w:type="pct"/>
                  <w:tcBorders>
                    <w:tl2br w:val="nil"/>
                    <w:tr2bl w:val="nil"/>
                  </w:tcBorders>
                  <w:vAlign w:val="center"/>
                </w:tcPr>
                <w:p>
                  <w:pPr>
                    <w:pStyle w:val="33"/>
                    <w:bidi w:val="0"/>
                    <w:jc w:val="center"/>
                    <w:rPr>
                      <w:rFonts w:hint="default"/>
                      <w:color w:val="auto"/>
                      <w:lang w:val="en-US" w:eastAsia="zh-CN"/>
                    </w:rPr>
                  </w:pPr>
                  <w:r>
                    <w:rPr>
                      <w:rFonts w:hint="eastAsia"/>
                      <w:color w:val="auto"/>
                      <w:lang w:val="en-US" w:eastAsia="zh-CN"/>
                    </w:rPr>
                    <w:t>0.05</w:t>
                  </w:r>
                </w:p>
              </w:tc>
              <w:tc>
                <w:tcPr>
                  <w:tcW w:w="480" w:type="pct"/>
                  <w:vMerge w:val="continue"/>
                  <w:tcBorders>
                    <w:tl2br w:val="nil"/>
                    <w:tr2bl w:val="nil"/>
                  </w:tcBorders>
                  <w:vAlign w:val="center"/>
                </w:tcPr>
                <w:p>
                  <w:pPr>
                    <w:pStyle w:val="33"/>
                    <w:bidi w:val="0"/>
                    <w:jc w:val="center"/>
                    <w:rPr>
                      <w:rFonts w:hint="eastAsia"/>
                      <w:color w:val="auto"/>
                      <w:lang w:val="en-US" w:eastAsia="zh-CN"/>
                    </w:rPr>
                  </w:pPr>
                </w:p>
              </w:tc>
              <w:tc>
                <w:tcPr>
                  <w:tcW w:w="834" w:type="pct"/>
                  <w:vMerge w:val="continue"/>
                  <w:tcBorders>
                    <w:tl2br w:val="nil"/>
                    <w:tr2bl w:val="nil"/>
                  </w:tcBorders>
                  <w:vAlign w:val="center"/>
                </w:tcPr>
                <w:p>
                  <w:pPr>
                    <w:pStyle w:val="33"/>
                    <w:bidi w:val="0"/>
                    <w:jc w:val="center"/>
                    <w:rPr>
                      <w:rFonts w:hint="default"/>
                      <w:color w:val="auto"/>
                      <w:lang w:val="en-US" w:eastAsia="zh-CN"/>
                    </w:rPr>
                  </w:pPr>
                </w:p>
              </w:tc>
            </w:tr>
          </w:tbl>
          <w:p>
            <w:pPr>
              <w:pStyle w:val="31"/>
              <w:bidi w:val="0"/>
              <w:rPr>
                <w:rFonts w:hint="default"/>
                <w:color w:val="auto"/>
              </w:rPr>
            </w:pPr>
            <w:r>
              <w:rPr>
                <w:rFonts w:hint="default"/>
                <w:color w:val="auto"/>
              </w:rPr>
              <w:t>生活垃圾</w:t>
            </w:r>
          </w:p>
          <w:p>
            <w:pPr>
              <w:pStyle w:val="36"/>
              <w:bidi w:val="0"/>
              <w:rPr>
                <w:rFonts w:hint="default"/>
                <w:color w:val="auto"/>
              </w:rPr>
            </w:pPr>
            <w:r>
              <w:rPr>
                <w:rFonts w:hint="default"/>
                <w:color w:val="auto"/>
              </w:rPr>
              <w:t>施工期生活垃圾产生量按0.8kg/人·d计算，则施工期间生活垃圾产生量约</w:t>
            </w:r>
            <w:r>
              <w:rPr>
                <w:rFonts w:hint="eastAsia"/>
                <w:color w:val="auto"/>
                <w:lang w:val="en-US" w:eastAsia="zh-CN"/>
              </w:rPr>
              <w:t>9.66</w:t>
            </w:r>
            <w:r>
              <w:rPr>
                <w:rFonts w:hint="default"/>
                <w:color w:val="auto"/>
              </w:rPr>
              <w:t>t，</w:t>
            </w:r>
            <w:r>
              <w:rPr>
                <w:rFonts w:hint="eastAsia"/>
                <w:color w:val="auto"/>
                <w:lang w:val="en-US" w:eastAsia="zh-CN"/>
              </w:rPr>
              <w:t>生活垃圾由垃圾箱收集，定期委托清运至玛纳斯县生活垃圾填埋场进行处理。</w:t>
            </w:r>
          </w:p>
          <w:p>
            <w:pPr>
              <w:pStyle w:val="32"/>
              <w:numPr>
                <w:ilvl w:val="0"/>
                <w:numId w:val="5"/>
              </w:numPr>
              <w:bidi w:val="0"/>
              <w:spacing w:line="240" w:lineRule="auto"/>
              <w:rPr>
                <w:rFonts w:hint="default"/>
                <w:color w:val="auto"/>
              </w:rPr>
            </w:pPr>
            <w:r>
              <w:rPr>
                <w:rFonts w:hint="default"/>
                <w:color w:val="auto"/>
              </w:rPr>
              <w:t>环境风险影响分析</w:t>
            </w:r>
          </w:p>
          <w:p>
            <w:pPr>
              <w:pStyle w:val="36"/>
              <w:bidi w:val="0"/>
              <w:rPr>
                <w:rFonts w:hint="default"/>
                <w:color w:val="auto"/>
              </w:rPr>
            </w:pPr>
            <w:r>
              <w:rPr>
                <w:rFonts w:hint="default"/>
                <w:color w:val="auto"/>
              </w:rPr>
              <w:t>（1）评价依据</w:t>
            </w:r>
          </w:p>
          <w:p>
            <w:pPr>
              <w:pStyle w:val="36"/>
              <w:bidi w:val="0"/>
              <w:rPr>
                <w:rFonts w:hint="default"/>
                <w:color w:val="auto"/>
              </w:rPr>
            </w:pPr>
            <w:r>
              <w:rPr>
                <w:rFonts w:hint="default"/>
                <w:color w:val="auto"/>
              </w:rPr>
              <w:t>施工期涉及的危险物质主要为柴油、</w:t>
            </w:r>
            <w:r>
              <w:rPr>
                <w:rFonts w:hint="eastAsia"/>
                <w:color w:val="auto"/>
                <w:lang w:val="en-US" w:eastAsia="zh-CN"/>
              </w:rPr>
              <w:t>白油、</w:t>
            </w:r>
            <w:r>
              <w:rPr>
                <w:rFonts w:hint="default"/>
                <w:color w:val="auto"/>
              </w:rPr>
              <w:t>原油、伴生气。</w:t>
            </w:r>
          </w:p>
          <w:p>
            <w:pPr>
              <w:pStyle w:val="36"/>
              <w:bidi w:val="0"/>
              <w:rPr>
                <w:rFonts w:hint="eastAsia"/>
                <w:color w:val="auto"/>
                <w:lang w:val="en-US" w:eastAsia="zh-CN"/>
              </w:rPr>
            </w:pPr>
            <w:r>
              <w:rPr>
                <w:rFonts w:hint="default"/>
                <w:color w:val="auto"/>
              </w:rPr>
              <w:t>根据《建设项目环境风险评价技术导则》（HJ169-2018）附录B可知，柴油、</w:t>
            </w:r>
            <w:r>
              <w:rPr>
                <w:rFonts w:hint="eastAsia" w:ascii="Times New Roman" w:eastAsia="宋体"/>
                <w:color w:val="auto"/>
                <w:lang w:val="en-US" w:eastAsia="zh-CN"/>
              </w:rPr>
              <w:t>白油、</w:t>
            </w:r>
            <w:r>
              <w:rPr>
                <w:rFonts w:hint="default"/>
                <w:color w:val="auto"/>
              </w:rPr>
              <w:t>原油</w:t>
            </w:r>
            <w:r>
              <w:rPr>
                <w:rFonts w:hint="eastAsia"/>
                <w:color w:val="auto"/>
                <w:lang w:val="en-US" w:eastAsia="zh-CN"/>
              </w:rPr>
              <w:t>和</w:t>
            </w:r>
            <w:r>
              <w:rPr>
                <w:rFonts w:hint="default"/>
                <w:color w:val="auto"/>
              </w:rPr>
              <w:t>废润滑油</w:t>
            </w:r>
            <w:r>
              <w:rPr>
                <w:rFonts w:hint="eastAsia"/>
                <w:color w:val="auto"/>
                <w:lang w:val="en-US" w:eastAsia="zh-CN"/>
              </w:rPr>
              <w:t>均</w:t>
            </w:r>
            <w:r>
              <w:rPr>
                <w:rFonts w:hint="default"/>
                <w:color w:val="auto"/>
              </w:rPr>
              <w:t>属于</w:t>
            </w:r>
            <w:r>
              <w:rPr>
                <w:rFonts w:hint="eastAsia"/>
                <w:color w:val="auto"/>
                <w:lang w:eastAsia="zh-CN"/>
              </w:rPr>
              <w:t>“</w:t>
            </w:r>
            <w:r>
              <w:rPr>
                <w:rFonts w:hint="default"/>
                <w:color w:val="auto"/>
              </w:rPr>
              <w:t>油类物质</w:t>
            </w:r>
            <w:r>
              <w:rPr>
                <w:rFonts w:hint="eastAsia"/>
                <w:color w:val="auto"/>
                <w:lang w:eastAsia="zh-CN"/>
              </w:rPr>
              <w:t>”</w:t>
            </w:r>
            <w:r>
              <w:rPr>
                <w:rFonts w:hint="default"/>
                <w:color w:val="auto"/>
              </w:rPr>
              <w:t>，废润滑油桶、沾油废防渗材料</w:t>
            </w:r>
            <w:r>
              <w:rPr>
                <w:rFonts w:hint="eastAsia"/>
                <w:color w:val="auto"/>
                <w:lang w:eastAsia="zh-CN"/>
              </w:rPr>
              <w:t>、</w:t>
            </w:r>
            <w:r>
              <w:rPr>
                <w:rFonts w:hint="default"/>
                <w:color w:val="auto"/>
                <w:lang w:val="en-US" w:eastAsia="zh-CN"/>
              </w:rPr>
              <w:t>废含油抹布和劳保用品</w:t>
            </w:r>
            <w:r>
              <w:rPr>
                <w:rFonts w:hint="eastAsia"/>
                <w:color w:val="auto"/>
                <w:lang w:val="en-US" w:eastAsia="zh-CN"/>
              </w:rPr>
              <w:t>中的</w:t>
            </w:r>
            <w:r>
              <w:rPr>
                <w:rFonts w:hint="default"/>
                <w:color w:val="auto"/>
              </w:rPr>
              <w:t>危险物质</w:t>
            </w:r>
            <w:r>
              <w:rPr>
                <w:rFonts w:hint="eastAsia"/>
                <w:color w:val="auto"/>
                <w:lang w:val="en-US" w:eastAsia="zh-CN"/>
              </w:rPr>
              <w:t>为油类物质，</w:t>
            </w:r>
            <w:r>
              <w:rPr>
                <w:rFonts w:hint="default"/>
                <w:color w:val="auto"/>
              </w:rPr>
              <w:t>临界量均为2500t。</w:t>
            </w:r>
            <w:r>
              <w:rPr>
                <w:rFonts w:hint="eastAsia"/>
                <w:color w:val="auto"/>
                <w:lang w:val="en-US" w:eastAsia="zh-CN"/>
              </w:rPr>
              <w:t>伴生气属于“石油气”，临界量为10t。</w:t>
            </w:r>
          </w:p>
          <w:p>
            <w:pPr>
              <w:pStyle w:val="36"/>
              <w:bidi w:val="0"/>
              <w:rPr>
                <w:rFonts w:hint="eastAsia" w:eastAsia="宋体"/>
                <w:color w:val="auto"/>
                <w:lang w:val="en-US" w:eastAsia="zh-CN"/>
              </w:rPr>
            </w:pPr>
            <w:r>
              <w:rPr>
                <w:rFonts w:hint="eastAsia"/>
                <w:color w:val="auto"/>
                <w:lang w:val="en-US" w:eastAsia="zh-CN"/>
              </w:rPr>
              <w:t>钻井期</w:t>
            </w:r>
            <w:r>
              <w:rPr>
                <w:rFonts w:hint="default"/>
                <w:color w:val="auto"/>
              </w:rPr>
              <w:t>井场柴油储存量约</w:t>
            </w:r>
            <w:r>
              <w:rPr>
                <w:rFonts w:hint="eastAsia"/>
                <w:color w:val="auto"/>
                <w:lang w:val="en-US" w:eastAsia="zh-CN"/>
              </w:rPr>
              <w:t>20t</w:t>
            </w:r>
            <w:r>
              <w:rPr>
                <w:rFonts w:hint="default"/>
                <w:color w:val="auto"/>
              </w:rPr>
              <w:t>；井场</w:t>
            </w:r>
            <w:r>
              <w:rPr>
                <w:rFonts w:hint="eastAsia"/>
                <w:color w:val="auto"/>
                <w:lang w:val="en-US" w:eastAsia="zh-CN"/>
              </w:rPr>
              <w:t>储罐中</w:t>
            </w:r>
            <w:r>
              <w:rPr>
                <w:rFonts w:hint="default"/>
                <w:color w:val="auto"/>
              </w:rPr>
              <w:t>油基钻井液最大储存量</w:t>
            </w:r>
            <w:r>
              <w:rPr>
                <w:rFonts w:hint="eastAsia"/>
                <w:color w:val="auto"/>
                <w:lang w:val="en-US" w:eastAsia="zh-CN"/>
              </w:rPr>
              <w:t>900</w:t>
            </w:r>
            <w:r>
              <w:rPr>
                <w:rFonts w:hint="eastAsia" w:ascii="Times New Roman" w:eastAsia="宋体"/>
                <w:color w:val="auto"/>
                <w:lang w:val="en-US" w:eastAsia="zh-CN"/>
              </w:rPr>
              <w:t>m</w:t>
            </w:r>
            <w:r>
              <w:rPr>
                <w:rFonts w:hint="default"/>
                <w:color w:val="auto"/>
                <w:vertAlign w:val="superscript"/>
              </w:rPr>
              <w:t>3</w:t>
            </w:r>
            <w:r>
              <w:rPr>
                <w:rFonts w:hint="default"/>
                <w:color w:val="auto"/>
              </w:rPr>
              <w:t>，</w:t>
            </w:r>
            <w:r>
              <w:rPr>
                <w:rFonts w:hint="eastAsia"/>
                <w:color w:val="auto"/>
                <w:lang w:val="en-US" w:eastAsia="zh-CN"/>
              </w:rPr>
              <w:t>其中油类物质占比</w:t>
            </w:r>
            <w:r>
              <w:rPr>
                <w:rFonts w:hint="default"/>
                <w:color w:val="auto"/>
              </w:rPr>
              <w:t>30%（体积），密度取0.84g/c</w:t>
            </w:r>
            <w:r>
              <w:rPr>
                <w:rFonts w:hint="eastAsia" w:ascii="Times New Roman" w:eastAsia="宋体"/>
                <w:color w:val="auto"/>
                <w:lang w:val="en-US" w:eastAsia="zh-CN"/>
              </w:rPr>
              <w:t>m</w:t>
            </w:r>
            <w:r>
              <w:rPr>
                <w:rFonts w:hint="default"/>
                <w:color w:val="auto"/>
                <w:vertAlign w:val="superscript"/>
              </w:rPr>
              <w:t>3</w:t>
            </w:r>
            <w:r>
              <w:rPr>
                <w:rFonts w:hint="default"/>
                <w:color w:val="auto"/>
              </w:rPr>
              <w:t>，</w:t>
            </w:r>
            <w:r>
              <w:rPr>
                <w:rFonts w:hint="eastAsia" w:ascii="Times New Roman" w:eastAsia="宋体"/>
                <w:color w:val="auto"/>
                <w:lang w:val="en-US" w:eastAsia="zh-CN"/>
              </w:rPr>
              <w:t>质</w:t>
            </w:r>
            <w:r>
              <w:rPr>
                <w:rFonts w:hint="default"/>
                <w:color w:val="auto"/>
              </w:rPr>
              <w:t>量为</w:t>
            </w:r>
            <w:r>
              <w:rPr>
                <w:rFonts w:hint="eastAsia"/>
                <w:color w:val="auto"/>
                <w:lang w:val="en-US" w:eastAsia="zh-CN"/>
              </w:rPr>
              <w:t>226.8</w:t>
            </w:r>
            <w:r>
              <w:rPr>
                <w:rFonts w:hint="default"/>
                <w:color w:val="auto"/>
              </w:rPr>
              <w:t>t；</w:t>
            </w:r>
            <w:r>
              <w:rPr>
                <w:rFonts w:hint="eastAsia"/>
                <w:color w:val="auto"/>
                <w:lang w:val="en-US" w:eastAsia="zh-CN"/>
              </w:rPr>
              <w:t>井筒总容积约1383m</w:t>
            </w:r>
            <w:r>
              <w:rPr>
                <w:rFonts w:hint="eastAsia"/>
                <w:color w:val="auto"/>
                <w:vertAlign w:val="superscript"/>
                <w:lang w:val="en-US" w:eastAsia="zh-CN"/>
              </w:rPr>
              <w:t>3</w:t>
            </w:r>
            <w:r>
              <w:rPr>
                <w:rFonts w:hint="eastAsia"/>
                <w:color w:val="auto"/>
                <w:lang w:val="en-US" w:eastAsia="zh-CN"/>
              </w:rPr>
              <w:t>，其中钻井液占井筒内固液混合物的比例约为60%</w:t>
            </w:r>
            <w:r>
              <w:rPr>
                <w:rFonts w:hint="default"/>
                <w:color w:val="auto"/>
              </w:rPr>
              <w:t>（体积）</w:t>
            </w:r>
            <w:r>
              <w:rPr>
                <w:rFonts w:hint="eastAsia"/>
                <w:color w:val="auto"/>
                <w:lang w:val="en-US" w:eastAsia="zh-CN"/>
              </w:rPr>
              <w:t>，</w:t>
            </w:r>
            <w:r>
              <w:rPr>
                <w:rFonts w:hint="eastAsia" w:ascii="Times New Roman" w:eastAsia="宋体"/>
                <w:color w:val="auto"/>
                <w:lang w:val="en-US" w:eastAsia="zh-CN"/>
              </w:rPr>
              <w:t>油类物质</w:t>
            </w:r>
            <w:r>
              <w:rPr>
                <w:rFonts w:hint="default"/>
                <w:color w:val="auto"/>
              </w:rPr>
              <w:t>的含量为30%（体积）</w:t>
            </w:r>
            <w:r>
              <w:rPr>
                <w:rFonts w:hint="eastAsia"/>
                <w:color w:val="auto"/>
                <w:lang w:eastAsia="zh-CN"/>
              </w:rPr>
              <w:t>，</w:t>
            </w:r>
            <w:r>
              <w:rPr>
                <w:rFonts w:hint="default"/>
                <w:color w:val="auto"/>
              </w:rPr>
              <w:t>密度取0.84g/c</w:t>
            </w:r>
            <w:r>
              <w:rPr>
                <w:rFonts w:hint="eastAsia" w:ascii="Times New Roman" w:eastAsia="宋体"/>
                <w:color w:val="auto"/>
                <w:lang w:val="en-US" w:eastAsia="zh-CN"/>
              </w:rPr>
              <w:t>m</w:t>
            </w:r>
            <w:r>
              <w:rPr>
                <w:rFonts w:hint="default"/>
                <w:color w:val="auto"/>
                <w:vertAlign w:val="superscript"/>
              </w:rPr>
              <w:t>3</w:t>
            </w:r>
            <w:r>
              <w:rPr>
                <w:rFonts w:hint="eastAsia"/>
                <w:color w:val="auto"/>
                <w:lang w:eastAsia="zh-CN"/>
              </w:rPr>
              <w:t>，</w:t>
            </w:r>
            <w:r>
              <w:rPr>
                <w:rFonts w:hint="eastAsia"/>
                <w:color w:val="auto"/>
                <w:lang w:val="en-US" w:eastAsia="zh-CN"/>
              </w:rPr>
              <w:t>则井筒中</w:t>
            </w:r>
            <w:r>
              <w:rPr>
                <w:rFonts w:hint="eastAsia" w:ascii="Times New Roman" w:eastAsia="宋体"/>
                <w:color w:val="auto"/>
                <w:lang w:val="en-US" w:eastAsia="zh-CN"/>
              </w:rPr>
              <w:t>油类物质</w:t>
            </w:r>
            <w:r>
              <w:rPr>
                <w:rFonts w:hint="eastAsia"/>
                <w:color w:val="auto"/>
                <w:lang w:val="en-US" w:eastAsia="zh-CN"/>
              </w:rPr>
              <w:t>最大存在量为209t；综上，井场钻井液中油类物质的总量为435.8t。</w:t>
            </w:r>
            <w:r>
              <w:rPr>
                <w:rFonts w:hint="default"/>
                <w:color w:val="auto"/>
              </w:rPr>
              <w:t>油基岩屑</w:t>
            </w:r>
            <w:r>
              <w:rPr>
                <w:rFonts w:hint="eastAsia"/>
                <w:color w:val="auto"/>
                <w:lang w:val="en-US" w:eastAsia="zh-CN"/>
              </w:rPr>
              <w:t>清运前在储罐收集，约</w:t>
            </w:r>
            <w:r>
              <w:rPr>
                <w:rFonts w:hint="default"/>
                <w:color w:val="auto"/>
              </w:rPr>
              <w:t>100</w:t>
            </w:r>
            <w:r>
              <w:rPr>
                <w:rFonts w:hint="eastAsia" w:ascii="Times New Roman" w:eastAsia="宋体"/>
                <w:color w:val="auto"/>
                <w:lang w:val="en-US" w:eastAsia="zh-CN"/>
              </w:rPr>
              <w:t>m</w:t>
            </w:r>
            <w:r>
              <w:rPr>
                <w:rFonts w:hint="default"/>
                <w:color w:val="auto"/>
                <w:vertAlign w:val="superscript"/>
              </w:rPr>
              <w:t>3</w:t>
            </w:r>
            <w:r>
              <w:rPr>
                <w:rFonts w:hint="eastAsia"/>
                <w:color w:val="auto"/>
                <w:vertAlign w:val="baseline"/>
                <w:lang w:eastAsia="zh-CN"/>
              </w:rPr>
              <w:t>（</w:t>
            </w:r>
            <w:r>
              <w:rPr>
                <w:rFonts w:hint="eastAsia"/>
                <w:color w:val="auto"/>
                <w:vertAlign w:val="baseline"/>
                <w:lang w:val="en-US" w:eastAsia="zh-CN"/>
              </w:rPr>
              <w:t>250t</w:t>
            </w:r>
            <w:r>
              <w:rPr>
                <w:rFonts w:hint="eastAsia" w:eastAsia="宋体"/>
                <w:color w:val="auto"/>
                <w:vertAlign w:val="baseline"/>
                <w:lang w:eastAsia="zh-CN"/>
              </w:rPr>
              <w:t>）</w:t>
            </w:r>
            <w:r>
              <w:rPr>
                <w:rFonts w:hint="default"/>
                <w:color w:val="auto"/>
              </w:rPr>
              <w:t>，</w:t>
            </w:r>
            <w:r>
              <w:rPr>
                <w:rFonts w:hint="eastAsia"/>
                <w:color w:val="auto"/>
                <w:lang w:val="en-US" w:eastAsia="zh-CN"/>
              </w:rPr>
              <w:t>类比同类项目油类物质含量平均15%，则油基岩屑中油类物质为37.5t。</w:t>
            </w:r>
            <w:r>
              <w:rPr>
                <w:rFonts w:hint="default"/>
                <w:color w:val="auto"/>
              </w:rPr>
              <w:t>危险废物贮存点废润滑油、废润滑油桶及沾油废防渗材料</w:t>
            </w:r>
            <w:r>
              <w:rPr>
                <w:rFonts w:hint="eastAsia"/>
                <w:color w:val="auto"/>
                <w:lang w:eastAsia="zh-CN"/>
              </w:rPr>
              <w:t>、</w:t>
            </w:r>
            <w:r>
              <w:rPr>
                <w:rFonts w:hint="default"/>
                <w:color w:val="auto"/>
                <w:lang w:val="en-US" w:eastAsia="zh-CN"/>
              </w:rPr>
              <w:t>废含油抹布和劳保用品</w:t>
            </w:r>
            <w:r>
              <w:rPr>
                <w:rFonts w:hint="default"/>
                <w:color w:val="auto"/>
              </w:rPr>
              <w:t>中石油类最大暂存量约为</w:t>
            </w:r>
            <w:r>
              <w:rPr>
                <w:rFonts w:hint="eastAsia"/>
                <w:color w:val="auto"/>
                <w:lang w:val="en-US" w:eastAsia="zh-CN"/>
              </w:rPr>
              <w:t>0.9</w:t>
            </w:r>
            <w:r>
              <w:rPr>
                <w:rFonts w:hint="default"/>
                <w:color w:val="auto"/>
              </w:rPr>
              <w:t>t</w:t>
            </w:r>
            <w:r>
              <w:rPr>
                <w:rFonts w:hint="eastAsia"/>
                <w:color w:val="auto"/>
                <w:lang w:eastAsia="zh-CN"/>
              </w:rPr>
              <w:t>。</w:t>
            </w:r>
          </w:p>
          <w:p>
            <w:pPr>
              <w:pStyle w:val="36"/>
              <w:bidi w:val="0"/>
              <w:rPr>
                <w:rFonts w:hint="eastAsia" w:eastAsia="宋体"/>
                <w:color w:val="auto"/>
                <w:lang w:val="en-US" w:eastAsia="zh-CN"/>
              </w:rPr>
            </w:pPr>
            <w:r>
              <w:rPr>
                <w:rFonts w:hint="default"/>
                <w:color w:val="auto"/>
              </w:rPr>
              <w:t>试油期产生的伴生气气量不稳定，伴生气</w:t>
            </w:r>
            <w:r>
              <w:rPr>
                <w:rFonts w:hint="eastAsia"/>
                <w:color w:val="auto"/>
                <w:lang w:val="en-US" w:eastAsia="zh-CN"/>
              </w:rPr>
              <w:t>通过排气管线燃烧后排放，其</w:t>
            </w:r>
            <w:r>
              <w:rPr>
                <w:rFonts w:hint="default"/>
                <w:color w:val="auto"/>
              </w:rPr>
              <w:t>最大存在量远低于临界量（10t）；试油期柴油在井场的日常储量为2</w:t>
            </w:r>
            <w:r>
              <w:rPr>
                <w:rFonts w:hint="default"/>
                <w:color w:val="auto"/>
                <w:lang w:val="en-US" w:eastAsia="zh-CN"/>
              </w:rPr>
              <w:t>0</w:t>
            </w:r>
            <w:r>
              <w:rPr>
                <w:rFonts w:hint="default"/>
                <w:color w:val="auto"/>
              </w:rPr>
              <w:t>t；试油期井场设置方罐4个，每个方罐容积为20</w:t>
            </w:r>
            <w:r>
              <w:rPr>
                <w:rFonts w:hint="eastAsia" w:ascii="Times New Roman" w:eastAsia="宋体"/>
                <w:color w:val="auto"/>
                <w:lang w:val="en-US" w:eastAsia="zh-CN"/>
              </w:rPr>
              <w:t>m</w:t>
            </w:r>
            <w:r>
              <w:rPr>
                <w:rFonts w:hint="default"/>
                <w:color w:val="auto"/>
                <w:vertAlign w:val="superscript"/>
              </w:rPr>
              <w:t>3</w:t>
            </w:r>
            <w:r>
              <w:rPr>
                <w:rFonts w:hint="default"/>
                <w:color w:val="auto"/>
              </w:rPr>
              <w:t>，原油平均密度为0.87g/c</w:t>
            </w:r>
            <w:r>
              <w:rPr>
                <w:rFonts w:hint="eastAsia" w:ascii="Times New Roman" w:eastAsia="宋体"/>
                <w:color w:val="auto"/>
                <w:lang w:val="en-US" w:eastAsia="zh-CN"/>
              </w:rPr>
              <w:t>m</w:t>
            </w:r>
            <w:r>
              <w:rPr>
                <w:rFonts w:hint="default"/>
                <w:color w:val="auto"/>
                <w:vertAlign w:val="superscript"/>
              </w:rPr>
              <w:t>3</w:t>
            </w:r>
            <w:r>
              <w:rPr>
                <w:rFonts w:hint="default"/>
                <w:color w:val="auto"/>
              </w:rPr>
              <w:t>，则采出液中原油最大储存量约69.6t。危险废物贮存点废润滑油、废润滑油桶及沾油废防渗材料</w:t>
            </w:r>
            <w:r>
              <w:rPr>
                <w:rFonts w:hint="eastAsia"/>
                <w:color w:val="auto"/>
                <w:lang w:eastAsia="zh-CN"/>
              </w:rPr>
              <w:t>、</w:t>
            </w:r>
            <w:r>
              <w:rPr>
                <w:rFonts w:hint="default"/>
                <w:color w:val="auto"/>
                <w:lang w:val="en-US" w:eastAsia="zh-CN"/>
              </w:rPr>
              <w:t>废含油抹布和劳保用品</w:t>
            </w:r>
            <w:r>
              <w:rPr>
                <w:rFonts w:hint="default"/>
                <w:color w:val="auto"/>
              </w:rPr>
              <w:t>中石油类最大暂存量约</w:t>
            </w:r>
            <w:r>
              <w:rPr>
                <w:rFonts w:hint="eastAsia" w:ascii="Times New Roman" w:eastAsia="宋体"/>
                <w:color w:val="auto"/>
                <w:lang w:val="en-US" w:eastAsia="zh-CN"/>
              </w:rPr>
              <w:t>0.</w:t>
            </w:r>
            <w:r>
              <w:rPr>
                <w:rFonts w:hint="eastAsia"/>
                <w:color w:val="auto"/>
                <w:lang w:val="en-US" w:eastAsia="zh-CN"/>
              </w:rPr>
              <w:t>4</w:t>
            </w:r>
            <w:r>
              <w:rPr>
                <w:rFonts w:hint="eastAsia" w:ascii="Times New Roman" w:eastAsia="宋体"/>
                <w:color w:val="auto"/>
                <w:lang w:val="en-US" w:eastAsia="zh-CN"/>
              </w:rPr>
              <w:t>t</w:t>
            </w:r>
            <w:r>
              <w:rPr>
                <w:rFonts w:hint="eastAsia"/>
                <w:color w:val="auto"/>
                <w:lang w:eastAsia="zh-CN"/>
              </w:rPr>
              <w:t>。</w:t>
            </w:r>
          </w:p>
          <w:p>
            <w:pPr>
              <w:pStyle w:val="36"/>
              <w:bidi w:val="0"/>
              <w:rPr>
                <w:rFonts w:hint="default"/>
                <w:color w:val="auto"/>
              </w:rPr>
            </w:pPr>
            <w:r>
              <w:rPr>
                <w:rFonts w:hint="default"/>
                <w:color w:val="auto"/>
                <w:lang w:val="en-US" w:eastAsia="zh-CN"/>
              </w:rPr>
              <w:t>本项目</w:t>
            </w:r>
            <w:r>
              <w:rPr>
                <w:rFonts w:hint="eastAsia" w:ascii="Times New Roman" w:eastAsia="宋体"/>
                <w:color w:val="auto"/>
                <w:lang w:val="en-US" w:eastAsia="zh-CN"/>
              </w:rPr>
              <w:t>钻井和试油期</w:t>
            </w:r>
            <w:r>
              <w:rPr>
                <w:rFonts w:hint="default"/>
                <w:color w:val="auto"/>
              </w:rPr>
              <w:t>各危险物质与临界量的比值计算情况</w:t>
            </w:r>
            <w:r>
              <w:rPr>
                <w:rFonts w:hint="eastAsia"/>
                <w:color w:val="auto"/>
                <w:lang w:val="en-US" w:eastAsia="zh-CN"/>
              </w:rPr>
              <w:t>见下表</w:t>
            </w:r>
            <w:r>
              <w:rPr>
                <w:rFonts w:hint="default"/>
                <w:color w:val="auto"/>
              </w:rPr>
              <w:t>：</w:t>
            </w:r>
          </w:p>
          <w:p>
            <w:pPr>
              <w:pStyle w:val="52"/>
              <w:bidi w:val="0"/>
              <w:rPr>
                <w:rFonts w:hint="default"/>
                <w:color w:val="auto"/>
              </w:rPr>
            </w:pPr>
            <w:r>
              <w:rPr>
                <w:rFonts w:hint="default"/>
                <w:color w:val="auto"/>
              </w:rPr>
              <w:t>表</w:t>
            </w:r>
            <w:r>
              <w:rPr>
                <w:rFonts w:hint="default"/>
                <w:color w:val="auto"/>
                <w:lang w:val="en-US" w:eastAsia="zh-CN"/>
              </w:rPr>
              <w:t>4-</w:t>
            </w:r>
            <w:r>
              <w:rPr>
                <w:rFonts w:hint="eastAsia"/>
                <w:color w:val="auto"/>
                <w:lang w:val="en-US" w:eastAsia="zh-CN"/>
              </w:rPr>
              <w:t>8</w:t>
            </w:r>
            <w:r>
              <w:rPr>
                <w:rFonts w:hint="default"/>
                <w:color w:val="auto"/>
              </w:rPr>
              <w:t xml:space="preserve">  </w:t>
            </w:r>
            <w:r>
              <w:rPr>
                <w:rFonts w:hint="default"/>
                <w:color w:val="auto"/>
                <w:lang w:val="en-US" w:eastAsia="zh-CN"/>
              </w:rPr>
              <w:t>本项目</w:t>
            </w:r>
            <w:r>
              <w:rPr>
                <w:rFonts w:hint="default"/>
                <w:color w:val="auto"/>
              </w:rPr>
              <w:t>井场各风险单元Q值一览表</w:t>
            </w:r>
          </w:p>
          <w:tbl>
            <w:tblPr>
              <w:tblStyle w:val="23"/>
              <w:tblW w:w="4995"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34"/>
              <w:gridCol w:w="733"/>
              <w:gridCol w:w="2714"/>
              <w:gridCol w:w="1302"/>
              <w:gridCol w:w="1184"/>
              <w:gridCol w:w="885"/>
              <w:gridCol w:w="81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84" w:type="pct"/>
                  <w:tcBorders>
                    <w:tl2br w:val="nil"/>
                    <w:tr2bl w:val="nil"/>
                  </w:tcBorders>
                  <w:shd w:val="clear" w:color="auto" w:fill="auto"/>
                  <w:vAlign w:val="center"/>
                </w:tcPr>
                <w:p>
                  <w:pPr>
                    <w:pStyle w:val="33"/>
                    <w:bidi w:val="0"/>
                    <w:rPr>
                      <w:rFonts w:hint="default"/>
                      <w:color w:val="auto"/>
                      <w:lang w:val="en-US" w:eastAsia="zh-CN"/>
                    </w:rPr>
                  </w:pPr>
                  <w:r>
                    <w:rPr>
                      <w:rFonts w:hint="eastAsia"/>
                      <w:color w:val="auto"/>
                      <w:lang w:val="en-US" w:eastAsia="zh-CN"/>
                    </w:rPr>
                    <w:t>时段</w:t>
                  </w:r>
                </w:p>
              </w:tc>
              <w:tc>
                <w:tcPr>
                  <w:tcW w:w="443" w:type="pct"/>
                  <w:tcBorders>
                    <w:tl2br w:val="nil"/>
                    <w:tr2bl w:val="nil"/>
                  </w:tcBorders>
                  <w:shd w:val="clear" w:color="auto" w:fill="auto"/>
                  <w:vAlign w:val="center"/>
                </w:tcPr>
                <w:p>
                  <w:pPr>
                    <w:pStyle w:val="33"/>
                    <w:bidi w:val="0"/>
                    <w:rPr>
                      <w:rFonts w:hint="default"/>
                      <w:color w:val="auto"/>
                      <w:lang w:val="en-US"/>
                    </w:rPr>
                  </w:pPr>
                  <w:r>
                    <w:rPr>
                      <w:rFonts w:hint="eastAsia"/>
                      <w:color w:val="auto"/>
                      <w:lang w:val="en-US" w:eastAsia="zh-CN"/>
                    </w:rPr>
                    <w:t>风险单元</w:t>
                  </w:r>
                </w:p>
              </w:tc>
              <w:tc>
                <w:tcPr>
                  <w:tcW w:w="1641" w:type="pct"/>
                  <w:tcBorders>
                    <w:tl2br w:val="nil"/>
                    <w:tr2bl w:val="nil"/>
                  </w:tcBorders>
                  <w:shd w:val="clear" w:color="auto" w:fill="auto"/>
                  <w:vAlign w:val="center"/>
                </w:tcPr>
                <w:p>
                  <w:pPr>
                    <w:pStyle w:val="33"/>
                    <w:bidi w:val="0"/>
                    <w:rPr>
                      <w:rFonts w:hint="eastAsia"/>
                      <w:color w:val="auto"/>
                    </w:rPr>
                  </w:pPr>
                  <w:r>
                    <w:rPr>
                      <w:rFonts w:hint="eastAsia"/>
                      <w:color w:val="auto"/>
                      <w:lang w:val="en-US" w:eastAsia="zh-CN"/>
                    </w:rPr>
                    <w:t>危险物质名称</w:t>
                  </w:r>
                </w:p>
              </w:tc>
              <w:tc>
                <w:tcPr>
                  <w:tcW w:w="787" w:type="pct"/>
                  <w:tcBorders>
                    <w:tl2br w:val="nil"/>
                    <w:tr2bl w:val="nil"/>
                  </w:tcBorders>
                  <w:shd w:val="clear" w:color="auto" w:fill="auto"/>
                  <w:vAlign w:val="center"/>
                </w:tcPr>
                <w:p>
                  <w:pPr>
                    <w:pStyle w:val="33"/>
                    <w:bidi w:val="0"/>
                    <w:rPr>
                      <w:rFonts w:hint="eastAsia"/>
                      <w:color w:val="auto"/>
                    </w:rPr>
                  </w:pPr>
                  <w:r>
                    <w:rPr>
                      <w:rFonts w:hint="eastAsia"/>
                      <w:color w:val="auto"/>
                      <w:lang w:val="en-US" w:eastAsia="zh-CN"/>
                    </w:rPr>
                    <w:t>危险物质最大在线量（</w:t>
                  </w:r>
                  <w:r>
                    <w:rPr>
                      <w:color w:val="auto"/>
                      <w:lang w:val="en-US" w:eastAsia="zh-CN"/>
                    </w:rPr>
                    <w:t>t</w:t>
                  </w:r>
                  <w:r>
                    <w:rPr>
                      <w:rFonts w:hint="eastAsia"/>
                      <w:color w:val="auto"/>
                      <w:lang w:val="en-US" w:eastAsia="zh-CN"/>
                    </w:rPr>
                    <w:t>）</w:t>
                  </w:r>
                </w:p>
              </w:tc>
              <w:tc>
                <w:tcPr>
                  <w:tcW w:w="716" w:type="pct"/>
                  <w:tcBorders>
                    <w:tl2br w:val="nil"/>
                    <w:tr2bl w:val="nil"/>
                  </w:tcBorders>
                  <w:shd w:val="clear" w:color="auto" w:fill="auto"/>
                  <w:vAlign w:val="center"/>
                </w:tcPr>
                <w:p>
                  <w:pPr>
                    <w:pStyle w:val="33"/>
                    <w:bidi w:val="0"/>
                    <w:rPr>
                      <w:rFonts w:hint="eastAsia"/>
                      <w:color w:val="auto"/>
                    </w:rPr>
                  </w:pPr>
                  <w:r>
                    <w:rPr>
                      <w:rFonts w:hint="eastAsia"/>
                      <w:color w:val="auto"/>
                      <w:lang w:val="en-US" w:eastAsia="zh-CN"/>
                    </w:rPr>
                    <w:t>危险物质临界量（</w:t>
                  </w:r>
                  <w:r>
                    <w:rPr>
                      <w:color w:val="auto"/>
                      <w:lang w:val="en-US" w:eastAsia="zh-CN"/>
                    </w:rPr>
                    <w:t>t</w:t>
                  </w:r>
                  <w:r>
                    <w:rPr>
                      <w:rFonts w:hint="eastAsia"/>
                      <w:color w:val="auto"/>
                      <w:lang w:val="en-US" w:eastAsia="zh-CN"/>
                    </w:rPr>
                    <w:t>）</w:t>
                  </w:r>
                </w:p>
              </w:tc>
              <w:tc>
                <w:tcPr>
                  <w:tcW w:w="535" w:type="pct"/>
                  <w:tcBorders>
                    <w:tl2br w:val="nil"/>
                    <w:tr2bl w:val="nil"/>
                  </w:tcBorders>
                  <w:shd w:val="clear" w:color="auto" w:fill="auto"/>
                  <w:vAlign w:val="center"/>
                </w:tcPr>
                <w:p>
                  <w:pPr>
                    <w:pStyle w:val="33"/>
                    <w:bidi w:val="0"/>
                    <w:rPr>
                      <w:rFonts w:hint="default"/>
                      <w:color w:val="auto"/>
                    </w:rPr>
                  </w:pPr>
                  <w:r>
                    <w:rPr>
                      <w:color w:val="auto"/>
                      <w:lang w:val="en-US" w:eastAsia="zh-CN"/>
                    </w:rPr>
                    <w:t>Q</w:t>
                  </w:r>
                  <w:r>
                    <w:rPr>
                      <w:rFonts w:hint="eastAsia"/>
                      <w:color w:val="auto"/>
                      <w:lang w:val="en-US" w:eastAsia="zh-CN"/>
                    </w:rPr>
                    <w:t>值</w:t>
                  </w:r>
                </w:p>
              </w:tc>
              <w:tc>
                <w:tcPr>
                  <w:tcW w:w="491" w:type="pct"/>
                  <w:tcBorders>
                    <w:tl2br w:val="nil"/>
                    <w:tr2bl w:val="nil"/>
                  </w:tcBorders>
                  <w:shd w:val="clear" w:color="auto" w:fill="auto"/>
                  <w:vAlign w:val="center"/>
                </w:tcPr>
                <w:p>
                  <w:pPr>
                    <w:pStyle w:val="33"/>
                    <w:bidi w:val="0"/>
                    <w:rPr>
                      <w:rFonts w:hint="eastAsia"/>
                      <w:color w:val="auto"/>
                    </w:rPr>
                  </w:pPr>
                  <w:r>
                    <w:rPr>
                      <w:rFonts w:hint="eastAsia"/>
                      <w:color w:val="auto"/>
                      <w:lang w:val="en-US" w:eastAsia="zh-CN"/>
                    </w:rPr>
                    <w:t>风险潜势等级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84" w:type="pct"/>
                  <w:vMerge w:val="restart"/>
                  <w:tcBorders>
                    <w:tl2br w:val="nil"/>
                    <w:tr2bl w:val="nil"/>
                  </w:tcBorders>
                  <w:shd w:val="clear" w:color="auto" w:fill="auto"/>
                  <w:vAlign w:val="center"/>
                </w:tcPr>
                <w:p>
                  <w:pPr>
                    <w:pStyle w:val="33"/>
                    <w:bidi w:val="0"/>
                    <w:rPr>
                      <w:rFonts w:hint="default"/>
                      <w:color w:val="auto"/>
                      <w:lang w:val="en-US" w:eastAsia="zh-CN"/>
                    </w:rPr>
                  </w:pPr>
                  <w:r>
                    <w:rPr>
                      <w:rFonts w:hint="eastAsia"/>
                      <w:color w:val="auto"/>
                      <w:lang w:val="en-US" w:eastAsia="zh-CN"/>
                    </w:rPr>
                    <w:t>钻井期</w:t>
                  </w:r>
                </w:p>
              </w:tc>
              <w:tc>
                <w:tcPr>
                  <w:tcW w:w="443" w:type="pct"/>
                  <w:vMerge w:val="restart"/>
                  <w:tcBorders>
                    <w:tl2br w:val="nil"/>
                    <w:tr2bl w:val="nil"/>
                  </w:tcBorders>
                  <w:shd w:val="clear" w:color="auto" w:fill="auto"/>
                  <w:vAlign w:val="center"/>
                </w:tcPr>
                <w:p>
                  <w:pPr>
                    <w:pStyle w:val="33"/>
                    <w:bidi w:val="0"/>
                    <w:rPr>
                      <w:rFonts w:hint="eastAsia"/>
                      <w:color w:val="auto"/>
                    </w:rPr>
                  </w:pPr>
                  <w:r>
                    <w:rPr>
                      <w:rFonts w:hint="eastAsia"/>
                      <w:color w:val="auto"/>
                      <w:lang w:val="en-US" w:eastAsia="zh-CN"/>
                    </w:rPr>
                    <w:t>钻井井场</w:t>
                  </w:r>
                </w:p>
              </w:tc>
              <w:tc>
                <w:tcPr>
                  <w:tcW w:w="1641" w:type="pct"/>
                  <w:tcBorders>
                    <w:tl2br w:val="nil"/>
                    <w:tr2bl w:val="nil"/>
                  </w:tcBorders>
                  <w:shd w:val="clear" w:color="auto" w:fill="auto"/>
                  <w:vAlign w:val="center"/>
                </w:tcPr>
                <w:p>
                  <w:pPr>
                    <w:pStyle w:val="33"/>
                    <w:bidi w:val="0"/>
                    <w:rPr>
                      <w:rFonts w:hint="eastAsia"/>
                      <w:color w:val="auto"/>
                    </w:rPr>
                  </w:pPr>
                  <w:r>
                    <w:rPr>
                      <w:rFonts w:hint="eastAsia"/>
                      <w:color w:val="auto"/>
                      <w:lang w:val="en-US" w:eastAsia="zh-CN"/>
                    </w:rPr>
                    <w:t>柴油</w:t>
                  </w:r>
                </w:p>
              </w:tc>
              <w:tc>
                <w:tcPr>
                  <w:tcW w:w="787" w:type="pct"/>
                  <w:tcBorders>
                    <w:tl2br w:val="nil"/>
                    <w:tr2bl w:val="nil"/>
                  </w:tcBorders>
                  <w:shd w:val="clear" w:color="auto" w:fill="auto"/>
                  <w:vAlign w:val="center"/>
                </w:tcPr>
                <w:p>
                  <w:pPr>
                    <w:pStyle w:val="33"/>
                    <w:bidi w:val="0"/>
                    <w:rPr>
                      <w:rFonts w:hint="default"/>
                      <w:color w:val="auto"/>
                    </w:rPr>
                  </w:pPr>
                  <w:r>
                    <w:rPr>
                      <w:rFonts w:hint="default"/>
                      <w:color w:val="auto"/>
                      <w:lang w:val="en-US" w:eastAsia="zh-CN"/>
                    </w:rPr>
                    <w:t>20</w:t>
                  </w:r>
                </w:p>
              </w:tc>
              <w:tc>
                <w:tcPr>
                  <w:tcW w:w="716" w:type="pct"/>
                  <w:vMerge w:val="restart"/>
                  <w:tcBorders>
                    <w:tl2br w:val="nil"/>
                    <w:tr2bl w:val="nil"/>
                  </w:tcBorders>
                  <w:shd w:val="clear" w:color="auto" w:fill="auto"/>
                  <w:vAlign w:val="center"/>
                </w:tcPr>
                <w:p>
                  <w:pPr>
                    <w:pStyle w:val="33"/>
                    <w:bidi w:val="0"/>
                    <w:rPr>
                      <w:rFonts w:hint="default"/>
                      <w:color w:val="auto"/>
                      <w:lang w:val="en-US" w:eastAsia="zh-CN"/>
                    </w:rPr>
                  </w:pPr>
                  <w:r>
                    <w:rPr>
                      <w:rFonts w:hint="eastAsia"/>
                      <w:color w:val="auto"/>
                      <w:lang w:val="en-US" w:eastAsia="zh-CN"/>
                    </w:rPr>
                    <w:t>2500</w:t>
                  </w:r>
                </w:p>
              </w:tc>
              <w:tc>
                <w:tcPr>
                  <w:tcW w:w="535" w:type="pct"/>
                  <w:tcBorders>
                    <w:tl2br w:val="nil"/>
                    <w:tr2bl w:val="nil"/>
                  </w:tcBorders>
                  <w:shd w:val="clear" w:color="auto" w:fill="auto"/>
                  <w:vAlign w:val="center"/>
                </w:tcPr>
                <w:p>
                  <w:pPr>
                    <w:pStyle w:val="33"/>
                    <w:bidi w:val="0"/>
                    <w:rPr>
                      <w:rFonts w:hint="default"/>
                      <w:color w:val="auto"/>
                    </w:rPr>
                  </w:pPr>
                  <w:r>
                    <w:rPr>
                      <w:rFonts w:hint="default"/>
                      <w:color w:val="auto"/>
                      <w:lang w:val="en-US" w:eastAsia="zh-CN"/>
                    </w:rPr>
                    <w:t xml:space="preserve">0.0080 </w:t>
                  </w:r>
                </w:p>
              </w:tc>
              <w:tc>
                <w:tcPr>
                  <w:tcW w:w="491" w:type="pct"/>
                  <w:vMerge w:val="restart"/>
                  <w:tcBorders>
                    <w:tl2br w:val="nil"/>
                    <w:tr2bl w:val="nil"/>
                  </w:tcBorders>
                  <w:shd w:val="clear" w:color="auto" w:fill="auto"/>
                  <w:vAlign w:val="center"/>
                </w:tcPr>
                <w:p>
                  <w:pPr>
                    <w:pStyle w:val="33"/>
                    <w:bidi w:val="0"/>
                    <w:rPr>
                      <w:rFonts w:hint="default"/>
                      <w:color w:val="auto"/>
                    </w:rPr>
                  </w:pPr>
                  <w:r>
                    <w:rPr>
                      <w:color w:val="auto"/>
                      <w:lang w:val="en-US" w:eastAsia="zh-CN"/>
                    </w:rPr>
                    <w:t>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384" w:type="pct"/>
                  <w:vMerge w:val="continue"/>
                  <w:tcBorders>
                    <w:tl2br w:val="nil"/>
                    <w:tr2bl w:val="nil"/>
                  </w:tcBorders>
                  <w:shd w:val="clear" w:color="auto" w:fill="auto"/>
                  <w:vAlign w:val="center"/>
                </w:tcPr>
                <w:p>
                  <w:pPr>
                    <w:pStyle w:val="33"/>
                    <w:bidi w:val="0"/>
                    <w:rPr>
                      <w:rFonts w:hint="eastAsia"/>
                      <w:color w:val="auto"/>
                    </w:rPr>
                  </w:pPr>
                </w:p>
              </w:tc>
              <w:tc>
                <w:tcPr>
                  <w:tcW w:w="443" w:type="pct"/>
                  <w:vMerge w:val="continue"/>
                  <w:tcBorders>
                    <w:tl2br w:val="nil"/>
                    <w:tr2bl w:val="nil"/>
                  </w:tcBorders>
                  <w:shd w:val="clear" w:color="auto" w:fill="auto"/>
                  <w:vAlign w:val="center"/>
                </w:tcPr>
                <w:p>
                  <w:pPr>
                    <w:pStyle w:val="33"/>
                    <w:bidi w:val="0"/>
                    <w:rPr>
                      <w:rFonts w:hint="eastAsia"/>
                      <w:color w:val="auto"/>
                    </w:rPr>
                  </w:pPr>
                </w:p>
              </w:tc>
              <w:tc>
                <w:tcPr>
                  <w:tcW w:w="1641" w:type="pct"/>
                  <w:tcBorders>
                    <w:tl2br w:val="nil"/>
                    <w:tr2bl w:val="nil"/>
                  </w:tcBorders>
                  <w:shd w:val="clear" w:color="auto" w:fill="auto"/>
                  <w:vAlign w:val="center"/>
                </w:tcPr>
                <w:p>
                  <w:pPr>
                    <w:pStyle w:val="33"/>
                    <w:bidi w:val="0"/>
                    <w:rPr>
                      <w:rFonts w:hint="eastAsia"/>
                      <w:color w:val="auto"/>
                    </w:rPr>
                  </w:pPr>
                  <w:r>
                    <w:rPr>
                      <w:rFonts w:hint="eastAsia"/>
                      <w:color w:val="auto"/>
                      <w:lang w:val="en-US" w:eastAsia="zh-CN"/>
                    </w:rPr>
                    <w:t>油类物质（油基钻井液）</w:t>
                  </w:r>
                </w:p>
              </w:tc>
              <w:tc>
                <w:tcPr>
                  <w:tcW w:w="787" w:type="pct"/>
                  <w:tcBorders>
                    <w:tl2br w:val="nil"/>
                    <w:tr2bl w:val="nil"/>
                  </w:tcBorders>
                  <w:shd w:val="clear" w:color="auto" w:fill="auto"/>
                  <w:vAlign w:val="center"/>
                </w:tcPr>
                <w:p>
                  <w:pPr>
                    <w:pStyle w:val="33"/>
                    <w:bidi w:val="0"/>
                    <w:rPr>
                      <w:rFonts w:hint="default"/>
                      <w:color w:val="auto"/>
                      <w:lang w:val="en-US"/>
                    </w:rPr>
                  </w:pPr>
                  <w:r>
                    <w:rPr>
                      <w:rFonts w:hint="default"/>
                      <w:color w:val="auto"/>
                      <w:lang w:val="en-US" w:eastAsia="zh-CN"/>
                    </w:rPr>
                    <w:t>435.8</w:t>
                  </w:r>
                </w:p>
              </w:tc>
              <w:tc>
                <w:tcPr>
                  <w:tcW w:w="716" w:type="pct"/>
                  <w:vMerge w:val="continue"/>
                  <w:tcBorders>
                    <w:tl2br w:val="nil"/>
                    <w:tr2bl w:val="nil"/>
                  </w:tcBorders>
                  <w:shd w:val="clear" w:color="auto" w:fill="auto"/>
                  <w:vAlign w:val="center"/>
                </w:tcPr>
                <w:p>
                  <w:pPr>
                    <w:pStyle w:val="33"/>
                    <w:bidi w:val="0"/>
                    <w:rPr>
                      <w:rFonts w:hint="default"/>
                      <w:color w:val="auto"/>
                    </w:rPr>
                  </w:pPr>
                </w:p>
              </w:tc>
              <w:tc>
                <w:tcPr>
                  <w:tcW w:w="535" w:type="pct"/>
                  <w:tcBorders>
                    <w:tl2br w:val="nil"/>
                    <w:tr2bl w:val="nil"/>
                  </w:tcBorders>
                  <w:shd w:val="clear" w:color="auto" w:fill="auto"/>
                  <w:vAlign w:val="center"/>
                </w:tcPr>
                <w:p>
                  <w:pPr>
                    <w:pStyle w:val="33"/>
                    <w:bidi w:val="0"/>
                    <w:rPr>
                      <w:rFonts w:hint="default"/>
                      <w:color w:val="auto"/>
                    </w:rPr>
                  </w:pPr>
                  <w:r>
                    <w:rPr>
                      <w:rFonts w:hint="default"/>
                      <w:color w:val="auto"/>
                      <w:lang w:val="en-US" w:eastAsia="zh-CN"/>
                    </w:rPr>
                    <w:t xml:space="preserve">0.1743 </w:t>
                  </w:r>
                </w:p>
              </w:tc>
              <w:tc>
                <w:tcPr>
                  <w:tcW w:w="491" w:type="pct"/>
                  <w:vMerge w:val="continue"/>
                  <w:tcBorders>
                    <w:tl2br w:val="nil"/>
                    <w:tr2bl w:val="nil"/>
                  </w:tcBorders>
                  <w:shd w:val="clear" w:color="auto" w:fill="auto"/>
                  <w:vAlign w:val="center"/>
                </w:tcPr>
                <w:p>
                  <w:pPr>
                    <w:pStyle w:val="33"/>
                    <w:bidi w:val="0"/>
                    <w:rPr>
                      <w:rFonts w:hint="default"/>
                      <w:color w:val="auto"/>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84" w:type="pct"/>
                  <w:vMerge w:val="continue"/>
                  <w:tcBorders>
                    <w:tl2br w:val="nil"/>
                    <w:tr2bl w:val="nil"/>
                  </w:tcBorders>
                  <w:shd w:val="clear" w:color="auto" w:fill="auto"/>
                  <w:vAlign w:val="center"/>
                </w:tcPr>
                <w:p>
                  <w:pPr>
                    <w:pStyle w:val="33"/>
                    <w:bidi w:val="0"/>
                    <w:rPr>
                      <w:rFonts w:hint="eastAsia"/>
                      <w:color w:val="auto"/>
                    </w:rPr>
                  </w:pPr>
                </w:p>
              </w:tc>
              <w:tc>
                <w:tcPr>
                  <w:tcW w:w="443" w:type="pct"/>
                  <w:vMerge w:val="continue"/>
                  <w:tcBorders>
                    <w:tl2br w:val="nil"/>
                    <w:tr2bl w:val="nil"/>
                  </w:tcBorders>
                  <w:shd w:val="clear" w:color="auto" w:fill="auto"/>
                  <w:vAlign w:val="center"/>
                </w:tcPr>
                <w:p>
                  <w:pPr>
                    <w:pStyle w:val="33"/>
                    <w:bidi w:val="0"/>
                    <w:rPr>
                      <w:rFonts w:hint="eastAsia"/>
                      <w:color w:val="auto"/>
                    </w:rPr>
                  </w:pPr>
                </w:p>
              </w:tc>
              <w:tc>
                <w:tcPr>
                  <w:tcW w:w="1641" w:type="pct"/>
                  <w:tcBorders>
                    <w:tl2br w:val="nil"/>
                    <w:tr2bl w:val="nil"/>
                  </w:tcBorders>
                  <w:shd w:val="clear" w:color="auto" w:fill="auto"/>
                  <w:vAlign w:val="center"/>
                </w:tcPr>
                <w:p>
                  <w:pPr>
                    <w:pStyle w:val="33"/>
                    <w:bidi w:val="0"/>
                    <w:rPr>
                      <w:rFonts w:hint="eastAsia"/>
                      <w:color w:val="auto"/>
                    </w:rPr>
                  </w:pPr>
                  <w:r>
                    <w:rPr>
                      <w:rFonts w:hint="eastAsia"/>
                      <w:color w:val="auto"/>
                      <w:lang w:val="en-US" w:eastAsia="zh-CN"/>
                    </w:rPr>
                    <w:t>油类物质（油基钻井岩屑）</w:t>
                  </w:r>
                </w:p>
              </w:tc>
              <w:tc>
                <w:tcPr>
                  <w:tcW w:w="787" w:type="pct"/>
                  <w:tcBorders>
                    <w:tl2br w:val="nil"/>
                    <w:tr2bl w:val="nil"/>
                  </w:tcBorders>
                  <w:shd w:val="clear" w:color="auto" w:fill="auto"/>
                  <w:vAlign w:val="center"/>
                </w:tcPr>
                <w:p>
                  <w:pPr>
                    <w:pStyle w:val="33"/>
                    <w:bidi w:val="0"/>
                    <w:rPr>
                      <w:rFonts w:hint="default"/>
                      <w:color w:val="auto"/>
                      <w:lang w:val="en-US"/>
                    </w:rPr>
                  </w:pPr>
                  <w:r>
                    <w:rPr>
                      <w:rFonts w:hint="eastAsia"/>
                      <w:color w:val="auto"/>
                      <w:lang w:val="en-US" w:eastAsia="zh-CN"/>
                    </w:rPr>
                    <w:t>37.5</w:t>
                  </w:r>
                </w:p>
              </w:tc>
              <w:tc>
                <w:tcPr>
                  <w:tcW w:w="716" w:type="pct"/>
                  <w:vMerge w:val="continue"/>
                  <w:tcBorders>
                    <w:tl2br w:val="nil"/>
                    <w:tr2bl w:val="nil"/>
                  </w:tcBorders>
                  <w:shd w:val="clear" w:color="auto" w:fill="auto"/>
                  <w:vAlign w:val="center"/>
                </w:tcPr>
                <w:p>
                  <w:pPr>
                    <w:pStyle w:val="33"/>
                    <w:bidi w:val="0"/>
                    <w:rPr>
                      <w:rFonts w:hint="default"/>
                      <w:color w:val="auto"/>
                    </w:rPr>
                  </w:pPr>
                </w:p>
              </w:tc>
              <w:tc>
                <w:tcPr>
                  <w:tcW w:w="535" w:type="pct"/>
                  <w:tcBorders>
                    <w:tl2br w:val="nil"/>
                    <w:tr2bl w:val="nil"/>
                  </w:tcBorders>
                  <w:shd w:val="clear" w:color="auto" w:fill="auto"/>
                  <w:vAlign w:val="center"/>
                </w:tcPr>
                <w:p>
                  <w:pPr>
                    <w:pStyle w:val="33"/>
                    <w:bidi w:val="0"/>
                    <w:rPr>
                      <w:rFonts w:hint="default"/>
                      <w:color w:val="auto"/>
                      <w:lang w:val="en-US"/>
                    </w:rPr>
                  </w:pPr>
                  <w:r>
                    <w:rPr>
                      <w:rFonts w:hint="eastAsia"/>
                      <w:color w:val="auto"/>
                      <w:lang w:val="en-US" w:eastAsia="zh-CN"/>
                    </w:rPr>
                    <w:t>0.0150</w:t>
                  </w:r>
                </w:p>
              </w:tc>
              <w:tc>
                <w:tcPr>
                  <w:tcW w:w="491" w:type="pct"/>
                  <w:vMerge w:val="continue"/>
                  <w:tcBorders>
                    <w:tl2br w:val="nil"/>
                    <w:tr2bl w:val="nil"/>
                  </w:tcBorders>
                  <w:shd w:val="clear" w:color="auto" w:fill="auto"/>
                  <w:vAlign w:val="center"/>
                </w:tcPr>
                <w:p>
                  <w:pPr>
                    <w:pStyle w:val="33"/>
                    <w:bidi w:val="0"/>
                    <w:rPr>
                      <w:rFonts w:hint="default"/>
                      <w:color w:val="auto"/>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84" w:type="pct"/>
                  <w:vMerge w:val="continue"/>
                  <w:tcBorders>
                    <w:tl2br w:val="nil"/>
                    <w:tr2bl w:val="nil"/>
                  </w:tcBorders>
                  <w:shd w:val="clear" w:color="auto" w:fill="auto"/>
                  <w:vAlign w:val="center"/>
                </w:tcPr>
                <w:p>
                  <w:pPr>
                    <w:pStyle w:val="33"/>
                    <w:bidi w:val="0"/>
                    <w:rPr>
                      <w:rFonts w:hint="eastAsia"/>
                      <w:color w:val="auto"/>
                    </w:rPr>
                  </w:pPr>
                </w:p>
              </w:tc>
              <w:tc>
                <w:tcPr>
                  <w:tcW w:w="443" w:type="pct"/>
                  <w:vMerge w:val="continue"/>
                  <w:tcBorders>
                    <w:tl2br w:val="nil"/>
                    <w:tr2bl w:val="nil"/>
                  </w:tcBorders>
                  <w:shd w:val="clear" w:color="auto" w:fill="auto"/>
                  <w:vAlign w:val="center"/>
                </w:tcPr>
                <w:p>
                  <w:pPr>
                    <w:pStyle w:val="33"/>
                    <w:bidi w:val="0"/>
                    <w:rPr>
                      <w:rFonts w:hint="eastAsia"/>
                      <w:color w:val="auto"/>
                    </w:rPr>
                  </w:pPr>
                </w:p>
              </w:tc>
              <w:tc>
                <w:tcPr>
                  <w:tcW w:w="1641" w:type="pct"/>
                  <w:tcBorders>
                    <w:tl2br w:val="nil"/>
                    <w:tr2bl w:val="nil"/>
                  </w:tcBorders>
                  <w:shd w:val="clear" w:color="auto" w:fill="auto"/>
                  <w:vAlign w:val="center"/>
                </w:tcPr>
                <w:p>
                  <w:pPr>
                    <w:pStyle w:val="33"/>
                    <w:bidi w:val="0"/>
                    <w:rPr>
                      <w:rFonts w:hint="eastAsia"/>
                      <w:color w:val="auto"/>
                    </w:rPr>
                  </w:pPr>
                  <w:r>
                    <w:rPr>
                      <w:rFonts w:hint="eastAsia"/>
                      <w:color w:val="auto"/>
                      <w:lang w:val="en-US" w:eastAsia="zh-CN"/>
                    </w:rPr>
                    <w:t>油类物质（废润滑油、废润滑油桶及沾油废防渗材料）</w:t>
                  </w:r>
                </w:p>
              </w:tc>
              <w:tc>
                <w:tcPr>
                  <w:tcW w:w="787" w:type="pct"/>
                  <w:tcBorders>
                    <w:tl2br w:val="nil"/>
                    <w:tr2bl w:val="nil"/>
                  </w:tcBorders>
                  <w:shd w:val="clear" w:color="auto" w:fill="auto"/>
                  <w:vAlign w:val="center"/>
                </w:tcPr>
                <w:p>
                  <w:pPr>
                    <w:pStyle w:val="33"/>
                    <w:bidi w:val="0"/>
                    <w:rPr>
                      <w:rFonts w:hint="default"/>
                      <w:color w:val="auto"/>
                      <w:lang w:val="en-US"/>
                    </w:rPr>
                  </w:pPr>
                  <w:r>
                    <w:rPr>
                      <w:rFonts w:hint="eastAsia"/>
                      <w:color w:val="auto"/>
                      <w:lang w:val="en-US" w:eastAsia="zh-CN"/>
                    </w:rPr>
                    <w:t>0.9</w:t>
                  </w:r>
                </w:p>
              </w:tc>
              <w:tc>
                <w:tcPr>
                  <w:tcW w:w="716" w:type="pct"/>
                  <w:vMerge w:val="continue"/>
                  <w:tcBorders>
                    <w:tl2br w:val="nil"/>
                    <w:tr2bl w:val="nil"/>
                  </w:tcBorders>
                  <w:shd w:val="clear" w:color="auto" w:fill="auto"/>
                  <w:vAlign w:val="center"/>
                </w:tcPr>
                <w:p>
                  <w:pPr>
                    <w:pStyle w:val="33"/>
                    <w:bidi w:val="0"/>
                    <w:rPr>
                      <w:rFonts w:hint="default"/>
                      <w:color w:val="auto"/>
                    </w:rPr>
                  </w:pPr>
                </w:p>
              </w:tc>
              <w:tc>
                <w:tcPr>
                  <w:tcW w:w="535" w:type="pct"/>
                  <w:tcBorders>
                    <w:tl2br w:val="nil"/>
                    <w:tr2bl w:val="nil"/>
                  </w:tcBorders>
                  <w:shd w:val="clear" w:color="auto" w:fill="auto"/>
                  <w:vAlign w:val="center"/>
                </w:tcPr>
                <w:p>
                  <w:pPr>
                    <w:pStyle w:val="33"/>
                    <w:bidi w:val="0"/>
                    <w:rPr>
                      <w:rFonts w:hint="default"/>
                      <w:color w:val="auto"/>
                    </w:rPr>
                  </w:pPr>
                  <w:r>
                    <w:rPr>
                      <w:rFonts w:hint="default"/>
                      <w:color w:val="auto"/>
                      <w:lang w:val="en-US" w:eastAsia="zh-CN"/>
                    </w:rPr>
                    <w:t>0.000</w:t>
                  </w:r>
                  <w:r>
                    <w:rPr>
                      <w:rFonts w:hint="eastAsia"/>
                      <w:color w:val="auto"/>
                      <w:lang w:val="en-US" w:eastAsia="zh-CN"/>
                    </w:rPr>
                    <w:t>36</w:t>
                  </w:r>
                  <w:r>
                    <w:rPr>
                      <w:rFonts w:hint="default"/>
                      <w:color w:val="auto"/>
                      <w:lang w:val="en-US" w:eastAsia="zh-CN"/>
                    </w:rPr>
                    <w:t xml:space="preserve"> </w:t>
                  </w:r>
                </w:p>
              </w:tc>
              <w:tc>
                <w:tcPr>
                  <w:tcW w:w="491" w:type="pct"/>
                  <w:vMerge w:val="continue"/>
                  <w:tcBorders>
                    <w:tl2br w:val="nil"/>
                    <w:tr2bl w:val="nil"/>
                  </w:tcBorders>
                  <w:shd w:val="clear" w:color="auto" w:fill="auto"/>
                  <w:vAlign w:val="center"/>
                </w:tcPr>
                <w:p>
                  <w:pPr>
                    <w:pStyle w:val="33"/>
                    <w:bidi w:val="0"/>
                    <w:rPr>
                      <w:rFonts w:hint="default"/>
                      <w:color w:val="auto"/>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88" w:hRule="atLeast"/>
              </w:trPr>
              <w:tc>
                <w:tcPr>
                  <w:tcW w:w="384" w:type="pct"/>
                  <w:vMerge w:val="continue"/>
                  <w:tcBorders>
                    <w:tl2br w:val="nil"/>
                    <w:tr2bl w:val="nil"/>
                  </w:tcBorders>
                  <w:shd w:val="clear" w:color="auto" w:fill="auto"/>
                  <w:vAlign w:val="center"/>
                </w:tcPr>
                <w:p>
                  <w:pPr>
                    <w:pStyle w:val="33"/>
                    <w:bidi w:val="0"/>
                    <w:rPr>
                      <w:rFonts w:hint="eastAsia"/>
                      <w:color w:val="auto"/>
                      <w:lang w:val="en-US" w:eastAsia="zh-CN"/>
                    </w:rPr>
                  </w:pPr>
                </w:p>
              </w:tc>
              <w:tc>
                <w:tcPr>
                  <w:tcW w:w="443" w:type="pct"/>
                  <w:tcBorders>
                    <w:tl2br w:val="nil"/>
                    <w:tr2bl w:val="nil"/>
                  </w:tcBorders>
                  <w:shd w:val="clear" w:color="auto" w:fill="auto"/>
                  <w:vAlign w:val="center"/>
                </w:tcPr>
                <w:p>
                  <w:pPr>
                    <w:pStyle w:val="33"/>
                    <w:bidi w:val="0"/>
                    <w:rPr>
                      <w:rFonts w:hint="eastAsia"/>
                      <w:color w:val="auto"/>
                    </w:rPr>
                  </w:pPr>
                  <w:r>
                    <w:rPr>
                      <w:rFonts w:hint="eastAsia"/>
                      <w:color w:val="auto"/>
                      <w:lang w:val="en-US" w:eastAsia="zh-CN"/>
                    </w:rPr>
                    <w:t>小计</w:t>
                  </w:r>
                </w:p>
              </w:tc>
              <w:tc>
                <w:tcPr>
                  <w:tcW w:w="1641" w:type="pct"/>
                  <w:tcBorders>
                    <w:tl2br w:val="nil"/>
                    <w:tr2bl w:val="nil"/>
                  </w:tcBorders>
                  <w:shd w:val="clear" w:color="auto" w:fill="auto"/>
                  <w:vAlign w:val="center"/>
                </w:tcPr>
                <w:p>
                  <w:pPr>
                    <w:pStyle w:val="33"/>
                    <w:bidi w:val="0"/>
                    <w:rPr>
                      <w:rFonts w:hint="default"/>
                      <w:color w:val="auto"/>
                    </w:rPr>
                  </w:pPr>
                  <w:r>
                    <w:rPr>
                      <w:color w:val="auto"/>
                      <w:lang w:val="en-US" w:eastAsia="zh-CN"/>
                    </w:rPr>
                    <w:t>/</w:t>
                  </w:r>
                </w:p>
              </w:tc>
              <w:tc>
                <w:tcPr>
                  <w:tcW w:w="787" w:type="pct"/>
                  <w:tcBorders>
                    <w:tl2br w:val="nil"/>
                    <w:tr2bl w:val="nil"/>
                  </w:tcBorders>
                  <w:shd w:val="clear" w:color="auto" w:fill="auto"/>
                  <w:vAlign w:val="center"/>
                </w:tcPr>
                <w:p>
                  <w:pPr>
                    <w:pStyle w:val="33"/>
                    <w:bidi w:val="0"/>
                    <w:rPr>
                      <w:rFonts w:hint="default"/>
                      <w:color w:val="auto"/>
                    </w:rPr>
                  </w:pPr>
                  <w:r>
                    <w:rPr>
                      <w:color w:val="auto"/>
                      <w:lang w:val="en-US" w:eastAsia="zh-CN"/>
                    </w:rPr>
                    <w:t>/</w:t>
                  </w:r>
                </w:p>
              </w:tc>
              <w:tc>
                <w:tcPr>
                  <w:tcW w:w="716" w:type="pct"/>
                  <w:tcBorders>
                    <w:tl2br w:val="nil"/>
                    <w:tr2bl w:val="nil"/>
                  </w:tcBorders>
                  <w:shd w:val="clear" w:color="auto" w:fill="auto"/>
                  <w:vAlign w:val="center"/>
                </w:tcPr>
                <w:p>
                  <w:pPr>
                    <w:pStyle w:val="33"/>
                    <w:bidi w:val="0"/>
                    <w:rPr>
                      <w:rFonts w:hint="default"/>
                      <w:color w:val="auto"/>
                    </w:rPr>
                  </w:pPr>
                  <w:r>
                    <w:rPr>
                      <w:color w:val="auto"/>
                      <w:lang w:val="en-US" w:eastAsia="zh-CN"/>
                    </w:rPr>
                    <w:t>/</w:t>
                  </w:r>
                </w:p>
              </w:tc>
              <w:tc>
                <w:tcPr>
                  <w:tcW w:w="535" w:type="pct"/>
                  <w:tcBorders>
                    <w:tl2br w:val="nil"/>
                    <w:tr2bl w:val="nil"/>
                  </w:tcBorders>
                  <w:shd w:val="clear" w:color="auto" w:fill="auto"/>
                  <w:vAlign w:val="center"/>
                </w:tcPr>
                <w:p>
                  <w:pPr>
                    <w:pStyle w:val="33"/>
                    <w:bidi w:val="0"/>
                    <w:rPr>
                      <w:rFonts w:hint="default"/>
                      <w:color w:val="auto"/>
                      <w:lang w:val="en-US"/>
                    </w:rPr>
                  </w:pPr>
                  <w:r>
                    <w:rPr>
                      <w:rFonts w:hint="eastAsia"/>
                      <w:color w:val="auto"/>
                      <w:lang w:val="en-US" w:eastAsia="zh-CN"/>
                    </w:rPr>
                    <w:t>0.19766</w:t>
                  </w:r>
                </w:p>
              </w:tc>
              <w:tc>
                <w:tcPr>
                  <w:tcW w:w="491" w:type="pct"/>
                  <w:vMerge w:val="continue"/>
                  <w:tcBorders>
                    <w:tl2br w:val="nil"/>
                    <w:tr2bl w:val="nil"/>
                  </w:tcBorders>
                  <w:shd w:val="clear" w:color="auto" w:fill="auto"/>
                  <w:vAlign w:val="center"/>
                </w:tcPr>
                <w:p>
                  <w:pPr>
                    <w:pStyle w:val="33"/>
                    <w:bidi w:val="0"/>
                    <w:rPr>
                      <w:rFonts w:hint="default"/>
                      <w:color w:val="auto"/>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84" w:type="pct"/>
                  <w:vMerge w:val="restart"/>
                  <w:tcBorders>
                    <w:tl2br w:val="nil"/>
                    <w:tr2bl w:val="nil"/>
                  </w:tcBorders>
                  <w:shd w:val="clear" w:color="auto" w:fill="auto"/>
                  <w:vAlign w:val="center"/>
                </w:tcPr>
                <w:p>
                  <w:pPr>
                    <w:pStyle w:val="33"/>
                    <w:bidi w:val="0"/>
                    <w:rPr>
                      <w:rFonts w:hint="default"/>
                      <w:color w:val="auto"/>
                      <w:lang w:val="en-US" w:eastAsia="zh-CN"/>
                    </w:rPr>
                  </w:pPr>
                  <w:r>
                    <w:rPr>
                      <w:rFonts w:hint="eastAsia"/>
                      <w:color w:val="auto"/>
                      <w:lang w:val="en-US" w:eastAsia="zh-CN"/>
                    </w:rPr>
                    <w:t>试油期</w:t>
                  </w:r>
                </w:p>
              </w:tc>
              <w:tc>
                <w:tcPr>
                  <w:tcW w:w="443" w:type="pct"/>
                  <w:vMerge w:val="restart"/>
                  <w:tcBorders>
                    <w:tl2br w:val="nil"/>
                    <w:tr2bl w:val="nil"/>
                  </w:tcBorders>
                  <w:shd w:val="clear" w:color="auto" w:fill="auto"/>
                  <w:vAlign w:val="center"/>
                </w:tcPr>
                <w:p>
                  <w:pPr>
                    <w:pStyle w:val="33"/>
                    <w:bidi w:val="0"/>
                    <w:rPr>
                      <w:rFonts w:hint="eastAsia"/>
                      <w:color w:val="auto"/>
                    </w:rPr>
                  </w:pPr>
                  <w:r>
                    <w:rPr>
                      <w:rFonts w:hint="eastAsia"/>
                      <w:color w:val="auto"/>
                      <w:lang w:val="en-US" w:eastAsia="zh-CN"/>
                    </w:rPr>
                    <w:t>试油井场</w:t>
                  </w:r>
                </w:p>
              </w:tc>
              <w:tc>
                <w:tcPr>
                  <w:tcW w:w="1641" w:type="pct"/>
                  <w:tcBorders>
                    <w:tl2br w:val="nil"/>
                    <w:tr2bl w:val="nil"/>
                  </w:tcBorders>
                  <w:shd w:val="clear" w:color="auto" w:fill="auto"/>
                  <w:vAlign w:val="center"/>
                </w:tcPr>
                <w:p>
                  <w:pPr>
                    <w:pStyle w:val="33"/>
                    <w:bidi w:val="0"/>
                    <w:rPr>
                      <w:rFonts w:hint="eastAsia"/>
                      <w:color w:val="auto"/>
                    </w:rPr>
                  </w:pPr>
                  <w:r>
                    <w:rPr>
                      <w:rFonts w:hint="eastAsia"/>
                      <w:color w:val="auto"/>
                      <w:lang w:val="en-US" w:eastAsia="zh-CN"/>
                    </w:rPr>
                    <w:t>柴油</w:t>
                  </w:r>
                </w:p>
              </w:tc>
              <w:tc>
                <w:tcPr>
                  <w:tcW w:w="787" w:type="pct"/>
                  <w:tcBorders>
                    <w:tl2br w:val="nil"/>
                    <w:tr2bl w:val="nil"/>
                  </w:tcBorders>
                  <w:shd w:val="clear" w:color="auto" w:fill="auto"/>
                  <w:vAlign w:val="center"/>
                </w:tcPr>
                <w:p>
                  <w:pPr>
                    <w:pStyle w:val="33"/>
                    <w:bidi w:val="0"/>
                    <w:rPr>
                      <w:rFonts w:hint="default"/>
                      <w:color w:val="auto"/>
                    </w:rPr>
                  </w:pPr>
                  <w:r>
                    <w:rPr>
                      <w:rFonts w:hint="default"/>
                      <w:color w:val="auto"/>
                      <w:lang w:val="en-US" w:eastAsia="zh-CN"/>
                    </w:rPr>
                    <w:t>20</w:t>
                  </w:r>
                </w:p>
              </w:tc>
              <w:tc>
                <w:tcPr>
                  <w:tcW w:w="716" w:type="pct"/>
                  <w:vMerge w:val="restart"/>
                  <w:tcBorders>
                    <w:tl2br w:val="nil"/>
                    <w:tr2bl w:val="nil"/>
                  </w:tcBorders>
                  <w:shd w:val="clear" w:color="auto" w:fill="auto"/>
                  <w:vAlign w:val="center"/>
                </w:tcPr>
                <w:p>
                  <w:pPr>
                    <w:pStyle w:val="33"/>
                    <w:bidi w:val="0"/>
                    <w:rPr>
                      <w:rFonts w:hint="default"/>
                      <w:color w:val="auto"/>
                    </w:rPr>
                  </w:pPr>
                  <w:r>
                    <w:rPr>
                      <w:rFonts w:hint="default"/>
                      <w:color w:val="auto"/>
                      <w:lang w:val="en-US" w:eastAsia="zh-CN"/>
                    </w:rPr>
                    <w:t>2500</w:t>
                  </w:r>
                </w:p>
              </w:tc>
              <w:tc>
                <w:tcPr>
                  <w:tcW w:w="535" w:type="pct"/>
                  <w:tcBorders>
                    <w:tl2br w:val="nil"/>
                    <w:tr2bl w:val="nil"/>
                  </w:tcBorders>
                  <w:shd w:val="clear" w:color="auto" w:fill="auto"/>
                  <w:vAlign w:val="center"/>
                </w:tcPr>
                <w:p>
                  <w:pPr>
                    <w:pStyle w:val="33"/>
                    <w:bidi w:val="0"/>
                    <w:rPr>
                      <w:rFonts w:hint="default"/>
                      <w:color w:val="auto"/>
                    </w:rPr>
                  </w:pPr>
                  <w:r>
                    <w:rPr>
                      <w:rFonts w:hint="default"/>
                      <w:color w:val="auto"/>
                      <w:lang w:val="en-US" w:eastAsia="zh-CN"/>
                    </w:rPr>
                    <w:t xml:space="preserve">0.0080 </w:t>
                  </w:r>
                </w:p>
              </w:tc>
              <w:tc>
                <w:tcPr>
                  <w:tcW w:w="491" w:type="pct"/>
                  <w:vMerge w:val="restart"/>
                  <w:tcBorders>
                    <w:tl2br w:val="nil"/>
                    <w:tr2bl w:val="nil"/>
                  </w:tcBorders>
                  <w:shd w:val="clear" w:color="auto" w:fill="auto"/>
                  <w:vAlign w:val="center"/>
                </w:tcPr>
                <w:p>
                  <w:pPr>
                    <w:pStyle w:val="33"/>
                    <w:bidi w:val="0"/>
                    <w:rPr>
                      <w:rFonts w:hint="default"/>
                      <w:color w:val="auto"/>
                    </w:rPr>
                  </w:pPr>
                  <w:r>
                    <w:rPr>
                      <w:color w:val="auto"/>
                      <w:lang w:val="en-US" w:eastAsia="zh-CN"/>
                    </w:rPr>
                    <w:t>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60" w:hRule="atLeast"/>
              </w:trPr>
              <w:tc>
                <w:tcPr>
                  <w:tcW w:w="384" w:type="pct"/>
                  <w:vMerge w:val="continue"/>
                  <w:tcBorders>
                    <w:tl2br w:val="nil"/>
                    <w:tr2bl w:val="nil"/>
                  </w:tcBorders>
                  <w:shd w:val="clear" w:color="auto" w:fill="auto"/>
                  <w:vAlign w:val="center"/>
                </w:tcPr>
                <w:p>
                  <w:pPr>
                    <w:pStyle w:val="33"/>
                    <w:bidi w:val="0"/>
                    <w:rPr>
                      <w:rFonts w:hint="eastAsia"/>
                      <w:color w:val="auto"/>
                    </w:rPr>
                  </w:pPr>
                </w:p>
              </w:tc>
              <w:tc>
                <w:tcPr>
                  <w:tcW w:w="443" w:type="pct"/>
                  <w:vMerge w:val="continue"/>
                  <w:tcBorders>
                    <w:tl2br w:val="nil"/>
                    <w:tr2bl w:val="nil"/>
                  </w:tcBorders>
                  <w:shd w:val="clear" w:color="auto" w:fill="auto"/>
                  <w:vAlign w:val="center"/>
                </w:tcPr>
                <w:p>
                  <w:pPr>
                    <w:pStyle w:val="33"/>
                    <w:bidi w:val="0"/>
                    <w:rPr>
                      <w:rFonts w:hint="eastAsia"/>
                      <w:color w:val="auto"/>
                    </w:rPr>
                  </w:pPr>
                </w:p>
              </w:tc>
              <w:tc>
                <w:tcPr>
                  <w:tcW w:w="1641" w:type="pct"/>
                  <w:tcBorders>
                    <w:tl2br w:val="nil"/>
                    <w:tr2bl w:val="nil"/>
                  </w:tcBorders>
                  <w:shd w:val="clear" w:color="auto" w:fill="auto"/>
                  <w:vAlign w:val="center"/>
                </w:tcPr>
                <w:p>
                  <w:pPr>
                    <w:pStyle w:val="33"/>
                    <w:bidi w:val="0"/>
                    <w:rPr>
                      <w:rFonts w:hint="eastAsia"/>
                      <w:color w:val="auto"/>
                    </w:rPr>
                  </w:pPr>
                  <w:r>
                    <w:rPr>
                      <w:rFonts w:hint="eastAsia"/>
                      <w:color w:val="auto"/>
                      <w:lang w:val="en-US" w:eastAsia="zh-CN"/>
                    </w:rPr>
                    <w:t>采出液</w:t>
                  </w:r>
                </w:p>
              </w:tc>
              <w:tc>
                <w:tcPr>
                  <w:tcW w:w="787" w:type="pct"/>
                  <w:tcBorders>
                    <w:tl2br w:val="nil"/>
                    <w:tr2bl w:val="nil"/>
                  </w:tcBorders>
                  <w:shd w:val="clear" w:color="auto" w:fill="auto"/>
                  <w:vAlign w:val="center"/>
                </w:tcPr>
                <w:p>
                  <w:pPr>
                    <w:pStyle w:val="33"/>
                    <w:bidi w:val="0"/>
                    <w:rPr>
                      <w:rFonts w:hint="default"/>
                      <w:color w:val="auto"/>
                    </w:rPr>
                  </w:pPr>
                  <w:r>
                    <w:rPr>
                      <w:rFonts w:hint="default"/>
                      <w:color w:val="auto"/>
                      <w:lang w:val="en-US" w:eastAsia="zh-CN"/>
                    </w:rPr>
                    <w:t>69.6</w:t>
                  </w:r>
                </w:p>
              </w:tc>
              <w:tc>
                <w:tcPr>
                  <w:tcW w:w="716" w:type="pct"/>
                  <w:vMerge w:val="continue"/>
                  <w:tcBorders>
                    <w:tl2br w:val="nil"/>
                    <w:tr2bl w:val="nil"/>
                  </w:tcBorders>
                  <w:shd w:val="clear" w:color="auto" w:fill="auto"/>
                  <w:vAlign w:val="center"/>
                </w:tcPr>
                <w:p>
                  <w:pPr>
                    <w:pStyle w:val="33"/>
                    <w:bidi w:val="0"/>
                    <w:rPr>
                      <w:rFonts w:hint="default"/>
                      <w:color w:val="auto"/>
                    </w:rPr>
                  </w:pPr>
                </w:p>
              </w:tc>
              <w:tc>
                <w:tcPr>
                  <w:tcW w:w="535" w:type="pct"/>
                  <w:tcBorders>
                    <w:tl2br w:val="nil"/>
                    <w:tr2bl w:val="nil"/>
                  </w:tcBorders>
                  <w:shd w:val="clear" w:color="auto" w:fill="auto"/>
                  <w:vAlign w:val="center"/>
                </w:tcPr>
                <w:p>
                  <w:pPr>
                    <w:pStyle w:val="33"/>
                    <w:bidi w:val="0"/>
                    <w:rPr>
                      <w:rFonts w:hint="default"/>
                      <w:color w:val="auto"/>
                    </w:rPr>
                  </w:pPr>
                  <w:r>
                    <w:rPr>
                      <w:rFonts w:hint="default"/>
                      <w:color w:val="auto"/>
                      <w:lang w:val="en-US" w:eastAsia="zh-CN"/>
                    </w:rPr>
                    <w:t xml:space="preserve">0.0278 </w:t>
                  </w:r>
                </w:p>
              </w:tc>
              <w:tc>
                <w:tcPr>
                  <w:tcW w:w="491" w:type="pct"/>
                  <w:vMerge w:val="continue"/>
                  <w:tcBorders>
                    <w:tl2br w:val="nil"/>
                    <w:tr2bl w:val="nil"/>
                  </w:tcBorders>
                  <w:shd w:val="clear" w:color="auto" w:fill="auto"/>
                  <w:vAlign w:val="center"/>
                </w:tcPr>
                <w:p>
                  <w:pPr>
                    <w:pStyle w:val="33"/>
                    <w:bidi w:val="0"/>
                    <w:rPr>
                      <w:rFonts w:hint="default"/>
                      <w:color w:val="auto"/>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384" w:type="pct"/>
                  <w:vMerge w:val="continue"/>
                  <w:tcBorders>
                    <w:tl2br w:val="nil"/>
                    <w:tr2bl w:val="nil"/>
                  </w:tcBorders>
                  <w:shd w:val="clear" w:color="auto" w:fill="auto"/>
                  <w:vAlign w:val="center"/>
                </w:tcPr>
                <w:p>
                  <w:pPr>
                    <w:pStyle w:val="33"/>
                    <w:bidi w:val="0"/>
                    <w:rPr>
                      <w:rFonts w:hint="eastAsia"/>
                      <w:color w:val="auto"/>
                    </w:rPr>
                  </w:pPr>
                </w:p>
              </w:tc>
              <w:tc>
                <w:tcPr>
                  <w:tcW w:w="443" w:type="pct"/>
                  <w:vMerge w:val="continue"/>
                  <w:tcBorders>
                    <w:tl2br w:val="nil"/>
                    <w:tr2bl w:val="nil"/>
                  </w:tcBorders>
                  <w:shd w:val="clear" w:color="auto" w:fill="auto"/>
                  <w:vAlign w:val="center"/>
                </w:tcPr>
                <w:p>
                  <w:pPr>
                    <w:pStyle w:val="33"/>
                    <w:bidi w:val="0"/>
                    <w:rPr>
                      <w:rFonts w:hint="eastAsia"/>
                      <w:color w:val="auto"/>
                    </w:rPr>
                  </w:pPr>
                </w:p>
              </w:tc>
              <w:tc>
                <w:tcPr>
                  <w:tcW w:w="1641" w:type="pct"/>
                  <w:tcBorders>
                    <w:tl2br w:val="nil"/>
                    <w:tr2bl w:val="nil"/>
                  </w:tcBorders>
                  <w:shd w:val="clear" w:color="auto" w:fill="auto"/>
                  <w:vAlign w:val="center"/>
                </w:tcPr>
                <w:p>
                  <w:pPr>
                    <w:pStyle w:val="33"/>
                    <w:bidi w:val="0"/>
                    <w:rPr>
                      <w:rFonts w:hint="eastAsia"/>
                      <w:color w:val="auto"/>
                      <w:lang w:val="en-US" w:eastAsia="zh-CN"/>
                    </w:rPr>
                  </w:pPr>
                  <w:r>
                    <w:rPr>
                      <w:rFonts w:hint="eastAsia" w:ascii="Times New Roman" w:eastAsia="宋体"/>
                      <w:color w:val="auto"/>
                      <w:lang w:val="en-US" w:eastAsia="zh-CN"/>
                    </w:rPr>
                    <w:t>油类物质（废润滑油、废润滑油桶及沾油废防渗材料）</w:t>
                  </w:r>
                </w:p>
              </w:tc>
              <w:tc>
                <w:tcPr>
                  <w:tcW w:w="787" w:type="pct"/>
                  <w:tcBorders>
                    <w:tl2br w:val="nil"/>
                    <w:tr2bl w:val="nil"/>
                  </w:tcBorders>
                  <w:shd w:val="clear" w:color="auto" w:fill="auto"/>
                  <w:vAlign w:val="center"/>
                </w:tcPr>
                <w:p>
                  <w:pPr>
                    <w:pStyle w:val="33"/>
                    <w:bidi w:val="0"/>
                    <w:rPr>
                      <w:rFonts w:hint="default"/>
                      <w:color w:val="auto"/>
                      <w:lang w:val="en-US" w:eastAsia="zh-CN"/>
                    </w:rPr>
                  </w:pPr>
                  <w:r>
                    <w:rPr>
                      <w:rFonts w:hint="eastAsia"/>
                      <w:color w:val="auto"/>
                      <w:lang w:val="en-US" w:eastAsia="zh-CN"/>
                    </w:rPr>
                    <w:t>0.4</w:t>
                  </w:r>
                </w:p>
              </w:tc>
              <w:tc>
                <w:tcPr>
                  <w:tcW w:w="716" w:type="pct"/>
                  <w:vMerge w:val="continue"/>
                  <w:tcBorders>
                    <w:tl2br w:val="nil"/>
                    <w:tr2bl w:val="nil"/>
                  </w:tcBorders>
                  <w:shd w:val="clear" w:color="auto" w:fill="auto"/>
                  <w:vAlign w:val="center"/>
                </w:tcPr>
                <w:p>
                  <w:pPr>
                    <w:pStyle w:val="33"/>
                    <w:bidi w:val="0"/>
                    <w:rPr>
                      <w:rFonts w:hint="default"/>
                      <w:color w:val="auto"/>
                    </w:rPr>
                  </w:pPr>
                </w:p>
              </w:tc>
              <w:tc>
                <w:tcPr>
                  <w:tcW w:w="535" w:type="pct"/>
                  <w:tcBorders>
                    <w:tl2br w:val="nil"/>
                    <w:tr2bl w:val="nil"/>
                  </w:tcBorders>
                  <w:shd w:val="clear" w:color="auto" w:fill="auto"/>
                  <w:vAlign w:val="center"/>
                </w:tcPr>
                <w:p>
                  <w:pPr>
                    <w:pStyle w:val="33"/>
                    <w:bidi w:val="0"/>
                    <w:rPr>
                      <w:rFonts w:hint="default"/>
                      <w:color w:val="auto"/>
                      <w:lang w:val="en-US" w:eastAsia="zh-CN"/>
                    </w:rPr>
                  </w:pPr>
                  <w:r>
                    <w:rPr>
                      <w:rFonts w:hint="default"/>
                      <w:color w:val="auto"/>
                      <w:lang w:val="en-US" w:eastAsia="zh-CN"/>
                    </w:rPr>
                    <w:t>0.000</w:t>
                  </w:r>
                  <w:r>
                    <w:rPr>
                      <w:rFonts w:hint="eastAsia"/>
                      <w:color w:val="auto"/>
                      <w:lang w:val="en-US" w:eastAsia="zh-CN"/>
                    </w:rPr>
                    <w:t>16</w:t>
                  </w:r>
                </w:p>
              </w:tc>
              <w:tc>
                <w:tcPr>
                  <w:tcW w:w="491" w:type="pct"/>
                  <w:vMerge w:val="continue"/>
                  <w:tcBorders>
                    <w:tl2br w:val="nil"/>
                    <w:tr2bl w:val="nil"/>
                  </w:tcBorders>
                  <w:shd w:val="clear" w:color="auto" w:fill="auto"/>
                  <w:vAlign w:val="center"/>
                </w:tcPr>
                <w:p>
                  <w:pPr>
                    <w:pStyle w:val="33"/>
                    <w:bidi w:val="0"/>
                    <w:rPr>
                      <w:rFonts w:hint="default"/>
                      <w:color w:val="auto"/>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84" w:type="pct"/>
                  <w:vMerge w:val="continue"/>
                  <w:tcBorders>
                    <w:tl2br w:val="nil"/>
                    <w:tr2bl w:val="nil"/>
                  </w:tcBorders>
                  <w:shd w:val="clear" w:color="auto" w:fill="auto"/>
                  <w:vAlign w:val="center"/>
                </w:tcPr>
                <w:p>
                  <w:pPr>
                    <w:pStyle w:val="33"/>
                    <w:bidi w:val="0"/>
                    <w:rPr>
                      <w:rFonts w:hint="eastAsia"/>
                      <w:color w:val="auto"/>
                      <w:lang w:val="en-US" w:eastAsia="zh-CN"/>
                    </w:rPr>
                  </w:pPr>
                </w:p>
              </w:tc>
              <w:tc>
                <w:tcPr>
                  <w:tcW w:w="443" w:type="pct"/>
                  <w:tcBorders>
                    <w:tl2br w:val="nil"/>
                    <w:tr2bl w:val="nil"/>
                  </w:tcBorders>
                  <w:shd w:val="clear" w:color="auto" w:fill="auto"/>
                  <w:vAlign w:val="center"/>
                </w:tcPr>
                <w:p>
                  <w:pPr>
                    <w:pStyle w:val="33"/>
                    <w:bidi w:val="0"/>
                    <w:rPr>
                      <w:rFonts w:hint="eastAsia"/>
                      <w:color w:val="auto"/>
                    </w:rPr>
                  </w:pPr>
                  <w:r>
                    <w:rPr>
                      <w:rFonts w:hint="eastAsia"/>
                      <w:color w:val="auto"/>
                      <w:lang w:val="en-US" w:eastAsia="zh-CN"/>
                    </w:rPr>
                    <w:t>小计</w:t>
                  </w:r>
                </w:p>
              </w:tc>
              <w:tc>
                <w:tcPr>
                  <w:tcW w:w="1641" w:type="pct"/>
                  <w:tcBorders>
                    <w:tl2br w:val="nil"/>
                    <w:tr2bl w:val="nil"/>
                  </w:tcBorders>
                  <w:shd w:val="clear" w:color="auto" w:fill="auto"/>
                  <w:vAlign w:val="center"/>
                </w:tcPr>
                <w:p>
                  <w:pPr>
                    <w:pStyle w:val="33"/>
                    <w:bidi w:val="0"/>
                    <w:rPr>
                      <w:rFonts w:hint="default"/>
                      <w:color w:val="auto"/>
                    </w:rPr>
                  </w:pPr>
                  <w:r>
                    <w:rPr>
                      <w:color w:val="auto"/>
                      <w:lang w:val="en-US" w:eastAsia="zh-CN"/>
                    </w:rPr>
                    <w:t>/</w:t>
                  </w:r>
                </w:p>
              </w:tc>
              <w:tc>
                <w:tcPr>
                  <w:tcW w:w="787" w:type="pct"/>
                  <w:tcBorders>
                    <w:tl2br w:val="nil"/>
                    <w:tr2bl w:val="nil"/>
                  </w:tcBorders>
                  <w:shd w:val="clear" w:color="auto" w:fill="auto"/>
                  <w:vAlign w:val="center"/>
                </w:tcPr>
                <w:p>
                  <w:pPr>
                    <w:pStyle w:val="33"/>
                    <w:bidi w:val="0"/>
                    <w:rPr>
                      <w:rFonts w:hint="default"/>
                      <w:color w:val="auto"/>
                    </w:rPr>
                  </w:pPr>
                  <w:r>
                    <w:rPr>
                      <w:color w:val="auto"/>
                      <w:lang w:val="en-US" w:eastAsia="zh-CN"/>
                    </w:rPr>
                    <w:t>/</w:t>
                  </w:r>
                </w:p>
              </w:tc>
              <w:tc>
                <w:tcPr>
                  <w:tcW w:w="716" w:type="pct"/>
                  <w:tcBorders>
                    <w:tl2br w:val="nil"/>
                    <w:tr2bl w:val="nil"/>
                  </w:tcBorders>
                  <w:shd w:val="clear" w:color="auto" w:fill="auto"/>
                  <w:vAlign w:val="center"/>
                </w:tcPr>
                <w:p>
                  <w:pPr>
                    <w:pStyle w:val="33"/>
                    <w:bidi w:val="0"/>
                    <w:rPr>
                      <w:rFonts w:hint="default"/>
                      <w:color w:val="auto"/>
                    </w:rPr>
                  </w:pPr>
                  <w:r>
                    <w:rPr>
                      <w:color w:val="auto"/>
                      <w:lang w:val="en-US" w:eastAsia="zh-CN"/>
                    </w:rPr>
                    <w:t>/</w:t>
                  </w:r>
                </w:p>
              </w:tc>
              <w:tc>
                <w:tcPr>
                  <w:tcW w:w="535" w:type="pct"/>
                  <w:tcBorders>
                    <w:tl2br w:val="nil"/>
                    <w:tr2bl w:val="nil"/>
                  </w:tcBorders>
                  <w:shd w:val="clear" w:color="auto" w:fill="auto"/>
                  <w:vAlign w:val="center"/>
                </w:tcPr>
                <w:p>
                  <w:pPr>
                    <w:pStyle w:val="33"/>
                    <w:bidi w:val="0"/>
                    <w:rPr>
                      <w:rFonts w:hint="default"/>
                      <w:color w:val="auto"/>
                    </w:rPr>
                  </w:pPr>
                  <w:r>
                    <w:rPr>
                      <w:rFonts w:hint="default"/>
                      <w:color w:val="auto"/>
                      <w:lang w:val="en-US" w:eastAsia="zh-CN"/>
                    </w:rPr>
                    <w:t>0.03</w:t>
                  </w:r>
                  <w:r>
                    <w:rPr>
                      <w:rFonts w:hint="eastAsia"/>
                      <w:color w:val="auto"/>
                      <w:lang w:val="en-US" w:eastAsia="zh-CN"/>
                    </w:rPr>
                    <w:t>596</w:t>
                  </w:r>
                  <w:r>
                    <w:rPr>
                      <w:rFonts w:hint="default"/>
                      <w:color w:val="auto"/>
                      <w:lang w:val="en-US" w:eastAsia="zh-CN"/>
                    </w:rPr>
                    <w:t xml:space="preserve"> </w:t>
                  </w:r>
                </w:p>
              </w:tc>
              <w:tc>
                <w:tcPr>
                  <w:tcW w:w="491" w:type="pct"/>
                  <w:vMerge w:val="continue"/>
                  <w:tcBorders>
                    <w:tl2br w:val="nil"/>
                    <w:tr2bl w:val="nil"/>
                  </w:tcBorders>
                  <w:shd w:val="clear" w:color="auto" w:fill="auto"/>
                  <w:vAlign w:val="center"/>
                </w:tcPr>
                <w:p>
                  <w:pPr>
                    <w:pStyle w:val="33"/>
                    <w:bidi w:val="0"/>
                    <w:rPr>
                      <w:rFonts w:hint="default"/>
                      <w:color w:val="auto"/>
                    </w:rPr>
                  </w:pPr>
                </w:p>
              </w:tc>
            </w:tr>
          </w:tbl>
          <w:p>
            <w:pPr>
              <w:pStyle w:val="36"/>
              <w:bidi w:val="0"/>
              <w:rPr>
                <w:rFonts w:hint="default"/>
                <w:color w:val="auto"/>
              </w:rPr>
            </w:pPr>
            <w:r>
              <w:rPr>
                <w:rFonts w:hint="default"/>
                <w:color w:val="auto"/>
              </w:rPr>
              <w:t>综上所述，</w:t>
            </w:r>
            <w:r>
              <w:rPr>
                <w:rFonts w:hint="default"/>
                <w:color w:val="auto"/>
                <w:lang w:val="en-US" w:eastAsia="zh-CN"/>
              </w:rPr>
              <w:t>本项目</w:t>
            </w:r>
            <w:r>
              <w:rPr>
                <w:rFonts w:hint="default"/>
                <w:color w:val="auto"/>
              </w:rPr>
              <w:t>井场钻井期、试油期Q值均小于1，评价工作等级</w:t>
            </w:r>
            <w:r>
              <w:rPr>
                <w:rFonts w:hint="eastAsia"/>
                <w:color w:val="auto"/>
                <w:lang w:val="en-US" w:eastAsia="zh-CN"/>
              </w:rPr>
              <w:t>均</w:t>
            </w:r>
            <w:r>
              <w:rPr>
                <w:rFonts w:hint="default"/>
                <w:color w:val="auto"/>
              </w:rPr>
              <w:t>为简单分析。</w:t>
            </w:r>
          </w:p>
          <w:p>
            <w:pPr>
              <w:pStyle w:val="36"/>
              <w:bidi w:val="0"/>
              <w:rPr>
                <w:rFonts w:hint="eastAsia" w:eastAsia="宋体"/>
                <w:color w:val="auto"/>
                <w:lang w:val="en-US" w:eastAsia="zh-CN"/>
              </w:rPr>
            </w:pPr>
            <w:r>
              <w:rPr>
                <w:rFonts w:hint="default"/>
                <w:color w:val="auto"/>
              </w:rPr>
              <w:t>（2）环境敏感目标概况</w:t>
            </w:r>
            <w:r>
              <w:rPr>
                <w:rFonts w:hint="eastAsia"/>
                <w:color w:val="auto"/>
                <w:lang w:val="en-US" w:eastAsia="zh-CN"/>
              </w:rPr>
              <w:t xml:space="preserve"> </w:t>
            </w:r>
          </w:p>
          <w:p>
            <w:pPr>
              <w:pStyle w:val="36"/>
              <w:bidi w:val="0"/>
              <w:rPr>
                <w:rFonts w:hint="eastAsia"/>
                <w:color w:val="auto"/>
              </w:rPr>
            </w:pPr>
            <w:r>
              <w:rPr>
                <w:rFonts w:hint="eastAsia"/>
                <w:color w:val="auto"/>
              </w:rPr>
              <w:t>本次不设风险评价范围，占地范围内无环境风险敏感目标。</w:t>
            </w:r>
          </w:p>
          <w:p>
            <w:pPr>
              <w:pStyle w:val="36"/>
              <w:bidi w:val="0"/>
              <w:rPr>
                <w:rFonts w:hint="default"/>
                <w:color w:val="auto"/>
              </w:rPr>
            </w:pPr>
            <w:r>
              <w:rPr>
                <w:rFonts w:hint="default"/>
                <w:color w:val="auto"/>
              </w:rPr>
              <w:t>（3）环境风险识别</w:t>
            </w:r>
          </w:p>
          <w:p>
            <w:pPr>
              <w:pStyle w:val="36"/>
              <w:bidi w:val="0"/>
              <w:rPr>
                <w:rFonts w:hint="default"/>
                <w:color w:val="auto"/>
              </w:rPr>
            </w:pPr>
            <w:r>
              <w:rPr>
                <w:rFonts w:hint="default"/>
                <w:color w:val="auto"/>
              </w:rPr>
              <w:t>①危险物质识别</w:t>
            </w:r>
          </w:p>
          <w:p>
            <w:pPr>
              <w:pStyle w:val="36"/>
              <w:bidi w:val="0"/>
              <w:rPr>
                <w:rFonts w:hint="default"/>
                <w:color w:val="auto"/>
              </w:rPr>
            </w:pPr>
            <w:r>
              <w:rPr>
                <w:rFonts w:hint="default"/>
                <w:color w:val="auto"/>
              </w:rPr>
              <w:t>施工期间涉及的环境危险物质主要为原油、伴生气（主要成分为天然气）</w:t>
            </w:r>
            <w:r>
              <w:rPr>
                <w:rFonts w:hint="eastAsia"/>
                <w:color w:val="auto"/>
                <w:lang w:eastAsia="zh-CN"/>
              </w:rPr>
              <w:t>、</w:t>
            </w:r>
            <w:r>
              <w:rPr>
                <w:rFonts w:hint="default"/>
                <w:color w:val="auto"/>
              </w:rPr>
              <w:t>柴油、</w:t>
            </w:r>
            <w:r>
              <w:rPr>
                <w:rFonts w:hint="eastAsia"/>
                <w:color w:val="auto"/>
                <w:lang w:val="en-US" w:eastAsia="zh-CN"/>
              </w:rPr>
              <w:t>白油</w:t>
            </w:r>
            <w:r>
              <w:rPr>
                <w:rFonts w:hint="default"/>
                <w:color w:val="auto"/>
              </w:rPr>
              <w:t>，其主要物化、毒理性质、危险等级划分及影响途径见</w:t>
            </w:r>
            <w:r>
              <w:rPr>
                <w:rFonts w:hint="eastAsia" w:ascii="Times New Roman" w:eastAsia="宋体"/>
                <w:color w:val="auto"/>
                <w:lang w:val="en-US" w:eastAsia="zh-CN"/>
              </w:rPr>
              <w:t>下表</w:t>
            </w:r>
            <w:r>
              <w:rPr>
                <w:rFonts w:hint="default"/>
                <w:color w:val="auto"/>
              </w:rPr>
              <w:t>。</w:t>
            </w: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52"/>
              <w:bidi w:val="0"/>
              <w:rPr>
                <w:rFonts w:hint="default"/>
                <w:color w:val="auto"/>
              </w:rPr>
            </w:pPr>
            <w:r>
              <w:rPr>
                <w:rFonts w:hint="default"/>
                <w:color w:val="auto"/>
              </w:rPr>
              <w:t>表</w:t>
            </w:r>
            <w:r>
              <w:rPr>
                <w:rFonts w:hint="default"/>
                <w:color w:val="auto"/>
                <w:lang w:val="en-US" w:eastAsia="zh-CN"/>
              </w:rPr>
              <w:t>4-</w:t>
            </w:r>
            <w:r>
              <w:rPr>
                <w:rFonts w:hint="eastAsia"/>
                <w:color w:val="auto"/>
                <w:lang w:val="en-US" w:eastAsia="zh-CN"/>
              </w:rPr>
              <w:t>9</w:t>
            </w:r>
            <w:r>
              <w:rPr>
                <w:rFonts w:hint="default"/>
                <w:color w:val="auto"/>
              </w:rPr>
              <w:t xml:space="preserve">  </w:t>
            </w:r>
            <w:r>
              <w:rPr>
                <w:rFonts w:hint="default"/>
                <w:color w:val="auto"/>
                <w:lang w:val="zh-CN"/>
              </w:rPr>
              <w:t>本</w:t>
            </w:r>
            <w:r>
              <w:rPr>
                <w:rFonts w:hint="eastAsia"/>
                <w:color w:val="auto"/>
                <w:lang w:val="en-US" w:eastAsia="zh-CN"/>
              </w:rPr>
              <w:t>项目</w:t>
            </w:r>
            <w:r>
              <w:rPr>
                <w:rFonts w:hint="default"/>
                <w:color w:val="auto"/>
                <w:lang w:val="zh-CN"/>
              </w:rPr>
              <w:t>危险物质的理化性质及危险级别分类情况</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3" w:type="dxa"/>
                <w:bottom w:w="0" w:type="dxa"/>
                <w:right w:w="23" w:type="dxa"/>
              </w:tblCellMar>
            </w:tblPr>
            <w:tblGrid>
              <w:gridCol w:w="483"/>
              <w:gridCol w:w="487"/>
              <w:gridCol w:w="1247"/>
              <w:gridCol w:w="3226"/>
              <w:gridCol w:w="1834"/>
              <w:gridCol w:w="9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0" w:hRule="atLeast"/>
                <w:tblHeader/>
              </w:trPr>
              <w:tc>
                <w:tcPr>
                  <w:tcW w:w="292" w:type="pct"/>
                  <w:noWrap w:val="0"/>
                  <w:vAlign w:val="center"/>
                </w:tcPr>
                <w:p>
                  <w:pPr>
                    <w:pStyle w:val="33"/>
                    <w:bidi w:val="0"/>
                    <w:rPr>
                      <w:rFonts w:hint="default"/>
                      <w:color w:val="auto"/>
                    </w:rPr>
                  </w:pPr>
                  <w:r>
                    <w:rPr>
                      <w:rFonts w:hint="default"/>
                      <w:color w:val="auto"/>
                    </w:rPr>
                    <w:t>序号</w:t>
                  </w:r>
                </w:p>
              </w:tc>
              <w:tc>
                <w:tcPr>
                  <w:tcW w:w="294" w:type="pct"/>
                  <w:noWrap w:val="0"/>
                  <w:vAlign w:val="center"/>
                </w:tcPr>
                <w:p>
                  <w:pPr>
                    <w:pStyle w:val="33"/>
                    <w:bidi w:val="0"/>
                    <w:rPr>
                      <w:rFonts w:hint="default"/>
                      <w:color w:val="auto"/>
                    </w:rPr>
                  </w:pPr>
                  <w:r>
                    <w:rPr>
                      <w:rFonts w:hint="default"/>
                      <w:color w:val="auto"/>
                    </w:rPr>
                    <w:t>名称</w:t>
                  </w:r>
                </w:p>
              </w:tc>
              <w:tc>
                <w:tcPr>
                  <w:tcW w:w="753" w:type="pct"/>
                  <w:noWrap w:val="0"/>
                  <w:vAlign w:val="center"/>
                </w:tcPr>
                <w:p>
                  <w:pPr>
                    <w:pStyle w:val="33"/>
                    <w:bidi w:val="0"/>
                    <w:rPr>
                      <w:rFonts w:hint="default"/>
                      <w:color w:val="auto"/>
                    </w:rPr>
                  </w:pPr>
                  <w:r>
                    <w:rPr>
                      <w:rFonts w:hint="default"/>
                      <w:color w:val="auto"/>
                    </w:rPr>
                    <w:t>组分</w:t>
                  </w:r>
                </w:p>
              </w:tc>
              <w:tc>
                <w:tcPr>
                  <w:tcW w:w="1949" w:type="pct"/>
                  <w:noWrap w:val="0"/>
                  <w:vAlign w:val="center"/>
                </w:tcPr>
                <w:p>
                  <w:pPr>
                    <w:pStyle w:val="33"/>
                    <w:bidi w:val="0"/>
                    <w:rPr>
                      <w:rFonts w:hint="default"/>
                      <w:color w:val="auto"/>
                    </w:rPr>
                  </w:pPr>
                  <w:r>
                    <w:rPr>
                      <w:rFonts w:hint="default"/>
                      <w:color w:val="auto"/>
                    </w:rPr>
                    <w:t>毒性</w:t>
                  </w:r>
                </w:p>
              </w:tc>
              <w:tc>
                <w:tcPr>
                  <w:tcW w:w="1108" w:type="pct"/>
                  <w:noWrap w:val="0"/>
                  <w:vAlign w:val="center"/>
                </w:tcPr>
                <w:p>
                  <w:pPr>
                    <w:pStyle w:val="33"/>
                    <w:bidi w:val="0"/>
                    <w:rPr>
                      <w:rFonts w:hint="default"/>
                      <w:color w:val="auto"/>
                    </w:rPr>
                  </w:pPr>
                  <w:r>
                    <w:rPr>
                      <w:rFonts w:hint="default"/>
                      <w:color w:val="auto"/>
                    </w:rPr>
                    <w:t>燃烧爆炸特性参数</w:t>
                  </w:r>
                </w:p>
              </w:tc>
              <w:tc>
                <w:tcPr>
                  <w:tcW w:w="601" w:type="pct"/>
                  <w:noWrap w:val="0"/>
                  <w:vAlign w:val="center"/>
                </w:tcPr>
                <w:p>
                  <w:pPr>
                    <w:pStyle w:val="33"/>
                    <w:bidi w:val="0"/>
                    <w:rPr>
                      <w:rFonts w:hint="default"/>
                      <w:color w:val="auto"/>
                    </w:rPr>
                  </w:pPr>
                  <w:r>
                    <w:rPr>
                      <w:rFonts w:hint="default"/>
                      <w:color w:val="auto"/>
                    </w:rPr>
                    <w:t>危险级别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0" w:hRule="atLeast"/>
              </w:trPr>
              <w:tc>
                <w:tcPr>
                  <w:tcW w:w="292" w:type="pct"/>
                  <w:noWrap w:val="0"/>
                  <w:vAlign w:val="center"/>
                </w:tcPr>
                <w:p>
                  <w:pPr>
                    <w:pStyle w:val="33"/>
                    <w:bidi w:val="0"/>
                    <w:rPr>
                      <w:rFonts w:hint="default"/>
                      <w:color w:val="auto"/>
                    </w:rPr>
                  </w:pPr>
                  <w:r>
                    <w:rPr>
                      <w:rFonts w:hint="default"/>
                      <w:color w:val="auto"/>
                    </w:rPr>
                    <w:t>1</w:t>
                  </w:r>
                </w:p>
              </w:tc>
              <w:tc>
                <w:tcPr>
                  <w:tcW w:w="294" w:type="pct"/>
                  <w:noWrap w:val="0"/>
                  <w:vAlign w:val="center"/>
                </w:tcPr>
                <w:p>
                  <w:pPr>
                    <w:pStyle w:val="33"/>
                    <w:bidi w:val="0"/>
                    <w:rPr>
                      <w:rFonts w:hint="default"/>
                      <w:color w:val="auto"/>
                    </w:rPr>
                  </w:pPr>
                  <w:r>
                    <w:rPr>
                      <w:rFonts w:hint="default"/>
                      <w:color w:val="auto"/>
                    </w:rPr>
                    <w:t>原油</w:t>
                  </w:r>
                </w:p>
              </w:tc>
              <w:tc>
                <w:tcPr>
                  <w:tcW w:w="753" w:type="pct"/>
                  <w:noWrap w:val="0"/>
                  <w:vAlign w:val="center"/>
                </w:tcPr>
                <w:p>
                  <w:pPr>
                    <w:pStyle w:val="33"/>
                    <w:bidi w:val="0"/>
                    <w:rPr>
                      <w:rFonts w:hint="default"/>
                      <w:color w:val="auto"/>
                    </w:rPr>
                  </w:pPr>
                  <w:r>
                    <w:rPr>
                      <w:rFonts w:hint="eastAsia"/>
                      <w:color w:val="auto"/>
                      <w:lang w:eastAsia="zh-CN"/>
                    </w:rPr>
                    <w:t>由</w:t>
                  </w:r>
                  <w:r>
                    <w:rPr>
                      <w:rFonts w:hint="default"/>
                      <w:color w:val="auto"/>
                    </w:rPr>
                    <w:t>各种烃类和非烃类化合物所组成的复杂混合物</w:t>
                  </w:r>
                </w:p>
              </w:tc>
              <w:tc>
                <w:tcPr>
                  <w:tcW w:w="1949" w:type="pct"/>
                  <w:noWrap w:val="0"/>
                  <w:vAlign w:val="center"/>
                </w:tcPr>
                <w:p>
                  <w:pPr>
                    <w:pStyle w:val="33"/>
                    <w:bidi w:val="0"/>
                    <w:rPr>
                      <w:rFonts w:hint="eastAsia"/>
                      <w:color w:val="auto"/>
                      <w:lang w:eastAsia="zh-CN"/>
                    </w:rPr>
                  </w:pPr>
                  <w:r>
                    <w:rPr>
                      <w:rFonts w:hint="default"/>
                      <w:color w:val="auto"/>
                    </w:rPr>
                    <w:t>原油本身无明显毒性。遇热分解出有毒的烟雾，吸入大量可引起危害：有刺激和麻痹作用，吸入急性中毒者有上呼吸道刺激症状。流泪，随之出现头晕、头痛、恶心、运动失调及酒醉样症状</w:t>
                  </w:r>
                  <w:r>
                    <w:rPr>
                      <w:rFonts w:hint="eastAsia"/>
                      <w:color w:val="auto"/>
                      <w:lang w:eastAsia="zh-CN"/>
                    </w:rPr>
                    <w:t>。</w:t>
                  </w:r>
                </w:p>
              </w:tc>
              <w:tc>
                <w:tcPr>
                  <w:tcW w:w="1108" w:type="pct"/>
                  <w:noWrap w:val="0"/>
                  <w:vAlign w:val="center"/>
                </w:tcPr>
                <w:p>
                  <w:pPr>
                    <w:pStyle w:val="33"/>
                    <w:bidi w:val="0"/>
                    <w:rPr>
                      <w:rFonts w:hint="default"/>
                      <w:color w:val="auto"/>
                    </w:rPr>
                  </w:pPr>
                  <w:r>
                    <w:rPr>
                      <w:rFonts w:hint="default"/>
                      <w:color w:val="auto"/>
                    </w:rPr>
                    <w:t>热值：41870KJ/kg</w:t>
                  </w:r>
                </w:p>
                <w:p>
                  <w:pPr>
                    <w:pStyle w:val="33"/>
                    <w:bidi w:val="0"/>
                    <w:rPr>
                      <w:rFonts w:hint="default"/>
                      <w:color w:val="auto"/>
                    </w:rPr>
                  </w:pPr>
                  <w:r>
                    <w:rPr>
                      <w:rFonts w:hint="default"/>
                      <w:color w:val="auto"/>
                    </w:rPr>
                    <w:t>火焰温度：1100℃</w:t>
                  </w:r>
                </w:p>
                <w:p>
                  <w:pPr>
                    <w:pStyle w:val="33"/>
                    <w:bidi w:val="0"/>
                    <w:rPr>
                      <w:rFonts w:hint="default"/>
                      <w:color w:val="auto"/>
                    </w:rPr>
                  </w:pPr>
                  <w:r>
                    <w:rPr>
                      <w:rFonts w:hint="default"/>
                      <w:color w:val="auto"/>
                    </w:rPr>
                    <w:t>沸点：300～325℃</w:t>
                  </w:r>
                </w:p>
                <w:p>
                  <w:pPr>
                    <w:pStyle w:val="33"/>
                    <w:bidi w:val="0"/>
                    <w:rPr>
                      <w:rFonts w:hint="default"/>
                      <w:color w:val="auto"/>
                    </w:rPr>
                  </w:pPr>
                  <w:r>
                    <w:rPr>
                      <w:rFonts w:hint="default"/>
                      <w:color w:val="auto"/>
                    </w:rPr>
                    <w:t>闪点：23.5℃</w:t>
                  </w:r>
                </w:p>
                <w:p>
                  <w:pPr>
                    <w:pStyle w:val="33"/>
                    <w:bidi w:val="0"/>
                    <w:rPr>
                      <w:rFonts w:hint="default"/>
                      <w:color w:val="auto"/>
                    </w:rPr>
                  </w:pPr>
                  <w:r>
                    <w:rPr>
                      <w:rFonts w:hint="default"/>
                      <w:color w:val="auto"/>
                    </w:rPr>
                    <w:t>爆炸极限1.1～6.4%（v）自然燃点380～530℃</w:t>
                  </w:r>
                </w:p>
              </w:tc>
              <w:tc>
                <w:tcPr>
                  <w:tcW w:w="601" w:type="pct"/>
                  <w:noWrap w:val="0"/>
                  <w:vAlign w:val="center"/>
                </w:tcPr>
                <w:p>
                  <w:pPr>
                    <w:pStyle w:val="33"/>
                    <w:bidi w:val="0"/>
                    <w:rPr>
                      <w:rFonts w:hint="default"/>
                      <w:color w:val="auto"/>
                    </w:rPr>
                  </w:pPr>
                  <w:r>
                    <w:rPr>
                      <w:rFonts w:hint="default"/>
                      <w:color w:val="auto"/>
                    </w:rPr>
                    <w:t>属于高闪点液体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0" w:hRule="atLeast"/>
              </w:trPr>
              <w:tc>
                <w:tcPr>
                  <w:tcW w:w="292" w:type="pct"/>
                  <w:noWrap w:val="0"/>
                  <w:vAlign w:val="center"/>
                </w:tcPr>
                <w:p>
                  <w:pPr>
                    <w:pStyle w:val="33"/>
                    <w:bidi w:val="0"/>
                    <w:rPr>
                      <w:rFonts w:hint="default"/>
                      <w:color w:val="auto"/>
                    </w:rPr>
                  </w:pPr>
                  <w:r>
                    <w:rPr>
                      <w:rFonts w:hint="default"/>
                      <w:color w:val="auto"/>
                    </w:rPr>
                    <w:t>2</w:t>
                  </w:r>
                </w:p>
              </w:tc>
              <w:tc>
                <w:tcPr>
                  <w:tcW w:w="294" w:type="pct"/>
                  <w:noWrap w:val="0"/>
                  <w:vAlign w:val="center"/>
                </w:tcPr>
                <w:p>
                  <w:pPr>
                    <w:pStyle w:val="33"/>
                    <w:bidi w:val="0"/>
                    <w:rPr>
                      <w:rFonts w:hint="default"/>
                      <w:color w:val="auto"/>
                    </w:rPr>
                  </w:pPr>
                  <w:r>
                    <w:rPr>
                      <w:rFonts w:hint="default"/>
                      <w:color w:val="auto"/>
                    </w:rPr>
                    <w:t>天然气</w:t>
                  </w:r>
                </w:p>
              </w:tc>
              <w:tc>
                <w:tcPr>
                  <w:tcW w:w="753" w:type="pct"/>
                  <w:noWrap w:val="0"/>
                  <w:vAlign w:val="center"/>
                </w:tcPr>
                <w:p>
                  <w:pPr>
                    <w:pStyle w:val="33"/>
                    <w:bidi w:val="0"/>
                    <w:rPr>
                      <w:rFonts w:hint="default"/>
                      <w:color w:val="auto"/>
                    </w:rPr>
                  </w:pPr>
                  <w:r>
                    <w:rPr>
                      <w:rFonts w:hint="default"/>
                      <w:color w:val="auto"/>
                    </w:rPr>
                    <w:t>多种可燃性气体的总称，主要成分包括甲烷、乙烷等</w:t>
                  </w:r>
                </w:p>
              </w:tc>
              <w:tc>
                <w:tcPr>
                  <w:tcW w:w="1949" w:type="pct"/>
                  <w:noWrap w:val="0"/>
                  <w:vAlign w:val="center"/>
                </w:tcPr>
                <w:p>
                  <w:pPr>
                    <w:pStyle w:val="33"/>
                    <w:bidi w:val="0"/>
                    <w:rPr>
                      <w:rFonts w:hint="default"/>
                      <w:color w:val="auto"/>
                    </w:rPr>
                  </w:pPr>
                  <w:r>
                    <w:rPr>
                      <w:rFonts w:hint="default"/>
                      <w:color w:val="auto"/>
                    </w:rPr>
                    <w:t>伴生气中主要包括天然气，天然气中含有的甲烷，是一种无毒气体，当空气中大量弥漫这种气体时它会造成人因氧气不足而呼吸困难，进而失去知觉、昏迷甚至残废。</w:t>
                  </w:r>
                </w:p>
              </w:tc>
              <w:tc>
                <w:tcPr>
                  <w:tcW w:w="1108" w:type="pct"/>
                  <w:noWrap w:val="0"/>
                  <w:vAlign w:val="center"/>
                </w:tcPr>
                <w:p>
                  <w:pPr>
                    <w:pStyle w:val="33"/>
                    <w:bidi w:val="0"/>
                    <w:rPr>
                      <w:rFonts w:hint="default"/>
                      <w:color w:val="auto"/>
                    </w:rPr>
                  </w:pPr>
                  <w:r>
                    <w:rPr>
                      <w:rFonts w:hint="default"/>
                      <w:color w:val="auto"/>
                    </w:rPr>
                    <w:t>热值：50009KJ/kg</w:t>
                  </w:r>
                </w:p>
                <w:p>
                  <w:pPr>
                    <w:pStyle w:val="33"/>
                    <w:bidi w:val="0"/>
                    <w:rPr>
                      <w:rFonts w:hint="default"/>
                      <w:color w:val="auto"/>
                    </w:rPr>
                  </w:pPr>
                  <w:r>
                    <w:rPr>
                      <w:rFonts w:hint="default"/>
                      <w:color w:val="auto"/>
                    </w:rPr>
                    <w:t>爆炸极限5～14%（v）</w:t>
                  </w:r>
                </w:p>
                <w:p>
                  <w:pPr>
                    <w:pStyle w:val="33"/>
                    <w:bidi w:val="0"/>
                    <w:rPr>
                      <w:rFonts w:hint="default"/>
                      <w:color w:val="auto"/>
                    </w:rPr>
                  </w:pPr>
                  <w:r>
                    <w:rPr>
                      <w:rFonts w:hint="default"/>
                      <w:color w:val="auto"/>
                    </w:rPr>
                    <w:t>自然燃点</w:t>
                  </w:r>
                </w:p>
                <w:p>
                  <w:pPr>
                    <w:pStyle w:val="33"/>
                    <w:bidi w:val="0"/>
                    <w:rPr>
                      <w:rFonts w:hint="default"/>
                      <w:color w:val="auto"/>
                    </w:rPr>
                  </w:pPr>
                  <w:r>
                    <w:rPr>
                      <w:rFonts w:hint="default"/>
                      <w:color w:val="auto"/>
                    </w:rPr>
                    <w:t>482～632℃</w:t>
                  </w:r>
                </w:p>
              </w:tc>
              <w:tc>
                <w:tcPr>
                  <w:tcW w:w="601" w:type="pct"/>
                  <w:noWrap w:val="0"/>
                  <w:vAlign w:val="center"/>
                </w:tcPr>
                <w:p>
                  <w:pPr>
                    <w:pStyle w:val="33"/>
                    <w:bidi w:val="0"/>
                    <w:rPr>
                      <w:rFonts w:hint="default"/>
                      <w:color w:val="auto"/>
                    </w:rPr>
                  </w:pPr>
                  <w:r>
                    <w:rPr>
                      <w:rFonts w:hint="default"/>
                      <w:color w:val="auto"/>
                    </w:rPr>
                    <w:t>属于5.1类中易燃气体，在危险货物品名表中编号21007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0" w:hRule="atLeast"/>
              </w:trPr>
              <w:tc>
                <w:tcPr>
                  <w:tcW w:w="292" w:type="pct"/>
                  <w:noWrap w:val="0"/>
                  <w:vAlign w:val="center"/>
                </w:tcPr>
                <w:p>
                  <w:pPr>
                    <w:pStyle w:val="33"/>
                    <w:bidi w:val="0"/>
                    <w:rPr>
                      <w:rFonts w:hint="default"/>
                      <w:color w:val="auto"/>
                    </w:rPr>
                  </w:pPr>
                  <w:r>
                    <w:rPr>
                      <w:rFonts w:hint="default"/>
                      <w:color w:val="auto"/>
                    </w:rPr>
                    <w:t>3</w:t>
                  </w:r>
                </w:p>
              </w:tc>
              <w:tc>
                <w:tcPr>
                  <w:tcW w:w="294" w:type="pct"/>
                  <w:noWrap w:val="0"/>
                  <w:vAlign w:val="center"/>
                </w:tcPr>
                <w:p>
                  <w:pPr>
                    <w:pStyle w:val="33"/>
                    <w:bidi w:val="0"/>
                    <w:rPr>
                      <w:rFonts w:hint="default"/>
                      <w:color w:val="auto"/>
                    </w:rPr>
                  </w:pPr>
                  <w:r>
                    <w:rPr>
                      <w:rFonts w:hint="default"/>
                      <w:color w:val="auto"/>
                    </w:rPr>
                    <w:t>柴油</w:t>
                  </w:r>
                </w:p>
              </w:tc>
              <w:tc>
                <w:tcPr>
                  <w:tcW w:w="753" w:type="pct"/>
                  <w:noWrap w:val="0"/>
                  <w:vAlign w:val="center"/>
                </w:tcPr>
                <w:p>
                  <w:pPr>
                    <w:pStyle w:val="33"/>
                    <w:bidi w:val="0"/>
                    <w:rPr>
                      <w:rFonts w:hint="default"/>
                      <w:color w:val="auto"/>
                    </w:rPr>
                  </w:pPr>
                  <w:r>
                    <w:rPr>
                      <w:rFonts w:hint="default"/>
                      <w:color w:val="auto"/>
                    </w:rPr>
                    <w:t>复杂烃类（</w:t>
                  </w:r>
                  <w:r>
                    <w:rPr>
                      <w:rFonts w:hint="default"/>
                      <w:color w:val="auto"/>
                    </w:rPr>
                    <w:fldChar w:fldCharType="begin"/>
                  </w:r>
                  <w:r>
                    <w:rPr>
                      <w:rFonts w:hint="default"/>
                      <w:color w:val="auto"/>
                    </w:rPr>
                    <w:instrText xml:space="preserve"> HYPERLINK "https://baike.so.com/doc/1753385-1853919.html" \t "_blank" </w:instrText>
                  </w:r>
                  <w:r>
                    <w:rPr>
                      <w:rFonts w:hint="default"/>
                      <w:color w:val="auto"/>
                    </w:rPr>
                    <w:fldChar w:fldCharType="separate"/>
                  </w:r>
                  <w:r>
                    <w:rPr>
                      <w:rFonts w:hint="default"/>
                      <w:color w:val="auto"/>
                    </w:rPr>
                    <w:t>碳原子</w:t>
                  </w:r>
                  <w:r>
                    <w:rPr>
                      <w:rFonts w:hint="default"/>
                      <w:color w:val="auto"/>
                    </w:rPr>
                    <w:fldChar w:fldCharType="end"/>
                  </w:r>
                  <w:r>
                    <w:rPr>
                      <w:rFonts w:hint="default"/>
                      <w:color w:val="auto"/>
                    </w:rPr>
                    <w:t>数约10～22）混合物</w:t>
                  </w:r>
                </w:p>
              </w:tc>
              <w:tc>
                <w:tcPr>
                  <w:tcW w:w="1949" w:type="pct"/>
                  <w:noWrap w:val="0"/>
                  <w:vAlign w:val="center"/>
                </w:tcPr>
                <w:p>
                  <w:pPr>
                    <w:pStyle w:val="33"/>
                    <w:bidi w:val="0"/>
                    <w:rPr>
                      <w:rFonts w:hint="default"/>
                      <w:color w:val="auto"/>
                    </w:rPr>
                  </w:pPr>
                  <w:r>
                    <w:rPr>
                      <w:rFonts w:hint="default"/>
                      <w:color w:val="auto"/>
                    </w:rPr>
                    <w:t>柴油的毒性类似于煤油，但由于添加剂</w:t>
                  </w:r>
                  <w:r>
                    <w:rPr>
                      <w:rFonts w:hint="eastAsia"/>
                      <w:color w:val="auto"/>
                      <w:lang w:eastAsia="zh-CN"/>
                    </w:rPr>
                    <w:t>（</w:t>
                  </w:r>
                  <w:r>
                    <w:rPr>
                      <w:rFonts w:hint="default"/>
                      <w:color w:val="auto"/>
                    </w:rPr>
                    <w:t>如硫化酯类）的影响，毒性可能比煤油略大。主要有麻醉和刺激作用。柴油的</w:t>
                  </w:r>
                  <w:r>
                    <w:rPr>
                      <w:rFonts w:hint="default"/>
                      <w:color w:val="auto"/>
                    </w:rPr>
                    <w:fldChar w:fldCharType="begin"/>
                  </w:r>
                  <w:r>
                    <w:rPr>
                      <w:rFonts w:hint="default"/>
                      <w:color w:val="auto"/>
                    </w:rPr>
                    <w:instrText xml:space="preserve"> HYPERLINK "https://baike.so.com/doc/1252640-1324776.html" \t "_blank" </w:instrText>
                  </w:r>
                  <w:r>
                    <w:rPr>
                      <w:rFonts w:hint="default"/>
                      <w:color w:val="auto"/>
                    </w:rPr>
                    <w:fldChar w:fldCharType="separate"/>
                  </w:r>
                  <w:r>
                    <w:rPr>
                      <w:rFonts w:hint="default"/>
                      <w:color w:val="auto"/>
                    </w:rPr>
                    <w:t>雾滴</w:t>
                  </w:r>
                  <w:r>
                    <w:rPr>
                      <w:rFonts w:hint="default"/>
                      <w:color w:val="auto"/>
                    </w:rPr>
                    <w:fldChar w:fldCharType="end"/>
                  </w:r>
                  <w:r>
                    <w:rPr>
                      <w:rFonts w:hint="default"/>
                      <w:color w:val="auto"/>
                    </w:rPr>
                    <w:t>吸入后可致</w:t>
                  </w:r>
                  <w:r>
                    <w:rPr>
                      <w:rFonts w:hint="default"/>
                      <w:color w:val="auto"/>
                    </w:rPr>
                    <w:fldChar w:fldCharType="begin"/>
                  </w:r>
                  <w:r>
                    <w:rPr>
                      <w:rFonts w:hint="default"/>
                      <w:color w:val="auto"/>
                    </w:rPr>
                    <w:instrText xml:space="preserve"> HYPERLINK "https://baike.so.com/doc/5358214-5593767.html" \t "_blank" </w:instrText>
                  </w:r>
                  <w:r>
                    <w:rPr>
                      <w:rFonts w:hint="default"/>
                      <w:color w:val="auto"/>
                    </w:rPr>
                    <w:fldChar w:fldCharType="separate"/>
                  </w:r>
                  <w:r>
                    <w:rPr>
                      <w:rFonts w:hint="default"/>
                      <w:color w:val="auto"/>
                    </w:rPr>
                    <w:t>吸入性肺炎</w:t>
                  </w:r>
                  <w:r>
                    <w:rPr>
                      <w:rFonts w:hint="default"/>
                      <w:color w:val="auto"/>
                    </w:rPr>
                    <w:fldChar w:fldCharType="end"/>
                  </w:r>
                  <w:r>
                    <w:rPr>
                      <w:rFonts w:hint="default"/>
                      <w:color w:val="auto"/>
                    </w:rPr>
                    <w:t>。皮肤接触柴油可致接触性皮炎。多见于两手、腕部与前臂。</w:t>
                  </w:r>
                </w:p>
              </w:tc>
              <w:tc>
                <w:tcPr>
                  <w:tcW w:w="1108" w:type="pct"/>
                  <w:noWrap w:val="0"/>
                  <w:vAlign w:val="center"/>
                </w:tcPr>
                <w:p>
                  <w:pPr>
                    <w:pStyle w:val="33"/>
                    <w:bidi w:val="0"/>
                    <w:rPr>
                      <w:rFonts w:hint="default"/>
                      <w:color w:val="auto"/>
                    </w:rPr>
                  </w:pPr>
                  <w:r>
                    <w:rPr>
                      <w:rFonts w:hint="default"/>
                      <w:color w:val="auto"/>
                    </w:rPr>
                    <w:fldChar w:fldCharType="begin"/>
                  </w:r>
                  <w:r>
                    <w:rPr>
                      <w:rFonts w:hint="default"/>
                      <w:color w:val="auto"/>
                    </w:rPr>
                    <w:instrText xml:space="preserve"> HYPERLINK "https://baike.so.com/doc/5846430-6059267.html" \t "_blank" </w:instrText>
                  </w:r>
                  <w:r>
                    <w:rPr>
                      <w:rFonts w:hint="default"/>
                      <w:color w:val="auto"/>
                    </w:rPr>
                    <w:fldChar w:fldCharType="separate"/>
                  </w:r>
                  <w:r>
                    <w:rPr>
                      <w:rFonts w:hint="default"/>
                      <w:color w:val="auto"/>
                    </w:rPr>
                    <w:t>热值</w:t>
                  </w:r>
                  <w:r>
                    <w:rPr>
                      <w:rFonts w:hint="default"/>
                      <w:color w:val="auto"/>
                    </w:rPr>
                    <w:fldChar w:fldCharType="end"/>
                  </w:r>
                  <w:r>
                    <w:rPr>
                      <w:rFonts w:hint="default"/>
                      <w:color w:val="auto"/>
                    </w:rPr>
                    <w:t>为3.3×107J/L</w:t>
                  </w:r>
                </w:p>
                <w:p>
                  <w:pPr>
                    <w:pStyle w:val="33"/>
                    <w:bidi w:val="0"/>
                    <w:rPr>
                      <w:rFonts w:hint="default"/>
                      <w:color w:val="auto"/>
                    </w:rPr>
                  </w:pPr>
                  <w:r>
                    <w:rPr>
                      <w:rFonts w:hint="default"/>
                      <w:color w:val="auto"/>
                    </w:rPr>
                    <w:fldChar w:fldCharType="begin"/>
                  </w:r>
                  <w:r>
                    <w:rPr>
                      <w:rFonts w:hint="default"/>
                      <w:color w:val="auto"/>
                    </w:rPr>
                    <w:instrText xml:space="preserve"> HYPERLINK "https://baike.so.com/doc/5567907-5783065.html" \t "_blank" </w:instrText>
                  </w:r>
                  <w:r>
                    <w:rPr>
                      <w:rFonts w:hint="default"/>
                      <w:color w:val="auto"/>
                    </w:rPr>
                    <w:fldChar w:fldCharType="separate"/>
                  </w:r>
                  <w:r>
                    <w:rPr>
                      <w:rFonts w:hint="default"/>
                      <w:color w:val="auto"/>
                    </w:rPr>
                    <w:t>沸点</w:t>
                  </w:r>
                  <w:r>
                    <w:rPr>
                      <w:rFonts w:hint="default"/>
                      <w:color w:val="auto"/>
                    </w:rPr>
                    <w:fldChar w:fldCharType="end"/>
                  </w:r>
                  <w:r>
                    <w:rPr>
                      <w:rFonts w:hint="default"/>
                      <w:color w:val="auto"/>
                    </w:rPr>
                    <w:t>范围有180～370℃和350～410℃两类闪点：38℃</w:t>
                  </w:r>
                </w:p>
              </w:tc>
              <w:tc>
                <w:tcPr>
                  <w:tcW w:w="601" w:type="pct"/>
                  <w:noWrap w:val="0"/>
                  <w:vAlign w:val="center"/>
                </w:tcPr>
                <w:p>
                  <w:pPr>
                    <w:pStyle w:val="33"/>
                    <w:bidi w:val="0"/>
                    <w:rPr>
                      <w:rFonts w:hint="default"/>
                      <w:color w:val="auto"/>
                    </w:rPr>
                  </w:pPr>
                  <w:r>
                    <w:rPr>
                      <w:rFonts w:hint="default"/>
                      <w:color w:val="auto"/>
                    </w:rPr>
                    <w:t>属于高闪点液体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0" w:hRule="atLeast"/>
              </w:trPr>
              <w:tc>
                <w:tcPr>
                  <w:tcW w:w="292" w:type="pct"/>
                  <w:noWrap w:val="0"/>
                  <w:vAlign w:val="center"/>
                </w:tcPr>
                <w:p>
                  <w:pPr>
                    <w:pStyle w:val="33"/>
                    <w:bidi w:val="0"/>
                    <w:rPr>
                      <w:rFonts w:hint="default"/>
                      <w:color w:val="auto"/>
                    </w:rPr>
                  </w:pPr>
                  <w:r>
                    <w:rPr>
                      <w:rFonts w:hint="default"/>
                      <w:color w:val="auto"/>
                    </w:rPr>
                    <w:t>4</w:t>
                  </w:r>
                </w:p>
              </w:tc>
              <w:tc>
                <w:tcPr>
                  <w:tcW w:w="294" w:type="pct"/>
                  <w:noWrap w:val="0"/>
                  <w:vAlign w:val="center"/>
                </w:tcPr>
                <w:p>
                  <w:pPr>
                    <w:pStyle w:val="33"/>
                    <w:bidi w:val="0"/>
                    <w:rPr>
                      <w:rFonts w:hint="default"/>
                      <w:color w:val="auto"/>
                    </w:rPr>
                  </w:pPr>
                  <w:r>
                    <w:rPr>
                      <w:rFonts w:hint="default"/>
                      <w:color w:val="auto"/>
                    </w:rPr>
                    <w:t>白油</w:t>
                  </w:r>
                </w:p>
              </w:tc>
              <w:tc>
                <w:tcPr>
                  <w:tcW w:w="753" w:type="pct"/>
                  <w:noWrap w:val="0"/>
                  <w:vAlign w:val="center"/>
                </w:tcPr>
                <w:p>
                  <w:pPr>
                    <w:pStyle w:val="33"/>
                    <w:bidi w:val="0"/>
                    <w:rPr>
                      <w:rFonts w:hint="default"/>
                      <w:color w:val="auto"/>
                    </w:rPr>
                  </w:pPr>
                  <w:r>
                    <w:rPr>
                      <w:rFonts w:hint="default"/>
                      <w:color w:val="auto"/>
                    </w:rPr>
                    <w:t>饱和的环烷烃与链烷烃混合物</w:t>
                  </w:r>
                </w:p>
              </w:tc>
              <w:tc>
                <w:tcPr>
                  <w:tcW w:w="1949" w:type="pct"/>
                  <w:noWrap w:val="0"/>
                  <w:vAlign w:val="center"/>
                </w:tcPr>
                <w:p>
                  <w:pPr>
                    <w:pStyle w:val="33"/>
                    <w:bidi w:val="0"/>
                    <w:rPr>
                      <w:rFonts w:hint="eastAsia"/>
                      <w:color w:val="auto"/>
                      <w:lang w:eastAsia="zh-CN"/>
                    </w:rPr>
                  </w:pPr>
                  <w:r>
                    <w:rPr>
                      <w:rFonts w:hint="default"/>
                      <w:color w:val="auto"/>
                    </w:rPr>
                    <w:t>一般接触和使用矿物油对人类通常是安全的，FDA也批准矿物油在个人护理和化妆品方面的使用，也可以作为食品的添加剂，不超过10mg/kg。世界卫生组织将矿物油定义为“未处理或低级处理的工业品形态”，为1号致癌物的一类</w:t>
                  </w:r>
                  <w:r>
                    <w:rPr>
                      <w:rFonts w:hint="eastAsia"/>
                      <w:color w:val="auto"/>
                      <w:lang w:eastAsia="zh-CN"/>
                    </w:rPr>
                    <w:t>。</w:t>
                  </w:r>
                </w:p>
              </w:tc>
              <w:tc>
                <w:tcPr>
                  <w:tcW w:w="1108" w:type="pct"/>
                  <w:noWrap w:val="0"/>
                  <w:vAlign w:val="center"/>
                </w:tcPr>
                <w:p>
                  <w:pPr>
                    <w:pStyle w:val="33"/>
                    <w:bidi w:val="0"/>
                    <w:rPr>
                      <w:rFonts w:hint="default"/>
                      <w:color w:val="auto"/>
                    </w:rPr>
                  </w:pPr>
                  <w:r>
                    <w:rPr>
                      <w:rFonts w:hint="default"/>
                      <w:color w:val="auto"/>
                    </w:rPr>
                    <w:t>闪点220℃</w:t>
                  </w:r>
                </w:p>
              </w:tc>
              <w:tc>
                <w:tcPr>
                  <w:tcW w:w="601" w:type="pct"/>
                  <w:noWrap w:val="0"/>
                  <w:vAlign w:val="center"/>
                </w:tcPr>
                <w:p>
                  <w:pPr>
                    <w:pStyle w:val="33"/>
                    <w:bidi w:val="0"/>
                    <w:rPr>
                      <w:rFonts w:hint="default"/>
                      <w:color w:val="auto"/>
                    </w:rPr>
                  </w:pPr>
                  <w:r>
                    <w:rPr>
                      <w:rFonts w:hint="default"/>
                      <w:color w:val="auto"/>
                    </w:rPr>
                    <w:t>属于高闪点液体</w:t>
                  </w:r>
                </w:p>
              </w:tc>
            </w:tr>
          </w:tbl>
          <w:p>
            <w:pPr>
              <w:pStyle w:val="36"/>
              <w:bidi w:val="0"/>
              <w:rPr>
                <w:rFonts w:hint="default"/>
                <w:color w:val="auto"/>
              </w:rPr>
            </w:pPr>
            <w:r>
              <w:rPr>
                <w:rFonts w:hint="default"/>
                <w:color w:val="auto"/>
              </w:rPr>
              <w:t>②生产设施风险识别</w:t>
            </w:r>
          </w:p>
          <w:p>
            <w:pPr>
              <w:pStyle w:val="36"/>
              <w:bidi w:val="0"/>
              <w:rPr>
                <w:rFonts w:hint="default"/>
                <w:color w:val="auto"/>
              </w:rPr>
            </w:pPr>
            <w:r>
              <w:rPr>
                <w:rFonts w:hint="default"/>
                <w:color w:val="auto"/>
              </w:rPr>
              <w:t>a.井喷事故风险</w:t>
            </w:r>
          </w:p>
          <w:p>
            <w:pPr>
              <w:pStyle w:val="36"/>
              <w:bidi w:val="0"/>
              <w:rPr>
                <w:rFonts w:hint="default"/>
                <w:color w:val="auto"/>
              </w:rPr>
            </w:pPr>
            <w:r>
              <w:rPr>
                <w:rFonts w:hint="default"/>
                <w:color w:val="auto"/>
              </w:rPr>
              <w:t>若井底压力小于地层压力，地层流体将进入井筒并推动钻井液外溢。此时如果对地下油、气压力平衡控制不当，不能及时控制溢流，会造成油、气、水或其他混合物迅速喷到地面，即发生井喷。井喷会引发油气泄漏及火灾爆炸，对大气环境、地下水环境、土壤环境及生态环境造成危害，致使人员伤亡、财产损失。</w:t>
            </w:r>
          </w:p>
          <w:p>
            <w:pPr>
              <w:pStyle w:val="36"/>
              <w:bidi w:val="0"/>
              <w:rPr>
                <w:rFonts w:hint="default"/>
                <w:color w:val="auto"/>
              </w:rPr>
            </w:pPr>
            <w:r>
              <w:rPr>
                <w:rFonts w:hint="default"/>
                <w:color w:val="auto"/>
              </w:rPr>
              <w:t>b.储罐泄漏风险</w:t>
            </w:r>
          </w:p>
          <w:p>
            <w:pPr>
              <w:pStyle w:val="36"/>
              <w:bidi w:val="0"/>
              <w:rPr>
                <w:rFonts w:hint="eastAsia"/>
                <w:color w:val="auto"/>
              </w:rPr>
            </w:pPr>
            <w:r>
              <w:rPr>
                <w:rFonts w:hint="eastAsia"/>
                <w:color w:val="auto"/>
              </w:rPr>
              <w:t>钻试期井场设有柴油储罐、废水储罐、采出液储罐、水基钻井岩屑储罐和油基</w:t>
            </w:r>
            <w:r>
              <w:rPr>
                <w:rFonts w:hint="eastAsia"/>
                <w:color w:val="auto"/>
                <w:lang w:val="en-US" w:eastAsia="zh-CN"/>
              </w:rPr>
              <w:t>钻井</w:t>
            </w:r>
            <w:r>
              <w:rPr>
                <w:rFonts w:hint="eastAsia"/>
                <w:color w:val="auto"/>
              </w:rPr>
              <w:t>岩屑储罐等，若储罐因质量、操作运行和管理等方面存在缺陷和失误，可能会发生泄漏，对周围地下水、土壤、大气等环境造成污染。</w:t>
            </w:r>
          </w:p>
          <w:p>
            <w:pPr>
              <w:pStyle w:val="36"/>
              <w:bidi w:val="0"/>
              <w:rPr>
                <w:rFonts w:hint="default"/>
                <w:color w:val="auto"/>
              </w:rPr>
            </w:pPr>
            <w:r>
              <w:rPr>
                <w:rFonts w:hint="default"/>
                <w:color w:val="auto"/>
              </w:rPr>
              <w:t>c.井漏事故风险</w:t>
            </w:r>
          </w:p>
          <w:p>
            <w:pPr>
              <w:pStyle w:val="36"/>
              <w:bidi w:val="0"/>
              <w:rPr>
                <w:rFonts w:hint="default"/>
                <w:color w:val="auto"/>
              </w:rPr>
            </w:pPr>
            <w:r>
              <w:rPr>
                <w:rFonts w:hint="default"/>
                <w:color w:val="auto"/>
              </w:rPr>
              <w:t>钻井施工表层套管下入深度不够或固井质量不好可能引发井漏事故。</w:t>
            </w:r>
          </w:p>
          <w:p>
            <w:pPr>
              <w:pStyle w:val="36"/>
              <w:bidi w:val="0"/>
              <w:rPr>
                <w:rFonts w:hint="default"/>
                <w:color w:val="auto"/>
              </w:rPr>
            </w:pPr>
            <w:r>
              <w:rPr>
                <w:rFonts w:hint="default"/>
                <w:color w:val="auto"/>
              </w:rPr>
              <w:t>d.采出液、废水及柴油拉运过程中的环境风险</w:t>
            </w:r>
          </w:p>
          <w:p>
            <w:pPr>
              <w:pStyle w:val="36"/>
              <w:bidi w:val="0"/>
              <w:rPr>
                <w:rFonts w:hint="default"/>
                <w:color w:val="auto"/>
              </w:rPr>
            </w:pPr>
            <w:r>
              <w:rPr>
                <w:rFonts w:hint="default"/>
                <w:color w:val="auto"/>
              </w:rPr>
              <w:t>试油期废水及其他采出液由罐车拉运至</w:t>
            </w:r>
            <w:r>
              <w:rPr>
                <w:rFonts w:hint="eastAsia"/>
                <w:color w:val="auto"/>
              </w:rPr>
              <w:t>车89</w:t>
            </w:r>
            <w:r>
              <w:rPr>
                <w:rFonts w:hint="eastAsia"/>
                <w:color w:val="auto"/>
                <w:lang w:val="en-US" w:eastAsia="zh-CN"/>
              </w:rPr>
              <w:t>集中</w:t>
            </w:r>
            <w:r>
              <w:rPr>
                <w:rFonts w:hint="eastAsia"/>
                <w:color w:val="auto"/>
              </w:rPr>
              <w:t>处理站</w:t>
            </w:r>
            <w:r>
              <w:rPr>
                <w:rFonts w:hint="default"/>
                <w:color w:val="auto"/>
              </w:rPr>
              <w:t>处理，运输过程中若因车辆本身的设计、制造、操作、管理等各环节存在缺陷，则可能发生泄漏事故的风险。事故发生时罐车内液体溢出，对周围环境造成直接污染，泄漏的油气如遇到明火还可能发生火灾、爆炸事故。</w:t>
            </w:r>
          </w:p>
          <w:p>
            <w:pPr>
              <w:pStyle w:val="36"/>
              <w:bidi w:val="0"/>
              <w:rPr>
                <w:rFonts w:hint="default"/>
                <w:color w:val="auto"/>
              </w:rPr>
            </w:pPr>
            <w:r>
              <w:rPr>
                <w:rFonts w:hint="default"/>
                <w:color w:val="auto"/>
              </w:rPr>
              <w:t>③环境风险类型</w:t>
            </w:r>
          </w:p>
          <w:p>
            <w:pPr>
              <w:pStyle w:val="36"/>
              <w:bidi w:val="0"/>
              <w:rPr>
                <w:rFonts w:hint="default"/>
                <w:color w:val="auto"/>
              </w:rPr>
            </w:pPr>
            <w:r>
              <w:rPr>
                <w:rFonts w:hint="default"/>
                <w:color w:val="auto"/>
              </w:rPr>
              <w:t>环境风险类型主要为泄漏、火灾、爆炸等引发的伴生/次生污染物排放。</w:t>
            </w:r>
          </w:p>
          <w:p>
            <w:pPr>
              <w:pStyle w:val="36"/>
              <w:bidi w:val="0"/>
              <w:rPr>
                <w:rFonts w:hint="default"/>
                <w:color w:val="auto"/>
              </w:rPr>
            </w:pPr>
            <w:r>
              <w:rPr>
                <w:rFonts w:hint="default"/>
                <w:color w:val="auto"/>
              </w:rPr>
              <w:t>④危险物质向环境转移的可能途径和影响方式</w:t>
            </w:r>
          </w:p>
          <w:p>
            <w:pPr>
              <w:pStyle w:val="36"/>
              <w:bidi w:val="0"/>
              <w:rPr>
                <w:rFonts w:hint="eastAsia"/>
                <w:color w:val="auto"/>
              </w:rPr>
            </w:pPr>
            <w:r>
              <w:rPr>
                <w:rFonts w:hint="eastAsia"/>
                <w:color w:val="auto"/>
              </w:rPr>
              <w:t>井场内各储罐若出现破损造成柴油/采出液泄漏污染土壤，污染物有可能通过包气带渗漏进入地下含水层，污染地下水；泄漏的柴油/采出液若遇明火，发生火灾、爆炸，污染大气环境。</w:t>
            </w:r>
          </w:p>
          <w:p>
            <w:pPr>
              <w:pStyle w:val="36"/>
              <w:bidi w:val="0"/>
              <w:rPr>
                <w:rFonts w:hint="default"/>
                <w:color w:val="auto"/>
              </w:rPr>
            </w:pPr>
            <w:r>
              <w:rPr>
                <w:rFonts w:hint="default"/>
                <w:color w:val="auto"/>
              </w:rPr>
              <w:t>（</w:t>
            </w:r>
            <w:r>
              <w:rPr>
                <w:rFonts w:hint="default"/>
                <w:color w:val="auto"/>
                <w:lang w:val="en-US" w:eastAsia="zh-CN"/>
              </w:rPr>
              <w:t>4</w:t>
            </w:r>
            <w:r>
              <w:rPr>
                <w:rFonts w:hint="default"/>
                <w:color w:val="auto"/>
              </w:rPr>
              <w:t>）环境风险分析</w:t>
            </w:r>
          </w:p>
          <w:p>
            <w:pPr>
              <w:pStyle w:val="36"/>
              <w:bidi w:val="0"/>
              <w:rPr>
                <w:rFonts w:hint="default"/>
                <w:color w:val="auto"/>
              </w:rPr>
            </w:pPr>
            <w:r>
              <w:rPr>
                <w:rFonts w:hint="default"/>
                <w:color w:val="auto"/>
              </w:rPr>
              <w:t>①井喷事故环境影响分析</w:t>
            </w:r>
          </w:p>
          <w:p>
            <w:pPr>
              <w:pStyle w:val="36"/>
              <w:bidi w:val="0"/>
              <w:rPr>
                <w:rFonts w:hint="default"/>
                <w:color w:val="auto"/>
              </w:rPr>
            </w:pPr>
            <w:bookmarkStart w:id="44" w:name="_Hlk143201703"/>
            <w:r>
              <w:rPr>
                <w:rFonts w:hint="default"/>
                <w:color w:val="auto"/>
              </w:rPr>
              <w:t>a.井场主要发生的风险事故为钻井时发生井喷事故。一旦发生井喷突发事件，立即启动相应的突发事件专项应急预案。立即开挖放喷池（应急放喷池仅在事故状态下开挖），井喷液体通过放喷管</w:t>
            </w:r>
            <w:r>
              <w:rPr>
                <w:rFonts w:hint="eastAsia"/>
                <w:color w:val="auto"/>
                <w:lang w:eastAsia="zh-CN"/>
              </w:rPr>
              <w:t>线</w:t>
            </w:r>
            <w:r>
              <w:rPr>
                <w:rFonts w:hint="default"/>
                <w:color w:val="auto"/>
              </w:rPr>
              <w:t>排放至应急放喷池内，应急放喷池底部进行人工防渗，防渗材料为HDPE防渗膜，渗透系数≤10</w:t>
            </w:r>
            <w:r>
              <w:rPr>
                <w:rFonts w:hint="default"/>
                <w:color w:val="auto"/>
                <w:vertAlign w:val="superscript"/>
              </w:rPr>
              <w:t>-10</w:t>
            </w:r>
            <w:r>
              <w:rPr>
                <w:rFonts w:hint="default"/>
                <w:color w:val="auto"/>
              </w:rPr>
              <w:t>cm/s，待事故结束后，对放喷液送至最终交由具有相应危险废物处置资质的单位进行处置。</w:t>
            </w:r>
          </w:p>
          <w:p>
            <w:pPr>
              <w:pStyle w:val="36"/>
              <w:bidi w:val="0"/>
              <w:rPr>
                <w:rFonts w:hint="default"/>
                <w:color w:val="auto"/>
              </w:rPr>
            </w:pPr>
            <w:r>
              <w:rPr>
                <w:rFonts w:hint="default"/>
                <w:color w:val="auto"/>
              </w:rPr>
              <w:t>试油期若发生井喷事故，在井喷可控的情况下，放喷的伴生气排至排气管线燃烧后放空，采出液除了排入放喷池外还可以进入井场布设的试油废水储罐及采出液方罐，可满足要求。</w:t>
            </w:r>
          </w:p>
          <w:p>
            <w:pPr>
              <w:pStyle w:val="36"/>
              <w:bidi w:val="0"/>
              <w:rPr>
                <w:rFonts w:hint="eastAsia" w:eastAsia="宋体"/>
                <w:color w:val="auto"/>
                <w:lang w:eastAsia="zh-CN"/>
              </w:rPr>
            </w:pPr>
            <w:r>
              <w:rPr>
                <w:rFonts w:hint="default"/>
                <w:color w:val="auto"/>
              </w:rPr>
              <w:t>井喷事故不可控的情况，可能导致大量的油气喷出井口、散落于井场周围，据类比资料显示，井喷范围内土壤表层可见有蜡状的原油喷散物，井喷的影响范围一般为以井眼为圆心、半径200m的区域，</w:t>
            </w:r>
            <w:r>
              <w:rPr>
                <w:rFonts w:hint="eastAsia"/>
                <w:color w:val="auto"/>
                <w:lang w:val="en-US" w:eastAsia="zh-CN"/>
              </w:rPr>
              <w:t>此范围除井场施工人员外基本无人员活动</w:t>
            </w:r>
            <w:r>
              <w:rPr>
                <w:rFonts w:hint="default"/>
                <w:color w:val="auto"/>
              </w:rPr>
              <w:t>，所以井喷对人员的伤害有限</w:t>
            </w:r>
            <w:r>
              <w:rPr>
                <w:rFonts w:hint="eastAsia"/>
                <w:color w:val="auto"/>
                <w:lang w:eastAsia="zh-CN"/>
              </w:rPr>
              <w:t>；</w:t>
            </w:r>
            <w:r>
              <w:rPr>
                <w:rFonts w:hint="eastAsia"/>
                <w:color w:val="auto"/>
              </w:rPr>
              <w:t>对土壤环境、大气环境和地下水可能产生影响。</w:t>
            </w:r>
          </w:p>
          <w:bookmarkEnd w:id="44"/>
          <w:p>
            <w:pPr>
              <w:pStyle w:val="36"/>
              <w:bidi w:val="0"/>
              <w:rPr>
                <w:rFonts w:hint="default"/>
                <w:color w:val="auto"/>
              </w:rPr>
            </w:pPr>
            <w:r>
              <w:rPr>
                <w:rFonts w:hint="default"/>
                <w:color w:val="auto"/>
              </w:rPr>
              <w:t>b.对大气环境影响分析</w:t>
            </w:r>
          </w:p>
          <w:p>
            <w:pPr>
              <w:pStyle w:val="36"/>
              <w:bidi w:val="0"/>
              <w:rPr>
                <w:rFonts w:hint="default"/>
                <w:color w:val="auto"/>
              </w:rPr>
            </w:pPr>
            <w:r>
              <w:rPr>
                <w:rFonts w:hint="default"/>
                <w:color w:val="auto"/>
              </w:rPr>
              <w:t>发生井喷失控事故后，油类物质进入环境空气，挥发的气体可能会对周围环境空气产生影响，若遇明火可能发生火灾、爆炸，随之产生的伴生、次生污染物会对环境空气产生一定的影响。由于地域空旷，扩散条件较好，发生事故后，及时采取相应的措施，不会对周围环境空气产生明显影响。</w:t>
            </w:r>
          </w:p>
          <w:p>
            <w:pPr>
              <w:pStyle w:val="36"/>
              <w:bidi w:val="0"/>
              <w:rPr>
                <w:rFonts w:hint="default"/>
                <w:color w:val="auto"/>
              </w:rPr>
            </w:pPr>
            <w:r>
              <w:rPr>
                <w:rFonts w:hint="default"/>
                <w:color w:val="auto"/>
              </w:rPr>
              <w:t>c.对地下水环境影响分析</w:t>
            </w:r>
          </w:p>
          <w:p>
            <w:pPr>
              <w:pStyle w:val="20"/>
              <w:widowControl w:val="0"/>
              <w:adjustRightInd w:val="0"/>
              <w:snapToGrid w:val="0"/>
              <w:spacing w:before="0" w:beforeAutospacing="0" w:after="0" w:afterAutospacing="0" w:line="500" w:lineRule="exact"/>
              <w:ind w:firstLine="480" w:firstLineChars="200"/>
              <w:jc w:val="both"/>
              <w:rPr>
                <w:rFonts w:hint="default" w:ascii="Times New Roman" w:hAnsi="Times New Roman" w:cs="Times New Roman"/>
                <w:bCs/>
                <w:color w:val="auto"/>
              </w:rPr>
            </w:pPr>
            <w:r>
              <w:rPr>
                <w:rFonts w:hint="default" w:ascii="Times New Roman" w:hAnsi="Times New Roman" w:cs="Times New Roman"/>
                <w:bCs/>
                <w:color w:val="auto"/>
                <w:kern w:val="2"/>
                <w:lang w:bidi="ar"/>
              </w:rPr>
              <w:t>根据类比调查，从事故井区土壤剖面分析，井喷失控事故后石油类污染物主要被拦截在包气带土壤剖面1m以内，同时因为气候干旱少雨，不存在大量降水的淋滤作用，因此对地下水体的影响概率不大。及时清理井喷事故中原油落地，对可回收原油进行回收，落地油收集后交由具有相应危废处置资质的单位进行回收处置，及时采取上述有效措施治理污染后，井喷不会造成地下水污染。</w:t>
            </w:r>
          </w:p>
          <w:p>
            <w:pPr>
              <w:pStyle w:val="36"/>
              <w:bidi w:val="0"/>
              <w:rPr>
                <w:rFonts w:hint="default"/>
                <w:color w:val="auto"/>
              </w:rPr>
            </w:pPr>
            <w:r>
              <w:rPr>
                <w:rFonts w:hint="default"/>
                <w:color w:val="auto"/>
              </w:rPr>
              <w:t>d.对土壤环境影响分析</w:t>
            </w:r>
          </w:p>
          <w:p>
            <w:pPr>
              <w:pStyle w:val="36"/>
              <w:bidi w:val="0"/>
              <w:rPr>
                <w:rFonts w:hint="default"/>
                <w:color w:val="auto"/>
              </w:rPr>
            </w:pPr>
            <w:r>
              <w:rPr>
                <w:rFonts w:hint="default"/>
                <w:color w:val="auto"/>
              </w:rPr>
              <w:t>井喷失控事故使井喷影响范围内的土壤理化性质发生变化，破坏土壤结构，影响土壤的通透性、降低土壤质量，油污黏在植被根系上，形成一层黏膜，阻碍植被根系养分和水分的吸收，引起根系腐烂，影响</w:t>
            </w:r>
            <w:r>
              <w:rPr>
                <w:rFonts w:hint="eastAsia"/>
                <w:color w:val="auto"/>
                <w:lang w:val="en-US" w:eastAsia="zh-CN"/>
              </w:rPr>
              <w:t>植物</w:t>
            </w:r>
            <w:r>
              <w:rPr>
                <w:rFonts w:hint="default"/>
                <w:color w:val="auto"/>
              </w:rPr>
              <w:t>的生长。事故发生后及时清理现场，对可回收原油进行回收，落地油集中收集后由有相应危废处置资质的单位进行回收处置，将井喷事故对周边植被的影响降至最低。</w:t>
            </w:r>
          </w:p>
          <w:p>
            <w:pPr>
              <w:pStyle w:val="36"/>
              <w:bidi w:val="0"/>
              <w:rPr>
                <w:rFonts w:hint="default"/>
                <w:color w:val="auto"/>
              </w:rPr>
            </w:pPr>
            <w:r>
              <w:rPr>
                <w:rFonts w:hint="default"/>
                <w:color w:val="auto"/>
              </w:rPr>
              <w:t>e.对植被影响分析</w:t>
            </w:r>
          </w:p>
          <w:p>
            <w:pPr>
              <w:pStyle w:val="36"/>
              <w:bidi w:val="0"/>
              <w:rPr>
                <w:rFonts w:hint="default"/>
                <w:color w:val="auto"/>
              </w:rPr>
            </w:pPr>
            <w:bookmarkStart w:id="45" w:name="_Hlk175608479"/>
            <w:r>
              <w:rPr>
                <w:rFonts w:hint="default"/>
                <w:color w:val="auto"/>
              </w:rPr>
              <w:t>井喷时油类物质随井下采出液、伴生气等一同喷发出来，其中对</w:t>
            </w:r>
            <w:r>
              <w:rPr>
                <w:rFonts w:hint="eastAsia" w:ascii="Times New Roman" w:eastAsia="宋体"/>
                <w:color w:val="auto"/>
                <w:lang w:val="en-US" w:eastAsia="zh-CN"/>
              </w:rPr>
              <w:t>植物</w:t>
            </w:r>
            <w:r>
              <w:rPr>
                <w:rFonts w:hint="default"/>
                <w:color w:val="auto"/>
              </w:rPr>
              <w:t>产生影响的主要是采出液中的油类物质，主要分为三种途径，一是泄漏物直接粘附于</w:t>
            </w:r>
            <w:r>
              <w:rPr>
                <w:rFonts w:hint="eastAsia" w:ascii="Times New Roman" w:eastAsia="宋体"/>
                <w:color w:val="auto"/>
                <w:lang w:val="en-US" w:eastAsia="zh-CN"/>
              </w:rPr>
              <w:t>植物</w:t>
            </w:r>
            <w:r>
              <w:rPr>
                <w:rFonts w:hint="default"/>
                <w:color w:val="auto"/>
              </w:rPr>
              <w:t>表面阻断光合作用，使其枯萎、死亡；二是污染土壤，造成土壤理化性状发生变化，从而间接影响</w:t>
            </w:r>
            <w:r>
              <w:rPr>
                <w:rFonts w:hint="eastAsia" w:ascii="Times New Roman" w:eastAsia="宋体"/>
                <w:color w:val="auto"/>
                <w:lang w:val="en-US" w:eastAsia="zh-CN"/>
              </w:rPr>
              <w:t>植物</w:t>
            </w:r>
            <w:r>
              <w:rPr>
                <w:rFonts w:hint="default"/>
                <w:color w:val="auto"/>
              </w:rPr>
              <w:t>生长，严重时会导致</w:t>
            </w:r>
            <w:r>
              <w:rPr>
                <w:rFonts w:hint="eastAsia" w:ascii="Times New Roman" w:eastAsia="宋体"/>
                <w:color w:val="auto"/>
                <w:lang w:val="en-US" w:eastAsia="zh-CN"/>
              </w:rPr>
              <w:t>植物</w:t>
            </w:r>
            <w:r>
              <w:rPr>
                <w:rFonts w:hint="default"/>
                <w:color w:val="auto"/>
              </w:rPr>
              <w:t>死亡、减产；三是泄漏物质中的轻</w:t>
            </w:r>
            <w:r>
              <w:rPr>
                <w:rFonts w:hint="eastAsia"/>
                <w:color w:val="auto"/>
                <w:lang w:eastAsia="zh-CN"/>
              </w:rPr>
              <w:t>组分</w:t>
            </w:r>
            <w:r>
              <w:rPr>
                <w:rFonts w:hint="default"/>
                <w:color w:val="auto"/>
              </w:rPr>
              <w:t>挥发，在对空气环境产生影响的同时，也会对周围</w:t>
            </w:r>
            <w:r>
              <w:rPr>
                <w:rFonts w:hint="eastAsia" w:ascii="Times New Roman" w:eastAsia="宋体"/>
                <w:color w:val="auto"/>
                <w:lang w:val="en-US" w:eastAsia="zh-CN"/>
              </w:rPr>
              <w:t>植物</w:t>
            </w:r>
            <w:r>
              <w:rPr>
                <w:rFonts w:hint="default"/>
                <w:color w:val="auto"/>
              </w:rPr>
              <w:t>产生影响。因此，对储罐区采取防渗措施、对受污染区域及时处理后，油类物料泄漏不会对周围</w:t>
            </w:r>
            <w:r>
              <w:rPr>
                <w:rFonts w:hint="eastAsia" w:ascii="Times New Roman" w:eastAsia="宋体"/>
                <w:color w:val="auto"/>
                <w:lang w:val="en-US" w:eastAsia="zh-CN"/>
              </w:rPr>
              <w:t>植物</w:t>
            </w:r>
            <w:r>
              <w:rPr>
                <w:rFonts w:hint="default"/>
                <w:color w:val="auto"/>
              </w:rPr>
              <w:t>产生明显影响。</w:t>
            </w:r>
          </w:p>
          <w:bookmarkEnd w:id="45"/>
          <w:p>
            <w:pPr>
              <w:pStyle w:val="36"/>
              <w:bidi w:val="0"/>
              <w:rPr>
                <w:rFonts w:hint="default"/>
                <w:color w:val="auto"/>
              </w:rPr>
            </w:pPr>
            <w:r>
              <w:rPr>
                <w:rFonts w:hint="default"/>
                <w:color w:val="auto"/>
              </w:rPr>
              <w:t>②储罐泄漏环境影响分析</w:t>
            </w:r>
          </w:p>
          <w:p>
            <w:pPr>
              <w:pStyle w:val="36"/>
              <w:bidi w:val="0"/>
              <w:rPr>
                <w:rFonts w:hint="default"/>
                <w:color w:val="auto"/>
              </w:rPr>
            </w:pPr>
            <w:r>
              <w:rPr>
                <w:rFonts w:hint="default"/>
                <w:color w:val="auto"/>
              </w:rPr>
              <w:t>a.对大气环境影响分析</w:t>
            </w:r>
          </w:p>
          <w:p>
            <w:pPr>
              <w:pStyle w:val="36"/>
              <w:bidi w:val="0"/>
              <w:rPr>
                <w:rFonts w:hint="default"/>
                <w:color w:val="auto"/>
              </w:rPr>
            </w:pPr>
            <w:r>
              <w:rPr>
                <w:rFonts w:hint="default"/>
                <w:color w:val="auto"/>
              </w:rPr>
              <w:t>储罐发生泄漏后，油类物质进入环境空气，挥发产生的非甲烷总烃可能会对周围环境空气产生影响。若遇明火，可发生火灾、爆炸，且火灾、爆炸产生的伴生、次生污染物也会对环境空气产生一定影响。由于项目区地域空旷、扩散条件较好，发生事故后若能及时采取相应措施，则不会对周围环境空气产生明显影响。</w:t>
            </w:r>
          </w:p>
          <w:p>
            <w:pPr>
              <w:pStyle w:val="36"/>
              <w:bidi w:val="0"/>
              <w:rPr>
                <w:rFonts w:hint="default"/>
                <w:color w:val="auto"/>
              </w:rPr>
            </w:pPr>
            <w:r>
              <w:rPr>
                <w:rFonts w:hint="default"/>
                <w:color w:val="auto"/>
              </w:rPr>
              <w:t>b.对土壤环境影响分析</w:t>
            </w:r>
          </w:p>
          <w:p>
            <w:pPr>
              <w:pStyle w:val="36"/>
              <w:bidi w:val="0"/>
              <w:rPr>
                <w:rFonts w:hint="default"/>
                <w:color w:val="auto"/>
              </w:rPr>
            </w:pPr>
            <w:r>
              <w:rPr>
                <w:rFonts w:hint="default"/>
                <w:color w:val="auto"/>
              </w:rPr>
              <w:t>泄漏的油类物质可使土壤透气性下降、土壤理化性状发生变化，使土壤透气性和呼吸作用减弱，从而影响土壤中的微生物生存，造成土壤盐碱化、破坏土壤结构；除此之外，还会导致土壤中石油类污染物增加，造成土地肥力下降、改变土壤的理化性质，从而影响土壤的正常结构和功能。</w:t>
            </w:r>
          </w:p>
          <w:p>
            <w:pPr>
              <w:pStyle w:val="36"/>
              <w:bidi w:val="0"/>
              <w:rPr>
                <w:rFonts w:hint="default"/>
                <w:color w:val="auto"/>
              </w:rPr>
            </w:pPr>
            <w:r>
              <w:rPr>
                <w:rFonts w:hint="default"/>
                <w:color w:val="auto"/>
              </w:rPr>
              <w:t>施工期间柴油储罐、采出液储罐、废水储罐、岩屑储罐等储罐区域均铺设防渗膜，储罐发生泄漏后应及时回收原油、收集受污染的土壤，然后委托有相应危废处置资质的单位进行回收处置。因此，在采取上述措施后不会对周围土壤环境产生明显影响。</w:t>
            </w:r>
          </w:p>
          <w:p>
            <w:pPr>
              <w:pStyle w:val="36"/>
              <w:bidi w:val="0"/>
              <w:rPr>
                <w:rFonts w:hint="default"/>
                <w:color w:val="auto"/>
              </w:rPr>
            </w:pPr>
            <w:r>
              <w:rPr>
                <w:rFonts w:hint="default"/>
                <w:color w:val="auto"/>
              </w:rPr>
              <w:t>c.对植被的影响</w:t>
            </w:r>
          </w:p>
          <w:p>
            <w:pPr>
              <w:pStyle w:val="36"/>
              <w:bidi w:val="0"/>
              <w:rPr>
                <w:rFonts w:hint="default"/>
                <w:color w:val="auto"/>
              </w:rPr>
            </w:pPr>
            <w:r>
              <w:rPr>
                <w:rFonts w:hint="default"/>
                <w:color w:val="auto"/>
              </w:rPr>
              <w:t>其影响同井喷时油类物质对</w:t>
            </w:r>
            <w:r>
              <w:rPr>
                <w:rFonts w:hint="eastAsia" w:ascii="Times New Roman" w:eastAsia="宋体"/>
                <w:color w:val="auto"/>
                <w:lang w:val="en-US" w:eastAsia="zh-CN"/>
              </w:rPr>
              <w:t>植物</w:t>
            </w:r>
            <w:r>
              <w:rPr>
                <w:rFonts w:hint="default"/>
                <w:color w:val="auto"/>
              </w:rPr>
              <w:t>的影响，详见前节分析。</w:t>
            </w:r>
          </w:p>
          <w:p>
            <w:pPr>
              <w:pStyle w:val="36"/>
              <w:bidi w:val="0"/>
              <w:rPr>
                <w:rFonts w:hint="default"/>
                <w:color w:val="auto"/>
              </w:rPr>
            </w:pPr>
            <w:r>
              <w:rPr>
                <w:rFonts w:hint="default"/>
                <w:color w:val="auto"/>
              </w:rPr>
              <w:t>d.对地下水环境的影响</w:t>
            </w:r>
          </w:p>
          <w:p>
            <w:pPr>
              <w:pStyle w:val="36"/>
              <w:bidi w:val="0"/>
              <w:rPr>
                <w:rFonts w:hint="default"/>
                <w:color w:val="auto"/>
              </w:rPr>
            </w:pPr>
            <w:r>
              <w:rPr>
                <w:rFonts w:hint="default"/>
                <w:color w:val="auto"/>
              </w:rPr>
              <w:t>柴油储罐、采出液储罐、废水储罐和油基岩屑储罐泄漏的油品下渗可能会污染地下水。井场各类储罐堆放场地为地上设施，储罐均为钢制储罐且底部铺设防渗膜，发生泄漏的概率极小；一旦发生泄漏可在较短时间内发现并采取堵漏措施，出现长期连续性泄漏的可能性很低。因此，施工期发生渗漏污染地下水的风险事故可能性很小。</w:t>
            </w:r>
          </w:p>
          <w:p>
            <w:pPr>
              <w:pStyle w:val="36"/>
              <w:bidi w:val="0"/>
              <w:rPr>
                <w:rFonts w:hint="default"/>
                <w:color w:val="auto"/>
              </w:rPr>
            </w:pPr>
            <w:r>
              <w:rPr>
                <w:rFonts w:hint="default"/>
                <w:color w:val="auto"/>
              </w:rPr>
              <w:t>③井漏环境影响分析</w:t>
            </w:r>
          </w:p>
          <w:p>
            <w:pPr>
              <w:pStyle w:val="36"/>
              <w:bidi w:val="0"/>
              <w:rPr>
                <w:rFonts w:hint="default"/>
                <w:color w:val="auto"/>
              </w:rPr>
            </w:pPr>
            <w:r>
              <w:rPr>
                <w:rFonts w:hint="default"/>
                <w:color w:val="auto"/>
              </w:rPr>
              <w:t>井漏事故对地下水的污染途径主要是钻井液漏失于地下水含水层中，造成地下含水层水质污染。钻井液漏失于地下含水层其径流型污染的范围不大，主要发生在局部且持续时间较短；严格控制使用有毒有害钻井液；同时严格要求套管下入深度、确保固井质量等措施，可有效控制钻井液在含水层中的漏失。因此，井漏事故对地下水环境的影响在可接受范围内。</w:t>
            </w:r>
          </w:p>
          <w:p>
            <w:pPr>
              <w:pStyle w:val="36"/>
              <w:bidi w:val="0"/>
              <w:rPr>
                <w:rFonts w:hint="default"/>
                <w:color w:val="auto"/>
              </w:rPr>
            </w:pPr>
            <w:r>
              <w:rPr>
                <w:rFonts w:hint="default"/>
                <w:color w:val="auto"/>
              </w:rPr>
              <w:t>④采出液、废水及柴油拉运过程中泄漏风险分析</w:t>
            </w:r>
          </w:p>
          <w:p>
            <w:pPr>
              <w:pStyle w:val="36"/>
              <w:bidi w:val="0"/>
              <w:rPr>
                <w:rFonts w:hint="default"/>
                <w:color w:val="auto"/>
              </w:rPr>
            </w:pPr>
            <w:r>
              <w:rPr>
                <w:rFonts w:hint="default"/>
                <w:color w:val="auto"/>
              </w:rPr>
              <w:t>罐车拉运过程中的风险主要为罐车上的储罐发生泄漏、火灾、爆炸等事故对周围环境的影响，其影响与储罐泄漏影响相同，具体影响见储罐泄漏影响分析。</w:t>
            </w:r>
          </w:p>
          <w:p>
            <w:pPr>
              <w:pStyle w:val="32"/>
              <w:numPr>
                <w:ilvl w:val="0"/>
                <w:numId w:val="5"/>
              </w:numPr>
              <w:bidi w:val="0"/>
              <w:rPr>
                <w:rFonts w:hint="default"/>
                <w:color w:val="auto"/>
              </w:rPr>
            </w:pPr>
            <w:r>
              <w:rPr>
                <w:rFonts w:hint="eastAsia"/>
                <w:color w:val="auto"/>
                <w:lang w:eastAsia="zh-CN"/>
              </w:rPr>
              <w:t>其他</w:t>
            </w:r>
            <w:r>
              <w:rPr>
                <w:rFonts w:hint="default"/>
                <w:color w:val="auto"/>
              </w:rPr>
              <w:t>产出物说明</w:t>
            </w:r>
          </w:p>
          <w:p>
            <w:pPr>
              <w:bidi w:val="0"/>
              <w:rPr>
                <w:rFonts w:hint="eastAsia"/>
                <w:color w:val="auto"/>
                <w:lang w:val="en-US" w:eastAsia="zh-CN"/>
              </w:rPr>
            </w:pPr>
            <w:r>
              <w:rPr>
                <w:rFonts w:hint="default"/>
                <w:color w:val="auto"/>
              </w:rPr>
              <w:t>试油过程产生的采出物包括伴生气、</w:t>
            </w:r>
            <w:r>
              <w:rPr>
                <w:rFonts w:hint="eastAsia"/>
                <w:color w:val="auto"/>
                <w:lang w:val="en-US" w:eastAsia="zh-CN"/>
              </w:rPr>
              <w:t>采出液</w:t>
            </w:r>
            <w:r>
              <w:rPr>
                <w:rFonts w:hint="default"/>
                <w:color w:val="auto"/>
              </w:rPr>
              <w:t>。其中伴生气在井场通过排气管线充分燃烧后放空；</w:t>
            </w:r>
            <w:r>
              <w:rPr>
                <w:rFonts w:hint="eastAsia"/>
                <w:color w:val="auto"/>
                <w:lang w:val="en-US" w:eastAsia="zh-CN"/>
              </w:rPr>
              <w:t>采出液（</w:t>
            </w:r>
            <w:r>
              <w:rPr>
                <w:rFonts w:hint="default"/>
                <w:color w:val="auto"/>
              </w:rPr>
              <w:t>原油和采出水</w:t>
            </w:r>
            <w:r>
              <w:rPr>
                <w:rFonts w:hint="eastAsia"/>
                <w:color w:val="auto"/>
                <w:lang w:eastAsia="zh-CN"/>
              </w:rPr>
              <w:t>）</w:t>
            </w:r>
            <w:r>
              <w:rPr>
                <w:rFonts w:hint="default"/>
                <w:color w:val="auto"/>
              </w:rPr>
              <w:t>暂存于地面储罐后拉运至车89</w:t>
            </w:r>
            <w:r>
              <w:rPr>
                <w:rFonts w:hint="eastAsia"/>
                <w:color w:val="auto"/>
                <w:lang w:val="en-US" w:eastAsia="zh-CN"/>
              </w:rPr>
              <w:t>集中</w:t>
            </w:r>
            <w:r>
              <w:rPr>
                <w:rFonts w:hint="default"/>
                <w:color w:val="auto"/>
              </w:rPr>
              <w:t>处理站处理。</w:t>
            </w:r>
          </w:p>
          <w:p>
            <w:pPr>
              <w:pStyle w:val="36"/>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2" w:hRule="atLeast"/>
        </w:trPr>
        <w:tc>
          <w:tcPr>
            <w:tcW w:w="253" w:type="pct"/>
            <w:vAlign w:val="center"/>
          </w:tcPr>
          <w:p>
            <w:pPr>
              <w:pStyle w:val="53"/>
              <w:bidi w:val="0"/>
              <w:rPr>
                <w:rFonts w:hint="default"/>
                <w:color w:val="auto"/>
              </w:rPr>
            </w:pPr>
            <w:r>
              <w:rPr>
                <w:rFonts w:hint="default"/>
                <w:color w:val="auto"/>
              </w:rPr>
              <w:t>运营期生态环境影响分析</w:t>
            </w:r>
          </w:p>
        </w:tc>
        <w:tc>
          <w:tcPr>
            <w:tcW w:w="4746" w:type="pct"/>
            <w:vAlign w:val="center"/>
          </w:tcPr>
          <w:p>
            <w:pPr>
              <w:pStyle w:val="36"/>
              <w:bidi w:val="0"/>
              <w:rPr>
                <w:rFonts w:hint="default" w:ascii="Times New Roman" w:hAnsi="Times New Roman" w:cs="Times New Roman"/>
                <w:color w:val="auto"/>
              </w:rPr>
            </w:pPr>
            <w:r>
              <w:rPr>
                <w:rFonts w:hint="default"/>
                <w:color w:val="auto"/>
              </w:rPr>
              <w:t>本项目无运营期，钻试活动结束后无废气、废水、噪声和</w:t>
            </w:r>
            <w:r>
              <w:rPr>
                <w:rFonts w:hint="eastAsia"/>
                <w:color w:val="auto"/>
                <w:lang w:val="en-US" w:eastAsia="zh-CN"/>
              </w:rPr>
              <w:t>固体废物</w:t>
            </w:r>
            <w:r>
              <w:rPr>
                <w:rFonts w:hint="default"/>
                <w:color w:val="auto"/>
              </w:rPr>
              <w:t>产生，</w:t>
            </w:r>
            <w:r>
              <w:rPr>
                <w:rFonts w:hint="eastAsia"/>
                <w:color w:val="auto"/>
                <w:lang w:val="en-US" w:eastAsia="zh-CN"/>
              </w:rPr>
              <w:t>临时占地范围内</w:t>
            </w:r>
            <w:r>
              <w:rPr>
                <w:rFonts w:hint="default"/>
                <w:color w:val="auto"/>
              </w:rPr>
              <w:t>生态可得到逐步恢复。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3" w:type="pct"/>
            <w:vAlign w:val="center"/>
          </w:tcPr>
          <w:p>
            <w:pPr>
              <w:pStyle w:val="53"/>
              <w:bidi w:val="0"/>
              <w:rPr>
                <w:rFonts w:hint="default"/>
                <w:color w:val="auto"/>
              </w:rPr>
            </w:pPr>
            <w:r>
              <w:rPr>
                <w:rFonts w:hint="default"/>
                <w:color w:val="auto"/>
              </w:rPr>
              <w:t>选址选线环境合理性分析</w:t>
            </w:r>
          </w:p>
        </w:tc>
        <w:tc>
          <w:tcPr>
            <w:tcW w:w="4746" w:type="pct"/>
            <w:vAlign w:val="center"/>
          </w:tcPr>
          <w:p>
            <w:pPr>
              <w:pStyle w:val="36"/>
              <w:bidi w:val="0"/>
              <w:rPr>
                <w:rFonts w:hint="default"/>
                <w:color w:val="auto"/>
              </w:rPr>
            </w:pPr>
            <w:r>
              <w:rPr>
                <w:rFonts w:hint="default"/>
                <w:color w:val="auto"/>
              </w:rPr>
              <w:t>根据现场踏勘及井场平面布置，井口距离高压线</w:t>
            </w:r>
            <w:r>
              <w:rPr>
                <w:rFonts w:hint="eastAsia"/>
                <w:color w:val="auto"/>
                <w:lang w:eastAsia="zh-CN"/>
              </w:rPr>
              <w:t>及其他</w:t>
            </w:r>
            <w:r>
              <w:rPr>
                <w:rFonts w:hint="default"/>
                <w:color w:val="auto"/>
              </w:rPr>
              <w:t>永久性设施不小于75m；距民宅不小于100m；距铁路、高速公路不小于200m；距学校、医院</w:t>
            </w:r>
            <w:r>
              <w:rPr>
                <w:rFonts w:hint="eastAsia"/>
                <w:color w:val="auto"/>
                <w:lang w:val="en-US" w:eastAsia="zh-CN"/>
              </w:rPr>
              <w:t>和大型油库等人口密集性、高危性场所</w:t>
            </w:r>
            <w:r>
              <w:rPr>
                <w:rFonts w:hint="default"/>
                <w:color w:val="auto"/>
              </w:rPr>
              <w:t>不小于500m。周围无地下矿产采掘坑道、矿井通道。其选址符合《钻前工程及井场布置技术要求》</w:t>
            </w:r>
            <w:r>
              <w:rPr>
                <w:rFonts w:hint="eastAsia"/>
                <w:color w:val="auto"/>
                <w:lang w:eastAsia="zh-CN"/>
              </w:rPr>
              <w:t>（</w:t>
            </w:r>
            <w:r>
              <w:rPr>
                <w:rFonts w:hint="default"/>
                <w:color w:val="auto"/>
              </w:rPr>
              <w:t>SY/T5466-2013</w:t>
            </w:r>
            <w:r>
              <w:rPr>
                <w:rFonts w:hint="eastAsia"/>
                <w:color w:val="auto"/>
                <w:lang w:eastAsia="zh-CN"/>
              </w:rPr>
              <w:t>）</w:t>
            </w:r>
            <w:r>
              <w:rPr>
                <w:rFonts w:hint="eastAsia"/>
                <w:color w:val="auto"/>
                <w:lang w:val="en-US" w:eastAsia="zh-CN"/>
              </w:rPr>
              <w:t>和《陆上石油天然气钻井安全规范》（</w:t>
            </w:r>
            <w:r>
              <w:rPr>
                <w:rFonts w:hint="eastAsia" w:ascii="Times New Roman" w:eastAsia="宋体"/>
                <w:color w:val="auto"/>
                <w:lang w:val="en-US" w:eastAsia="zh-CN"/>
              </w:rPr>
              <w:t xml:space="preserve">AQ 2083-2025 </w:t>
            </w:r>
            <w:r>
              <w:rPr>
                <w:rFonts w:hint="eastAsia"/>
                <w:color w:val="auto"/>
                <w:lang w:val="en-US" w:eastAsia="zh-CN"/>
              </w:rPr>
              <w:t>）</w:t>
            </w:r>
            <w:r>
              <w:rPr>
                <w:rFonts w:hint="default"/>
                <w:color w:val="auto"/>
              </w:rPr>
              <w:t>的要求。</w:t>
            </w:r>
          </w:p>
          <w:p>
            <w:pPr>
              <w:pStyle w:val="36"/>
              <w:bidi w:val="0"/>
              <w:rPr>
                <w:rFonts w:hint="default" w:eastAsia="宋体"/>
                <w:color w:val="auto"/>
                <w:lang w:val="en-US" w:eastAsia="zh-CN"/>
              </w:rPr>
            </w:pPr>
            <w:r>
              <w:rPr>
                <w:rFonts w:hint="default"/>
                <w:color w:val="auto"/>
                <w:lang w:val="en-US" w:eastAsia="zh-CN"/>
              </w:rPr>
              <w:t>本项目</w:t>
            </w:r>
            <w:r>
              <w:rPr>
                <w:rFonts w:hint="default"/>
                <w:color w:val="auto"/>
              </w:rPr>
              <w:t>周边无自然保护区、风景名胜区、饮用水水源保护区等特殊敏感区域和重要生态敏感区域，且无以居住、医疗卫生、文化教育、科研、行政办公等为主要功能的区域，无重大环境制约因素。</w:t>
            </w:r>
            <w:r>
              <w:rPr>
                <w:rFonts w:hint="eastAsia"/>
                <w:color w:val="auto"/>
                <w:lang w:val="en-US" w:eastAsia="zh-CN"/>
              </w:rPr>
              <w:t>项目所在区域为水土流失重点治理区，水土流失程度为微度，项目建设采取水土保持措施后对水土流失影响较小。</w:t>
            </w:r>
          </w:p>
          <w:p>
            <w:pPr>
              <w:pStyle w:val="36"/>
              <w:bidi w:val="0"/>
              <w:rPr>
                <w:rFonts w:hint="default"/>
                <w:color w:val="auto"/>
              </w:rPr>
            </w:pPr>
            <w:r>
              <w:rPr>
                <w:rFonts w:hint="eastAsia" w:cs="宋体"/>
                <w:color w:val="auto"/>
                <w:lang w:val="en-US" w:eastAsia="zh-CN"/>
              </w:rPr>
              <w:t>项目</w:t>
            </w:r>
            <w:r>
              <w:rPr>
                <w:rFonts w:hint="eastAsia" w:cs="宋体"/>
                <w:color w:val="auto"/>
              </w:rPr>
              <w:t>井场、生活营地选址、探临道路选线均已避开野生植物生长密集地带与易发生水土流失和土壤沙化的区域，尽量沿自然地形建设，尽量取直、减少占地，减少对植被的影响</w:t>
            </w:r>
            <w:r>
              <w:rPr>
                <w:rFonts w:hint="eastAsia"/>
                <w:color w:val="auto"/>
              </w:rPr>
              <w:t>。项目所在区域人类活动频繁，野生动物数量较少，且占地均为临时占地，钻试工程结束后，临时占地均</w:t>
            </w:r>
            <w:r>
              <w:rPr>
                <w:rFonts w:hint="eastAsia"/>
                <w:color w:val="auto"/>
                <w:lang w:eastAsia="zh-CN"/>
              </w:rPr>
              <w:t>可得</w:t>
            </w:r>
            <w:r>
              <w:rPr>
                <w:rFonts w:hint="eastAsia"/>
                <w:color w:val="auto"/>
              </w:rPr>
              <w:t>到释放和恢复，</w:t>
            </w:r>
            <w:r>
              <w:rPr>
                <w:rFonts w:hint="eastAsia"/>
                <w:bCs/>
                <w:color w:val="auto"/>
                <w:szCs w:val="21"/>
              </w:rPr>
              <w:t>野生植物自然恢复；</w:t>
            </w:r>
            <w:r>
              <w:rPr>
                <w:rFonts w:hint="eastAsia"/>
                <w:color w:val="auto"/>
              </w:rPr>
              <w:t>区域内野生动物数量较少，对周围生态环境影响较小。建设单位应按相关要求及时办理征地补偿协议；本次评价针对施工期间产生的“三废”、噪声及生态影响均提出了相应的治理或减缓措施，不会对项目所在区域环境质量产生较大影响。综上所述，项目选址选线合理。</w:t>
            </w:r>
          </w:p>
          <w:p>
            <w:pPr>
              <w:pStyle w:val="36"/>
              <w:bidi w:val="0"/>
              <w:rPr>
                <w:rFonts w:hint="default"/>
                <w:color w:val="auto"/>
              </w:rPr>
            </w:pPr>
          </w:p>
          <w:p>
            <w:pPr>
              <w:pStyle w:val="36"/>
              <w:bidi w:val="0"/>
              <w:rPr>
                <w:rFonts w:hint="eastAsia"/>
                <w:color w:val="auto"/>
                <w:lang w:val="en-US" w:eastAsia="zh-CN"/>
              </w:rPr>
            </w:pPr>
          </w:p>
          <w:p>
            <w:pPr>
              <w:pStyle w:val="36"/>
              <w:bidi w:val="0"/>
              <w:rPr>
                <w:rFonts w:hint="eastAsia"/>
                <w:color w:val="auto"/>
                <w:lang w:val="en-US" w:eastAsia="zh-CN"/>
              </w:rPr>
            </w:pPr>
          </w:p>
          <w:p>
            <w:pPr>
              <w:pStyle w:val="36"/>
              <w:bidi w:val="0"/>
              <w:rPr>
                <w:rFonts w:hint="eastAsia"/>
                <w:color w:val="auto"/>
                <w:lang w:val="en-US" w:eastAsia="zh-CN"/>
              </w:rPr>
            </w:pPr>
          </w:p>
          <w:p>
            <w:pPr>
              <w:rPr>
                <w:rFonts w:hint="default" w:ascii="Times New Roman" w:hAnsi="Times New Roman" w:eastAsia="宋体" w:cs="Times New Roman"/>
                <w:color w:val="auto"/>
                <w:lang w:val="en-US" w:eastAsia="zh-CN"/>
              </w:rPr>
            </w:pPr>
          </w:p>
          <w:p>
            <w:pPr>
              <w:pStyle w:val="22"/>
              <w:rPr>
                <w:rFonts w:hint="default" w:ascii="Times New Roman" w:hAnsi="Times New Roman" w:eastAsia="宋体" w:cs="Times New Roman"/>
                <w:color w:val="auto"/>
                <w:lang w:val="en-US" w:eastAsia="zh-CN"/>
              </w:rPr>
            </w:pPr>
          </w:p>
          <w:p>
            <w:pPr>
              <w:pStyle w:val="22"/>
              <w:rPr>
                <w:rFonts w:hint="default" w:ascii="Times New Roman" w:hAnsi="Times New Roman" w:eastAsia="宋体" w:cs="Times New Roman"/>
                <w:color w:val="auto"/>
                <w:lang w:val="en-US" w:eastAsia="zh-CN"/>
              </w:rPr>
            </w:pPr>
          </w:p>
          <w:p>
            <w:pPr>
              <w:pStyle w:val="22"/>
              <w:rPr>
                <w:rFonts w:hint="default" w:ascii="Times New Roman" w:hAnsi="Times New Roman" w:eastAsia="宋体" w:cs="Times New Roman"/>
                <w:color w:val="auto"/>
                <w:lang w:val="en-US" w:eastAsia="zh-CN"/>
              </w:rPr>
            </w:pPr>
          </w:p>
          <w:p>
            <w:pPr>
              <w:pStyle w:val="22"/>
              <w:rPr>
                <w:rFonts w:hint="default" w:ascii="Times New Roman" w:hAnsi="Times New Roman" w:eastAsia="宋体" w:cs="Times New Roman"/>
                <w:color w:val="auto"/>
                <w:lang w:val="en-US" w:eastAsia="zh-CN"/>
              </w:rPr>
            </w:pPr>
          </w:p>
          <w:p>
            <w:pPr>
              <w:pStyle w:val="22"/>
              <w:rPr>
                <w:rFonts w:hint="default" w:ascii="Times New Roman" w:hAnsi="Times New Roman" w:eastAsia="宋体" w:cs="Times New Roman"/>
                <w:color w:val="auto"/>
                <w:lang w:val="en-US" w:eastAsia="zh-CN"/>
              </w:rPr>
            </w:pPr>
          </w:p>
        </w:tc>
      </w:tr>
    </w:tbl>
    <w:p>
      <w:pPr>
        <w:pStyle w:val="2"/>
        <w:rPr>
          <w:rFonts w:hint="default" w:ascii="Times New Roman" w:hAnsi="Times New Roman" w:cs="Times New Roman"/>
          <w:color w:val="auto"/>
        </w:rPr>
        <w:sectPr>
          <w:pgSz w:w="11906" w:h="16838"/>
          <w:pgMar w:top="1417" w:right="1587" w:bottom="1417"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rPr>
          <w:rFonts w:hint="default" w:ascii="Times New Roman" w:hAnsi="Times New Roman" w:eastAsia="黑体" w:cs="Times New Roman"/>
          <w:b w:val="0"/>
          <w:bCs/>
          <w:color w:val="auto"/>
          <w:sz w:val="30"/>
          <w:szCs w:val="30"/>
        </w:rPr>
      </w:pPr>
      <w:bookmarkStart w:id="46" w:name="_Toc31769"/>
      <w:bookmarkStart w:id="47" w:name="_Hlk136794953"/>
      <w:r>
        <w:rPr>
          <w:rFonts w:hint="default" w:ascii="Times New Roman" w:hAnsi="Times New Roman" w:eastAsia="黑体" w:cs="Times New Roman"/>
          <w:b w:val="0"/>
          <w:bCs/>
          <w:color w:val="auto"/>
          <w:sz w:val="30"/>
          <w:szCs w:val="30"/>
        </w:rPr>
        <w:t>五、主要生态环境保护措施</w:t>
      </w:r>
      <w:bookmarkEnd w:id="46"/>
    </w:p>
    <w:bookmarkEnd w:id="47"/>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8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8" w:hRule="atLeast"/>
        </w:trPr>
        <w:tc>
          <w:tcPr>
            <w:tcW w:w="256" w:type="pct"/>
            <w:vAlign w:val="center"/>
          </w:tcPr>
          <w:p>
            <w:pPr>
              <w:pStyle w:val="53"/>
              <w:bidi w:val="0"/>
              <w:rPr>
                <w:rFonts w:hint="default"/>
                <w:color w:val="auto"/>
              </w:rPr>
            </w:pPr>
            <w:r>
              <w:rPr>
                <w:rFonts w:hint="default"/>
                <w:color w:val="auto"/>
              </w:rPr>
              <w:t>施工期生态环境保护措施</w:t>
            </w:r>
          </w:p>
        </w:tc>
        <w:tc>
          <w:tcPr>
            <w:tcW w:w="4743" w:type="pct"/>
          </w:tcPr>
          <w:p>
            <w:pPr>
              <w:pStyle w:val="32"/>
              <w:numPr>
                <w:ilvl w:val="0"/>
                <w:numId w:val="13"/>
              </w:numPr>
              <w:bidi w:val="0"/>
              <w:rPr>
                <w:rFonts w:hint="default"/>
                <w:color w:val="auto"/>
              </w:rPr>
            </w:pPr>
            <w:r>
              <w:rPr>
                <w:rFonts w:hint="default"/>
                <w:color w:val="auto"/>
              </w:rPr>
              <w:t>生态保护措施</w:t>
            </w:r>
          </w:p>
          <w:p>
            <w:pPr>
              <w:pStyle w:val="36"/>
              <w:bidi w:val="0"/>
              <w:rPr>
                <w:rFonts w:hint="default"/>
                <w:color w:val="auto"/>
              </w:rPr>
            </w:pPr>
            <w:r>
              <w:rPr>
                <w:rFonts w:hint="default"/>
                <w:color w:val="auto"/>
              </w:rPr>
              <w:t>建设单位及施工单位应严格执行本次评价提出的生态环境保护措施，并确保各项保护措施与钻试工程同时设计、同时施工、同时使用。</w:t>
            </w:r>
          </w:p>
          <w:p>
            <w:pPr>
              <w:pStyle w:val="31"/>
              <w:numPr>
                <w:ilvl w:val="1"/>
                <w:numId w:val="13"/>
              </w:numPr>
              <w:bidi w:val="0"/>
              <w:rPr>
                <w:rFonts w:hint="default"/>
                <w:color w:val="auto"/>
              </w:rPr>
            </w:pPr>
            <w:bookmarkStart w:id="48" w:name="_Hlk140837423"/>
            <w:r>
              <w:rPr>
                <w:rFonts w:hint="default"/>
                <w:color w:val="auto"/>
              </w:rPr>
              <w:t>植被保护措施</w:t>
            </w:r>
          </w:p>
          <w:p>
            <w:pPr>
              <w:pStyle w:val="36"/>
              <w:bidi w:val="0"/>
              <w:rPr>
                <w:rFonts w:hint="default"/>
                <w:color w:val="auto"/>
                <w:lang w:val="en-US" w:eastAsia="zh-CN"/>
              </w:rPr>
            </w:pPr>
            <w:bookmarkStart w:id="49" w:name="_Hlk140834056"/>
            <w:r>
              <w:rPr>
                <w:rFonts w:hint="default"/>
                <w:color w:val="auto"/>
              </w:rPr>
              <w:t>①工程避让措施：井场</w:t>
            </w:r>
            <w:r>
              <w:rPr>
                <w:rFonts w:hint="eastAsia"/>
                <w:color w:val="auto"/>
                <w:lang w:val="en-US" w:eastAsia="zh-CN"/>
              </w:rPr>
              <w:t>及探临道路选址时</w:t>
            </w:r>
            <w:r>
              <w:rPr>
                <w:rFonts w:hint="default"/>
                <w:color w:val="auto"/>
              </w:rPr>
              <w:t>应提前踏勘，在满足勘探设计和施工要求的前提下，对井场位置、探临道路路由等临时占地进行适当调整，</w:t>
            </w:r>
            <w:r>
              <w:rPr>
                <w:rFonts w:hint="eastAsia"/>
                <w:color w:val="auto"/>
                <w:lang w:val="en-US" w:eastAsia="zh-CN"/>
              </w:rPr>
              <w:t>满足设计的前提下尽量减少占地</w:t>
            </w:r>
            <w:r>
              <w:rPr>
                <w:rFonts w:hint="default"/>
                <w:color w:val="auto"/>
              </w:rPr>
              <w:t>。</w:t>
            </w:r>
            <w:bookmarkStart w:id="50" w:name="_Hlk136795909"/>
          </w:p>
          <w:p>
            <w:pPr>
              <w:pStyle w:val="36"/>
              <w:bidi w:val="0"/>
              <w:rPr>
                <w:rFonts w:hint="default"/>
                <w:color w:val="auto"/>
              </w:rPr>
            </w:pPr>
            <w:r>
              <w:rPr>
                <w:rFonts w:hint="default"/>
                <w:color w:val="auto"/>
              </w:rPr>
              <w:t>②减缓措施：</w:t>
            </w:r>
            <w:r>
              <w:rPr>
                <w:rFonts w:hint="eastAsia"/>
                <w:color w:val="auto"/>
              </w:rPr>
              <w:t>严格控制探临道路施工作业带范围，严格控制井场、生活营地及探临道路等各类工程建设活动在临时占地范围内，不得随意扩大、碾压周边野生植被，最大限度减缓对野生植物生存环境的破坏。尽量缩小施工占地，不得随意开辟道路，减少影响范围；确保各环保设施正常运行，避免各类污染物对土壤环境的影响，防止进一步影响其上部生长的野生植被。项目在建设过程中，应避免在大风天气作业，避免风蚀从而造成水土流失；提高施工效率，缩短施工时间。严格按施工方案要求在指定地点堆放临时土石方，并压紧、夯实，做好洒水降尘工作，减少扬尘对野生植被的影响。</w:t>
            </w:r>
          </w:p>
          <w:p>
            <w:pPr>
              <w:bidi w:val="0"/>
              <w:rPr>
                <w:rFonts w:hint="eastAsia" w:ascii="Times New Roman" w:hAnsi="Times New Roman" w:eastAsia="宋体" w:cs="Times New Roman"/>
                <w:bCs/>
                <w:color w:val="auto"/>
                <w:sz w:val="24"/>
                <w:szCs w:val="24"/>
                <w:highlight w:val="none"/>
                <w:lang w:val="en-US" w:eastAsia="zh-CN" w:bidi="ar-SA"/>
              </w:rPr>
            </w:pPr>
            <w:bookmarkStart w:id="51" w:name="_Hlk143198760"/>
            <w:r>
              <w:rPr>
                <w:rFonts w:hint="default"/>
                <w:color w:val="auto"/>
              </w:rPr>
              <w:t>③修复措施：钻试作业结束后施工机械、设备及时撤离，对井场等占地进行清理平整，表土进行分层回填，最大程度保护土壤肥力；废水和固体废物全部妥善处置，禁止现场遗留。施工完毕后，建设单位应及时复垦，</w:t>
            </w:r>
            <w:r>
              <w:rPr>
                <w:rFonts w:hint="eastAsia"/>
                <w:color w:val="auto"/>
                <w:lang w:val="en-US" w:eastAsia="zh-CN"/>
              </w:rPr>
              <w:t>恢复原有土地使用功能。</w:t>
            </w:r>
            <w:r>
              <w:rPr>
                <w:rFonts w:hint="eastAsia" w:ascii="Times New Roman" w:hAnsi="Times New Roman" w:eastAsia="宋体" w:cs="Times New Roman"/>
                <w:bCs/>
                <w:color w:val="auto"/>
                <w:sz w:val="24"/>
                <w:szCs w:val="24"/>
                <w:highlight w:val="none"/>
                <w:lang w:val="en-US" w:eastAsia="zh-CN" w:bidi="ar-SA"/>
              </w:rPr>
              <w:t>土地复垦工作由中国石油新疆油田分公司组织实施。项目为临时用地，用地范围</w:t>
            </w:r>
            <w:r>
              <w:rPr>
                <w:rFonts w:hint="eastAsia" w:cs="Times New Roman"/>
                <w:bCs/>
                <w:color w:val="auto"/>
                <w:sz w:val="24"/>
                <w:szCs w:val="24"/>
                <w:highlight w:val="none"/>
                <w:lang w:val="en-US" w:eastAsia="zh-CN" w:bidi="ar-SA"/>
              </w:rPr>
              <w:t>内</w:t>
            </w:r>
            <w:r>
              <w:rPr>
                <w:rFonts w:hint="eastAsia" w:ascii="Times New Roman" w:hAnsi="Times New Roman" w:eastAsia="宋体" w:cs="Times New Roman"/>
                <w:bCs/>
                <w:color w:val="auto"/>
                <w:sz w:val="24"/>
                <w:szCs w:val="24"/>
                <w:highlight w:val="none"/>
                <w:lang w:val="en-US" w:eastAsia="zh-CN" w:bidi="ar-SA"/>
              </w:rPr>
              <w:t>土地利用现状类型</w:t>
            </w:r>
            <w:r>
              <w:rPr>
                <w:rFonts w:hint="eastAsia" w:cs="Times New Roman"/>
                <w:bCs/>
                <w:color w:val="auto"/>
                <w:sz w:val="24"/>
                <w:szCs w:val="24"/>
                <w:highlight w:val="none"/>
                <w:lang w:val="en-US" w:eastAsia="zh-CN" w:bidi="ar-SA"/>
              </w:rPr>
              <w:t>为</w:t>
            </w:r>
            <w:r>
              <w:rPr>
                <w:rFonts w:hint="eastAsia" w:ascii="Times New Roman" w:hAnsi="Times New Roman" w:eastAsia="宋体" w:cs="Times New Roman"/>
                <w:bCs/>
                <w:color w:val="auto"/>
                <w:sz w:val="24"/>
                <w:szCs w:val="24"/>
                <w:highlight w:val="none"/>
                <w:lang w:val="en-US" w:eastAsia="zh-CN" w:bidi="ar-SA"/>
              </w:rPr>
              <w:t>天然牧草地和少量农村道路</w:t>
            </w:r>
            <w:r>
              <w:rPr>
                <w:rFonts w:hint="eastAsia" w:cs="Times New Roman"/>
                <w:bCs/>
                <w:color w:val="auto"/>
                <w:sz w:val="24"/>
                <w:szCs w:val="24"/>
                <w:highlight w:val="none"/>
                <w:lang w:val="en-US" w:eastAsia="zh-CN" w:bidi="ar-SA"/>
              </w:rPr>
              <w:t>，土地复垦</w:t>
            </w:r>
            <w:r>
              <w:rPr>
                <w:rFonts w:hint="eastAsia" w:ascii="Times New Roman" w:hAnsi="Times New Roman" w:eastAsia="宋体" w:cs="Times New Roman"/>
                <w:bCs/>
                <w:color w:val="auto"/>
                <w:sz w:val="24"/>
                <w:szCs w:val="24"/>
                <w:highlight w:val="none"/>
                <w:lang w:val="en-US" w:eastAsia="zh-CN" w:bidi="ar-SA"/>
              </w:rPr>
              <w:t>主要目标为</w:t>
            </w:r>
            <w:r>
              <w:rPr>
                <w:rFonts w:hint="eastAsia" w:cs="Times New Roman"/>
                <w:bCs/>
                <w:color w:val="auto"/>
                <w:sz w:val="24"/>
                <w:szCs w:val="24"/>
                <w:highlight w:val="none"/>
                <w:lang w:val="en-US" w:eastAsia="zh-CN" w:bidi="ar-SA"/>
              </w:rPr>
              <w:t>：恢复土地</w:t>
            </w:r>
            <w:r>
              <w:rPr>
                <w:rFonts w:hint="eastAsia" w:ascii="Times New Roman" w:hAnsi="Times New Roman" w:eastAsia="宋体" w:cs="Times New Roman"/>
                <w:bCs/>
                <w:color w:val="auto"/>
                <w:sz w:val="24"/>
                <w:szCs w:val="24"/>
                <w:highlight w:val="none"/>
                <w:lang w:val="en-US" w:eastAsia="zh-CN" w:bidi="ar-SA"/>
              </w:rPr>
              <w:t>原有</w:t>
            </w:r>
            <w:r>
              <w:rPr>
                <w:rFonts w:hint="eastAsia" w:cs="Times New Roman"/>
                <w:bCs/>
                <w:color w:val="auto"/>
                <w:sz w:val="24"/>
                <w:szCs w:val="24"/>
                <w:highlight w:val="none"/>
                <w:lang w:val="en-US" w:eastAsia="zh-CN" w:bidi="ar-SA"/>
              </w:rPr>
              <w:t>使用功能，植被覆盖度逐步恢复至原有水平。</w:t>
            </w:r>
            <w:r>
              <w:rPr>
                <w:rFonts w:hint="eastAsia" w:ascii="Times New Roman" w:hAnsi="Times New Roman" w:eastAsia="宋体" w:cs="Times New Roman"/>
                <w:bCs/>
                <w:color w:val="auto"/>
                <w:sz w:val="24"/>
                <w:szCs w:val="24"/>
                <w:highlight w:val="none"/>
                <w:lang w:val="en-US" w:eastAsia="zh-CN" w:bidi="ar-SA"/>
              </w:rPr>
              <w:t>土地复垦措施包括：对土地利用现状利用类型为天然牧草地的区域实施土地翻耕、撒播草籽</w:t>
            </w:r>
            <w:r>
              <w:rPr>
                <w:rFonts w:hint="eastAsia" w:cs="Times New Roman"/>
                <w:bCs/>
                <w:color w:val="auto"/>
                <w:sz w:val="24"/>
                <w:szCs w:val="24"/>
                <w:highlight w:val="none"/>
                <w:lang w:val="en-US" w:eastAsia="zh-CN" w:bidi="ar-SA"/>
              </w:rPr>
              <w:t>、</w:t>
            </w:r>
            <w:r>
              <w:rPr>
                <w:rFonts w:hint="eastAsia" w:ascii="Times New Roman" w:hAnsi="Times New Roman" w:eastAsia="宋体" w:cs="Times New Roman"/>
                <w:bCs/>
                <w:color w:val="auto"/>
                <w:sz w:val="24"/>
                <w:szCs w:val="24"/>
                <w:highlight w:val="none"/>
                <w:lang w:val="en-US" w:eastAsia="zh-CN" w:bidi="ar-SA"/>
              </w:rPr>
              <w:t>洒水、补播</w:t>
            </w:r>
            <w:r>
              <w:rPr>
                <w:rFonts w:hint="eastAsia" w:cs="Times New Roman"/>
                <w:bCs/>
                <w:color w:val="auto"/>
                <w:sz w:val="24"/>
                <w:szCs w:val="24"/>
                <w:highlight w:val="none"/>
                <w:lang w:val="en-US" w:eastAsia="zh-CN" w:bidi="ar-SA"/>
              </w:rPr>
              <w:t>等</w:t>
            </w:r>
            <w:r>
              <w:rPr>
                <w:rFonts w:hint="eastAsia" w:ascii="Times New Roman" w:hAnsi="Times New Roman" w:eastAsia="宋体" w:cs="Times New Roman"/>
                <w:bCs/>
                <w:color w:val="auto"/>
                <w:sz w:val="24"/>
                <w:szCs w:val="24"/>
                <w:highlight w:val="none"/>
                <w:lang w:val="en-US" w:eastAsia="zh-CN" w:bidi="ar-SA"/>
              </w:rPr>
              <w:t>措施。对土地利用现状利用类型为农村道路的区域实施平整措施。</w:t>
            </w:r>
          </w:p>
          <w:bookmarkEnd w:id="51"/>
          <w:p>
            <w:pPr>
              <w:pStyle w:val="36"/>
              <w:bidi w:val="0"/>
              <w:rPr>
                <w:rFonts w:hint="default"/>
                <w:color w:val="auto"/>
              </w:rPr>
            </w:pPr>
            <w:r>
              <w:rPr>
                <w:rFonts w:hint="default"/>
                <w:color w:val="auto"/>
              </w:rPr>
              <w:t>④补偿措施：建设单位应同步依法依规办理征地手续，足额缴纳征地补偿费用。本项目征地手续正在办理当中，未获得临时用地使用许可本项目不得开工建设。</w:t>
            </w:r>
          </w:p>
          <w:bookmarkEnd w:id="48"/>
          <w:bookmarkEnd w:id="49"/>
          <w:bookmarkEnd w:id="50"/>
          <w:p>
            <w:pPr>
              <w:pStyle w:val="36"/>
              <w:bidi w:val="0"/>
              <w:rPr>
                <w:rFonts w:hint="default"/>
                <w:color w:val="auto"/>
              </w:rPr>
            </w:pPr>
            <w:r>
              <w:rPr>
                <w:rFonts w:hint="default"/>
                <w:color w:val="auto"/>
              </w:rPr>
              <w:t>⑤管理措施：严格遵守油田环境保护规章制度；严格控制井场占地，严格划定车辆行驶路线，禁止运输车辆乱碾乱轧；严格规定各类工作人员的活动范围，最大限度减少对</w:t>
            </w:r>
            <w:r>
              <w:rPr>
                <w:rFonts w:hint="eastAsia"/>
                <w:color w:val="auto"/>
                <w:lang w:val="en-US" w:eastAsia="zh-CN"/>
              </w:rPr>
              <w:t>地表</w:t>
            </w:r>
            <w:r>
              <w:rPr>
                <w:rFonts w:hint="default"/>
                <w:color w:val="auto"/>
              </w:rPr>
              <w:t>的踩踏破坏和对野生动物栖息地的侵扰。加强环境保护宣传工作，提高施工人员环保意识。</w:t>
            </w:r>
          </w:p>
          <w:p>
            <w:pPr>
              <w:pStyle w:val="31"/>
              <w:numPr>
                <w:ilvl w:val="1"/>
                <w:numId w:val="13"/>
              </w:numPr>
              <w:bidi w:val="0"/>
              <w:rPr>
                <w:rFonts w:hint="default"/>
                <w:color w:val="auto"/>
              </w:rPr>
            </w:pPr>
            <w:r>
              <w:rPr>
                <w:rFonts w:hint="default"/>
                <w:color w:val="auto"/>
              </w:rPr>
              <w:t>野生动物</w:t>
            </w:r>
            <w:r>
              <w:rPr>
                <w:rFonts w:hint="eastAsia"/>
                <w:color w:val="auto"/>
                <w:lang w:val="en-US" w:eastAsia="zh-CN"/>
              </w:rPr>
              <w:t>保护</w:t>
            </w:r>
            <w:r>
              <w:rPr>
                <w:rFonts w:hint="default"/>
                <w:color w:val="auto"/>
              </w:rPr>
              <w:t>措施</w:t>
            </w:r>
          </w:p>
          <w:p>
            <w:pPr>
              <w:pStyle w:val="36"/>
              <w:bidi w:val="0"/>
              <w:rPr>
                <w:rFonts w:hint="default"/>
                <w:color w:val="auto"/>
              </w:rPr>
            </w:pPr>
            <w:r>
              <w:rPr>
                <w:rFonts w:hint="default"/>
                <w:color w:val="auto"/>
              </w:rPr>
              <w:t>建设单位在施工过程中要严格规定工作人员的活动范围，尽量不侵扰野生动物的栖息地；对施工人员开展保护野生动物宣传教育工作，强化保护野生动物的观念；加强管理，确保各生产设施的正常运行，避免强噪声情况发生而对野生动物造成惊扰。</w:t>
            </w:r>
          </w:p>
          <w:p>
            <w:pPr>
              <w:pStyle w:val="31"/>
              <w:numPr>
                <w:ilvl w:val="1"/>
                <w:numId w:val="5"/>
              </w:numPr>
              <w:bidi w:val="0"/>
              <w:rPr>
                <w:rFonts w:hint="default"/>
                <w:color w:val="auto"/>
                <w:lang w:val="en-US" w:eastAsia="zh-CN"/>
              </w:rPr>
            </w:pPr>
            <w:r>
              <w:rPr>
                <w:rFonts w:hint="eastAsia"/>
                <w:color w:val="auto"/>
                <w:lang w:val="en-US" w:eastAsia="zh-CN"/>
              </w:rPr>
              <w:t>防止沙化措施</w:t>
            </w:r>
          </w:p>
          <w:p>
            <w:pPr>
              <w:snapToGrid w:val="0"/>
              <w:spacing w:line="500" w:lineRule="exact"/>
              <w:ind w:firstLine="480" w:firstLineChars="200"/>
              <w:rPr>
                <w:rFonts w:hint="eastAsia" w:ascii="宋体" w:hAnsi="宋体" w:eastAsia="宋体" w:cs="宋体"/>
                <w:color w:val="auto"/>
              </w:rPr>
            </w:pPr>
            <w:r>
              <w:rPr>
                <w:rFonts w:hint="eastAsia" w:ascii="宋体" w:hAnsi="宋体" w:eastAsia="宋体" w:cs="宋体"/>
                <w:color w:val="auto"/>
                <w:lang w:val="en-US" w:eastAsia="zh-CN"/>
              </w:rPr>
              <w:t>本项目所在区域为非沙化土地，但仍应该采取措施防止土地沙化。</w:t>
            </w:r>
            <w:r>
              <w:rPr>
                <w:rFonts w:hint="eastAsia" w:ascii="宋体" w:hAnsi="宋体" w:eastAsia="宋体" w:cs="宋体"/>
                <w:color w:val="auto"/>
              </w:rPr>
              <w:t>本次评价要求建设单位严格按照《中华人民共和国防沙治沙法》（2018）和《关于加强沙区建设项目环境影响评价工作的通知》（新环环评发〔2020〕138号）中有关规定，执行以下防沙治沙措施：</w:t>
            </w:r>
          </w:p>
          <w:p>
            <w:pPr>
              <w:snapToGrid w:val="0"/>
              <w:spacing w:line="500" w:lineRule="exact"/>
              <w:ind w:firstLine="480" w:firstLineChars="200"/>
              <w:rPr>
                <w:rFonts w:hint="eastAsia" w:ascii="宋体" w:hAnsi="宋体" w:eastAsia="宋体" w:cs="宋体"/>
                <w:color w:val="auto"/>
              </w:rPr>
            </w:pPr>
            <w:r>
              <w:rPr>
                <w:rFonts w:hint="eastAsia" w:ascii="宋体" w:hAnsi="宋体" w:eastAsia="宋体" w:cs="宋体"/>
                <w:color w:val="auto"/>
              </w:rPr>
              <w:t>①大力宣传《中华人民共和国防沙治沙法》，使施工人员知法、懂法、守法，自觉保护林草植被，自觉履行防治义务；</w:t>
            </w:r>
          </w:p>
          <w:p>
            <w:pPr>
              <w:snapToGrid w:val="0"/>
              <w:spacing w:line="500" w:lineRule="exact"/>
              <w:ind w:firstLine="480" w:firstLineChars="200"/>
              <w:rPr>
                <w:rFonts w:hint="eastAsia" w:ascii="宋体" w:hAnsi="宋体" w:eastAsia="宋体" w:cs="宋体"/>
                <w:color w:val="auto"/>
              </w:rPr>
            </w:pPr>
            <w:r>
              <w:rPr>
                <w:rFonts w:hint="eastAsia" w:ascii="宋体" w:hAnsi="宋体" w:eastAsia="宋体" w:cs="宋体"/>
                <w:color w:val="auto"/>
              </w:rPr>
              <w:t>②严格控制施工活动范围，严禁施工车辆乱碾乱轧，避免对占地范围外的土壤和植被造成扰动；</w:t>
            </w:r>
          </w:p>
          <w:p>
            <w:pPr>
              <w:snapToGrid w:val="0"/>
              <w:spacing w:line="500" w:lineRule="exact"/>
              <w:ind w:firstLine="480" w:firstLineChars="200"/>
              <w:rPr>
                <w:rFonts w:hint="eastAsia" w:ascii="宋体" w:hAnsi="宋体" w:eastAsia="宋体" w:cs="宋体"/>
                <w:color w:val="auto"/>
              </w:rPr>
            </w:pPr>
            <w:r>
              <w:rPr>
                <w:rFonts w:hint="eastAsia" w:ascii="宋体" w:hAnsi="宋体" w:eastAsia="宋体" w:cs="宋体"/>
                <w:color w:val="auto"/>
              </w:rPr>
              <w:t>③优化施工组织，缩短施工时间，避免在大风天气作业，避免造成土壤风蚀影响；</w:t>
            </w:r>
          </w:p>
          <w:p>
            <w:pPr>
              <w:snapToGrid w:val="0"/>
              <w:spacing w:line="500" w:lineRule="exact"/>
              <w:ind w:firstLine="480" w:firstLineChars="200"/>
              <w:rPr>
                <w:rFonts w:hint="eastAsia" w:ascii="宋体" w:hAnsi="宋体" w:eastAsia="宋体" w:cs="宋体"/>
                <w:color w:val="auto"/>
              </w:rPr>
            </w:pPr>
            <w:r>
              <w:rPr>
                <w:rFonts w:hint="eastAsia" w:ascii="宋体" w:hAnsi="宋体" w:eastAsia="宋体" w:cs="宋体"/>
                <w:color w:val="auto"/>
              </w:rPr>
              <w:t>④施工结束后及时对占地进行清理、平整，按照征地文件规定对占地进行经济补偿。</w:t>
            </w:r>
          </w:p>
          <w:p>
            <w:pPr>
              <w:pStyle w:val="31"/>
              <w:numPr>
                <w:ilvl w:val="1"/>
                <w:numId w:val="13"/>
              </w:numPr>
              <w:bidi w:val="0"/>
              <w:rPr>
                <w:rFonts w:hint="default"/>
                <w:color w:val="auto"/>
              </w:rPr>
            </w:pPr>
            <w:r>
              <w:rPr>
                <w:rFonts w:hint="default"/>
                <w:color w:val="auto"/>
              </w:rPr>
              <w:t>水土流失防治措施</w:t>
            </w:r>
          </w:p>
          <w:p>
            <w:pPr>
              <w:pStyle w:val="36"/>
              <w:bidi w:val="0"/>
              <w:rPr>
                <w:rFonts w:hint="default"/>
                <w:color w:val="auto"/>
              </w:rPr>
            </w:pPr>
            <w:r>
              <w:rPr>
                <w:rFonts w:hint="default"/>
                <w:color w:val="auto"/>
                <w:lang w:val="en-US" w:eastAsia="zh-CN"/>
              </w:rPr>
              <w:t>①</w:t>
            </w:r>
            <w:r>
              <w:rPr>
                <w:rFonts w:hint="default"/>
                <w:color w:val="auto"/>
              </w:rPr>
              <w:t>施工期间严格划定施工活动范围，严格控制和管理运输车辆及重型机械的运行范围，不另辟施工便道，不得离开探临道路及随意驾驶，避免增加对地表的扰动和破坏。</w:t>
            </w:r>
          </w:p>
          <w:p>
            <w:pPr>
              <w:pStyle w:val="36"/>
              <w:bidi w:val="0"/>
              <w:rPr>
                <w:rFonts w:hint="default"/>
                <w:color w:val="auto"/>
              </w:rPr>
            </w:pPr>
            <w:r>
              <w:rPr>
                <w:rFonts w:hint="default"/>
                <w:color w:val="auto"/>
                <w:lang w:val="en-US" w:eastAsia="zh-CN"/>
              </w:rPr>
              <w:t>②</w:t>
            </w:r>
            <w:r>
              <w:rPr>
                <w:rFonts w:hint="default"/>
                <w:color w:val="auto"/>
              </w:rPr>
              <w:t>合理安排施工时间，避免大风天气施工，以免造成土壤风蚀影响。</w:t>
            </w:r>
          </w:p>
          <w:p>
            <w:pPr>
              <w:pStyle w:val="36"/>
              <w:bidi w:val="0"/>
              <w:rPr>
                <w:rFonts w:hint="default"/>
                <w:color w:val="auto"/>
              </w:rPr>
            </w:pPr>
            <w:r>
              <w:rPr>
                <w:rFonts w:hint="default"/>
                <w:color w:val="auto"/>
                <w:lang w:val="en-US" w:eastAsia="zh-CN"/>
              </w:rPr>
              <w:t>③</w:t>
            </w:r>
            <w:r>
              <w:rPr>
                <w:rFonts w:hint="default"/>
                <w:color w:val="auto"/>
              </w:rPr>
              <w:t>施工结束后应及时对临时占地进行清理、平整，平整过程中不仅要保证土体再塑，防止水土流失。</w:t>
            </w:r>
          </w:p>
          <w:p>
            <w:pPr>
              <w:pStyle w:val="36"/>
              <w:bidi w:val="0"/>
              <w:rPr>
                <w:rFonts w:hint="default"/>
                <w:color w:val="auto"/>
              </w:rPr>
            </w:pPr>
            <w:r>
              <w:rPr>
                <w:rFonts w:hint="default"/>
                <w:color w:val="auto"/>
                <w:lang w:val="en-US" w:eastAsia="zh-CN"/>
              </w:rPr>
              <w:t>④</w:t>
            </w:r>
            <w:r>
              <w:rPr>
                <w:rFonts w:hint="default"/>
                <w:color w:val="auto"/>
              </w:rPr>
              <w:t>对临时占地范围内的生态损失进行经济补偿。</w:t>
            </w:r>
          </w:p>
          <w:p>
            <w:pPr>
              <w:bidi w:val="0"/>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⑤</w:t>
            </w:r>
            <w:r>
              <w:rPr>
                <w:rFonts w:hint="eastAsia" w:cs="Times New Roman"/>
                <w:b w:val="0"/>
                <w:bCs w:val="0"/>
                <w:color w:val="auto"/>
                <w:kern w:val="2"/>
                <w:sz w:val="24"/>
                <w:szCs w:val="24"/>
                <w:highlight w:val="none"/>
                <w:lang w:val="en-US" w:eastAsia="zh-CN" w:bidi="ar-SA"/>
              </w:rPr>
              <w:t>在井场、生活区和道路铺设砂石料垫层。砂石料由</w:t>
            </w:r>
            <w:r>
              <w:rPr>
                <w:rFonts w:hint="eastAsia" w:ascii="Times New Roman" w:hAnsi="Times New Roman" w:eastAsia="宋体" w:cs="Times New Roman"/>
                <w:b w:val="0"/>
                <w:bCs w:val="0"/>
                <w:color w:val="auto"/>
                <w:kern w:val="2"/>
                <w:sz w:val="24"/>
                <w:szCs w:val="24"/>
                <w:highlight w:val="none"/>
                <w:lang w:val="en-US" w:eastAsia="zh-CN" w:bidi="ar-SA"/>
              </w:rPr>
              <w:t>中国石油新疆油田分公司根据项目实施进度对</w:t>
            </w:r>
            <w:r>
              <w:rPr>
                <w:rFonts w:hint="eastAsia" w:cs="Times New Roman"/>
                <w:b w:val="0"/>
                <w:bCs w:val="0"/>
                <w:color w:val="auto"/>
                <w:kern w:val="2"/>
                <w:sz w:val="24"/>
                <w:szCs w:val="24"/>
                <w:highlight w:val="none"/>
                <w:lang w:val="en-US" w:eastAsia="zh-CN" w:bidi="ar-SA"/>
              </w:rPr>
              <w:t>项目及周边各井场</w:t>
            </w:r>
            <w:r>
              <w:rPr>
                <w:rFonts w:hint="eastAsia" w:ascii="Times New Roman" w:hAnsi="Times New Roman" w:eastAsia="宋体" w:cs="Times New Roman"/>
                <w:b w:val="0"/>
                <w:bCs w:val="0"/>
                <w:color w:val="auto"/>
                <w:kern w:val="2"/>
                <w:sz w:val="24"/>
                <w:szCs w:val="24"/>
                <w:highlight w:val="none"/>
                <w:lang w:val="en-US" w:eastAsia="zh-CN" w:bidi="ar-SA"/>
              </w:rPr>
              <w:t>临时用地砂砾石铺垫料进行调配。本项目</w:t>
            </w:r>
            <w:r>
              <w:rPr>
                <w:rFonts w:hint="eastAsia" w:cs="Times New Roman"/>
                <w:b w:val="0"/>
                <w:bCs w:val="0"/>
                <w:color w:val="auto"/>
                <w:kern w:val="2"/>
                <w:sz w:val="24"/>
                <w:szCs w:val="24"/>
                <w:highlight w:val="none"/>
                <w:lang w:val="en-US" w:eastAsia="zh-CN" w:bidi="ar-SA"/>
              </w:rPr>
              <w:t>在钻前施工时</w:t>
            </w:r>
            <w:r>
              <w:rPr>
                <w:rFonts w:hint="eastAsia" w:ascii="Times New Roman" w:hAnsi="Times New Roman" w:eastAsia="宋体" w:cs="Times New Roman"/>
                <w:b w:val="0"/>
                <w:bCs w:val="0"/>
                <w:color w:val="auto"/>
                <w:kern w:val="2"/>
                <w:sz w:val="24"/>
                <w:szCs w:val="24"/>
                <w:highlight w:val="none"/>
                <w:lang w:val="en-US" w:eastAsia="zh-CN" w:bidi="ar-SA"/>
              </w:rPr>
              <w:t>优先利用周边其他已完工项目临时用地清理出的砂砾石</w:t>
            </w:r>
            <w:r>
              <w:rPr>
                <w:rFonts w:hint="eastAsia" w:cs="Times New Roman"/>
                <w:b w:val="0"/>
                <w:bCs w:val="0"/>
                <w:color w:val="auto"/>
                <w:kern w:val="2"/>
                <w:sz w:val="24"/>
                <w:szCs w:val="24"/>
                <w:highlight w:val="none"/>
                <w:lang w:val="en-US" w:eastAsia="zh-CN" w:bidi="ar-SA"/>
              </w:rPr>
              <w:t>料对</w:t>
            </w:r>
            <w:r>
              <w:rPr>
                <w:rFonts w:hint="eastAsia" w:ascii="Times New Roman" w:hAnsi="Times New Roman" w:eastAsia="宋体" w:cs="Times New Roman"/>
                <w:b w:val="0"/>
                <w:bCs w:val="0"/>
                <w:color w:val="auto"/>
                <w:kern w:val="2"/>
                <w:sz w:val="24"/>
                <w:szCs w:val="24"/>
                <w:highlight w:val="none"/>
                <w:lang w:val="en-US" w:eastAsia="zh-CN" w:bidi="ar-SA"/>
              </w:rPr>
              <w:t>井场、生活区及道路</w:t>
            </w:r>
            <w:r>
              <w:rPr>
                <w:rFonts w:hint="eastAsia" w:cs="Times New Roman"/>
                <w:b w:val="0"/>
                <w:bCs w:val="0"/>
                <w:color w:val="auto"/>
                <w:kern w:val="2"/>
                <w:sz w:val="24"/>
                <w:szCs w:val="24"/>
                <w:highlight w:val="none"/>
                <w:lang w:val="en-US" w:eastAsia="zh-CN" w:bidi="ar-SA"/>
              </w:rPr>
              <w:t>进行铺垫</w:t>
            </w:r>
            <w:r>
              <w:rPr>
                <w:rFonts w:hint="eastAsia" w:ascii="Times New Roman" w:hAnsi="Times New Roman" w:eastAsia="宋体" w:cs="Times New Roman"/>
                <w:b w:val="0"/>
                <w:bCs w:val="0"/>
                <w:color w:val="auto"/>
                <w:kern w:val="2"/>
                <w:sz w:val="24"/>
                <w:szCs w:val="24"/>
                <w:highlight w:val="none"/>
                <w:lang w:val="en-US" w:eastAsia="zh-CN" w:bidi="ar-SA"/>
              </w:rPr>
              <w:t>，不足部分</w:t>
            </w:r>
            <w:r>
              <w:rPr>
                <w:rFonts w:hint="eastAsia" w:cs="Times New Roman"/>
                <w:b w:val="0"/>
                <w:bCs w:val="0"/>
                <w:color w:val="auto"/>
                <w:kern w:val="2"/>
                <w:sz w:val="24"/>
                <w:szCs w:val="24"/>
                <w:highlight w:val="none"/>
                <w:lang w:val="en-US" w:eastAsia="zh-CN" w:bidi="ar-SA"/>
              </w:rPr>
              <w:t>在商业</w:t>
            </w:r>
            <w:r>
              <w:rPr>
                <w:rFonts w:hint="eastAsia" w:ascii="Times New Roman" w:hAnsi="Times New Roman" w:eastAsia="宋体" w:cs="Times New Roman"/>
                <w:b w:val="0"/>
                <w:bCs w:val="0"/>
                <w:color w:val="auto"/>
                <w:kern w:val="2"/>
                <w:sz w:val="24"/>
                <w:szCs w:val="24"/>
                <w:highlight w:val="none"/>
                <w:lang w:val="en-US" w:eastAsia="zh-CN" w:bidi="ar-SA"/>
              </w:rPr>
              <w:t>料场购买后拉运至现场。施工结束后，</w:t>
            </w:r>
            <w:r>
              <w:rPr>
                <w:rFonts w:hint="eastAsia" w:cs="Times New Roman"/>
                <w:b w:val="0"/>
                <w:bCs w:val="0"/>
                <w:color w:val="auto"/>
                <w:kern w:val="2"/>
                <w:sz w:val="24"/>
                <w:szCs w:val="24"/>
                <w:highlight w:val="none"/>
                <w:lang w:val="en-US" w:eastAsia="zh-CN" w:bidi="ar-SA"/>
              </w:rPr>
              <w:t>由施工单位将</w:t>
            </w:r>
            <w:r>
              <w:rPr>
                <w:rFonts w:hint="eastAsia" w:ascii="Times New Roman" w:hAnsi="Times New Roman" w:eastAsia="宋体" w:cs="Times New Roman"/>
                <w:b w:val="0"/>
                <w:bCs w:val="0"/>
                <w:color w:val="auto"/>
                <w:kern w:val="2"/>
                <w:sz w:val="24"/>
                <w:szCs w:val="24"/>
                <w:highlight w:val="none"/>
                <w:lang w:val="en-US" w:eastAsia="zh-CN" w:bidi="ar-SA"/>
              </w:rPr>
              <w:t>砂砾石料</w:t>
            </w:r>
            <w:r>
              <w:rPr>
                <w:rFonts w:hint="eastAsia" w:cs="Times New Roman"/>
                <w:b w:val="0"/>
                <w:bCs w:val="0"/>
                <w:color w:val="auto"/>
                <w:kern w:val="2"/>
                <w:sz w:val="24"/>
                <w:szCs w:val="24"/>
                <w:highlight w:val="none"/>
                <w:lang w:val="en-US" w:eastAsia="zh-CN" w:bidi="ar-SA"/>
              </w:rPr>
              <w:t>垫层</w:t>
            </w:r>
            <w:r>
              <w:rPr>
                <w:rFonts w:hint="eastAsia" w:ascii="Times New Roman" w:hAnsi="Times New Roman" w:eastAsia="宋体" w:cs="Times New Roman"/>
                <w:b w:val="0"/>
                <w:bCs w:val="0"/>
                <w:color w:val="auto"/>
                <w:kern w:val="2"/>
                <w:sz w:val="24"/>
                <w:szCs w:val="24"/>
                <w:highlight w:val="none"/>
                <w:lang w:val="en-US" w:eastAsia="zh-CN" w:bidi="ar-SA"/>
              </w:rPr>
              <w:t>清运至其他拟实施项目</w:t>
            </w:r>
            <w:r>
              <w:rPr>
                <w:rFonts w:hint="eastAsia" w:cs="Times New Roman"/>
                <w:b w:val="0"/>
                <w:bCs w:val="0"/>
                <w:color w:val="auto"/>
                <w:kern w:val="2"/>
                <w:sz w:val="24"/>
                <w:szCs w:val="24"/>
                <w:highlight w:val="none"/>
                <w:lang w:val="en-US" w:eastAsia="zh-CN" w:bidi="ar-SA"/>
              </w:rPr>
              <w:t>，并对</w:t>
            </w:r>
            <w:r>
              <w:rPr>
                <w:rFonts w:hint="eastAsia" w:ascii="Times New Roman" w:hAnsi="Times New Roman" w:eastAsia="宋体" w:cs="Times New Roman"/>
                <w:b w:val="0"/>
                <w:bCs w:val="0"/>
                <w:color w:val="auto"/>
                <w:kern w:val="2"/>
                <w:sz w:val="24"/>
                <w:szCs w:val="24"/>
                <w:highlight w:val="none"/>
                <w:lang w:val="en-US" w:eastAsia="zh-CN" w:bidi="ar-SA"/>
              </w:rPr>
              <w:t>本项目临时用地进行平整，</w:t>
            </w:r>
            <w:r>
              <w:rPr>
                <w:rFonts w:hint="eastAsia" w:cs="Times New Roman"/>
                <w:b w:val="0"/>
                <w:bCs w:val="0"/>
                <w:color w:val="auto"/>
                <w:kern w:val="2"/>
                <w:sz w:val="24"/>
                <w:szCs w:val="24"/>
                <w:highlight w:val="none"/>
                <w:lang w:val="en-US" w:eastAsia="zh-CN" w:bidi="ar-SA"/>
              </w:rPr>
              <w:t>便于开展</w:t>
            </w:r>
            <w:r>
              <w:rPr>
                <w:rFonts w:hint="eastAsia" w:ascii="Times New Roman" w:hAnsi="Times New Roman" w:eastAsia="宋体" w:cs="Times New Roman"/>
                <w:b w:val="0"/>
                <w:bCs w:val="0"/>
                <w:color w:val="auto"/>
                <w:kern w:val="2"/>
                <w:sz w:val="24"/>
                <w:szCs w:val="24"/>
                <w:highlight w:val="none"/>
                <w:lang w:val="en-US" w:eastAsia="zh-CN" w:bidi="ar-SA"/>
              </w:rPr>
              <w:t>后续的土地复垦工作。</w:t>
            </w:r>
          </w:p>
          <w:p>
            <w:pPr>
              <w:pStyle w:val="32"/>
              <w:numPr>
                <w:ilvl w:val="0"/>
                <w:numId w:val="5"/>
              </w:numPr>
              <w:bidi w:val="0"/>
              <w:rPr>
                <w:rFonts w:hint="default"/>
                <w:color w:val="auto"/>
              </w:rPr>
            </w:pPr>
            <w:r>
              <w:rPr>
                <w:rFonts w:hint="default"/>
                <w:color w:val="auto"/>
              </w:rPr>
              <w:t>大气污染防治措施</w:t>
            </w:r>
          </w:p>
          <w:p>
            <w:pPr>
              <w:pStyle w:val="36"/>
              <w:bidi w:val="0"/>
              <w:rPr>
                <w:rFonts w:hint="default"/>
                <w:color w:val="auto"/>
              </w:rPr>
            </w:pPr>
            <w:bookmarkStart w:id="52" w:name="_Hlk176185340"/>
            <w:r>
              <w:rPr>
                <w:rFonts w:hint="default"/>
                <w:color w:val="auto"/>
              </w:rPr>
              <w:t>（1）使用符合国家标准的油品，加强机械、车辆的维护。</w:t>
            </w:r>
          </w:p>
          <w:p>
            <w:pPr>
              <w:pStyle w:val="36"/>
              <w:bidi w:val="0"/>
              <w:rPr>
                <w:rFonts w:hint="default"/>
                <w:color w:val="auto"/>
              </w:rPr>
            </w:pPr>
            <w:r>
              <w:rPr>
                <w:rFonts w:hint="default"/>
                <w:color w:val="auto"/>
              </w:rPr>
              <w:t>（2）施工现场运输车辆应低速慢行、不得超载，并采取密闭或遮盖措施；车辆沿</w:t>
            </w:r>
            <w:r>
              <w:rPr>
                <w:rFonts w:hint="eastAsia"/>
                <w:color w:val="auto"/>
                <w:lang w:eastAsia="zh-CN"/>
              </w:rPr>
              <w:t>探临道路</w:t>
            </w:r>
            <w:r>
              <w:rPr>
                <w:rFonts w:hint="default"/>
                <w:color w:val="auto"/>
              </w:rPr>
              <w:t>行驶，不得随意开设便道。</w:t>
            </w:r>
          </w:p>
          <w:p>
            <w:pPr>
              <w:pStyle w:val="36"/>
              <w:bidi w:val="0"/>
              <w:rPr>
                <w:rFonts w:hint="default"/>
                <w:color w:val="auto"/>
              </w:rPr>
            </w:pPr>
            <w:r>
              <w:rPr>
                <w:rFonts w:hint="default"/>
                <w:color w:val="auto"/>
              </w:rPr>
              <w:t>（3）易起尘物料在运输、存放时加盖遮盖物，最大限度防止扬尘扩散。</w:t>
            </w:r>
          </w:p>
          <w:p>
            <w:pPr>
              <w:pStyle w:val="36"/>
              <w:bidi w:val="0"/>
              <w:rPr>
                <w:rFonts w:hint="default"/>
                <w:color w:val="auto"/>
              </w:rPr>
            </w:pPr>
            <w:r>
              <w:rPr>
                <w:rFonts w:hint="default"/>
                <w:color w:val="auto"/>
              </w:rPr>
              <w:t>（4）试油期产生的伴生气气量不稳定，不具备回收利用条件，经排气管线充分燃烧后排放</w:t>
            </w:r>
            <w:r>
              <w:rPr>
                <w:rFonts w:hint="default"/>
                <w:color w:val="auto"/>
                <w:lang w:eastAsia="zh-CN"/>
              </w:rPr>
              <w:t>，</w:t>
            </w:r>
            <w:r>
              <w:rPr>
                <w:rFonts w:hint="eastAsia"/>
                <w:color w:val="auto"/>
              </w:rPr>
              <w:t>应</w:t>
            </w:r>
            <w:r>
              <w:rPr>
                <w:rFonts w:hint="default"/>
                <w:color w:val="auto"/>
              </w:rPr>
              <w:t>定期检查伴生气燃烧设备，加强燃烧设备的运营维护，确保正常运行。</w:t>
            </w:r>
          </w:p>
          <w:p>
            <w:pPr>
              <w:pStyle w:val="36"/>
              <w:bidi w:val="0"/>
              <w:rPr>
                <w:rFonts w:hint="default"/>
                <w:color w:val="auto"/>
              </w:rPr>
            </w:pPr>
            <w:r>
              <w:rPr>
                <w:rFonts w:hint="default"/>
                <w:color w:val="auto"/>
              </w:rPr>
              <w:t>（5）试油期加强采出液储罐管理、装卸必须采取密闭装载方式，尽可能减少无组织挥发性有机物的排放。</w:t>
            </w:r>
          </w:p>
          <w:p>
            <w:pPr>
              <w:pStyle w:val="36"/>
              <w:bidi w:val="0"/>
              <w:rPr>
                <w:rFonts w:hint="default"/>
                <w:color w:val="auto"/>
              </w:rPr>
            </w:pPr>
            <w:r>
              <w:rPr>
                <w:rFonts w:hint="default"/>
                <w:color w:val="auto"/>
              </w:rPr>
              <w:t>（6）柴油储罐采用固定顶罐，井场内单座柴油罐容积为30</w:t>
            </w:r>
            <w:r>
              <w:rPr>
                <w:rFonts w:hint="eastAsia" w:ascii="Times New Roman" w:eastAsia="宋体"/>
                <w:color w:val="auto"/>
                <w:lang w:val="en-US" w:eastAsia="zh-CN"/>
              </w:rPr>
              <w:t>m</w:t>
            </w:r>
            <w:r>
              <w:rPr>
                <w:rFonts w:hint="default"/>
                <w:color w:val="auto"/>
                <w:vertAlign w:val="superscript"/>
              </w:rPr>
              <w:t>3</w:t>
            </w:r>
            <w:r>
              <w:rPr>
                <w:rFonts w:hint="default"/>
                <w:color w:val="auto"/>
              </w:rPr>
              <w:t>，小于75</w:t>
            </w:r>
            <w:r>
              <w:rPr>
                <w:rFonts w:hint="eastAsia" w:ascii="Times New Roman" w:eastAsia="宋体"/>
                <w:color w:val="auto"/>
                <w:lang w:val="en-US" w:eastAsia="zh-CN"/>
              </w:rPr>
              <w:t>m</w:t>
            </w:r>
            <w:r>
              <w:rPr>
                <w:rFonts w:hint="default"/>
                <w:color w:val="auto"/>
                <w:vertAlign w:val="superscript"/>
              </w:rPr>
              <w:t>3</w:t>
            </w:r>
            <w:r>
              <w:rPr>
                <w:rFonts w:hint="default"/>
                <w:color w:val="auto"/>
              </w:rPr>
              <w:t>，且柴油真实</w:t>
            </w:r>
            <w:r>
              <w:rPr>
                <w:rFonts w:hint="eastAsia"/>
                <w:color w:val="auto"/>
                <w:lang w:eastAsia="zh-CN"/>
              </w:rPr>
              <w:t>蒸汽压</w:t>
            </w:r>
            <w:r>
              <w:rPr>
                <w:rFonts w:hint="default"/>
                <w:color w:val="auto"/>
              </w:rPr>
              <w:t>小于27.6kPa，按照《挥发性有机物无组织排放控制标准》（GB37822-2019）中要求可不采取油罐烃蒸气回收措施。施工期应加强储罐的检修和维护，柴油储罐罐体应保持完好，不应有孔洞；储罐附件开口（孔），除采样、计量和例行检查、维护和其他正常活动外，应密闭；定期监测呼吸阀的定压是否符合设定要求。</w:t>
            </w:r>
          </w:p>
          <w:p>
            <w:pPr>
              <w:pStyle w:val="36"/>
              <w:bidi w:val="0"/>
              <w:rPr>
                <w:rFonts w:hint="default"/>
                <w:color w:val="auto"/>
              </w:rPr>
            </w:pPr>
            <w:r>
              <w:rPr>
                <w:rFonts w:hint="default"/>
                <w:color w:val="auto"/>
              </w:rPr>
              <w:t>（7）水基钻井岩屑和油基钻井岩屑</w:t>
            </w:r>
            <w:r>
              <w:rPr>
                <w:rFonts w:hint="eastAsia"/>
                <w:color w:val="auto"/>
                <w:lang w:val="en-US" w:eastAsia="zh-CN"/>
              </w:rPr>
              <w:t>收集</w:t>
            </w:r>
            <w:r>
              <w:rPr>
                <w:rFonts w:hint="default"/>
                <w:color w:val="auto"/>
              </w:rPr>
              <w:t>于罐中</w:t>
            </w:r>
            <w:r>
              <w:rPr>
                <w:rFonts w:hint="eastAsia"/>
                <w:color w:val="auto"/>
                <w:lang w:val="en-US" w:eastAsia="zh-CN"/>
              </w:rPr>
              <w:t>并</w:t>
            </w:r>
            <w:r>
              <w:rPr>
                <w:rFonts w:hint="default"/>
                <w:color w:val="auto"/>
              </w:rPr>
              <w:t>及时转运</w:t>
            </w:r>
            <w:r>
              <w:rPr>
                <w:rFonts w:hint="eastAsia"/>
                <w:color w:val="auto"/>
                <w:lang w:eastAsia="zh-CN"/>
              </w:rPr>
              <w:t>，</w:t>
            </w:r>
            <w:r>
              <w:rPr>
                <w:rFonts w:hint="eastAsia"/>
                <w:color w:val="auto"/>
                <w:lang w:val="en-US" w:eastAsia="zh-CN"/>
              </w:rPr>
              <w:t>不在井场长期贮存</w:t>
            </w:r>
            <w:r>
              <w:rPr>
                <w:rFonts w:hint="default"/>
                <w:color w:val="auto"/>
              </w:rPr>
              <w:t>。</w:t>
            </w:r>
          </w:p>
          <w:p>
            <w:pPr>
              <w:pStyle w:val="36"/>
              <w:bidi w:val="0"/>
              <w:rPr>
                <w:rFonts w:hint="default"/>
                <w:color w:val="auto"/>
              </w:rPr>
            </w:pPr>
            <w:r>
              <w:rPr>
                <w:rFonts w:hint="default"/>
                <w:color w:val="auto"/>
              </w:rPr>
              <w:t>以上防治措施，简单可行，具有可操作性，施工扬尘影响能够减缓到可以接受的程度。</w:t>
            </w:r>
          </w:p>
          <w:bookmarkEnd w:id="52"/>
          <w:p>
            <w:pPr>
              <w:pStyle w:val="32"/>
              <w:numPr>
                <w:ilvl w:val="0"/>
                <w:numId w:val="5"/>
              </w:numPr>
              <w:bidi w:val="0"/>
              <w:rPr>
                <w:rFonts w:hint="default"/>
                <w:color w:val="auto"/>
              </w:rPr>
            </w:pPr>
            <w:bookmarkStart w:id="53" w:name="_Hlk136795800"/>
            <w:r>
              <w:rPr>
                <w:rFonts w:hint="default"/>
                <w:color w:val="auto"/>
              </w:rPr>
              <w:t>水污染防治措施</w:t>
            </w:r>
          </w:p>
          <w:p>
            <w:pPr>
              <w:pStyle w:val="36"/>
              <w:bidi w:val="0"/>
              <w:rPr>
                <w:rFonts w:hint="default"/>
                <w:color w:val="auto"/>
              </w:rPr>
            </w:pPr>
            <w:r>
              <w:rPr>
                <w:rFonts w:hint="default"/>
                <w:color w:val="auto"/>
              </w:rPr>
              <w:t>（1）生活污水</w:t>
            </w:r>
          </w:p>
          <w:p>
            <w:pPr>
              <w:pStyle w:val="36"/>
              <w:bidi w:val="0"/>
              <w:rPr>
                <w:rFonts w:hint="default"/>
                <w:color w:val="auto"/>
              </w:rPr>
            </w:pPr>
            <w:bookmarkStart w:id="54" w:name="_Hlk62325205"/>
            <w:bookmarkStart w:id="55" w:name="_Hlk91252762"/>
            <w:r>
              <w:rPr>
                <w:rFonts w:hint="eastAsia"/>
                <w:color w:val="auto"/>
                <w:lang w:val="en-US" w:eastAsia="zh-CN"/>
              </w:rPr>
              <w:t>本项目施工期生活污水产生量约193.2</w:t>
            </w:r>
            <w:r>
              <w:rPr>
                <w:rFonts w:hint="eastAsia" w:ascii="Times New Roman" w:eastAsia="宋体"/>
                <w:color w:val="auto"/>
                <w:lang w:val="en-US" w:eastAsia="zh-CN"/>
              </w:rPr>
              <w:t>m</w:t>
            </w:r>
            <w:r>
              <w:rPr>
                <w:rFonts w:hint="default"/>
                <w:color w:val="auto"/>
                <w:vertAlign w:val="superscript"/>
              </w:rPr>
              <w:t>3</w:t>
            </w:r>
            <w:r>
              <w:rPr>
                <w:rFonts w:hint="eastAsia"/>
                <w:color w:val="auto"/>
                <w:lang w:val="en-US" w:eastAsia="zh-CN"/>
              </w:rPr>
              <w:t>，排入生活营地临时防渗收集池暂存，定期由吸污车清运至玛纳斯县污水处理厂处置。生活污水收集池采用HDPE防渗膜防渗，施工结束后防渗膜回收、池体占地及时恢复原貌。</w:t>
            </w:r>
          </w:p>
          <w:bookmarkEnd w:id="54"/>
          <w:bookmarkEnd w:id="55"/>
          <w:p>
            <w:pPr>
              <w:pStyle w:val="36"/>
              <w:bidi w:val="0"/>
              <w:rPr>
                <w:rFonts w:hint="default"/>
                <w:color w:val="auto"/>
              </w:rPr>
            </w:pPr>
            <w:r>
              <w:rPr>
                <w:rFonts w:hint="eastAsia"/>
                <w:color w:val="auto"/>
                <w:lang w:val="en-US" w:eastAsia="zh-CN"/>
              </w:rPr>
              <w:t>玛纳斯县污水处理厂</w:t>
            </w:r>
            <w:r>
              <w:rPr>
                <w:rFonts w:hint="default"/>
                <w:color w:val="auto"/>
              </w:rPr>
              <w:t>设计处理规模为2万</w:t>
            </w:r>
            <w:r>
              <w:rPr>
                <w:rFonts w:hint="eastAsia" w:ascii="Times New Roman" w:eastAsia="宋体"/>
                <w:color w:val="auto"/>
                <w:lang w:val="en-US" w:eastAsia="zh-CN"/>
              </w:rPr>
              <w:t>m</w:t>
            </w:r>
            <w:r>
              <w:rPr>
                <w:rFonts w:hint="default"/>
                <w:color w:val="auto"/>
                <w:vertAlign w:val="superscript"/>
              </w:rPr>
              <w:t>3</w:t>
            </w:r>
            <w:r>
              <w:rPr>
                <w:rFonts w:hint="default"/>
                <w:color w:val="auto"/>
              </w:rPr>
              <w:t>/d，目前实际处理规模约1.6万</w:t>
            </w:r>
            <w:r>
              <w:rPr>
                <w:rFonts w:hint="eastAsia" w:ascii="Times New Roman" w:eastAsia="宋体"/>
                <w:color w:val="auto"/>
                <w:lang w:val="en-US" w:eastAsia="zh-CN"/>
              </w:rPr>
              <w:t>m</w:t>
            </w:r>
            <w:r>
              <w:rPr>
                <w:rFonts w:hint="default"/>
                <w:color w:val="auto"/>
                <w:vertAlign w:val="superscript"/>
              </w:rPr>
              <w:t>3</w:t>
            </w:r>
            <w:r>
              <w:rPr>
                <w:rFonts w:hint="default"/>
                <w:color w:val="auto"/>
              </w:rPr>
              <w:t>/d，采用“改良型A</w:t>
            </w:r>
            <w:r>
              <w:rPr>
                <w:rFonts w:hint="default"/>
                <w:color w:val="auto"/>
                <w:vertAlign w:val="superscript"/>
              </w:rPr>
              <w:t>2</w:t>
            </w:r>
            <w:r>
              <w:rPr>
                <w:rFonts w:hint="default"/>
                <w:color w:val="auto"/>
              </w:rPr>
              <w:t>/O+曝气生物滤池+石英砂过滤”处理工艺，出水水质符合《城镇污水处理厂污染物排放标准》（GB18918-2002）表1中的一级A标准的要求；出水采用冬储夏灌方式，非灌溉季节排放至皇公地水库储存，灌溉季节可用于水库下游生态林灌溉。</w:t>
            </w:r>
          </w:p>
          <w:p>
            <w:pPr>
              <w:pStyle w:val="36"/>
              <w:bidi w:val="0"/>
              <w:rPr>
                <w:rFonts w:hint="default"/>
                <w:color w:val="auto"/>
              </w:rPr>
            </w:pPr>
            <w:r>
              <w:rPr>
                <w:rFonts w:hint="default"/>
                <w:color w:val="auto"/>
              </w:rPr>
              <w:t>本项目生活污水产生量为</w:t>
            </w:r>
            <w:r>
              <w:rPr>
                <w:rFonts w:hint="eastAsia"/>
                <w:color w:val="auto"/>
                <w:lang w:val="en-US" w:eastAsia="zh-CN"/>
              </w:rPr>
              <w:t>193.2</w:t>
            </w:r>
            <w:r>
              <w:rPr>
                <w:rFonts w:hint="eastAsia" w:ascii="Times New Roman" w:eastAsia="宋体"/>
                <w:color w:val="auto"/>
                <w:lang w:val="en-US" w:eastAsia="zh-CN"/>
              </w:rPr>
              <w:t>m</w:t>
            </w:r>
            <w:r>
              <w:rPr>
                <w:rFonts w:hint="default"/>
                <w:color w:val="auto"/>
                <w:vertAlign w:val="superscript"/>
              </w:rPr>
              <w:t>3</w:t>
            </w:r>
            <w:r>
              <w:rPr>
                <w:rFonts w:hint="eastAsia"/>
                <w:color w:val="auto"/>
                <w:lang w:val="en-US" w:eastAsia="zh-CN"/>
              </w:rPr>
              <w:t>（0.56</w:t>
            </w:r>
            <w:r>
              <w:rPr>
                <w:rFonts w:hint="eastAsia" w:ascii="Times New Roman" w:eastAsia="宋体"/>
                <w:color w:val="auto"/>
                <w:lang w:val="en-US" w:eastAsia="zh-CN"/>
              </w:rPr>
              <w:t>m</w:t>
            </w:r>
            <w:r>
              <w:rPr>
                <w:rFonts w:hint="default"/>
                <w:color w:val="auto"/>
                <w:vertAlign w:val="superscript"/>
              </w:rPr>
              <w:t>3</w:t>
            </w:r>
            <w:r>
              <w:rPr>
                <w:rFonts w:hint="eastAsia"/>
                <w:color w:val="auto"/>
                <w:lang w:val="en-US" w:eastAsia="zh-CN"/>
              </w:rPr>
              <w:t>/d）</w:t>
            </w:r>
            <w:r>
              <w:rPr>
                <w:rFonts w:hint="default"/>
                <w:color w:val="auto"/>
              </w:rPr>
              <w:t>，污水处理厂</w:t>
            </w:r>
            <w:r>
              <w:rPr>
                <w:rFonts w:hint="eastAsia"/>
                <w:color w:val="auto"/>
                <w:lang w:val="en-US" w:eastAsia="zh-CN"/>
              </w:rPr>
              <w:t>剩余</w:t>
            </w:r>
            <w:r>
              <w:rPr>
                <w:rFonts w:hint="default"/>
                <w:color w:val="auto"/>
              </w:rPr>
              <w:t>处理能力</w:t>
            </w:r>
            <w:r>
              <w:rPr>
                <w:rFonts w:hint="eastAsia"/>
                <w:color w:val="auto"/>
                <w:lang w:val="en-US" w:eastAsia="zh-CN"/>
              </w:rPr>
              <w:t>0.4万</w:t>
            </w:r>
            <w:r>
              <w:rPr>
                <w:rFonts w:hint="eastAsia" w:ascii="Times New Roman" w:eastAsia="宋体"/>
                <w:color w:val="auto"/>
                <w:lang w:val="en-US" w:eastAsia="zh-CN"/>
              </w:rPr>
              <w:t>m</w:t>
            </w:r>
            <w:r>
              <w:rPr>
                <w:rFonts w:hint="default"/>
                <w:color w:val="auto"/>
                <w:vertAlign w:val="superscript"/>
              </w:rPr>
              <w:t>3</w:t>
            </w:r>
            <w:r>
              <w:rPr>
                <w:rFonts w:hint="eastAsia"/>
                <w:color w:val="auto"/>
                <w:lang w:val="en-US" w:eastAsia="zh-CN"/>
              </w:rPr>
              <w:t>/d，项目产生的生活污水相对污水剩余处理能力</w:t>
            </w:r>
            <w:r>
              <w:rPr>
                <w:rFonts w:hint="default"/>
                <w:color w:val="auto"/>
              </w:rPr>
              <w:t>所占比例</w:t>
            </w:r>
            <w:r>
              <w:rPr>
                <w:rFonts w:hint="eastAsia"/>
                <w:color w:val="auto"/>
                <w:lang w:val="en-US" w:eastAsia="zh-CN"/>
              </w:rPr>
              <w:t>较小</w:t>
            </w:r>
            <w:r>
              <w:rPr>
                <w:rFonts w:hint="default"/>
                <w:color w:val="auto"/>
              </w:rPr>
              <w:t>，</w:t>
            </w:r>
            <w:r>
              <w:rPr>
                <w:rFonts w:hint="eastAsia"/>
                <w:color w:val="auto"/>
                <w:lang w:val="en-US" w:eastAsia="zh-CN"/>
              </w:rPr>
              <w:t>因此该污水处理厂</w:t>
            </w:r>
            <w:r>
              <w:rPr>
                <w:rFonts w:hint="default"/>
                <w:color w:val="auto"/>
              </w:rPr>
              <w:t>可满足本项目需求，依托可行。</w:t>
            </w:r>
          </w:p>
          <w:p>
            <w:pPr>
              <w:pStyle w:val="36"/>
              <w:bidi w:val="0"/>
              <w:rPr>
                <w:rFonts w:hint="default"/>
                <w:color w:val="auto"/>
              </w:rPr>
            </w:pPr>
            <w:r>
              <w:rPr>
                <w:rFonts w:hint="default"/>
                <w:color w:val="auto"/>
              </w:rPr>
              <w:t>（2）试油废水</w:t>
            </w:r>
          </w:p>
          <w:p>
            <w:pPr>
              <w:pStyle w:val="36"/>
              <w:bidi w:val="0"/>
              <w:rPr>
                <w:rFonts w:hint="default"/>
                <w:color w:val="auto"/>
              </w:rPr>
            </w:pPr>
            <w:r>
              <w:rPr>
                <w:rFonts w:hint="default"/>
                <w:color w:val="auto"/>
              </w:rPr>
              <w:t>试油期产生的洗井废水和压裂返排液由专用方罐收集后，拉运至采油一厂车89</w:t>
            </w:r>
            <w:r>
              <w:rPr>
                <w:rFonts w:hint="eastAsia"/>
                <w:color w:val="auto"/>
                <w:lang w:val="en-US" w:eastAsia="zh-CN"/>
              </w:rPr>
              <w:t>集中</w:t>
            </w:r>
            <w:r>
              <w:rPr>
                <w:rFonts w:hint="default"/>
                <w:color w:val="auto"/>
              </w:rPr>
              <w:t>处理站处理达标后全部回注油藏。</w:t>
            </w:r>
          </w:p>
          <w:p>
            <w:pPr>
              <w:pStyle w:val="36"/>
              <w:bidi w:val="0"/>
              <w:rPr>
                <w:rFonts w:hint="default"/>
                <w:color w:val="auto"/>
              </w:rPr>
            </w:pPr>
            <w:bookmarkStart w:id="56" w:name="_Hlk140833975"/>
            <w:r>
              <w:rPr>
                <w:rFonts w:hint="default"/>
                <w:color w:val="auto"/>
              </w:rPr>
              <w:t>车89</w:t>
            </w:r>
            <w:r>
              <w:rPr>
                <w:rFonts w:hint="eastAsia"/>
                <w:color w:val="auto"/>
                <w:lang w:val="en-US" w:eastAsia="zh-CN"/>
              </w:rPr>
              <w:t>集中</w:t>
            </w:r>
            <w:r>
              <w:rPr>
                <w:rFonts w:hint="default"/>
                <w:color w:val="auto"/>
              </w:rPr>
              <w:t>处理站是一座集油气处理、采出水处理等功能为一体的综合性处理站。污水处理站设计处理规模1000</w:t>
            </w:r>
            <w:r>
              <w:rPr>
                <w:rFonts w:hint="eastAsia" w:ascii="Times New Roman" w:eastAsia="宋体"/>
                <w:color w:val="auto"/>
                <w:lang w:val="en-US" w:eastAsia="zh-CN"/>
              </w:rPr>
              <w:t>m</w:t>
            </w:r>
            <w:r>
              <w:rPr>
                <w:rFonts w:hint="default"/>
                <w:color w:val="auto"/>
                <w:vertAlign w:val="superscript"/>
              </w:rPr>
              <w:t>3</w:t>
            </w:r>
            <w:r>
              <w:rPr>
                <w:rFonts w:hint="default"/>
                <w:color w:val="auto"/>
              </w:rPr>
              <w:t>/d，采用重力沉降</w:t>
            </w:r>
            <w:r>
              <w:rPr>
                <w:rFonts w:hint="eastAsia"/>
                <w:color w:val="auto"/>
                <w:lang w:eastAsia="zh-CN"/>
              </w:rPr>
              <w:t>－</w:t>
            </w:r>
            <w:r>
              <w:rPr>
                <w:rFonts w:hint="default"/>
                <w:color w:val="auto"/>
              </w:rPr>
              <w:t>混凝反应</w:t>
            </w:r>
            <w:r>
              <w:rPr>
                <w:rFonts w:hint="eastAsia"/>
                <w:color w:val="auto"/>
                <w:lang w:eastAsia="zh-CN"/>
              </w:rPr>
              <w:t>－</w:t>
            </w:r>
            <w:r>
              <w:rPr>
                <w:rFonts w:hint="default"/>
                <w:color w:val="auto"/>
              </w:rPr>
              <w:t>过滤工艺，目前实际处理规模</w:t>
            </w:r>
            <w:r>
              <w:rPr>
                <w:rFonts w:hint="eastAsia"/>
                <w:color w:val="auto"/>
                <w:lang w:val="en-US" w:eastAsia="zh-CN"/>
              </w:rPr>
              <w:t>约5</w:t>
            </w:r>
            <w:r>
              <w:rPr>
                <w:rFonts w:hint="default"/>
                <w:color w:val="auto"/>
              </w:rPr>
              <w:t>00～</w:t>
            </w:r>
            <w:r>
              <w:rPr>
                <w:rFonts w:hint="eastAsia"/>
                <w:color w:val="auto"/>
                <w:lang w:val="en-US" w:eastAsia="zh-CN"/>
              </w:rPr>
              <w:t>600</w:t>
            </w:r>
            <w:r>
              <w:rPr>
                <w:rFonts w:hint="eastAsia" w:ascii="Times New Roman" w:eastAsia="宋体"/>
                <w:color w:val="auto"/>
                <w:lang w:val="en-US" w:eastAsia="zh-CN"/>
              </w:rPr>
              <w:t>m</w:t>
            </w:r>
            <w:r>
              <w:rPr>
                <w:rFonts w:hint="default"/>
                <w:color w:val="auto"/>
                <w:vertAlign w:val="superscript"/>
              </w:rPr>
              <w:t>3</w:t>
            </w:r>
            <w:r>
              <w:rPr>
                <w:rFonts w:hint="default"/>
                <w:color w:val="auto"/>
              </w:rPr>
              <w:t>/d，富余量为</w:t>
            </w:r>
            <w:r>
              <w:rPr>
                <w:rFonts w:hint="eastAsia"/>
                <w:color w:val="auto"/>
                <w:lang w:val="en-US" w:eastAsia="zh-CN"/>
              </w:rPr>
              <w:t>400</w:t>
            </w:r>
            <w:r>
              <w:rPr>
                <w:rFonts w:hint="default"/>
                <w:color w:val="auto"/>
              </w:rPr>
              <w:t>～</w:t>
            </w:r>
            <w:r>
              <w:rPr>
                <w:rFonts w:hint="eastAsia"/>
                <w:color w:val="auto"/>
                <w:lang w:val="en-US" w:eastAsia="zh-CN"/>
              </w:rPr>
              <w:t>5</w:t>
            </w:r>
            <w:r>
              <w:rPr>
                <w:rFonts w:hint="default"/>
                <w:color w:val="auto"/>
              </w:rPr>
              <w:t>00</w:t>
            </w:r>
            <w:r>
              <w:rPr>
                <w:rFonts w:hint="eastAsia" w:ascii="Times New Roman" w:eastAsia="宋体"/>
                <w:color w:val="auto"/>
                <w:lang w:val="en-US" w:eastAsia="zh-CN"/>
              </w:rPr>
              <w:t>m</w:t>
            </w:r>
            <w:r>
              <w:rPr>
                <w:rFonts w:hint="default"/>
                <w:color w:val="auto"/>
                <w:vertAlign w:val="superscript"/>
              </w:rPr>
              <w:t>3</w:t>
            </w:r>
            <w:r>
              <w:rPr>
                <w:rFonts w:hint="default"/>
                <w:color w:val="auto"/>
              </w:rPr>
              <w:t>/d。</w:t>
            </w:r>
            <w:r>
              <w:rPr>
                <w:rFonts w:hint="eastAsia" w:ascii="Times New Roman" w:hAnsi="Times New Roman" w:cs="Times New Roman"/>
                <w:color w:val="auto"/>
                <w:lang w:eastAsia="zh-CN"/>
              </w:rPr>
              <w:t>污水处理系统出水水质</w:t>
            </w:r>
            <w:r>
              <w:rPr>
                <w:rFonts w:hint="eastAsia" w:ascii="Times New Roman" w:hAnsi="Times New Roman" w:cs="Times New Roman"/>
                <w:color w:val="auto"/>
                <w:lang w:val="en-US" w:eastAsia="zh-CN"/>
              </w:rPr>
              <w:t>执行</w:t>
            </w:r>
            <w:r>
              <w:rPr>
                <w:rFonts w:hint="eastAsia" w:ascii="Times New Roman" w:hAnsi="Times New Roman" w:cs="Times New Roman"/>
                <w:color w:val="auto"/>
                <w:lang w:eastAsia="zh-CN"/>
              </w:rPr>
              <w:t>《碎屑岩油藏注水水质指标技术要求及分析方法》（SY/T5329-2022）中Ⅱ级（储层空气渗透率0.01-0.05μm</w:t>
            </w:r>
            <w:r>
              <w:rPr>
                <w:rFonts w:hint="eastAsia" w:ascii="Times New Roman" w:hAnsi="Times New Roman" w:cs="Times New Roman"/>
                <w:color w:val="auto"/>
                <w:vertAlign w:val="superscript"/>
                <w:lang w:eastAsia="zh-CN"/>
              </w:rPr>
              <w:t>2</w:t>
            </w:r>
            <w:r>
              <w:rPr>
                <w:rFonts w:hint="eastAsia" w:ascii="Times New Roman" w:hAnsi="Times New Roman" w:cs="Times New Roman"/>
                <w:color w:val="auto"/>
                <w:lang w:eastAsia="zh-CN"/>
              </w:rPr>
              <w:t>）、Ⅲ级（储层空气渗透率0.05-0.5μm</w:t>
            </w:r>
            <w:r>
              <w:rPr>
                <w:rFonts w:hint="eastAsia" w:ascii="Times New Roman" w:hAnsi="Times New Roman" w:cs="Times New Roman"/>
                <w:color w:val="auto"/>
                <w:vertAlign w:val="superscript"/>
                <w:lang w:eastAsia="zh-CN"/>
              </w:rPr>
              <w:t>2</w:t>
            </w:r>
            <w:r>
              <w:rPr>
                <w:rFonts w:hint="eastAsia" w:ascii="Times New Roman" w:hAnsi="Times New Roman" w:cs="Times New Roman"/>
                <w:color w:val="auto"/>
                <w:lang w:eastAsia="zh-CN"/>
              </w:rPr>
              <w:t>）标准限值，</w:t>
            </w:r>
            <w:r>
              <w:rPr>
                <w:rFonts w:hint="eastAsia" w:ascii="Times New Roman" w:hAnsi="Times New Roman" w:cs="Times New Roman"/>
                <w:color w:val="auto"/>
                <w:lang w:val="en-US" w:eastAsia="zh-CN"/>
              </w:rPr>
              <w:t>全部回注地层用于产能开发不外排。</w:t>
            </w:r>
          </w:p>
          <w:p>
            <w:pPr>
              <w:pStyle w:val="36"/>
              <w:bidi w:val="0"/>
              <w:rPr>
                <w:rFonts w:hint="default"/>
                <w:color w:val="auto"/>
              </w:rPr>
            </w:pPr>
            <w:r>
              <w:rPr>
                <w:rFonts w:hint="default"/>
                <w:color w:val="auto"/>
              </w:rPr>
              <w:t>本</w:t>
            </w:r>
            <w:r>
              <w:rPr>
                <w:rStyle w:val="35"/>
                <w:rFonts w:hint="eastAsia"/>
                <w:color w:val="auto"/>
                <w:lang w:val="en-US" w:eastAsia="zh-CN"/>
              </w:rPr>
              <w:t>项目</w:t>
            </w:r>
            <w:r>
              <w:rPr>
                <w:rStyle w:val="35"/>
                <w:rFonts w:hint="default"/>
                <w:color w:val="auto"/>
              </w:rPr>
              <w:t>试油期压裂返排液产生量为</w:t>
            </w:r>
            <w:r>
              <w:rPr>
                <w:rStyle w:val="35"/>
                <w:rFonts w:hint="eastAsia"/>
                <w:color w:val="auto"/>
                <w:lang w:val="en-US" w:eastAsia="zh-CN"/>
              </w:rPr>
              <w:t>250m</w:t>
            </w:r>
            <w:r>
              <w:rPr>
                <w:rStyle w:val="35"/>
                <w:rFonts w:hint="default"/>
                <w:color w:val="auto"/>
                <w:vertAlign w:val="superscript"/>
              </w:rPr>
              <w:t>3</w:t>
            </w:r>
            <w:r>
              <w:rPr>
                <w:rStyle w:val="35"/>
                <w:rFonts w:hint="default"/>
                <w:color w:val="auto"/>
              </w:rPr>
              <w:t>，</w:t>
            </w:r>
            <w:r>
              <w:rPr>
                <w:rStyle w:val="35"/>
                <w:rFonts w:hint="eastAsia"/>
                <w:color w:val="auto"/>
                <w:lang w:val="en-US" w:eastAsia="zh-CN"/>
              </w:rPr>
              <w:t>洗井废水300m</w:t>
            </w:r>
            <w:r>
              <w:rPr>
                <w:rStyle w:val="35"/>
                <w:rFonts w:hint="default"/>
                <w:color w:val="auto"/>
                <w:vertAlign w:val="superscript"/>
              </w:rPr>
              <w:t>3</w:t>
            </w:r>
            <w:r>
              <w:rPr>
                <w:rStyle w:val="35"/>
                <w:rFonts w:hint="eastAsia"/>
                <w:color w:val="auto"/>
                <w:lang w:val="en-US" w:eastAsia="zh-CN"/>
              </w:rPr>
              <w:t>，合计试油废水550m</w:t>
            </w:r>
            <w:r>
              <w:rPr>
                <w:rStyle w:val="35"/>
                <w:rFonts w:hint="default"/>
                <w:color w:val="auto"/>
                <w:vertAlign w:val="superscript"/>
              </w:rPr>
              <w:t>3</w:t>
            </w:r>
            <w:r>
              <w:rPr>
                <w:rStyle w:val="35"/>
                <w:rFonts w:hint="default"/>
                <w:color w:val="auto"/>
              </w:rPr>
              <w:t>，</w:t>
            </w:r>
            <w:r>
              <w:rPr>
                <w:rStyle w:val="35"/>
                <w:rFonts w:hint="eastAsia"/>
                <w:color w:val="auto"/>
              </w:rPr>
              <w:t>根据实际生产经验数据，洗井及压裂作业大约持续10天，期间井下作业废水产生量约为</w:t>
            </w:r>
            <w:r>
              <w:rPr>
                <w:rStyle w:val="35"/>
                <w:rFonts w:hint="eastAsia"/>
                <w:color w:val="auto"/>
                <w:lang w:val="en-US" w:eastAsia="zh-CN"/>
              </w:rPr>
              <w:t>55</w:t>
            </w:r>
            <w:r>
              <w:rPr>
                <w:rStyle w:val="35"/>
                <w:rFonts w:hint="eastAsia"/>
                <w:color w:val="auto"/>
              </w:rPr>
              <w:t>m</w:t>
            </w:r>
            <w:r>
              <w:rPr>
                <w:rStyle w:val="35"/>
                <w:rFonts w:hint="eastAsia"/>
                <w:color w:val="auto"/>
                <w:vertAlign w:val="superscript"/>
              </w:rPr>
              <w:t>3</w:t>
            </w:r>
            <w:r>
              <w:rPr>
                <w:rStyle w:val="35"/>
                <w:rFonts w:hint="eastAsia"/>
                <w:color w:val="auto"/>
              </w:rPr>
              <w:t>/d，</w:t>
            </w:r>
            <w:r>
              <w:rPr>
                <w:rStyle w:val="35"/>
                <w:rFonts w:hint="eastAsia"/>
                <w:color w:val="auto"/>
                <w:lang w:val="en-US" w:eastAsia="zh-CN"/>
              </w:rPr>
              <w:t>通过罐车拉运至</w:t>
            </w:r>
            <w:r>
              <w:rPr>
                <w:rStyle w:val="35"/>
                <w:rFonts w:hint="eastAsia"/>
                <w:color w:val="auto"/>
              </w:rPr>
              <w:t>车89集中</w:t>
            </w:r>
            <w:r>
              <w:rPr>
                <w:rStyle w:val="35"/>
                <w:color w:val="auto"/>
              </w:rPr>
              <w:t>处理站采出水</w:t>
            </w:r>
            <w:r>
              <w:rPr>
                <w:rStyle w:val="35"/>
                <w:rFonts w:hint="eastAsia"/>
                <w:color w:val="auto"/>
              </w:rPr>
              <w:t>处理系统</w:t>
            </w:r>
            <w:r>
              <w:rPr>
                <w:rStyle w:val="35"/>
                <w:rFonts w:hint="eastAsia"/>
                <w:color w:val="auto"/>
                <w:lang w:val="en-US" w:eastAsia="zh-CN"/>
              </w:rPr>
              <w:t>处理，</w:t>
            </w:r>
            <w:r>
              <w:rPr>
                <w:rStyle w:val="35"/>
                <w:color w:val="auto"/>
              </w:rPr>
              <w:t>处理站采出水</w:t>
            </w:r>
            <w:r>
              <w:rPr>
                <w:rStyle w:val="35"/>
                <w:rFonts w:hint="eastAsia"/>
                <w:color w:val="auto"/>
              </w:rPr>
              <w:t>处理系统富余处理能力可满足本项目处理需求，依托可行</w:t>
            </w:r>
            <w:r>
              <w:rPr>
                <w:rStyle w:val="35"/>
                <w:color w:val="auto"/>
              </w:rPr>
              <w:t>。</w:t>
            </w:r>
            <w:bookmarkEnd w:id="56"/>
          </w:p>
          <w:p>
            <w:pPr>
              <w:pStyle w:val="36"/>
              <w:bidi w:val="0"/>
              <w:rPr>
                <w:rFonts w:hint="default"/>
                <w:color w:val="auto"/>
              </w:rPr>
            </w:pPr>
            <w:r>
              <w:rPr>
                <w:rFonts w:hint="default"/>
                <w:color w:val="auto"/>
              </w:rPr>
              <w:t>（3）管理措施</w:t>
            </w:r>
          </w:p>
          <w:p>
            <w:pPr>
              <w:pStyle w:val="36"/>
              <w:bidi w:val="0"/>
              <w:rPr>
                <w:rFonts w:hint="default"/>
                <w:color w:val="auto"/>
              </w:rPr>
            </w:pPr>
            <w:r>
              <w:rPr>
                <w:rFonts w:hint="default"/>
                <w:color w:val="auto"/>
              </w:rPr>
              <w:t>①洗井废水、废压裂液</w:t>
            </w:r>
            <w:r>
              <w:rPr>
                <w:rFonts w:hint="eastAsia"/>
                <w:color w:val="auto"/>
                <w:lang w:val="en-US" w:eastAsia="zh-CN"/>
              </w:rPr>
              <w:t>和生活污水</w:t>
            </w:r>
            <w:r>
              <w:rPr>
                <w:rFonts w:hint="default"/>
                <w:color w:val="auto"/>
              </w:rPr>
              <w:t>应建立台账管理制度，并实施全过程管理，记录废水的产生量、转移量及去向等。</w:t>
            </w:r>
          </w:p>
          <w:p>
            <w:pPr>
              <w:pStyle w:val="36"/>
              <w:bidi w:val="0"/>
              <w:rPr>
                <w:rFonts w:hint="default"/>
                <w:color w:val="auto"/>
              </w:rPr>
            </w:pPr>
            <w:r>
              <w:rPr>
                <w:rFonts w:hint="default"/>
                <w:color w:val="auto"/>
              </w:rPr>
              <w:t>②加工施工单位和运输车辆的管理，严禁废水随意排放或倾倒。</w:t>
            </w:r>
          </w:p>
          <w:bookmarkEnd w:id="53"/>
          <w:p>
            <w:pPr>
              <w:pStyle w:val="32"/>
              <w:numPr>
                <w:ilvl w:val="0"/>
                <w:numId w:val="5"/>
              </w:numPr>
              <w:bidi w:val="0"/>
              <w:rPr>
                <w:rFonts w:hint="default"/>
                <w:color w:val="auto"/>
              </w:rPr>
            </w:pPr>
            <w:r>
              <w:rPr>
                <w:rFonts w:hint="default"/>
                <w:color w:val="auto"/>
              </w:rPr>
              <w:t>地下水和土壤环境保护措施</w:t>
            </w:r>
          </w:p>
          <w:p>
            <w:pPr>
              <w:pStyle w:val="36"/>
              <w:bidi w:val="0"/>
              <w:rPr>
                <w:rFonts w:hint="default"/>
                <w:color w:val="auto"/>
                <w:lang w:val="en-US" w:eastAsia="zh-CN"/>
              </w:rPr>
            </w:pPr>
            <w:r>
              <w:rPr>
                <w:rFonts w:hint="default"/>
                <w:color w:val="auto"/>
              </w:rPr>
              <w:t>（1）</w:t>
            </w:r>
            <w:r>
              <w:rPr>
                <w:rFonts w:hint="default"/>
                <w:color w:val="auto"/>
                <w:lang w:val="en-US" w:eastAsia="zh-CN"/>
              </w:rPr>
              <w:t>分区防渗</w:t>
            </w:r>
          </w:p>
          <w:p>
            <w:pPr>
              <w:widowControl/>
              <w:tabs>
                <w:tab w:val="left" w:pos="4584"/>
              </w:tabs>
              <w:adjustRightInd w:val="0"/>
              <w:snapToGrid w:val="0"/>
              <w:spacing w:line="500" w:lineRule="exact"/>
              <w:ind w:firstLine="464" w:firstLineChars="200"/>
              <w:rPr>
                <w:rFonts w:hint="eastAsia" w:ascii="宋体" w:hAnsi="宋体" w:eastAsia="宋体" w:cs="宋体"/>
                <w:color w:val="auto"/>
                <w:spacing w:val="-4"/>
                <w:kern w:val="0"/>
              </w:rPr>
            </w:pPr>
            <w:r>
              <w:rPr>
                <w:rFonts w:hint="eastAsia" w:ascii="宋体" w:hAnsi="宋体" w:eastAsia="宋体" w:cs="宋体"/>
                <w:color w:val="auto"/>
                <w:spacing w:val="-4"/>
                <w:kern w:val="0"/>
              </w:rPr>
              <w:t>施工期间钻井井场分为重点防渗区、一般防渗区和简单防渗区。其中柴油储罐、发电房、废料场、不落地系统、钻井液储罐区、岩屑储罐区、钻井井口、危险废物贮存点和应急放喷池（应急放喷池仅在事故状态下开挖）区域为重点防渗区；化工爬犁、材料爬犁、材料房和生活污水收集池区域为一般防渗区；</w:t>
            </w:r>
            <w:r>
              <w:rPr>
                <w:rFonts w:hint="eastAsia" w:ascii="Times New Roman" w:hAnsi="Times New Roman" w:eastAsia="宋体" w:cs="Times New Roman"/>
                <w:color w:val="auto"/>
              </w:rPr>
              <w:t>水罐区、地质房、录井房和值班房等其他区域为简单防渗区</w:t>
            </w:r>
            <w:r>
              <w:rPr>
                <w:rFonts w:hint="eastAsia" w:ascii="宋体" w:hAnsi="宋体" w:eastAsia="宋体" w:cs="宋体"/>
                <w:color w:val="auto"/>
                <w:spacing w:val="-4"/>
                <w:kern w:val="0"/>
              </w:rPr>
              <w:t>。</w:t>
            </w:r>
          </w:p>
          <w:p>
            <w:pPr>
              <w:widowControl/>
              <w:tabs>
                <w:tab w:val="left" w:pos="4584"/>
              </w:tabs>
              <w:adjustRightInd w:val="0"/>
              <w:snapToGrid w:val="0"/>
              <w:spacing w:line="500" w:lineRule="exact"/>
              <w:ind w:firstLine="464" w:firstLineChars="200"/>
              <w:rPr>
                <w:rFonts w:hint="eastAsia" w:ascii="Times New Roman" w:hAnsi="宋体" w:eastAsia="宋体" w:cs="宋体"/>
                <w:color w:val="auto"/>
                <w:spacing w:val="-4"/>
                <w:kern w:val="0"/>
              </w:rPr>
            </w:pPr>
            <w:r>
              <w:rPr>
                <w:rFonts w:hint="eastAsia" w:ascii="宋体" w:hAnsi="宋体" w:eastAsia="宋体" w:cs="宋体"/>
                <w:color w:val="auto"/>
                <w:spacing w:val="-4"/>
                <w:kern w:val="0"/>
              </w:rPr>
              <w:t>试油井场分为重点防渗区和简单防渗区。其中发电房、采出液储罐、试油废水罐和应急放喷池（应急放喷池仅在事故状态下开挖）为重点防渗区</w:t>
            </w:r>
            <w:r>
              <w:rPr>
                <w:rFonts w:hint="eastAsia" w:ascii="宋体" w:hAnsi="宋体" w:eastAsia="宋体" w:cs="宋体"/>
                <w:color w:val="auto"/>
                <w:spacing w:val="-4"/>
                <w:kern w:val="0"/>
                <w:lang w:eastAsia="zh-CN"/>
              </w:rPr>
              <w:t>；</w:t>
            </w:r>
            <w:r>
              <w:rPr>
                <w:rFonts w:hint="eastAsia" w:ascii="宋体" w:hAnsi="宋体" w:eastAsia="宋体" w:cs="宋体"/>
                <w:color w:val="auto"/>
                <w:spacing w:val="-4"/>
                <w:kern w:val="0"/>
              </w:rPr>
              <w:t>值班房</w:t>
            </w:r>
            <w:r>
              <w:rPr>
                <w:rFonts w:hint="eastAsia" w:ascii="Times New Roman" w:hAnsi="Times New Roman" w:eastAsia="宋体" w:cs="Times New Roman"/>
                <w:color w:val="auto"/>
              </w:rPr>
              <w:t>为简单防渗区</w:t>
            </w:r>
            <w:r>
              <w:rPr>
                <w:rFonts w:hint="eastAsia" w:ascii="Times New Roman" w:hAnsi="宋体" w:eastAsia="宋体" w:cs="宋体"/>
                <w:color w:val="auto"/>
                <w:spacing w:val="-4"/>
                <w:kern w:val="0"/>
              </w:rPr>
              <w:t>。</w:t>
            </w:r>
          </w:p>
          <w:p>
            <w:pPr>
              <w:widowControl/>
              <w:tabs>
                <w:tab w:val="left" w:pos="4584"/>
              </w:tabs>
              <w:adjustRightInd w:val="0"/>
              <w:snapToGrid w:val="0"/>
              <w:spacing w:line="500" w:lineRule="exact"/>
              <w:ind w:firstLine="464" w:firstLineChars="200"/>
              <w:rPr>
                <w:rFonts w:hint="eastAsia" w:ascii="宋体" w:hAnsi="宋体" w:eastAsia="宋体" w:cs="宋体"/>
                <w:color w:val="auto"/>
                <w:spacing w:val="-4"/>
                <w:kern w:val="0"/>
              </w:rPr>
            </w:pPr>
            <w:r>
              <w:rPr>
                <w:rFonts w:hint="eastAsia" w:ascii="Times New Roman" w:hAnsi="宋体" w:eastAsia="宋体" w:cs="宋体"/>
                <w:color w:val="auto"/>
                <w:spacing w:val="-4"/>
                <w:kern w:val="0"/>
                <w:lang w:val="en-US" w:eastAsia="zh-CN"/>
              </w:rPr>
              <w:t>项目</w:t>
            </w:r>
            <w:r>
              <w:rPr>
                <w:rFonts w:hint="eastAsia" w:ascii="Times New Roman" w:hAnsi="宋体" w:eastAsia="宋体" w:cs="宋体"/>
                <w:color w:val="auto"/>
                <w:spacing w:val="-4"/>
                <w:kern w:val="0"/>
              </w:rPr>
              <w:t>分区</w:t>
            </w:r>
            <w:r>
              <w:rPr>
                <w:rFonts w:hint="default"/>
                <w:color w:val="auto"/>
                <w:lang w:val="en-US" w:eastAsia="zh-CN"/>
              </w:rPr>
              <w:t>防渗单元</w:t>
            </w:r>
            <w:r>
              <w:rPr>
                <w:rFonts w:hint="eastAsia"/>
                <w:color w:val="auto"/>
                <w:lang w:val="en-US" w:eastAsia="zh-CN"/>
              </w:rPr>
              <w:t>划分</w:t>
            </w:r>
            <w:r>
              <w:rPr>
                <w:rFonts w:hint="default"/>
                <w:color w:val="auto"/>
                <w:lang w:val="en-US" w:eastAsia="zh-CN"/>
              </w:rPr>
              <w:t>及防渗要求</w:t>
            </w:r>
            <w:r>
              <w:rPr>
                <w:rFonts w:hint="eastAsia" w:ascii="Times New Roman" w:hAnsi="宋体" w:eastAsia="宋体" w:cs="宋体"/>
                <w:color w:val="auto"/>
                <w:spacing w:val="-4"/>
                <w:kern w:val="0"/>
              </w:rPr>
              <w:t>详见</w:t>
            </w:r>
            <w:r>
              <w:rPr>
                <w:rFonts w:hint="eastAsia" w:ascii="宋体" w:hAnsi="宋体" w:eastAsia="宋体" w:cs="宋体"/>
                <w:color w:val="auto"/>
                <w:spacing w:val="-4"/>
                <w:kern w:val="0"/>
                <w:lang w:val="en-US" w:eastAsia="zh-CN"/>
              </w:rPr>
              <w:t>下表及</w:t>
            </w:r>
            <w:r>
              <w:rPr>
                <w:rFonts w:hint="eastAsia" w:ascii="宋体" w:hAnsi="宋体" w:eastAsia="宋体" w:cs="宋体"/>
                <w:color w:val="auto"/>
                <w:spacing w:val="-4"/>
                <w:kern w:val="0"/>
              </w:rPr>
              <w:t>附图</w:t>
            </w:r>
            <w:r>
              <w:rPr>
                <w:rFonts w:hint="eastAsia" w:ascii="宋体" w:hAnsi="宋体" w:eastAsia="宋体" w:cs="宋体"/>
                <w:color w:val="auto"/>
                <w:spacing w:val="-4"/>
                <w:kern w:val="0"/>
                <w:lang w:val="en-US" w:eastAsia="zh-CN"/>
              </w:rPr>
              <w:t>5</w:t>
            </w:r>
            <w:r>
              <w:rPr>
                <w:rFonts w:hint="eastAsia" w:ascii="宋体" w:hAnsi="宋体" w:eastAsia="宋体" w:cs="宋体"/>
                <w:color w:val="auto"/>
                <w:spacing w:val="-4"/>
                <w:kern w:val="0"/>
                <w:lang w:eastAsia="zh-CN"/>
              </w:rPr>
              <w:t>、</w:t>
            </w:r>
            <w:r>
              <w:rPr>
                <w:rFonts w:hint="eastAsia" w:ascii="宋体" w:hAnsi="宋体" w:eastAsia="宋体" w:cs="宋体"/>
                <w:color w:val="auto"/>
                <w:spacing w:val="-4"/>
                <w:kern w:val="0"/>
              </w:rPr>
              <w:t>附图</w:t>
            </w:r>
            <w:r>
              <w:rPr>
                <w:rFonts w:hint="eastAsia" w:ascii="宋体" w:hAnsi="宋体" w:eastAsia="宋体" w:cs="宋体"/>
                <w:color w:val="auto"/>
                <w:spacing w:val="-4"/>
                <w:kern w:val="0"/>
                <w:lang w:val="en-US" w:eastAsia="zh-CN"/>
              </w:rPr>
              <w:t>6</w:t>
            </w:r>
            <w:r>
              <w:rPr>
                <w:rFonts w:hint="eastAsia" w:ascii="宋体" w:hAnsi="宋体" w:eastAsia="宋体" w:cs="宋体"/>
                <w:color w:val="auto"/>
                <w:spacing w:val="-4"/>
                <w:kern w:val="0"/>
              </w:rPr>
              <w:t>。</w:t>
            </w:r>
          </w:p>
          <w:p>
            <w:pPr>
              <w:pStyle w:val="52"/>
              <w:bidi w:val="0"/>
              <w:rPr>
                <w:rFonts w:hint="default"/>
                <w:color w:val="auto"/>
              </w:rPr>
            </w:pPr>
            <w:r>
              <w:rPr>
                <w:rFonts w:hint="default"/>
                <w:color w:val="auto"/>
              </w:rPr>
              <w:t>表</w:t>
            </w:r>
            <w:r>
              <w:rPr>
                <w:rFonts w:hint="default"/>
                <w:color w:val="auto"/>
                <w:lang w:val="en-US" w:eastAsia="zh-CN"/>
              </w:rPr>
              <w:t>5-1</w:t>
            </w:r>
            <w:r>
              <w:rPr>
                <w:rFonts w:hint="default"/>
                <w:color w:val="auto"/>
              </w:rPr>
              <w:t xml:space="preserve">  </w:t>
            </w:r>
            <w:r>
              <w:rPr>
                <w:rFonts w:hint="default"/>
                <w:color w:val="auto"/>
                <w:lang w:val="en-US" w:eastAsia="zh-CN"/>
              </w:rPr>
              <w:t>本</w:t>
            </w:r>
            <w:r>
              <w:rPr>
                <w:rFonts w:hint="default"/>
                <w:color w:val="auto"/>
              </w:rPr>
              <w:t>项目分区防渗</w:t>
            </w:r>
            <w:r>
              <w:rPr>
                <w:rFonts w:hint="default"/>
                <w:color w:val="auto"/>
                <w:lang w:val="en-US" w:eastAsia="zh-CN"/>
              </w:rPr>
              <w:t>一览</w:t>
            </w:r>
            <w:r>
              <w:rPr>
                <w:rFonts w:hint="default"/>
                <w:color w:val="auto"/>
              </w:rPr>
              <w:t>表</w:t>
            </w:r>
          </w:p>
          <w:tbl>
            <w:tblPr>
              <w:tblStyle w:val="4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877"/>
              <w:gridCol w:w="1213"/>
              <w:gridCol w:w="3599"/>
              <w:gridCol w:w="25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0" w:type="pct"/>
                  <w:vAlign w:val="center"/>
                </w:tcPr>
                <w:p>
                  <w:pPr>
                    <w:pStyle w:val="33"/>
                    <w:bidi w:val="0"/>
                    <w:contextualSpacing/>
                    <w:rPr>
                      <w:rFonts w:hint="default" w:ascii="Times New Roman" w:hAnsi="Times New Roman" w:eastAsia="宋体" w:cs="Times New Roman"/>
                      <w:color w:val="auto"/>
                      <w:lang w:val="en-US" w:eastAsia="zh-CN"/>
                    </w:rPr>
                  </w:pPr>
                  <w:r>
                    <w:rPr>
                      <w:rFonts w:hint="default"/>
                      <w:color w:val="auto"/>
                      <w:lang w:val="en-US" w:eastAsia="zh-CN"/>
                    </w:rPr>
                    <w:t>时段</w:t>
                  </w:r>
                </w:p>
              </w:tc>
              <w:tc>
                <w:tcPr>
                  <w:tcW w:w="733" w:type="pct"/>
                  <w:vAlign w:val="center"/>
                </w:tcPr>
                <w:p>
                  <w:pPr>
                    <w:pStyle w:val="33"/>
                    <w:bidi w:val="0"/>
                    <w:contextualSpacing/>
                    <w:rPr>
                      <w:rFonts w:hint="default" w:ascii="Times New Roman" w:hAnsi="Times New Roman" w:cs="Times New Roman"/>
                      <w:color w:val="auto"/>
                    </w:rPr>
                  </w:pPr>
                  <w:r>
                    <w:rPr>
                      <w:rFonts w:hint="default"/>
                      <w:color w:val="auto"/>
                    </w:rPr>
                    <w:t>防渗分区</w:t>
                  </w:r>
                </w:p>
              </w:tc>
              <w:tc>
                <w:tcPr>
                  <w:tcW w:w="2175" w:type="pct"/>
                  <w:vAlign w:val="center"/>
                </w:tcPr>
                <w:p>
                  <w:pPr>
                    <w:pStyle w:val="33"/>
                    <w:bidi w:val="0"/>
                    <w:contextualSpacing/>
                    <w:rPr>
                      <w:rFonts w:hint="default" w:ascii="Times New Roman" w:hAnsi="Times New Roman" w:cs="Times New Roman"/>
                      <w:color w:val="auto"/>
                    </w:rPr>
                  </w:pPr>
                  <w:r>
                    <w:rPr>
                      <w:rFonts w:hint="default"/>
                      <w:color w:val="auto"/>
                      <w:lang w:val="en-US" w:eastAsia="zh-CN"/>
                    </w:rPr>
                    <w:t>防渗</w:t>
                  </w:r>
                  <w:r>
                    <w:rPr>
                      <w:rFonts w:hint="default"/>
                      <w:color w:val="auto"/>
                    </w:rPr>
                    <w:t>单元</w:t>
                  </w:r>
                </w:p>
              </w:tc>
              <w:tc>
                <w:tcPr>
                  <w:tcW w:w="1560" w:type="pct"/>
                  <w:vAlign w:val="center"/>
                </w:tcPr>
                <w:p>
                  <w:pPr>
                    <w:pStyle w:val="33"/>
                    <w:bidi w:val="0"/>
                    <w:contextualSpacing/>
                    <w:rPr>
                      <w:rFonts w:hint="default" w:ascii="Times New Roman" w:hAnsi="Times New Roman" w:cs="Times New Roman"/>
                      <w:color w:val="auto"/>
                    </w:rPr>
                  </w:pPr>
                  <w:r>
                    <w:rPr>
                      <w:rFonts w:hint="default"/>
                      <w:color w:val="auto"/>
                    </w:rPr>
                    <w:t>防渗要求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0" w:type="pct"/>
                  <w:vMerge w:val="restart"/>
                  <w:vAlign w:val="center"/>
                </w:tcPr>
                <w:p>
                  <w:pPr>
                    <w:pStyle w:val="33"/>
                    <w:bidi w:val="0"/>
                    <w:contextualSpacing/>
                    <w:rPr>
                      <w:rFonts w:hint="default" w:ascii="Times New Roman" w:hAnsi="Times New Roman" w:cs="Times New Roman"/>
                      <w:color w:val="auto"/>
                    </w:rPr>
                  </w:pPr>
                  <w:r>
                    <w:rPr>
                      <w:rFonts w:hint="default"/>
                      <w:color w:val="auto"/>
                    </w:rPr>
                    <w:t>钻井井场</w:t>
                  </w:r>
                </w:p>
              </w:tc>
              <w:tc>
                <w:tcPr>
                  <w:tcW w:w="733" w:type="pct"/>
                  <w:vAlign w:val="center"/>
                </w:tcPr>
                <w:p>
                  <w:pPr>
                    <w:pStyle w:val="33"/>
                    <w:bidi w:val="0"/>
                    <w:contextualSpacing/>
                    <w:rPr>
                      <w:rFonts w:hint="default" w:ascii="Times New Roman" w:hAnsi="Times New Roman" w:cs="Times New Roman"/>
                      <w:color w:val="auto"/>
                    </w:rPr>
                  </w:pPr>
                  <w:r>
                    <w:rPr>
                      <w:rFonts w:hint="default"/>
                      <w:color w:val="auto"/>
                    </w:rPr>
                    <w:t>一般防渗区</w:t>
                  </w:r>
                </w:p>
              </w:tc>
              <w:tc>
                <w:tcPr>
                  <w:tcW w:w="2175" w:type="pct"/>
                  <w:vAlign w:val="center"/>
                </w:tcPr>
                <w:p>
                  <w:pPr>
                    <w:pStyle w:val="33"/>
                    <w:bidi w:val="0"/>
                    <w:contextualSpacing/>
                    <w:rPr>
                      <w:rFonts w:hint="default" w:ascii="Times New Roman" w:hAnsi="Times New Roman" w:cs="Times New Roman"/>
                      <w:color w:val="auto"/>
                    </w:rPr>
                  </w:pPr>
                  <w:r>
                    <w:rPr>
                      <w:rFonts w:hint="default"/>
                      <w:color w:val="auto"/>
                    </w:rPr>
                    <w:t>化工爬犁、材料爬犁、材料房</w:t>
                  </w:r>
                </w:p>
              </w:tc>
              <w:tc>
                <w:tcPr>
                  <w:tcW w:w="1560" w:type="pct"/>
                  <w:vAlign w:val="center"/>
                </w:tcPr>
                <w:p>
                  <w:pPr>
                    <w:pStyle w:val="33"/>
                    <w:bidi w:val="0"/>
                    <w:contextualSpacing/>
                    <w:rPr>
                      <w:rFonts w:hint="default" w:ascii="Times New Roman" w:hAnsi="Times New Roman" w:cs="Times New Roman"/>
                      <w:color w:val="auto"/>
                    </w:rPr>
                  </w:pPr>
                  <w:r>
                    <w:rPr>
                      <w:rFonts w:hint="default"/>
                      <w:color w:val="auto"/>
                    </w:rPr>
                    <w:t>等效黏土防渗层，K</w:t>
                  </w:r>
                  <w:r>
                    <w:rPr>
                      <w:rFonts w:hint="eastAsia" w:cs="宋体"/>
                      <w:color w:val="auto"/>
                    </w:rPr>
                    <w:t>≤</w:t>
                  </w:r>
                  <w:r>
                    <w:rPr>
                      <w:rFonts w:hint="default"/>
                      <w:color w:val="auto"/>
                    </w:rPr>
                    <w:t>1.0×10</w:t>
                  </w:r>
                  <w:r>
                    <w:rPr>
                      <w:rFonts w:hint="default"/>
                      <w:color w:val="auto"/>
                      <w:vertAlign w:val="superscript"/>
                    </w:rPr>
                    <w:t>-7</w:t>
                  </w:r>
                  <w:r>
                    <w:rPr>
                      <w:rFonts w:hint="default"/>
                      <w:color w:val="auto"/>
                    </w:rPr>
                    <w:t>cm/s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0" w:type="pct"/>
                  <w:vMerge w:val="continue"/>
                  <w:vAlign w:val="center"/>
                </w:tcPr>
                <w:p>
                  <w:pPr>
                    <w:keepNext w:val="0"/>
                    <w:keepLines w:val="0"/>
                    <w:pageBreakBefore w:val="0"/>
                    <w:widowControl w:val="0"/>
                    <w:kinsoku/>
                    <w:overflowPunct/>
                    <w:topLinePunct w:val="0"/>
                    <w:autoSpaceDE/>
                    <w:autoSpaceDN/>
                    <w:bidi w:val="0"/>
                    <w:adjustRightInd/>
                    <w:snapToGrid/>
                    <w:spacing w:line="270" w:lineRule="exact"/>
                    <w:contextualSpacing/>
                    <w:textAlignment w:val="auto"/>
                    <w:rPr>
                      <w:rFonts w:hint="default" w:ascii="Times New Roman" w:hAnsi="Times New Roman" w:cs="Times New Roman"/>
                      <w:color w:val="auto"/>
                    </w:rPr>
                  </w:pPr>
                </w:p>
              </w:tc>
              <w:tc>
                <w:tcPr>
                  <w:tcW w:w="733" w:type="pct"/>
                  <w:vAlign w:val="center"/>
                </w:tcPr>
                <w:p>
                  <w:pPr>
                    <w:pStyle w:val="33"/>
                    <w:bidi w:val="0"/>
                    <w:contextualSpacing/>
                    <w:rPr>
                      <w:rFonts w:hint="default" w:ascii="Times New Roman" w:hAnsi="Times New Roman" w:cs="Times New Roman"/>
                      <w:color w:val="auto"/>
                    </w:rPr>
                  </w:pPr>
                  <w:r>
                    <w:rPr>
                      <w:rFonts w:hint="default"/>
                      <w:color w:val="auto"/>
                    </w:rPr>
                    <w:t>重点防渗区</w:t>
                  </w:r>
                </w:p>
              </w:tc>
              <w:tc>
                <w:tcPr>
                  <w:tcW w:w="2175" w:type="pct"/>
                  <w:vAlign w:val="center"/>
                </w:tcPr>
                <w:p>
                  <w:pPr>
                    <w:pStyle w:val="33"/>
                    <w:bidi w:val="0"/>
                    <w:contextualSpacing/>
                    <w:rPr>
                      <w:rFonts w:hint="default" w:ascii="Times New Roman" w:hAnsi="Times New Roman" w:cs="Times New Roman"/>
                      <w:color w:val="auto"/>
                    </w:rPr>
                  </w:pPr>
                  <w:r>
                    <w:rPr>
                      <w:rFonts w:hint="default"/>
                      <w:color w:val="auto"/>
                    </w:rPr>
                    <w:t>柴油储罐、发电房、废料场、不落地系统、钻井液储罐区、岩屑储罐区、井口、危险废物贮存点、应急放喷池（应急放喷池仅在事故状态下开挖）</w:t>
                  </w:r>
                </w:p>
              </w:tc>
              <w:tc>
                <w:tcPr>
                  <w:tcW w:w="1560" w:type="pct"/>
                  <w:vAlign w:val="center"/>
                </w:tcPr>
                <w:p>
                  <w:pPr>
                    <w:pStyle w:val="33"/>
                    <w:bidi w:val="0"/>
                    <w:contextualSpacing/>
                    <w:rPr>
                      <w:rFonts w:hint="default" w:ascii="Times New Roman" w:hAnsi="Times New Roman" w:cs="Times New Roman"/>
                      <w:color w:val="auto"/>
                    </w:rPr>
                  </w:pPr>
                  <w:r>
                    <w:rPr>
                      <w:rFonts w:hint="default"/>
                      <w:color w:val="auto"/>
                    </w:rPr>
                    <w:t>铺设HDPE防渗膜（渗透系数不大于10</w:t>
                  </w:r>
                  <w:r>
                    <w:rPr>
                      <w:rFonts w:hint="default"/>
                      <w:color w:val="auto"/>
                      <w:vertAlign w:val="superscript"/>
                    </w:rPr>
                    <w:t>-10</w:t>
                  </w:r>
                  <w:r>
                    <w:rPr>
                      <w:rFonts w:hint="default"/>
                      <w:color w:val="auto"/>
                    </w:rPr>
                    <w:t>cm/s）或者采取铺设渗透系数不大于10</w:t>
                  </w:r>
                  <w:r>
                    <w:rPr>
                      <w:rFonts w:hint="default"/>
                      <w:color w:val="auto"/>
                      <w:vertAlign w:val="superscript"/>
                    </w:rPr>
                    <w:t>-10</w:t>
                  </w:r>
                  <w:r>
                    <w:rPr>
                      <w:rFonts w:hint="default"/>
                      <w:color w:val="auto"/>
                    </w:rPr>
                    <w:t>cm/s、其他人工材料的防渗措施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0" w:type="pct"/>
                  <w:vAlign w:val="center"/>
                </w:tcPr>
                <w:p>
                  <w:pPr>
                    <w:keepNext w:val="0"/>
                    <w:keepLines w:val="0"/>
                    <w:pageBreakBefore w:val="0"/>
                    <w:widowControl w:val="0"/>
                    <w:kinsoku/>
                    <w:overflowPunct/>
                    <w:topLinePunct w:val="0"/>
                    <w:autoSpaceDE/>
                    <w:autoSpaceDN/>
                    <w:bidi w:val="0"/>
                    <w:adjustRightInd/>
                    <w:snapToGrid/>
                    <w:spacing w:line="270" w:lineRule="exact"/>
                    <w:ind w:left="0" w:leftChars="0" w:firstLine="0" w:firstLineChars="0"/>
                    <w:contextualSpacing/>
                    <w:jc w:val="center"/>
                    <w:textAlignment w:val="auto"/>
                    <w:rPr>
                      <w:rFonts w:hint="default" w:ascii="Times New Roman" w:hAnsi="Times New Roman" w:eastAsia="宋体" w:cs="Arial"/>
                      <w:color w:val="auto"/>
                      <w:kern w:val="2"/>
                      <w:sz w:val="21"/>
                      <w:szCs w:val="21"/>
                      <w:lang w:val="en-US" w:eastAsia="zh-CN" w:bidi="ar-SA"/>
                    </w:rPr>
                  </w:pPr>
                  <w:r>
                    <w:rPr>
                      <w:rFonts w:hint="default" w:ascii="Times New Roman" w:hAnsi="Times New Roman" w:eastAsia="宋体" w:cs="Arial"/>
                      <w:color w:val="auto"/>
                      <w:kern w:val="2"/>
                      <w:sz w:val="21"/>
                      <w:szCs w:val="21"/>
                      <w:lang w:val="en-US" w:eastAsia="zh-CN" w:bidi="ar-SA"/>
                    </w:rPr>
                    <w:t>钻井</w:t>
                  </w:r>
                </w:p>
                <w:p>
                  <w:pPr>
                    <w:keepNext w:val="0"/>
                    <w:keepLines w:val="0"/>
                    <w:pageBreakBefore w:val="0"/>
                    <w:widowControl w:val="0"/>
                    <w:kinsoku/>
                    <w:overflowPunct/>
                    <w:topLinePunct w:val="0"/>
                    <w:autoSpaceDE/>
                    <w:autoSpaceDN/>
                    <w:bidi w:val="0"/>
                    <w:adjustRightInd/>
                    <w:snapToGrid/>
                    <w:spacing w:line="270" w:lineRule="exact"/>
                    <w:ind w:left="0" w:leftChars="0" w:firstLine="0" w:firstLineChars="0"/>
                    <w:contextualSpacing/>
                    <w:jc w:val="center"/>
                    <w:textAlignment w:val="auto"/>
                    <w:rPr>
                      <w:rFonts w:hint="default" w:ascii="Times New Roman" w:hAnsi="Times New Roman" w:cs="Times New Roman"/>
                      <w:color w:val="auto"/>
                    </w:rPr>
                  </w:pPr>
                  <w:r>
                    <w:rPr>
                      <w:rFonts w:hint="default" w:ascii="Times New Roman" w:hAnsi="Times New Roman" w:eastAsia="宋体" w:cs="Arial"/>
                      <w:color w:val="auto"/>
                      <w:kern w:val="2"/>
                      <w:sz w:val="21"/>
                      <w:szCs w:val="21"/>
                      <w:lang w:val="en-US" w:eastAsia="zh-CN" w:bidi="ar-SA"/>
                    </w:rPr>
                    <w:t>井场</w:t>
                  </w:r>
                </w:p>
              </w:tc>
              <w:tc>
                <w:tcPr>
                  <w:tcW w:w="733" w:type="pct"/>
                  <w:vAlign w:val="center"/>
                </w:tcPr>
                <w:p>
                  <w:pPr>
                    <w:pStyle w:val="33"/>
                    <w:bidi w:val="0"/>
                    <w:contextualSpacing/>
                    <w:rPr>
                      <w:rFonts w:hint="default" w:ascii="Times New Roman" w:hAnsi="Times New Roman" w:cs="Times New Roman"/>
                      <w:color w:val="auto"/>
                    </w:rPr>
                  </w:pPr>
                  <w:r>
                    <w:rPr>
                      <w:rFonts w:hint="default"/>
                      <w:color w:val="auto"/>
                    </w:rPr>
                    <w:t>简单防渗区</w:t>
                  </w:r>
                </w:p>
              </w:tc>
              <w:tc>
                <w:tcPr>
                  <w:tcW w:w="2175" w:type="pct"/>
                  <w:vAlign w:val="center"/>
                </w:tcPr>
                <w:p>
                  <w:pPr>
                    <w:pStyle w:val="33"/>
                    <w:bidi w:val="0"/>
                    <w:contextualSpacing/>
                    <w:rPr>
                      <w:rFonts w:hint="default" w:ascii="Times New Roman" w:hAnsi="Times New Roman" w:cs="Times New Roman"/>
                      <w:color w:val="auto"/>
                    </w:rPr>
                  </w:pPr>
                  <w:r>
                    <w:rPr>
                      <w:rFonts w:hint="default"/>
                      <w:color w:val="auto"/>
                    </w:rPr>
                    <w:t>水罐区、地质房、录井房、值班房、化验房、远控台、消防房、管线盒、过桥、配电房、钳工房</w:t>
                  </w:r>
                </w:p>
              </w:tc>
              <w:tc>
                <w:tcPr>
                  <w:tcW w:w="1560" w:type="pct"/>
                  <w:vAlign w:val="center"/>
                </w:tcPr>
                <w:p>
                  <w:pPr>
                    <w:pStyle w:val="33"/>
                    <w:bidi w:val="0"/>
                    <w:contextualSpacing/>
                    <w:rPr>
                      <w:rFonts w:hint="default" w:ascii="Times New Roman" w:hAnsi="Times New Roman" w:cs="Times New Roman"/>
                      <w:color w:val="auto"/>
                    </w:rPr>
                  </w:pPr>
                  <w:r>
                    <w:rPr>
                      <w:rFonts w:hint="default"/>
                      <w:color w:val="auto"/>
                    </w:rPr>
                    <w:t>一般地面硬化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0" w:type="pct"/>
                  <w:vAlign w:val="center"/>
                </w:tcPr>
                <w:p>
                  <w:pPr>
                    <w:pStyle w:val="33"/>
                    <w:bidi w:val="0"/>
                    <w:contextualSpacing/>
                    <w:rPr>
                      <w:rFonts w:hint="default" w:ascii="Times New Roman" w:hAnsi="Times New Roman" w:cs="Times New Roman"/>
                      <w:color w:val="auto"/>
                    </w:rPr>
                  </w:pPr>
                  <w:r>
                    <w:rPr>
                      <w:rFonts w:hint="eastAsia"/>
                      <w:color w:val="auto"/>
                    </w:rPr>
                    <w:t>生活营地</w:t>
                  </w:r>
                </w:p>
              </w:tc>
              <w:tc>
                <w:tcPr>
                  <w:tcW w:w="733" w:type="pct"/>
                  <w:vAlign w:val="center"/>
                </w:tcPr>
                <w:p>
                  <w:pPr>
                    <w:pStyle w:val="33"/>
                    <w:bidi w:val="0"/>
                    <w:contextualSpacing/>
                    <w:rPr>
                      <w:rFonts w:hint="default"/>
                      <w:color w:val="auto"/>
                    </w:rPr>
                  </w:pPr>
                  <w:r>
                    <w:rPr>
                      <w:rFonts w:hint="eastAsia"/>
                      <w:color w:val="auto"/>
                    </w:rPr>
                    <w:t>一般防渗区</w:t>
                  </w:r>
                </w:p>
              </w:tc>
              <w:tc>
                <w:tcPr>
                  <w:tcW w:w="2175" w:type="pct"/>
                  <w:vAlign w:val="center"/>
                </w:tcPr>
                <w:p>
                  <w:pPr>
                    <w:pStyle w:val="33"/>
                    <w:bidi w:val="0"/>
                    <w:contextualSpacing/>
                    <w:rPr>
                      <w:rFonts w:hint="default"/>
                      <w:color w:val="auto"/>
                    </w:rPr>
                  </w:pPr>
                  <w:r>
                    <w:rPr>
                      <w:rFonts w:hint="eastAsia"/>
                      <w:color w:val="auto"/>
                    </w:rPr>
                    <w:t>生活污水收集池</w:t>
                  </w:r>
                </w:p>
              </w:tc>
              <w:tc>
                <w:tcPr>
                  <w:tcW w:w="1560" w:type="pct"/>
                  <w:vAlign w:val="center"/>
                </w:tcPr>
                <w:p>
                  <w:pPr>
                    <w:pStyle w:val="33"/>
                    <w:bidi w:val="0"/>
                    <w:contextualSpacing/>
                    <w:rPr>
                      <w:rFonts w:hint="default"/>
                      <w:color w:val="auto"/>
                    </w:rPr>
                  </w:pPr>
                  <w:r>
                    <w:rPr>
                      <w:rFonts w:hint="eastAsia"/>
                      <w:color w:val="auto"/>
                    </w:rPr>
                    <w:t>等效黏土防渗层MB≥1.5m，K≤1.0×</w:t>
                  </w:r>
                  <w:r>
                    <w:rPr>
                      <w:color w:val="auto"/>
                    </w:rPr>
                    <w:t>10</w:t>
                  </w:r>
                  <w:r>
                    <w:rPr>
                      <w:color w:val="auto"/>
                      <w:vertAlign w:val="superscript"/>
                    </w:rPr>
                    <w:t>-</w:t>
                  </w:r>
                  <w:r>
                    <w:rPr>
                      <w:rFonts w:hint="eastAsia"/>
                      <w:color w:val="auto"/>
                      <w:vertAlign w:val="superscript"/>
                    </w:rPr>
                    <w:t>7</w:t>
                  </w:r>
                  <w:r>
                    <w:rPr>
                      <w:color w:val="auto"/>
                    </w:rPr>
                    <w:t>cm/s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0" w:type="pct"/>
                  <w:vMerge w:val="restart"/>
                  <w:vAlign w:val="center"/>
                </w:tcPr>
                <w:p>
                  <w:pPr>
                    <w:pStyle w:val="33"/>
                    <w:bidi w:val="0"/>
                    <w:contextualSpacing/>
                    <w:rPr>
                      <w:rFonts w:hint="default" w:ascii="Times New Roman" w:hAnsi="Times New Roman" w:cs="Times New Roman"/>
                      <w:color w:val="auto"/>
                    </w:rPr>
                  </w:pPr>
                  <w:r>
                    <w:rPr>
                      <w:rFonts w:hint="default"/>
                      <w:color w:val="auto"/>
                    </w:rPr>
                    <w:t>试油井场</w:t>
                  </w:r>
                </w:p>
              </w:tc>
              <w:tc>
                <w:tcPr>
                  <w:tcW w:w="733" w:type="pct"/>
                  <w:shd w:val="clear" w:color="auto" w:fill="auto"/>
                  <w:vAlign w:val="center"/>
                </w:tcPr>
                <w:p>
                  <w:pPr>
                    <w:pStyle w:val="33"/>
                    <w:bidi w:val="0"/>
                    <w:contextualSpacing/>
                    <w:rPr>
                      <w:rFonts w:hint="default"/>
                      <w:color w:val="auto"/>
                      <w:lang w:val="en-US" w:eastAsia="zh-CN"/>
                    </w:rPr>
                  </w:pPr>
                  <w:r>
                    <w:rPr>
                      <w:rFonts w:hint="default"/>
                      <w:color w:val="auto"/>
                    </w:rPr>
                    <w:t>一般防渗区</w:t>
                  </w:r>
                </w:p>
              </w:tc>
              <w:tc>
                <w:tcPr>
                  <w:tcW w:w="2175" w:type="pct"/>
                  <w:shd w:val="clear" w:color="auto" w:fill="auto"/>
                  <w:vAlign w:val="center"/>
                </w:tcPr>
                <w:p>
                  <w:pPr>
                    <w:pStyle w:val="33"/>
                    <w:bidi w:val="0"/>
                    <w:contextualSpacing/>
                    <w:rPr>
                      <w:rFonts w:hint="default"/>
                      <w:color w:val="auto"/>
                      <w:lang w:val="en-US" w:eastAsia="zh-CN"/>
                    </w:rPr>
                  </w:pPr>
                  <w:r>
                    <w:rPr>
                      <w:rFonts w:hint="eastAsia"/>
                      <w:color w:val="auto"/>
                      <w:lang w:val="en-US" w:eastAsia="zh-CN"/>
                    </w:rPr>
                    <w:t>试油废水罐、采出液方罐、放喷罐</w:t>
                  </w:r>
                </w:p>
              </w:tc>
              <w:tc>
                <w:tcPr>
                  <w:tcW w:w="1560" w:type="pct"/>
                  <w:shd w:val="clear" w:color="auto" w:fill="auto"/>
                  <w:vAlign w:val="center"/>
                </w:tcPr>
                <w:p>
                  <w:pPr>
                    <w:pStyle w:val="33"/>
                    <w:bidi w:val="0"/>
                    <w:contextualSpacing/>
                    <w:rPr>
                      <w:rFonts w:hint="default"/>
                      <w:color w:val="auto"/>
                      <w:lang w:val="en-US" w:eastAsia="zh-CN"/>
                    </w:rPr>
                  </w:pPr>
                  <w:r>
                    <w:rPr>
                      <w:rFonts w:hint="default"/>
                      <w:color w:val="auto"/>
                    </w:rPr>
                    <w:t>等效黏土防渗层M</w:t>
                  </w:r>
                  <w:r>
                    <w:rPr>
                      <w:rFonts w:hint="eastAsia"/>
                      <w:color w:val="auto"/>
                      <w:lang w:val="en-US" w:eastAsia="zh-CN"/>
                    </w:rPr>
                    <w:t>b</w:t>
                  </w:r>
                  <w:r>
                    <w:rPr>
                      <w:rFonts w:hint="eastAsia" w:cs="宋体"/>
                      <w:color w:val="auto"/>
                    </w:rPr>
                    <w:t>≥</w:t>
                  </w:r>
                  <w:r>
                    <w:rPr>
                      <w:rFonts w:hint="default"/>
                      <w:color w:val="auto"/>
                    </w:rPr>
                    <w:t>1.5m，K</w:t>
                  </w:r>
                  <w:r>
                    <w:rPr>
                      <w:rFonts w:hint="eastAsia" w:cs="宋体"/>
                      <w:color w:val="auto"/>
                    </w:rPr>
                    <w:t>≤</w:t>
                  </w:r>
                  <w:r>
                    <w:rPr>
                      <w:rFonts w:hint="default"/>
                      <w:color w:val="auto"/>
                    </w:rPr>
                    <w:t>1.0×10</w:t>
                  </w:r>
                  <w:r>
                    <w:rPr>
                      <w:rFonts w:hint="default"/>
                      <w:color w:val="auto"/>
                      <w:vertAlign w:val="superscript"/>
                    </w:rPr>
                    <w:t>-7</w:t>
                  </w:r>
                  <w:r>
                    <w:rPr>
                      <w:rFonts w:hint="default"/>
                      <w:color w:val="auto"/>
                    </w:rPr>
                    <w:t>cm/s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0" w:type="pct"/>
                  <w:vMerge w:val="continue"/>
                  <w:vAlign w:val="center"/>
                </w:tcPr>
                <w:p>
                  <w:pPr>
                    <w:keepNext w:val="0"/>
                    <w:keepLines w:val="0"/>
                    <w:pageBreakBefore w:val="0"/>
                    <w:widowControl w:val="0"/>
                    <w:kinsoku/>
                    <w:overflowPunct/>
                    <w:topLinePunct w:val="0"/>
                    <w:autoSpaceDE/>
                    <w:autoSpaceDN/>
                    <w:bidi w:val="0"/>
                    <w:adjustRightInd/>
                    <w:snapToGrid/>
                    <w:spacing w:line="270" w:lineRule="exact"/>
                    <w:contextualSpacing/>
                    <w:textAlignment w:val="auto"/>
                    <w:rPr>
                      <w:rFonts w:hint="default" w:ascii="Times New Roman" w:hAnsi="Times New Roman" w:cs="Times New Roman"/>
                      <w:color w:val="auto"/>
                    </w:rPr>
                  </w:pPr>
                </w:p>
              </w:tc>
              <w:tc>
                <w:tcPr>
                  <w:tcW w:w="733" w:type="pct"/>
                  <w:vAlign w:val="center"/>
                </w:tcPr>
                <w:p>
                  <w:pPr>
                    <w:pStyle w:val="33"/>
                    <w:bidi w:val="0"/>
                    <w:contextualSpacing/>
                    <w:rPr>
                      <w:rFonts w:hint="default" w:ascii="Times New Roman" w:hAnsi="Times New Roman" w:cs="Times New Roman"/>
                      <w:color w:val="auto"/>
                    </w:rPr>
                  </w:pPr>
                  <w:r>
                    <w:rPr>
                      <w:rFonts w:hint="default"/>
                      <w:color w:val="auto"/>
                    </w:rPr>
                    <w:t>重点防渗区</w:t>
                  </w:r>
                </w:p>
              </w:tc>
              <w:tc>
                <w:tcPr>
                  <w:tcW w:w="2175" w:type="pct"/>
                  <w:vAlign w:val="center"/>
                </w:tcPr>
                <w:p>
                  <w:pPr>
                    <w:pStyle w:val="33"/>
                    <w:bidi w:val="0"/>
                    <w:contextualSpacing/>
                    <w:rPr>
                      <w:rFonts w:hint="default" w:ascii="Times New Roman" w:hAnsi="Times New Roman" w:cs="Times New Roman"/>
                      <w:color w:val="auto"/>
                    </w:rPr>
                  </w:pPr>
                  <w:r>
                    <w:rPr>
                      <w:rFonts w:hint="eastAsia"/>
                      <w:color w:val="auto"/>
                      <w:lang w:val="en-US" w:eastAsia="zh-CN"/>
                    </w:rPr>
                    <w:t>井口、</w:t>
                  </w:r>
                  <w:r>
                    <w:rPr>
                      <w:rFonts w:hint="default"/>
                      <w:color w:val="auto"/>
                    </w:rPr>
                    <w:t>发电房、</w:t>
                  </w:r>
                  <w:r>
                    <w:rPr>
                      <w:rFonts w:hint="eastAsia"/>
                      <w:color w:val="auto"/>
                      <w:lang w:val="en-US" w:eastAsia="zh-CN"/>
                    </w:rPr>
                    <w:t>危险贮存点、</w:t>
                  </w:r>
                  <w:r>
                    <w:rPr>
                      <w:rFonts w:hint="default"/>
                      <w:color w:val="auto"/>
                    </w:rPr>
                    <w:t>应急放喷池（应急放喷池仅在事故状态下开挖）</w:t>
                  </w:r>
                </w:p>
              </w:tc>
              <w:tc>
                <w:tcPr>
                  <w:tcW w:w="1560" w:type="pct"/>
                  <w:vAlign w:val="center"/>
                </w:tcPr>
                <w:p>
                  <w:pPr>
                    <w:pStyle w:val="33"/>
                    <w:bidi w:val="0"/>
                    <w:contextualSpacing/>
                    <w:rPr>
                      <w:rFonts w:hint="default" w:ascii="Times New Roman" w:hAnsi="Times New Roman" w:cs="Times New Roman"/>
                      <w:color w:val="auto"/>
                    </w:rPr>
                  </w:pPr>
                  <w:r>
                    <w:rPr>
                      <w:rFonts w:hint="default"/>
                      <w:color w:val="auto"/>
                    </w:rPr>
                    <w:t>铺设HDPE防渗膜（渗透系数不大于10</w:t>
                  </w:r>
                  <w:r>
                    <w:rPr>
                      <w:rFonts w:hint="default"/>
                      <w:color w:val="auto"/>
                      <w:vertAlign w:val="superscript"/>
                    </w:rPr>
                    <w:t>-10</w:t>
                  </w:r>
                  <w:r>
                    <w:rPr>
                      <w:rFonts w:hint="default"/>
                      <w:color w:val="auto"/>
                    </w:rPr>
                    <w:t>cm/s）或者采取铺设渗透系数不大于10</w:t>
                  </w:r>
                  <w:r>
                    <w:rPr>
                      <w:rFonts w:hint="default"/>
                      <w:color w:val="auto"/>
                      <w:vertAlign w:val="superscript"/>
                    </w:rPr>
                    <w:t>-10</w:t>
                  </w:r>
                  <w:r>
                    <w:rPr>
                      <w:rFonts w:hint="default"/>
                      <w:color w:val="auto"/>
                    </w:rPr>
                    <w:t>cm/s、其他人工材料的防渗措施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0" w:type="pct"/>
                  <w:vMerge w:val="continue"/>
                  <w:vAlign w:val="center"/>
                </w:tcPr>
                <w:p>
                  <w:pPr>
                    <w:keepNext w:val="0"/>
                    <w:keepLines w:val="0"/>
                    <w:pageBreakBefore w:val="0"/>
                    <w:widowControl w:val="0"/>
                    <w:kinsoku/>
                    <w:overflowPunct/>
                    <w:topLinePunct w:val="0"/>
                    <w:autoSpaceDE/>
                    <w:autoSpaceDN/>
                    <w:bidi w:val="0"/>
                    <w:adjustRightInd/>
                    <w:snapToGrid/>
                    <w:spacing w:line="270" w:lineRule="exact"/>
                    <w:contextualSpacing/>
                    <w:textAlignment w:val="auto"/>
                    <w:rPr>
                      <w:rFonts w:hint="default" w:ascii="Times New Roman" w:hAnsi="Times New Roman" w:cs="Times New Roman"/>
                      <w:color w:val="auto"/>
                    </w:rPr>
                  </w:pPr>
                </w:p>
              </w:tc>
              <w:tc>
                <w:tcPr>
                  <w:tcW w:w="733" w:type="pct"/>
                  <w:vAlign w:val="center"/>
                </w:tcPr>
                <w:p>
                  <w:pPr>
                    <w:pStyle w:val="33"/>
                    <w:bidi w:val="0"/>
                    <w:contextualSpacing/>
                    <w:rPr>
                      <w:rFonts w:hint="default" w:ascii="Times New Roman" w:hAnsi="Times New Roman" w:cs="Times New Roman"/>
                      <w:color w:val="auto"/>
                    </w:rPr>
                  </w:pPr>
                  <w:r>
                    <w:rPr>
                      <w:rFonts w:hint="default"/>
                      <w:color w:val="auto"/>
                    </w:rPr>
                    <w:t>简单防渗区</w:t>
                  </w:r>
                </w:p>
              </w:tc>
              <w:tc>
                <w:tcPr>
                  <w:tcW w:w="2175" w:type="pct"/>
                  <w:vAlign w:val="center"/>
                </w:tcPr>
                <w:p>
                  <w:pPr>
                    <w:pStyle w:val="33"/>
                    <w:bidi w:val="0"/>
                    <w:contextualSpacing/>
                    <w:rPr>
                      <w:rFonts w:hint="default" w:ascii="Times New Roman" w:hAnsi="Times New Roman" w:cs="Times New Roman"/>
                      <w:color w:val="auto"/>
                    </w:rPr>
                  </w:pPr>
                  <w:r>
                    <w:rPr>
                      <w:rFonts w:hint="default"/>
                      <w:color w:val="auto"/>
                    </w:rPr>
                    <w:t>值班房</w:t>
                  </w:r>
                </w:p>
              </w:tc>
              <w:tc>
                <w:tcPr>
                  <w:tcW w:w="1560" w:type="pct"/>
                  <w:vAlign w:val="center"/>
                </w:tcPr>
                <w:p>
                  <w:pPr>
                    <w:pStyle w:val="33"/>
                    <w:bidi w:val="0"/>
                    <w:contextualSpacing/>
                    <w:rPr>
                      <w:rFonts w:hint="default" w:ascii="Times New Roman" w:hAnsi="Times New Roman" w:cs="Times New Roman"/>
                      <w:color w:val="auto"/>
                    </w:rPr>
                  </w:pPr>
                  <w:r>
                    <w:rPr>
                      <w:rFonts w:hint="default"/>
                      <w:color w:val="auto"/>
                    </w:rPr>
                    <w:t>一般地面硬化</w:t>
                  </w:r>
                </w:p>
              </w:tc>
            </w:tr>
          </w:tbl>
          <w:p>
            <w:pPr>
              <w:pStyle w:val="36"/>
              <w:bidi w:val="0"/>
              <w:rPr>
                <w:rFonts w:hint="default"/>
                <w:color w:val="auto"/>
              </w:rPr>
            </w:pPr>
            <w:r>
              <w:rPr>
                <w:rFonts w:hint="default"/>
                <w:color w:val="auto"/>
              </w:rPr>
              <w:t>建设单位应监督施工单位严格</w:t>
            </w:r>
            <w:r>
              <w:rPr>
                <w:rFonts w:hint="default"/>
                <w:color w:val="auto"/>
                <w:lang w:val="en-US" w:eastAsia="zh-CN"/>
              </w:rPr>
              <w:t>按照上述</w:t>
            </w:r>
            <w:r>
              <w:rPr>
                <w:rFonts w:hint="default"/>
                <w:color w:val="auto"/>
              </w:rPr>
              <w:t>分区防渗要求执行，以确保防渗措施的落实和有效性。</w:t>
            </w:r>
          </w:p>
          <w:p>
            <w:pPr>
              <w:pStyle w:val="36"/>
              <w:bidi w:val="0"/>
              <w:rPr>
                <w:rFonts w:hint="default"/>
                <w:color w:val="auto"/>
              </w:rPr>
            </w:pPr>
            <w:r>
              <w:rPr>
                <w:rFonts w:hint="default"/>
                <w:color w:val="auto"/>
              </w:rPr>
              <w:t>（2）钻井时采用套管与地层隔离开、并在套管与地层之间注入水泥进行固井，水泥浆返至地面，封隔疏松地层和水层。</w:t>
            </w:r>
          </w:p>
          <w:p>
            <w:pPr>
              <w:pStyle w:val="36"/>
              <w:bidi w:val="0"/>
              <w:rPr>
                <w:rFonts w:hint="eastAsia"/>
                <w:color w:val="auto"/>
              </w:rPr>
            </w:pPr>
            <w:bookmarkStart w:id="57" w:name="_Hlk183361829"/>
            <w:r>
              <w:rPr>
                <w:rFonts w:hint="default"/>
                <w:color w:val="auto"/>
              </w:rPr>
              <w:t>（3）钻井时严格落实套管下入深度合格和固井质量合格，对产生的</w:t>
            </w:r>
            <w:r>
              <w:rPr>
                <w:rFonts w:hint="eastAsia"/>
                <w:color w:val="auto"/>
              </w:rPr>
              <w:t>洗井废水、压裂返排液、水基钻井岩屑、油基钻井岩屑、沾油废防渗材料、废润滑油、废润滑油桶</w:t>
            </w:r>
            <w:r>
              <w:rPr>
                <w:rFonts w:hint="default"/>
                <w:color w:val="auto"/>
              </w:rPr>
              <w:t>严格管理</w:t>
            </w:r>
            <w:r>
              <w:rPr>
                <w:rFonts w:hint="eastAsia"/>
                <w:color w:val="auto"/>
              </w:rPr>
              <w:t>，禁止乱排。</w:t>
            </w:r>
          </w:p>
          <w:bookmarkEnd w:id="57"/>
          <w:p>
            <w:pPr>
              <w:pStyle w:val="36"/>
              <w:bidi w:val="0"/>
              <w:rPr>
                <w:rFonts w:hint="eastAsia"/>
                <w:color w:val="auto"/>
              </w:rPr>
            </w:pPr>
            <w:r>
              <w:rPr>
                <w:rFonts w:hint="eastAsia"/>
                <w:color w:val="auto"/>
              </w:rPr>
              <w:t>（</w:t>
            </w:r>
            <w:r>
              <w:rPr>
                <w:rFonts w:hint="eastAsia"/>
                <w:color w:val="auto"/>
                <w:lang w:val="en-US" w:eastAsia="zh-CN"/>
              </w:rPr>
              <w:t>4</w:t>
            </w:r>
            <w:r>
              <w:rPr>
                <w:rFonts w:hint="eastAsia"/>
                <w:color w:val="auto"/>
              </w:rPr>
              <w:t>）加强施工单位和运输车辆的管理，严禁废水随意排放或倾倒。加强对工作人员防治水污染的宣传教育及管理。</w:t>
            </w:r>
          </w:p>
          <w:p>
            <w:pPr>
              <w:pStyle w:val="36"/>
              <w:bidi w:val="0"/>
              <w:rPr>
                <w:rFonts w:hint="default"/>
                <w:color w:val="auto"/>
              </w:rPr>
            </w:pPr>
            <w:r>
              <w:rPr>
                <w:rFonts w:hint="default"/>
                <w:color w:val="auto"/>
              </w:rPr>
              <w:t>采取上述措施后，</w:t>
            </w:r>
            <w:r>
              <w:rPr>
                <w:rFonts w:hint="default"/>
                <w:color w:val="auto"/>
                <w:lang w:val="en-US" w:eastAsia="zh-CN"/>
              </w:rPr>
              <w:t>本项目</w:t>
            </w:r>
            <w:r>
              <w:rPr>
                <w:rFonts w:hint="default"/>
                <w:color w:val="auto"/>
              </w:rPr>
              <w:t>不会对地下水环境和土壤环境造成不利影响。</w:t>
            </w:r>
          </w:p>
          <w:p>
            <w:pPr>
              <w:pStyle w:val="32"/>
              <w:numPr>
                <w:ilvl w:val="0"/>
                <w:numId w:val="5"/>
              </w:numPr>
              <w:bidi w:val="0"/>
              <w:rPr>
                <w:rFonts w:hint="default"/>
                <w:color w:val="auto"/>
              </w:rPr>
            </w:pPr>
            <w:r>
              <w:rPr>
                <w:rFonts w:hint="default"/>
                <w:color w:val="auto"/>
              </w:rPr>
              <w:t>噪声污染防治措施</w:t>
            </w:r>
          </w:p>
          <w:p>
            <w:pPr>
              <w:pStyle w:val="36"/>
              <w:bidi w:val="0"/>
              <w:rPr>
                <w:rFonts w:hint="default"/>
                <w:color w:val="auto"/>
              </w:rPr>
            </w:pPr>
            <w:r>
              <w:rPr>
                <w:rFonts w:hint="default"/>
                <w:color w:val="auto"/>
              </w:rPr>
              <w:t>施工机械采用低噪声设备；加强设备维护及保养，对噪声较大的设备采取基础减震措施；加强施工场地管理，合理疏导进入施工区的车辆，禁止运输车辆随意高声鸣笛。</w:t>
            </w:r>
          </w:p>
          <w:p>
            <w:pPr>
              <w:pStyle w:val="36"/>
              <w:bidi w:val="0"/>
              <w:rPr>
                <w:rFonts w:hint="default"/>
                <w:color w:val="auto"/>
              </w:rPr>
            </w:pPr>
            <w:r>
              <w:rPr>
                <w:rFonts w:hint="default"/>
                <w:color w:val="auto"/>
              </w:rPr>
              <w:t>在采取上述措施后，施工噪声不会对区域声环境产生明显影响。</w:t>
            </w:r>
          </w:p>
          <w:p>
            <w:pPr>
              <w:pStyle w:val="32"/>
              <w:numPr>
                <w:ilvl w:val="0"/>
                <w:numId w:val="5"/>
              </w:numPr>
              <w:bidi w:val="0"/>
              <w:rPr>
                <w:rFonts w:hint="default"/>
                <w:color w:val="auto"/>
              </w:rPr>
            </w:pPr>
            <w:bookmarkStart w:id="58" w:name="_Hlk183349956"/>
            <w:bookmarkStart w:id="59" w:name="_Hlk143015311"/>
            <w:bookmarkStart w:id="60" w:name="_Hlk136795812"/>
            <w:r>
              <w:rPr>
                <w:rFonts w:hint="default"/>
                <w:color w:val="auto"/>
              </w:rPr>
              <w:t>固体废物处置措施</w:t>
            </w:r>
          </w:p>
          <w:bookmarkEnd w:id="58"/>
          <w:p>
            <w:pPr>
              <w:pStyle w:val="31"/>
              <w:numPr>
                <w:ilvl w:val="1"/>
                <w:numId w:val="5"/>
              </w:numPr>
              <w:bidi w:val="0"/>
              <w:rPr>
                <w:rFonts w:hint="eastAsia"/>
                <w:color w:val="auto"/>
                <w:lang w:val="en-US" w:eastAsia="zh-CN"/>
              </w:rPr>
            </w:pPr>
            <w:bookmarkStart w:id="61" w:name="_Hlk183355720"/>
            <w:r>
              <w:rPr>
                <w:rFonts w:hint="eastAsia"/>
                <w:color w:val="auto"/>
                <w:lang w:val="en-US" w:eastAsia="zh-CN"/>
              </w:rPr>
              <w:t>一般工业固废</w:t>
            </w:r>
          </w:p>
          <w:p>
            <w:pPr>
              <w:pStyle w:val="36"/>
              <w:bidi w:val="0"/>
              <w:rPr>
                <w:rFonts w:hint="default"/>
                <w:color w:val="auto"/>
              </w:rPr>
            </w:pPr>
            <w:bookmarkStart w:id="62" w:name="_Hlk183357572"/>
            <w:r>
              <w:rPr>
                <w:rFonts w:hint="eastAsia"/>
                <w:color w:val="auto"/>
                <w:lang w:val="en-US" w:eastAsia="zh-CN"/>
              </w:rPr>
              <w:t>项目产生的一般工业固废为水基钻井岩屑。钻井一开和二开</w:t>
            </w:r>
            <w:r>
              <w:rPr>
                <w:rFonts w:hint="default"/>
                <w:color w:val="auto"/>
              </w:rPr>
              <w:t>采用水基钻井液，钻井时井筒返排的钻井液及岩屑经不落地设备分离，分离出的液相回用于水基钻井液配置，分离出的水基钻井岩屑暂存于水基钻井岩屑方罐中</w:t>
            </w:r>
            <w:bookmarkStart w:id="63" w:name="_Hlk69139413"/>
            <w:r>
              <w:rPr>
                <w:rFonts w:hint="default"/>
                <w:color w:val="auto"/>
              </w:rPr>
              <w:t>，</w:t>
            </w:r>
            <w:r>
              <w:rPr>
                <w:rFonts w:hint="eastAsia"/>
                <w:color w:val="auto"/>
                <w:lang w:val="en-US" w:eastAsia="zh-CN"/>
              </w:rPr>
              <w:t>根据《</w:t>
            </w:r>
            <w:r>
              <w:rPr>
                <w:rFonts w:hint="default"/>
                <w:color w:val="auto"/>
              </w:rPr>
              <w:t>危险废物排除管理清单（2021 年版）</w:t>
            </w:r>
            <w:r>
              <w:rPr>
                <w:rFonts w:hint="eastAsia" w:ascii="Times New Roman" w:eastAsia="宋体"/>
                <w:color w:val="auto"/>
                <w:lang w:val="en-US" w:eastAsia="zh-CN"/>
              </w:rPr>
              <w:t>》，本项目水基岩屑属于一般工业固体废物。对照</w:t>
            </w:r>
            <w:r>
              <w:rPr>
                <w:rFonts w:hint="default"/>
                <w:color w:val="auto"/>
              </w:rPr>
              <w:t>《固体废物分类与代码目录（2024年）》，废物种类为</w:t>
            </w:r>
            <w:r>
              <w:rPr>
                <w:rFonts w:hint="eastAsia"/>
                <w:color w:val="auto"/>
                <w:lang w:eastAsia="zh-CN"/>
              </w:rPr>
              <w:t>“</w:t>
            </w:r>
            <w:r>
              <w:rPr>
                <w:rFonts w:hint="default"/>
                <w:color w:val="auto"/>
              </w:rPr>
              <w:t>SW12钻井岩屑（废物代码：071-001-S12）</w:t>
            </w:r>
            <w:r>
              <w:rPr>
                <w:rFonts w:hint="eastAsia" w:eastAsia="宋体"/>
                <w:color w:val="auto"/>
                <w:lang w:eastAsia="zh-CN"/>
              </w:rPr>
              <w:t>”</w:t>
            </w:r>
            <w:r>
              <w:rPr>
                <w:rFonts w:hint="eastAsia"/>
                <w:color w:val="auto"/>
                <w:lang w:eastAsia="zh-CN"/>
              </w:rPr>
              <w:t>，</w:t>
            </w:r>
            <w:r>
              <w:rPr>
                <w:rFonts w:hint="default"/>
                <w:color w:val="auto"/>
                <w:lang w:val="en-US" w:eastAsia="zh-CN"/>
              </w:rPr>
              <w:t>委托具有相应经营许可单位清运</w:t>
            </w:r>
            <w:r>
              <w:rPr>
                <w:rFonts w:hint="eastAsia"/>
                <w:color w:val="auto"/>
                <w:lang w:val="en-US" w:eastAsia="zh-CN"/>
              </w:rPr>
              <w:t>并</w:t>
            </w:r>
            <w:r>
              <w:rPr>
                <w:rFonts w:hint="default"/>
                <w:color w:val="auto"/>
                <w:lang w:val="en-US" w:eastAsia="zh-CN"/>
              </w:rPr>
              <w:t>处置。</w:t>
            </w:r>
          </w:p>
          <w:bookmarkEnd w:id="61"/>
          <w:bookmarkEnd w:id="62"/>
          <w:bookmarkEnd w:id="63"/>
          <w:p>
            <w:pPr>
              <w:pStyle w:val="20"/>
              <w:widowControl w:val="0"/>
              <w:snapToGrid w:val="0"/>
              <w:spacing w:before="0" w:beforeAutospacing="0" w:after="0" w:afterAutospacing="0" w:line="480" w:lineRule="exact"/>
              <w:ind w:firstLine="480" w:firstLineChars="200"/>
              <w:jc w:val="both"/>
              <w:rPr>
                <w:rFonts w:hint="default" w:ascii="Times New Roman" w:hAnsi="Times New Roman" w:cs="Times New Roman"/>
                <w:color w:val="auto"/>
                <w:kern w:val="2"/>
                <w:lang w:bidi="ar"/>
              </w:rPr>
            </w:pPr>
            <w:r>
              <w:rPr>
                <w:rFonts w:hint="default" w:ascii="Times New Roman" w:hAnsi="Times New Roman" w:cs="Times New Roman"/>
                <w:color w:val="auto"/>
                <w:kern w:val="2"/>
                <w:lang w:bidi="ar"/>
              </w:rPr>
              <w:t>（2）油基钻井岩屑</w:t>
            </w:r>
          </w:p>
          <w:p>
            <w:pPr>
              <w:pStyle w:val="20"/>
              <w:widowControl w:val="0"/>
              <w:snapToGrid w:val="0"/>
              <w:spacing w:before="0" w:beforeAutospacing="0" w:after="0" w:afterAutospacing="0" w:line="480" w:lineRule="exact"/>
              <w:ind w:firstLine="480" w:firstLineChars="200"/>
              <w:jc w:val="both"/>
              <w:rPr>
                <w:rFonts w:hint="default" w:ascii="Times New Roman" w:hAnsi="Times New Roman" w:cs="Times New Roman"/>
                <w:color w:val="auto"/>
                <w:kern w:val="2"/>
                <w:lang w:bidi="ar"/>
              </w:rPr>
            </w:pPr>
            <w:r>
              <w:rPr>
                <w:rFonts w:hint="default" w:ascii="Times New Roman" w:hAnsi="Times New Roman" w:cs="Times New Roman"/>
                <w:color w:val="auto"/>
                <w:kern w:val="2"/>
                <w:lang w:bidi="ar"/>
              </w:rPr>
              <w:t>三开</w:t>
            </w:r>
            <w:r>
              <w:rPr>
                <w:rFonts w:hint="eastAsia" w:ascii="Times New Roman" w:hAnsi="Times New Roman" w:cs="Times New Roman"/>
                <w:color w:val="auto"/>
                <w:kern w:val="2"/>
                <w:lang w:eastAsia="zh-CN" w:bidi="ar"/>
              </w:rPr>
              <w:t>、</w:t>
            </w:r>
            <w:r>
              <w:rPr>
                <w:rFonts w:hint="eastAsia" w:ascii="Times New Roman" w:hAnsi="Times New Roman" w:cs="Times New Roman"/>
                <w:color w:val="auto"/>
                <w:kern w:val="2"/>
                <w:lang w:val="en-US" w:eastAsia="zh-CN" w:bidi="ar"/>
              </w:rPr>
              <w:t>四开和五开</w:t>
            </w:r>
            <w:r>
              <w:rPr>
                <w:rFonts w:hint="default" w:ascii="Times New Roman" w:hAnsi="Times New Roman" w:cs="Times New Roman"/>
                <w:color w:val="auto"/>
                <w:kern w:val="2"/>
                <w:lang w:bidi="ar"/>
              </w:rPr>
              <w:t>采用油基钻井液，钻井时井筒返排的钻井液及岩屑经不落地设备进行初步分离，液相回用于油基钻井液配置；固相再由甩干机进行第一次固液分离，然后由离心机对甩干机排出的液体进行第二次固液分离，从而实现深度分离，分离出的液相回用于油基钻井液配置，分离出的固相（即油基钻井岩屑）属于HW08类危险废物（废物代码：071-002-08），采用专用储罐进行收集，交由有相应危险废物处置资质的单位接收、转运和处置。油基钻井岩屑临时贮存在岩屑专用储罐内，储罐底部铺设防渗膜，油基钻井岩屑在井场临时贮存应满足《危险废物贮存污染控制标准》（GB18597-2023）相关要求。</w:t>
            </w:r>
          </w:p>
          <w:p>
            <w:pPr>
              <w:pStyle w:val="20"/>
              <w:widowControl w:val="0"/>
              <w:snapToGrid w:val="0"/>
              <w:spacing w:before="0" w:beforeAutospacing="0" w:after="0" w:afterAutospacing="0" w:line="480" w:lineRule="exact"/>
              <w:ind w:firstLine="480" w:firstLineChars="200"/>
              <w:jc w:val="both"/>
              <w:rPr>
                <w:rFonts w:hint="default" w:ascii="Times New Roman" w:hAnsi="Times New Roman" w:cs="Times New Roman"/>
                <w:color w:val="auto"/>
              </w:rPr>
            </w:pPr>
            <w:r>
              <w:rPr>
                <w:rFonts w:hint="default" w:ascii="Times New Roman" w:hAnsi="Times New Roman" w:cs="Times New Roman"/>
                <w:color w:val="auto"/>
                <w:kern w:val="2"/>
                <w:lang w:bidi="ar"/>
              </w:rPr>
              <w:t>（</w:t>
            </w:r>
            <w:r>
              <w:rPr>
                <w:rFonts w:hint="eastAsia" w:ascii="Times New Roman" w:hAnsi="Times New Roman" w:cs="Times New Roman"/>
                <w:color w:val="auto"/>
                <w:kern w:val="2"/>
                <w:lang w:val="en-US" w:eastAsia="zh-CN" w:bidi="ar"/>
              </w:rPr>
              <w:t>3</w:t>
            </w:r>
            <w:r>
              <w:rPr>
                <w:rFonts w:hint="default" w:ascii="Times New Roman" w:hAnsi="Times New Roman" w:cs="Times New Roman"/>
                <w:color w:val="auto"/>
                <w:kern w:val="2"/>
                <w:lang w:bidi="ar"/>
              </w:rPr>
              <w:t>）沾油废防渗材料</w:t>
            </w:r>
          </w:p>
          <w:p>
            <w:pPr>
              <w:pStyle w:val="36"/>
              <w:bidi w:val="0"/>
              <w:rPr>
                <w:rFonts w:hint="default"/>
                <w:color w:val="auto"/>
              </w:rPr>
            </w:pPr>
            <w:r>
              <w:rPr>
                <w:rFonts w:hint="default"/>
                <w:color w:val="auto"/>
                <w:lang w:val="en-US" w:eastAsia="zh-CN"/>
              </w:rPr>
              <w:t>本项目</w:t>
            </w:r>
            <w:r>
              <w:rPr>
                <w:rFonts w:hint="default"/>
                <w:color w:val="auto"/>
              </w:rPr>
              <w:t>施工结束后清理场地时产生的未沾油防渗材料由施工单位集中回收利用，沾油废防渗材料（废物代码为900-249-08，危险特性为毒性和易燃性）分区暂存在井场设置的危险废物贮存点，定期由具有相应危险废物处置资质的单位进行接收、转运和处置。</w:t>
            </w:r>
          </w:p>
          <w:p>
            <w:pPr>
              <w:pStyle w:val="36"/>
              <w:bidi w:val="0"/>
              <w:rPr>
                <w:rFonts w:hint="default"/>
                <w:color w:val="auto"/>
              </w:rPr>
            </w:pPr>
            <w:r>
              <w:rPr>
                <w:rFonts w:hint="default"/>
                <w:color w:val="auto"/>
              </w:rPr>
              <w:t>（</w:t>
            </w:r>
            <w:r>
              <w:rPr>
                <w:rFonts w:hint="eastAsia"/>
                <w:color w:val="auto"/>
                <w:lang w:val="en-US" w:eastAsia="zh-CN"/>
              </w:rPr>
              <w:t>4</w:t>
            </w:r>
            <w:r>
              <w:rPr>
                <w:rFonts w:hint="default"/>
                <w:color w:val="auto"/>
              </w:rPr>
              <w:t>）废润滑油、废润滑油桶</w:t>
            </w:r>
          </w:p>
          <w:p>
            <w:pPr>
              <w:pStyle w:val="36"/>
              <w:bidi w:val="0"/>
              <w:rPr>
                <w:rFonts w:hint="default"/>
                <w:color w:val="auto"/>
              </w:rPr>
            </w:pPr>
            <w:r>
              <w:rPr>
                <w:rFonts w:hint="default"/>
                <w:color w:val="auto"/>
                <w:lang w:val="en-US" w:eastAsia="zh-CN"/>
              </w:rPr>
              <w:t>本项目</w:t>
            </w:r>
            <w:r>
              <w:rPr>
                <w:rFonts w:hint="default"/>
                <w:color w:val="auto"/>
              </w:rPr>
              <w:t>施工过程中机械、设备检修和维护过程中产生的废润滑油、废润滑油桶分区暂存在井场设置的危险废物贮存点，定期由具有相应危险废物处置资质的单位进行接收、转运和处置。</w:t>
            </w:r>
            <w:bookmarkEnd w:id="59"/>
          </w:p>
          <w:p>
            <w:pPr>
              <w:pStyle w:val="36"/>
              <w:bidi w:val="0"/>
              <w:rPr>
                <w:rFonts w:hint="default"/>
                <w:color w:val="auto"/>
              </w:rPr>
            </w:pPr>
            <w:r>
              <w:rPr>
                <w:rFonts w:hint="default"/>
                <w:color w:val="auto"/>
              </w:rPr>
              <w:t>（</w:t>
            </w:r>
            <w:r>
              <w:rPr>
                <w:rFonts w:hint="eastAsia"/>
                <w:color w:val="auto"/>
                <w:lang w:val="en-US" w:eastAsia="zh-CN"/>
              </w:rPr>
              <w:t>5</w:t>
            </w:r>
            <w:r>
              <w:rPr>
                <w:rFonts w:hint="default"/>
                <w:color w:val="auto"/>
              </w:rPr>
              <w:t>）危险废物贮存点</w:t>
            </w:r>
          </w:p>
          <w:p>
            <w:pPr>
              <w:pStyle w:val="36"/>
              <w:bidi w:val="0"/>
              <w:rPr>
                <w:rFonts w:hint="default"/>
                <w:color w:val="auto"/>
              </w:rPr>
            </w:pPr>
            <w:r>
              <w:rPr>
                <w:rFonts w:hint="default"/>
                <w:color w:val="auto"/>
                <w:lang w:val="en-US" w:eastAsia="zh-CN"/>
              </w:rPr>
              <w:t>本项目</w:t>
            </w:r>
            <w:r>
              <w:rPr>
                <w:rFonts w:hint="default"/>
                <w:color w:val="auto"/>
              </w:rPr>
              <w:t>在井场内设置</w:t>
            </w:r>
            <w:r>
              <w:rPr>
                <w:rFonts w:hint="eastAsia"/>
                <w:color w:val="auto"/>
                <w:lang w:val="en-US" w:eastAsia="zh-CN"/>
              </w:rPr>
              <w:t>1</w:t>
            </w:r>
            <w:r>
              <w:rPr>
                <w:rFonts w:hint="default"/>
                <w:color w:val="auto"/>
              </w:rPr>
              <w:t>座临时危险废物</w:t>
            </w:r>
            <w:r>
              <w:rPr>
                <w:rFonts w:hint="eastAsia"/>
                <w:color w:val="auto"/>
                <w:lang w:val="en-US" w:eastAsia="zh-CN"/>
              </w:rPr>
              <w:t>贮存点</w:t>
            </w:r>
            <w:r>
              <w:rPr>
                <w:rFonts w:hint="default"/>
                <w:color w:val="auto"/>
              </w:rPr>
              <w:t>，</w:t>
            </w:r>
            <w:r>
              <w:rPr>
                <w:rFonts w:hint="eastAsia"/>
                <w:color w:val="auto"/>
                <w:lang w:val="en-US" w:eastAsia="zh-CN"/>
              </w:rPr>
              <w:t>钻井期危废贮存量预计0.5t，试油期预计0.2t。位于井场内，</w:t>
            </w:r>
            <w:r>
              <w:rPr>
                <w:rFonts w:hint="default"/>
                <w:color w:val="auto"/>
              </w:rPr>
              <w:t>选址符合《危险废物贮存污染控制标准》（GB18597-2023）的</w:t>
            </w:r>
            <w:r>
              <w:rPr>
                <w:rFonts w:hint="eastAsia"/>
                <w:color w:val="auto"/>
                <w:lang w:val="en-US" w:eastAsia="zh-CN"/>
              </w:rPr>
              <w:t>相关</w:t>
            </w:r>
            <w:r>
              <w:rPr>
                <w:rFonts w:hint="default"/>
                <w:color w:val="auto"/>
              </w:rPr>
              <w:t>要求，建设具体要求如下：</w:t>
            </w:r>
          </w:p>
          <w:p>
            <w:pPr>
              <w:pStyle w:val="36"/>
              <w:bidi w:val="0"/>
              <w:rPr>
                <w:rFonts w:hint="default"/>
                <w:color w:val="auto"/>
              </w:rPr>
            </w:pPr>
            <w:r>
              <w:rPr>
                <w:rFonts w:hint="default"/>
                <w:color w:val="auto"/>
              </w:rPr>
              <w:t>①贮存设施应根据危险废物的形态、物理化学性质、包装形式和污染物迁移途径，采取必要的防风、防晒、防雨、防漏、防渗、防腐以及其他环境污染防治措施，不应露天堆放危险废物。</w:t>
            </w:r>
          </w:p>
          <w:p>
            <w:pPr>
              <w:pStyle w:val="36"/>
              <w:bidi w:val="0"/>
              <w:rPr>
                <w:rFonts w:hint="default"/>
                <w:color w:val="auto"/>
              </w:rPr>
            </w:pPr>
            <w:r>
              <w:rPr>
                <w:rFonts w:hint="default"/>
                <w:color w:val="auto"/>
              </w:rPr>
              <w:t>②贮存设施应根据危险废物的类别、数量、形态、物理化学性质和污染防治等要求设置必要的贮存分区，避免不相容的危险废物接触、混合。</w:t>
            </w:r>
          </w:p>
          <w:p>
            <w:pPr>
              <w:pStyle w:val="36"/>
              <w:bidi w:val="0"/>
              <w:rPr>
                <w:rFonts w:hint="default"/>
                <w:color w:val="auto"/>
              </w:rPr>
            </w:pPr>
            <w:r>
              <w:rPr>
                <w:rFonts w:hint="default"/>
                <w:color w:val="auto"/>
              </w:rPr>
              <w:t>③贮存设施地面与裙脚应采取表面防渗措施；表面防渗材料应与所接触的物料或污染物相容，可采用抗渗混凝土、高密度聚乙烯膜、钠基膨润土防水毯或其他防渗性能等效的材料。</w:t>
            </w:r>
          </w:p>
          <w:p>
            <w:pPr>
              <w:pStyle w:val="36"/>
              <w:bidi w:val="0"/>
              <w:rPr>
                <w:rFonts w:hint="default"/>
                <w:color w:val="auto"/>
              </w:rPr>
            </w:pPr>
            <w:r>
              <w:rPr>
                <w:rFonts w:hint="default"/>
                <w:color w:val="auto"/>
              </w:rPr>
              <w:t>④同一贮存设施采用相同的防渗、防腐工艺（包括防渗、防腐结构或材料），防渗、防腐材料应覆盖所有可能与废物及其渗滤液、渗漏液等接触的构筑物表面；贮存设施应采取技术和管理措施防止无关人员进入。</w:t>
            </w:r>
          </w:p>
          <w:p>
            <w:pPr>
              <w:pStyle w:val="36"/>
              <w:bidi w:val="0"/>
              <w:rPr>
                <w:rFonts w:hint="default"/>
                <w:color w:val="auto"/>
              </w:rPr>
            </w:pPr>
            <w:r>
              <w:rPr>
                <w:rFonts w:hint="default"/>
                <w:color w:val="auto"/>
              </w:rPr>
              <w:t>⑤容器和包装物污染控制要求</w:t>
            </w:r>
          </w:p>
          <w:p>
            <w:pPr>
              <w:pStyle w:val="36"/>
              <w:bidi w:val="0"/>
              <w:rPr>
                <w:rFonts w:hint="default"/>
                <w:color w:val="auto"/>
              </w:rPr>
            </w:pPr>
            <w:r>
              <w:rPr>
                <w:rFonts w:hint="default"/>
                <w:color w:val="auto"/>
              </w:rPr>
              <w:t>废润滑油采用桶装，容器材质、内衬应与盛装的危险废物相容；容器满足相应的防渗、防漏、防腐和强度等要求；容器内部应留有适当的空间，以适应因温度变化等可能引发的收缩和膨胀，防止其导致容器渗漏或永久变形；容器外表面应保持清洁。</w:t>
            </w:r>
          </w:p>
          <w:p>
            <w:pPr>
              <w:pStyle w:val="36"/>
              <w:bidi w:val="0"/>
              <w:rPr>
                <w:rFonts w:hint="default"/>
                <w:color w:val="auto"/>
              </w:rPr>
            </w:pPr>
            <w:r>
              <w:rPr>
                <w:rFonts w:hint="default"/>
                <w:color w:val="auto"/>
              </w:rPr>
              <w:t>⑥贮存过程污染控制要求</w:t>
            </w:r>
          </w:p>
          <w:p>
            <w:pPr>
              <w:widowControl w:val="0"/>
              <w:bidi w:val="0"/>
              <w:adjustRightInd w:val="0"/>
              <w:snapToGrid w:val="0"/>
              <w:spacing w:line="520" w:lineRule="exact"/>
              <w:ind w:firstLine="472" w:firstLineChars="200"/>
              <w:jc w:val="both"/>
              <w:rPr>
                <w:rFonts w:hint="default"/>
                <w:color w:val="auto"/>
              </w:rPr>
            </w:pPr>
            <w:r>
              <w:rPr>
                <w:rFonts w:hint="eastAsia" w:ascii="Times New Roman" w:hAnsi="Times New Roman" w:eastAsia="宋体" w:cs="Times New Roman"/>
                <w:color w:val="auto"/>
                <w:spacing w:val="-2"/>
                <w:kern w:val="0"/>
                <w:sz w:val="24"/>
                <w:szCs w:val="24"/>
                <w:lang w:val="en-US" w:eastAsia="zh-CN" w:bidi="ar-SA"/>
              </w:rPr>
              <w:t>危险废物</w:t>
            </w:r>
            <w:r>
              <w:rPr>
                <w:rFonts w:hint="default" w:ascii="Times New Roman" w:hAnsi="Times New Roman" w:eastAsia="宋体" w:cs="Times New Roman"/>
                <w:color w:val="auto"/>
                <w:spacing w:val="-2"/>
                <w:kern w:val="0"/>
                <w:sz w:val="24"/>
                <w:szCs w:val="24"/>
                <w:lang w:val="en-US" w:eastAsia="zh-CN" w:bidi="ar-SA"/>
              </w:rPr>
              <w:t>贮存点应具有固定的区域边界，并应采取与其他区域进行隔离的措施</w:t>
            </w:r>
            <w:r>
              <w:rPr>
                <w:rFonts w:hint="eastAsia" w:ascii="Times New Roman" w:hAnsi="Times New Roman" w:eastAsia="宋体" w:cs="Times New Roman"/>
                <w:color w:val="auto"/>
                <w:spacing w:val="-2"/>
                <w:kern w:val="0"/>
                <w:sz w:val="24"/>
                <w:szCs w:val="24"/>
                <w:lang w:val="en-US" w:eastAsia="zh-CN" w:bidi="ar-SA"/>
              </w:rPr>
              <w:t>；</w:t>
            </w:r>
            <w:r>
              <w:rPr>
                <w:rFonts w:hint="default" w:ascii="Times New Roman" w:hAnsi="Times New Roman" w:eastAsia="宋体" w:cs="Times New Roman"/>
                <w:color w:val="auto"/>
                <w:spacing w:val="-2"/>
                <w:kern w:val="0"/>
                <w:sz w:val="24"/>
                <w:szCs w:val="24"/>
                <w:lang w:val="en-US" w:eastAsia="zh-CN" w:bidi="ar-SA"/>
              </w:rPr>
              <w:t>贮存点应采取防风、防雨、防晒和防止危险废物流失、扬散等措施</w:t>
            </w:r>
            <w:r>
              <w:rPr>
                <w:rFonts w:hint="eastAsia" w:ascii="Times New Roman" w:hAnsi="Times New Roman" w:eastAsia="宋体" w:cs="Times New Roman"/>
                <w:color w:val="auto"/>
                <w:spacing w:val="-2"/>
                <w:kern w:val="0"/>
                <w:sz w:val="24"/>
                <w:szCs w:val="24"/>
                <w:lang w:val="en-US" w:eastAsia="zh-CN" w:bidi="ar-SA"/>
              </w:rPr>
              <w:t>；</w:t>
            </w:r>
            <w:r>
              <w:rPr>
                <w:rFonts w:hint="default" w:ascii="Times New Roman" w:hAnsi="Times New Roman" w:eastAsia="宋体" w:cs="Times New Roman"/>
                <w:color w:val="auto"/>
                <w:spacing w:val="-2"/>
                <w:kern w:val="0"/>
                <w:sz w:val="24"/>
                <w:szCs w:val="24"/>
                <w:lang w:val="en-US" w:eastAsia="zh-CN" w:bidi="ar-SA"/>
              </w:rPr>
              <w:t>贮存点贮存的危险废物应置于容器或包装物中，不应直接散堆</w:t>
            </w:r>
            <w:r>
              <w:rPr>
                <w:rFonts w:hint="eastAsia" w:ascii="Times New Roman" w:hAnsi="Times New Roman" w:eastAsia="宋体" w:cs="Times New Roman"/>
                <w:color w:val="auto"/>
                <w:spacing w:val="-2"/>
                <w:kern w:val="0"/>
                <w:sz w:val="24"/>
                <w:szCs w:val="24"/>
                <w:lang w:val="en-US" w:eastAsia="zh-CN" w:bidi="ar-SA"/>
              </w:rPr>
              <w:t>；</w:t>
            </w:r>
            <w:r>
              <w:rPr>
                <w:rFonts w:hint="default" w:ascii="Times New Roman" w:hAnsi="Times New Roman" w:eastAsia="宋体" w:cs="Times New Roman"/>
                <w:color w:val="auto"/>
                <w:spacing w:val="-2"/>
                <w:kern w:val="0"/>
                <w:sz w:val="24"/>
                <w:szCs w:val="24"/>
                <w:lang w:val="en-US" w:eastAsia="zh-CN" w:bidi="ar-SA"/>
              </w:rPr>
              <w:t>贮存点应根据危险废物的形态、物理化学性质、包装形式等，采取防渗、防漏等污染防治措施或采用具有相应功能的装置。危险废物应及时清运。废润滑油、废润滑油桶和沾油废防渗材料分类堆放贮存，废润滑油装入桶内贮存，桶顶部带盖。</w:t>
            </w:r>
          </w:p>
          <w:p>
            <w:pPr>
              <w:pStyle w:val="36"/>
              <w:bidi w:val="0"/>
              <w:rPr>
                <w:rFonts w:hint="default"/>
                <w:color w:val="auto"/>
              </w:rPr>
            </w:pPr>
            <w:r>
              <w:rPr>
                <w:rFonts w:hint="default"/>
                <w:color w:val="auto"/>
              </w:rPr>
              <w:t>⑦运行环境管理要求</w:t>
            </w:r>
          </w:p>
          <w:p>
            <w:pPr>
              <w:pStyle w:val="36"/>
              <w:bidi w:val="0"/>
              <w:rPr>
                <w:rFonts w:hint="default"/>
                <w:color w:val="auto"/>
              </w:rPr>
            </w:pPr>
            <w:r>
              <w:rPr>
                <w:rFonts w:hint="default"/>
                <w:color w:val="auto"/>
              </w:rPr>
              <w:t>危险废物存入贮存设施前应对危险废物类别和特性与危险废物标签等危险废物识别标志的一致性进行核验，不一致的或类别、特性不明的不应存入；应定期检查危险废物的贮存状况，及时清理贮存设施地面，更换破损泄漏的危险废物贮存容器，保证堆存危险废物的防雨、防风、防扬尘等设施功能完好；贮存设施所有者或运营者应建立贮存设施环境管理制度、管理人员岗位职责制度、设施运行操作制度、人员岗位培训制度等。</w:t>
            </w:r>
          </w:p>
          <w:p>
            <w:pPr>
              <w:pStyle w:val="36"/>
              <w:bidi w:val="0"/>
              <w:rPr>
                <w:rFonts w:hint="default"/>
                <w:color w:val="auto"/>
              </w:rPr>
            </w:pPr>
            <w:r>
              <w:rPr>
                <w:rFonts w:hint="default"/>
                <w:color w:val="auto"/>
              </w:rPr>
              <w:t>（</w:t>
            </w:r>
            <w:r>
              <w:rPr>
                <w:rFonts w:hint="eastAsia"/>
                <w:color w:val="auto"/>
                <w:lang w:val="en-US" w:eastAsia="zh-CN"/>
              </w:rPr>
              <w:t>6</w:t>
            </w:r>
            <w:r>
              <w:rPr>
                <w:rFonts w:hint="default"/>
                <w:color w:val="auto"/>
              </w:rPr>
              <w:t>）生活垃圾</w:t>
            </w:r>
          </w:p>
          <w:bookmarkEnd w:id="60"/>
          <w:p>
            <w:pPr>
              <w:pStyle w:val="36"/>
              <w:bidi w:val="0"/>
              <w:rPr>
                <w:rFonts w:hint="eastAsia"/>
                <w:color w:val="auto"/>
                <w:lang w:val="en-US" w:eastAsia="zh-CN"/>
              </w:rPr>
            </w:pPr>
            <w:bookmarkStart w:id="64" w:name="_Hlk183361156"/>
            <w:bookmarkStart w:id="65" w:name="_Hlk136792721"/>
            <w:r>
              <w:rPr>
                <w:rFonts w:hint="eastAsia"/>
                <w:color w:val="auto"/>
                <w:lang w:val="en-US" w:eastAsia="zh-CN"/>
              </w:rPr>
              <w:t>本项目设置生活垃圾收集箱，箱底铺设防渗膜，上部遮盖篷布，钻试期共计产生9.66t生活垃圾，集中收集后定期委托拉运至玛纳斯县生活垃圾填埋场处置。</w:t>
            </w:r>
          </w:p>
          <w:p>
            <w:pPr>
              <w:pStyle w:val="36"/>
              <w:bidi w:val="0"/>
              <w:rPr>
                <w:rFonts w:hint="eastAsia"/>
                <w:color w:val="auto"/>
              </w:rPr>
            </w:pPr>
            <w:r>
              <w:rPr>
                <w:rFonts w:hint="eastAsia"/>
                <w:color w:val="auto"/>
              </w:rPr>
              <w:t>玛纳斯县生活垃圾填埋场位于县城以北4.5公里、兰州湾镇下兰州湾村北（中心地理位置坐标为E86°11′36</w:t>
            </w:r>
            <w:r>
              <w:rPr>
                <w:rFonts w:hint="eastAsia"/>
                <w:color w:val="auto"/>
                <w:lang w:val="en-US" w:eastAsia="zh-CN"/>
              </w:rPr>
              <w:t>″</w:t>
            </w:r>
            <w:r>
              <w:rPr>
                <w:rFonts w:hint="eastAsia"/>
                <w:color w:val="auto"/>
              </w:rPr>
              <w:t>，N44°19′32</w:t>
            </w:r>
            <w:r>
              <w:rPr>
                <w:rFonts w:hint="eastAsia"/>
                <w:color w:val="auto"/>
                <w:lang w:val="en-US" w:eastAsia="zh-CN"/>
              </w:rPr>
              <w:t>″</w:t>
            </w:r>
            <w:r>
              <w:rPr>
                <w:rFonts w:hint="eastAsia"/>
                <w:color w:val="auto"/>
              </w:rPr>
              <w:t>），距项目区北侧约33km。《玛纳斯县城生活垃圾处理工程环境影响报告书》于2008年12月17日通过原新疆维吾尔自治区环境保护厅批复（新环监函〔2008〕569号）；一期工程于2016年1月通过竣工环保验收，二期于2019年1月通过竣工环保验收。该垃圾填埋场设计有效库容为54.2万m</w:t>
            </w:r>
            <w:r>
              <w:rPr>
                <w:rFonts w:hint="eastAsia"/>
                <w:color w:val="auto"/>
                <w:vertAlign w:val="superscript"/>
              </w:rPr>
              <w:t>3</w:t>
            </w:r>
            <w:r>
              <w:rPr>
                <w:rFonts w:hint="eastAsia"/>
                <w:color w:val="auto"/>
              </w:rPr>
              <w:t>，使用年限10年，采用卫生填埋工艺，日处理垃圾量约100t。</w:t>
            </w:r>
          </w:p>
          <w:p>
            <w:pPr>
              <w:pStyle w:val="36"/>
              <w:bidi w:val="0"/>
              <w:rPr>
                <w:rFonts w:hint="eastAsia"/>
                <w:color w:val="auto"/>
              </w:rPr>
            </w:pPr>
            <w:r>
              <w:rPr>
                <w:rFonts w:hint="eastAsia"/>
                <w:color w:val="auto"/>
              </w:rPr>
              <w:t>本项目施工期生活垃圾产生量较少，相对于该垃圾填埋场的库容所占比例很小，依托可行。</w:t>
            </w:r>
          </w:p>
          <w:p>
            <w:pPr>
              <w:pStyle w:val="36"/>
              <w:bidi w:val="0"/>
              <w:rPr>
                <w:rFonts w:hint="default"/>
                <w:color w:val="auto"/>
              </w:rPr>
            </w:pPr>
            <w:r>
              <w:rPr>
                <w:rFonts w:hint="default"/>
                <w:color w:val="auto"/>
              </w:rPr>
              <w:t>（</w:t>
            </w:r>
            <w:r>
              <w:rPr>
                <w:rFonts w:hint="eastAsia"/>
                <w:color w:val="auto"/>
                <w:lang w:val="en-US" w:eastAsia="zh-CN"/>
              </w:rPr>
              <w:t>7</w:t>
            </w:r>
            <w:r>
              <w:rPr>
                <w:rFonts w:hint="default"/>
                <w:color w:val="auto"/>
              </w:rPr>
              <w:t>）一般工业固体废物环境管理要求</w:t>
            </w:r>
          </w:p>
          <w:p>
            <w:pPr>
              <w:pStyle w:val="36"/>
              <w:bidi w:val="0"/>
              <w:rPr>
                <w:rFonts w:hint="default"/>
                <w:color w:val="auto"/>
              </w:rPr>
            </w:pPr>
            <w:r>
              <w:rPr>
                <w:rFonts w:hint="default"/>
                <w:color w:val="auto"/>
              </w:rPr>
              <w:t>①建设单位应落实污染环境防治责任制度，建立健全工业固体废物产生、收集、贮存、运输、利用、处置全过程的污染环境防治责任制度。建立工业固体废物管理台账，如实记录产生工业固体废物的种类、数量、流向、贮存、利用、处置等信息，实现工业固体废物可追溯、可查询。</w:t>
            </w:r>
          </w:p>
          <w:p>
            <w:pPr>
              <w:pStyle w:val="20"/>
              <w:widowControl w:val="0"/>
              <w:spacing w:before="0" w:beforeAutospacing="0" w:after="0" w:afterAutospacing="0" w:line="480" w:lineRule="exact"/>
              <w:ind w:left="-125" w:right="-56" w:firstLine="570"/>
              <w:jc w:val="both"/>
              <w:rPr>
                <w:rFonts w:hint="default" w:ascii="Times New Roman" w:hAnsi="Times New Roman" w:cs="Times New Roman"/>
                <w:color w:val="auto"/>
              </w:rPr>
            </w:pPr>
            <w:r>
              <w:rPr>
                <w:rFonts w:hint="default" w:ascii="Times New Roman" w:hAnsi="Times New Roman" w:cs="Times New Roman"/>
                <w:color w:val="auto"/>
                <w:kern w:val="2"/>
                <w:lang w:bidi="ar"/>
              </w:rPr>
              <w:t>②建设单位应与具有相应具有固体废物处置资质的单位签订书面合同，在合同中约定污染防治要求，由受托方负责处置水基岩屑。</w:t>
            </w:r>
          </w:p>
          <w:p>
            <w:pPr>
              <w:pStyle w:val="36"/>
              <w:bidi w:val="0"/>
              <w:rPr>
                <w:rFonts w:hint="default"/>
                <w:color w:val="auto"/>
              </w:rPr>
            </w:pPr>
            <w:r>
              <w:rPr>
                <w:rFonts w:hint="default"/>
                <w:color w:val="auto"/>
              </w:rPr>
              <w:t>（</w:t>
            </w:r>
            <w:r>
              <w:rPr>
                <w:rFonts w:hint="eastAsia"/>
                <w:color w:val="auto"/>
                <w:lang w:val="en-US" w:eastAsia="zh-CN"/>
              </w:rPr>
              <w:t>8</w:t>
            </w:r>
            <w:r>
              <w:rPr>
                <w:rFonts w:hint="default"/>
                <w:color w:val="auto"/>
              </w:rPr>
              <w:t>）</w:t>
            </w:r>
            <w:bookmarkStart w:id="66" w:name="_Hlk183363774"/>
            <w:r>
              <w:rPr>
                <w:rFonts w:hint="default"/>
                <w:color w:val="auto"/>
              </w:rPr>
              <w:t>危险废物环境管理要求</w:t>
            </w:r>
            <w:bookmarkEnd w:id="66"/>
          </w:p>
          <w:bookmarkEnd w:id="64"/>
          <w:p>
            <w:pPr>
              <w:pStyle w:val="36"/>
              <w:bidi w:val="0"/>
              <w:rPr>
                <w:rFonts w:hint="default"/>
                <w:color w:val="auto"/>
              </w:rPr>
            </w:pPr>
            <w:r>
              <w:rPr>
                <w:rFonts w:hint="default"/>
                <w:color w:val="auto"/>
              </w:rPr>
              <w:t>建设单位及施工单位应对油基钻井岩屑、废润滑油、废润滑油桶和沾油的废防渗材料按照《危险废物环境管理指南  陆上石油天然气开采》中的危险废物环境管理要求进行管理，具体如下：</w:t>
            </w:r>
          </w:p>
          <w:p>
            <w:pPr>
              <w:bidi w:val="0"/>
              <w:rPr>
                <w:rFonts w:hint="eastAsia"/>
                <w:color w:val="auto"/>
                <w:lang w:val="en-US" w:eastAsia="zh-CN"/>
              </w:rPr>
            </w:pPr>
            <w:r>
              <w:rPr>
                <w:rFonts w:hint="eastAsia"/>
                <w:color w:val="auto"/>
                <w:lang w:val="en-US" w:eastAsia="zh-CN"/>
              </w:rPr>
              <w:t>①井场宜设危险废物贮存点用于贮存废润滑油、废润滑油桶、沾油废防渗材料、废含油抹布和劳保用品等危险废物，设置贮存罐区用于贮存油基岩屑。定期巡检油基岩屑罐区，防止油基岩屑外溢。</w:t>
            </w:r>
          </w:p>
          <w:p>
            <w:pPr>
              <w:bidi w:val="0"/>
              <w:rPr>
                <w:rFonts w:hint="eastAsia"/>
                <w:color w:val="auto"/>
                <w:lang w:val="en-US" w:eastAsia="zh-CN"/>
              </w:rPr>
            </w:pPr>
            <w:r>
              <w:rPr>
                <w:rFonts w:hint="eastAsia"/>
                <w:color w:val="auto"/>
                <w:lang w:val="en-US" w:eastAsia="zh-CN"/>
              </w:rPr>
              <w:t>②落实污染环境防治责任制度，本项目应建立健全危险废物产生、收集、贮存过程的污染环境防治责任制度。</w:t>
            </w:r>
          </w:p>
          <w:p>
            <w:pPr>
              <w:bidi w:val="0"/>
              <w:rPr>
                <w:rFonts w:hint="eastAsia"/>
                <w:color w:val="auto"/>
                <w:lang w:val="en-US" w:eastAsia="zh-CN"/>
              </w:rPr>
            </w:pPr>
            <w:r>
              <w:rPr>
                <w:rFonts w:hint="eastAsia"/>
                <w:color w:val="auto"/>
                <w:lang w:val="en-US" w:eastAsia="zh-CN"/>
              </w:rPr>
              <w:t>③按照国家有关规定和环境保护标准要求贮存危险废物，不得将其擅自倾倒处置；禁止混合收集、贮存不相容或未经安全性处置的危险废物。危险废物收集、贮存应当按照其特性分类进行；禁止将危险废物混入非危险废物中贮存。危险废物收集、贮存过程的污染控制执行《危险废物贮存污染控制标准》（</w:t>
            </w:r>
            <w:r>
              <w:rPr>
                <w:rFonts w:hint="default"/>
                <w:color w:val="auto"/>
                <w:lang w:val="en-US" w:eastAsia="zh-CN"/>
              </w:rPr>
              <w:t>GB18597</w:t>
            </w:r>
            <w:r>
              <w:rPr>
                <w:rFonts w:hint="eastAsia"/>
                <w:color w:val="auto"/>
                <w:lang w:val="en-US" w:eastAsia="zh-CN"/>
              </w:rPr>
              <w:t>）《危险废物收集贮存运输技术规范》（</w:t>
            </w:r>
            <w:r>
              <w:rPr>
                <w:rFonts w:hint="default"/>
                <w:color w:val="auto"/>
                <w:lang w:val="en-US" w:eastAsia="zh-CN"/>
              </w:rPr>
              <w:t>HJ2025</w:t>
            </w:r>
            <w:r>
              <w:rPr>
                <w:rFonts w:hint="eastAsia"/>
                <w:color w:val="auto"/>
                <w:lang w:val="en-US" w:eastAsia="zh-CN"/>
              </w:rPr>
              <w:t>）等有关规定。</w:t>
            </w:r>
          </w:p>
          <w:p>
            <w:pPr>
              <w:bidi w:val="0"/>
              <w:rPr>
                <w:rFonts w:hint="eastAsia"/>
                <w:color w:val="auto"/>
                <w:lang w:val="en-US" w:eastAsia="zh-CN"/>
              </w:rPr>
            </w:pPr>
            <w:r>
              <w:rPr>
                <w:rFonts w:hint="eastAsia"/>
                <w:color w:val="auto"/>
                <w:lang w:val="en-US" w:eastAsia="zh-CN"/>
              </w:rPr>
              <w:t>④落实环境影响评价制度及环境保护三同时制度，本项目配套危险废物贮存点应当在钻前完成建设，钻井、试油期投入使用。</w:t>
            </w:r>
          </w:p>
          <w:p>
            <w:pPr>
              <w:bidi w:val="0"/>
              <w:rPr>
                <w:rFonts w:hint="eastAsia"/>
                <w:color w:val="auto"/>
                <w:lang w:val="en-US" w:eastAsia="zh-CN"/>
              </w:rPr>
            </w:pPr>
            <w:r>
              <w:rPr>
                <w:rFonts w:hint="eastAsia"/>
                <w:color w:val="auto"/>
                <w:lang w:val="en-US" w:eastAsia="zh-CN"/>
              </w:rPr>
              <w:t>⑤落实危险废物识别标志制度，按照《环境保护图形标志固体废物贮存（处置）场》（</w:t>
            </w:r>
            <w:r>
              <w:rPr>
                <w:rFonts w:hint="default"/>
                <w:color w:val="auto"/>
                <w:lang w:val="en-US" w:eastAsia="zh-CN"/>
              </w:rPr>
              <w:t>GB15562.2</w:t>
            </w:r>
            <w:r>
              <w:rPr>
                <w:rFonts w:hint="eastAsia"/>
                <w:color w:val="auto"/>
                <w:lang w:val="en-US" w:eastAsia="zh-CN"/>
              </w:rPr>
              <w:t>）等有关规定，对危险废物的容器和包装物以及收集、贮存危险废物的设施、场所设置危险废物识别标志。</w:t>
            </w:r>
          </w:p>
          <w:p>
            <w:pPr>
              <w:bidi w:val="0"/>
              <w:rPr>
                <w:rFonts w:hint="eastAsia"/>
                <w:color w:val="auto"/>
                <w:lang w:val="en-US" w:eastAsia="zh-CN"/>
              </w:rPr>
            </w:pPr>
            <w:r>
              <w:rPr>
                <w:rFonts w:hint="eastAsia"/>
                <w:color w:val="auto"/>
                <w:lang w:val="en-US" w:eastAsia="zh-CN"/>
              </w:rPr>
              <w:t>⑥落实危险废物管理计划制度，按照《危险废物产生单位管理计划制定指南》等有关要求制定危险废物管理计划，并报所在地生态环境主管部门备案。</w:t>
            </w:r>
          </w:p>
          <w:p>
            <w:pPr>
              <w:bidi w:val="0"/>
              <w:rPr>
                <w:rFonts w:hint="eastAsia"/>
                <w:color w:val="auto"/>
                <w:lang w:val="en-US" w:eastAsia="zh-CN"/>
              </w:rPr>
            </w:pPr>
            <w:r>
              <w:rPr>
                <w:rFonts w:hint="eastAsia"/>
                <w:color w:val="auto"/>
                <w:lang w:val="en-US" w:eastAsia="zh-CN"/>
              </w:rPr>
              <w:t>⑦落实危险废物管理台账及申报制度，建立危险废物管理台账，如实记录有关信息，并通过国家危险废物信息管理系统向所在地生态环境主管部门申报危险废物的种类、产生量、流向、贮存、处置等有关资料。</w:t>
            </w:r>
          </w:p>
          <w:p>
            <w:pPr>
              <w:bidi w:val="0"/>
              <w:rPr>
                <w:rFonts w:hint="eastAsia"/>
                <w:color w:val="auto"/>
                <w:lang w:val="en-US" w:eastAsia="zh-CN"/>
              </w:rPr>
            </w:pPr>
            <w:r>
              <w:rPr>
                <w:rFonts w:hint="eastAsia"/>
                <w:color w:val="auto"/>
                <w:lang w:val="en-US" w:eastAsia="zh-CN"/>
              </w:rPr>
              <w:t>⑧禁止将危险废物提供或委托给无危险废物经营许可证的单位或者其他生产经营者从事收集、贮存、利用、处置活动。</w:t>
            </w:r>
          </w:p>
          <w:p>
            <w:pPr>
              <w:bidi w:val="0"/>
              <w:rPr>
                <w:rFonts w:hint="eastAsia"/>
                <w:color w:val="auto"/>
                <w:lang w:val="en-US" w:eastAsia="zh-CN"/>
              </w:rPr>
            </w:pPr>
            <w:r>
              <w:rPr>
                <w:rFonts w:hint="eastAsia"/>
                <w:color w:val="auto"/>
                <w:lang w:val="en-US" w:eastAsia="zh-CN"/>
              </w:rPr>
              <w:t>⑨落实危险废物转移联单制度，转移危险废物的，应当按照《危险废物转移管理办法》的有关规定填写、运行危险废物转移联单。运输危险废物，应当采取防止污染环境的措施，并遵守国家有关危险货物运输管理的规定。</w:t>
            </w:r>
          </w:p>
          <w:p>
            <w:pPr>
              <w:bidi w:val="0"/>
              <w:rPr>
                <w:rFonts w:hint="eastAsia"/>
                <w:color w:val="auto"/>
                <w:lang w:val="en-US" w:eastAsia="zh-CN"/>
              </w:rPr>
            </w:pPr>
            <w:r>
              <w:rPr>
                <w:rFonts w:hint="eastAsia"/>
                <w:color w:val="auto"/>
                <w:lang w:val="en-US" w:eastAsia="zh-CN"/>
              </w:rPr>
              <w:t>⑩落实环境应急预案制度，参考《危险废物经营单位编制应急预案指南》有关规定制定意外事故的防范措施和环境应急预案，并向所在地生态环境主管部门和其他负有固体废物污染环境防治监督管理职责的部门备案。</w:t>
            </w:r>
          </w:p>
          <w:p>
            <w:pPr>
              <w:bidi w:val="0"/>
              <w:rPr>
                <w:rFonts w:hint="eastAsia"/>
                <w:color w:val="auto"/>
                <w:lang w:val="en-US" w:eastAsia="zh-CN"/>
              </w:rPr>
            </w:pPr>
            <w:r>
              <w:rPr>
                <w:rFonts w:hint="eastAsia"/>
                <w:color w:val="auto"/>
                <w:lang w:val="en-US" w:eastAsia="zh-CN"/>
              </w:rPr>
              <w:t>⑪加强危险废物规范化环境管理，按照《危险废物规范化环境管理评估指标》有关要求，提升危险废物规范化环境管理水平。</w:t>
            </w:r>
          </w:p>
          <w:bookmarkEnd w:id="65"/>
          <w:p>
            <w:pPr>
              <w:pStyle w:val="36"/>
              <w:bidi w:val="0"/>
              <w:rPr>
                <w:rFonts w:hint="default"/>
                <w:color w:val="auto"/>
              </w:rPr>
            </w:pPr>
            <w:r>
              <w:rPr>
                <w:rFonts w:hint="default"/>
                <w:color w:val="auto"/>
                <w:lang w:val="en-US" w:eastAsia="zh-CN"/>
              </w:rPr>
              <w:t>综上，严格落实各项</w:t>
            </w:r>
            <w:r>
              <w:rPr>
                <w:rFonts w:hint="default"/>
                <w:color w:val="auto"/>
              </w:rPr>
              <w:t>固体废物处置措施</w:t>
            </w:r>
            <w:r>
              <w:rPr>
                <w:rFonts w:hint="default"/>
                <w:color w:val="auto"/>
                <w:lang w:val="en-US" w:eastAsia="zh-CN"/>
              </w:rPr>
              <w:t>后</w:t>
            </w:r>
            <w:r>
              <w:rPr>
                <w:rFonts w:hint="default"/>
                <w:color w:val="auto"/>
              </w:rPr>
              <w:t>，</w:t>
            </w:r>
            <w:r>
              <w:rPr>
                <w:rFonts w:hint="default"/>
                <w:color w:val="auto"/>
                <w:lang w:val="en-US" w:eastAsia="zh-CN"/>
              </w:rPr>
              <w:t>项目施工期</w:t>
            </w:r>
            <w:r>
              <w:rPr>
                <w:rFonts w:hint="default"/>
                <w:color w:val="auto"/>
              </w:rPr>
              <w:t>产生的固体废物均得到妥善处置，不会对环境造成不利影响。</w:t>
            </w:r>
          </w:p>
          <w:p>
            <w:pPr>
              <w:pStyle w:val="32"/>
              <w:numPr>
                <w:ilvl w:val="0"/>
                <w:numId w:val="5"/>
              </w:numPr>
              <w:bidi w:val="0"/>
              <w:rPr>
                <w:rFonts w:hint="default"/>
                <w:color w:val="auto"/>
              </w:rPr>
            </w:pPr>
            <w:r>
              <w:rPr>
                <w:rFonts w:hint="default"/>
                <w:color w:val="auto"/>
              </w:rPr>
              <w:t>环境风险应急措施及应急要求</w:t>
            </w:r>
          </w:p>
          <w:p>
            <w:pPr>
              <w:pStyle w:val="36"/>
              <w:bidi w:val="0"/>
              <w:rPr>
                <w:rFonts w:hint="default"/>
                <w:color w:val="auto"/>
              </w:rPr>
            </w:pPr>
            <w:r>
              <w:rPr>
                <w:rFonts w:hint="default"/>
                <w:color w:val="auto"/>
              </w:rPr>
              <w:t>（1）建设单位以及施工钻井队结合行业作业规范，</w:t>
            </w:r>
            <w:r>
              <w:rPr>
                <w:rFonts w:hint="eastAsia"/>
                <w:color w:val="auto"/>
                <w:lang w:eastAsia="zh-CN"/>
              </w:rPr>
              <w:t>设置</w:t>
            </w:r>
            <w:r>
              <w:rPr>
                <w:rFonts w:hint="default"/>
                <w:color w:val="auto"/>
              </w:rPr>
              <w:t>专职安全环保管理人员，把安全、环境管理纳入生产管理的各个环节，对防止事故的发生能起到非常积极的作用。现场作业严格按照《石油天然气钻井作业健康、安全与环境管理导则》（Q/SY08053-2017）的要求执行。</w:t>
            </w:r>
          </w:p>
          <w:p>
            <w:pPr>
              <w:pStyle w:val="36"/>
              <w:bidi w:val="0"/>
              <w:rPr>
                <w:rFonts w:hint="default"/>
                <w:color w:val="auto"/>
              </w:rPr>
            </w:pPr>
            <w:r>
              <w:rPr>
                <w:rFonts w:hint="default"/>
                <w:color w:val="auto"/>
              </w:rPr>
              <w:t>（2）井喷环境风险防范措施</w:t>
            </w:r>
          </w:p>
          <w:p>
            <w:pPr>
              <w:pStyle w:val="36"/>
              <w:bidi w:val="0"/>
              <w:rPr>
                <w:rFonts w:hint="default"/>
                <w:color w:val="auto"/>
              </w:rPr>
            </w:pPr>
            <w:r>
              <w:rPr>
                <w:rFonts w:hint="default"/>
                <w:color w:val="auto"/>
              </w:rPr>
              <w:t>①</w:t>
            </w:r>
            <w:r>
              <w:rPr>
                <w:rFonts w:hint="eastAsia"/>
                <w:color w:val="auto"/>
                <w:lang w:val="en-US" w:eastAsia="zh-CN"/>
              </w:rPr>
              <w:t>井场</w:t>
            </w:r>
            <w:r>
              <w:rPr>
                <w:rFonts w:hint="default"/>
                <w:color w:val="auto"/>
              </w:rPr>
              <w:t>设井控装置，钻井工程中各岗位必须严格分工，定期对井控装置进行维护、保养、检查，保证井控装置及工具灵活可用、始终处于待命状态；落实溢流监测岗位、关井操作岗位和钻井队干部值班制度。</w:t>
            </w:r>
          </w:p>
          <w:p>
            <w:pPr>
              <w:pStyle w:val="36"/>
              <w:bidi w:val="0"/>
              <w:rPr>
                <w:rFonts w:hint="default"/>
                <w:color w:val="auto"/>
              </w:rPr>
            </w:pPr>
            <w:r>
              <w:rPr>
                <w:rFonts w:hint="default"/>
                <w:color w:val="auto"/>
              </w:rPr>
              <w:t>②</w:t>
            </w:r>
            <w:r>
              <w:rPr>
                <w:rFonts w:hint="eastAsia"/>
                <w:color w:val="auto"/>
              </w:rPr>
              <w:t>钻开油层后：落实专人坐岗，观察井口和循环池液面变化，发现溢流立即正确关井，疑似溢流立即关井检查；加强溢流预兆显示的观察，及时发现溢流；钻开油层后，每次起下钻（活动时间间隔超过5d）对闸板防喷器及手动锁紧装置开关活动一次，定期对井控装置进行试压；起钻杆时每3～5柱向环空灌满泥浆，起钻铤要连续灌浆，</w:t>
            </w:r>
            <w:r>
              <w:rPr>
                <w:rFonts w:hint="eastAsia"/>
                <w:color w:val="auto"/>
                <w:lang w:eastAsia="zh-CN"/>
              </w:rPr>
              <w:t>做好</w:t>
            </w:r>
            <w:r>
              <w:rPr>
                <w:rFonts w:hint="eastAsia"/>
                <w:color w:val="auto"/>
              </w:rPr>
              <w:t>记录、校核，若灌入泥浆量大于或小于应灌入量，均应停止起钻作业并进行观察。如有溢流应及时关井。如有井漏，应及时采取相应措施。安排专人观察出口管钻井液返出情况，严禁在空井情况下检修设备；钻开油层后，所有车辆应停放在距井口以外30m，必须进入距井口30m以内的车辆，应安装阻火器，车头朝外停放</w:t>
            </w:r>
            <w:r>
              <w:rPr>
                <w:rFonts w:hint="default"/>
                <w:color w:val="auto"/>
              </w:rPr>
              <w:t>。</w:t>
            </w:r>
          </w:p>
          <w:p>
            <w:pPr>
              <w:pStyle w:val="36"/>
              <w:bidi w:val="0"/>
              <w:rPr>
                <w:rFonts w:hint="default"/>
                <w:color w:val="auto"/>
              </w:rPr>
            </w:pPr>
            <w:r>
              <w:rPr>
                <w:rFonts w:hint="default"/>
                <w:color w:val="auto"/>
              </w:rPr>
              <w:t>③</w:t>
            </w:r>
            <w:r>
              <w:rPr>
                <w:rFonts w:hint="eastAsia"/>
                <w:color w:val="auto"/>
              </w:rPr>
              <w:t>溢流处理和压井措施：最大允许关井套压不得超过井口装置额定工作压力、套管抗内压强度的80%和薄弱地层破裂压力所允许关井套压三者中的最小值。在允许关井套压内严禁放喷。天然气溢流不允许长时间关井而不作处理。在等候加重材料或在加重过程中，视情况间隔一段时间向井内灌注加重钻井液，同时用节流管汇控制回压，保持井底压力略大于地层压力，排放井口附近含气钻井液。若等候时间长，应及时实施司钻法第一步排除溢流，防止井口压力过高。空井溢流关井后，根据溢流的严重程度，可采用强行下钻分段压井法、置换法、压回法等方法进行处理</w:t>
            </w:r>
            <w:r>
              <w:rPr>
                <w:rFonts w:hint="default"/>
                <w:color w:val="auto"/>
              </w:rPr>
              <w:t>。</w:t>
            </w:r>
          </w:p>
          <w:p>
            <w:pPr>
              <w:pStyle w:val="36"/>
              <w:bidi w:val="0"/>
              <w:rPr>
                <w:rFonts w:hint="default"/>
                <w:color w:val="auto"/>
              </w:rPr>
            </w:pPr>
            <w:r>
              <w:rPr>
                <w:rFonts w:hint="default"/>
                <w:color w:val="auto"/>
              </w:rPr>
              <w:t>④</w:t>
            </w:r>
            <w:r>
              <w:rPr>
                <w:rFonts w:hint="eastAsia"/>
                <w:color w:val="auto"/>
              </w:rPr>
              <w:t>测井、固井、完井等作业时，要严格执行安全操作规程和井控措施，避免发生井下复杂情况和井喷失控事故。测井队到井后应向井队了解井况，确认</w:t>
            </w:r>
            <w:r>
              <w:rPr>
                <w:rFonts w:hint="eastAsia"/>
                <w:color w:val="auto"/>
                <w:lang w:eastAsia="zh-CN"/>
              </w:rPr>
              <w:t>有效</w:t>
            </w:r>
            <w:r>
              <w:rPr>
                <w:rFonts w:hint="eastAsia"/>
                <w:color w:val="auto"/>
              </w:rPr>
              <w:t>时间，电测时发生溢流应立即停止电测，尽快起出井内电缆；当不具备起出电缆条件、钻井液涌出转盘面时，可以在井口实施剪断电缆。由钻井队队长决定何时切断电缆并进行关井作业，测井队专用剪切工具应放置在钻台上，测井中随时处于待命状态，测井队队长负责实施剪断电缆工作</w:t>
            </w:r>
            <w:r>
              <w:rPr>
                <w:rFonts w:hint="default"/>
                <w:color w:val="auto"/>
              </w:rPr>
              <w:t>。</w:t>
            </w:r>
          </w:p>
          <w:p>
            <w:pPr>
              <w:pStyle w:val="36"/>
              <w:bidi w:val="0"/>
              <w:rPr>
                <w:rFonts w:hint="default"/>
                <w:color w:val="auto"/>
              </w:rPr>
            </w:pPr>
            <w:bookmarkStart w:id="67" w:name="_Hlk183350582"/>
            <w:r>
              <w:rPr>
                <w:rFonts w:hint="default"/>
                <w:color w:val="auto"/>
              </w:rPr>
              <w:t>⑤</w:t>
            </w:r>
            <w:r>
              <w:rPr>
                <w:rFonts w:hint="eastAsia"/>
                <w:color w:val="auto"/>
              </w:rPr>
              <w:t>一旦发生井喷突发事件，应立即启动相应的环境突发事件专项应急预案，立即关闭井口切断污染源，立即通过放喷管线将井喷液体排放至放喷池内，控制原油污染面积，对放喷液进行集中收集处理。同时及时通知可能受影响的人员进行疏散；切断一切可能扩大污染范围的环节，严防污染区域的扩大。井喷失控事故后采取围、堵等措施限制固体废弃物和溢油扩散范围；将溢油最大限度地回收，对少量确实无法回收的油，采用铲除油泥层等有效方法，以降低残油对生态环境的污染程度；迅速布点监测，在第一时间确定污染物种类和浓度，出具监测数据，评估污染物转移、扩散速率；对污染状况进行跟踪调查，根据监测数据分析，预测污染迁移强度、速度和影响范围，及时调整对策。</w:t>
            </w:r>
            <w:bookmarkEnd w:id="67"/>
          </w:p>
          <w:p>
            <w:pPr>
              <w:pStyle w:val="36"/>
              <w:bidi w:val="0"/>
              <w:rPr>
                <w:rFonts w:hint="default"/>
                <w:color w:val="auto"/>
              </w:rPr>
            </w:pPr>
            <w:r>
              <w:rPr>
                <w:rFonts w:hint="default"/>
                <w:color w:val="auto"/>
              </w:rPr>
              <w:t>⑥试油期产生的伴生气气量不稳定，不具备回收利用条件，经放喷管线充分燃烧后排放；建设单位应定期检查伴生气燃烧设备，加强燃烧设备的运营维护，确保伴生气充分燃烧，减少污染物的排放。</w:t>
            </w:r>
          </w:p>
          <w:p>
            <w:pPr>
              <w:pStyle w:val="36"/>
              <w:bidi w:val="0"/>
              <w:rPr>
                <w:rFonts w:hint="default"/>
                <w:color w:val="auto"/>
              </w:rPr>
            </w:pPr>
            <w:r>
              <w:rPr>
                <w:rFonts w:hint="default"/>
                <w:color w:val="auto"/>
              </w:rPr>
              <w:t>（3）储罐泄漏防范措施</w:t>
            </w:r>
          </w:p>
          <w:p>
            <w:pPr>
              <w:pStyle w:val="36"/>
              <w:bidi w:val="0"/>
              <w:rPr>
                <w:rFonts w:hint="default"/>
                <w:color w:val="auto"/>
              </w:rPr>
            </w:pPr>
            <w:r>
              <w:rPr>
                <w:rFonts w:hint="default"/>
                <w:color w:val="auto"/>
              </w:rPr>
              <w:t>①选用质量、防腐措施合格的储罐。安装过程中焊接要经过100%的探伤，安装时应选择刚性不燃的坚固基础作为罐体基础。储罐在投用前，必须严格按照《压力容器安全技术监察规程》进行强度和气密性试验。</w:t>
            </w:r>
          </w:p>
          <w:p>
            <w:pPr>
              <w:pStyle w:val="36"/>
              <w:bidi w:val="0"/>
              <w:rPr>
                <w:rFonts w:hint="default"/>
                <w:color w:val="auto"/>
              </w:rPr>
            </w:pPr>
            <w:r>
              <w:rPr>
                <w:rFonts w:hint="default"/>
                <w:color w:val="auto"/>
              </w:rPr>
              <w:t>②储罐区应严格用火管理，采用有效的避雷装置和接地装置等防止雷电的措施。</w:t>
            </w:r>
          </w:p>
          <w:p>
            <w:pPr>
              <w:pStyle w:val="36"/>
              <w:bidi w:val="0"/>
              <w:rPr>
                <w:rFonts w:hint="default"/>
                <w:color w:val="auto"/>
              </w:rPr>
            </w:pPr>
            <w:r>
              <w:rPr>
                <w:rFonts w:hint="default"/>
                <w:color w:val="auto"/>
              </w:rPr>
              <w:t>③加强储罐和管线接口的检查工作，防止腐蚀穿孔。定期进行壁厚检测，腐蚀余量低于规定的允许值时，要及时进行检修和更换。</w:t>
            </w:r>
          </w:p>
          <w:p>
            <w:pPr>
              <w:pStyle w:val="36"/>
              <w:bidi w:val="0"/>
              <w:rPr>
                <w:rFonts w:hint="default"/>
                <w:color w:val="auto"/>
              </w:rPr>
            </w:pPr>
            <w:bookmarkStart w:id="68" w:name="_Hlk183350612"/>
            <w:r>
              <w:rPr>
                <w:rFonts w:hint="default"/>
                <w:color w:val="auto"/>
              </w:rPr>
              <w:t>④</w:t>
            </w:r>
            <w:bookmarkStart w:id="69" w:name="_Hlk183364061"/>
            <w:r>
              <w:rPr>
                <w:rFonts w:hint="default"/>
                <w:color w:val="auto"/>
              </w:rPr>
              <w:t>井场各类储罐、特别是油类物质及危险废物储罐底部均应铺设符合要求的防渗材料，一旦发生泄漏须及时发现并采取有效的堵漏措施，同时对产生的落地油集中收集，不在井场贮存，直接交由具有相应危废处置资质的单位进行接收、转运和处置；加强储罐运输环节的管理，避免出现储罐泄漏风险事故发生。</w:t>
            </w:r>
            <w:bookmarkEnd w:id="68"/>
            <w:bookmarkEnd w:id="69"/>
          </w:p>
          <w:p>
            <w:pPr>
              <w:pStyle w:val="36"/>
              <w:bidi w:val="0"/>
              <w:rPr>
                <w:rFonts w:hint="default"/>
                <w:color w:val="auto"/>
              </w:rPr>
            </w:pPr>
            <w:r>
              <w:rPr>
                <w:rFonts w:hint="default"/>
                <w:color w:val="auto"/>
              </w:rPr>
              <w:t>⑤加强消防安全管理</w:t>
            </w:r>
          </w:p>
          <w:p>
            <w:pPr>
              <w:pStyle w:val="36"/>
              <w:bidi w:val="0"/>
              <w:rPr>
                <w:rFonts w:hint="default"/>
                <w:color w:val="auto"/>
              </w:rPr>
            </w:pPr>
            <w:r>
              <w:rPr>
                <w:rFonts w:hint="default"/>
                <w:color w:val="auto"/>
              </w:rPr>
              <w:t>定期进行消防培训与实战演练，要求岗位工作人员具有较强的消防安全意识，加强巡检，确保无异常情况出现。</w:t>
            </w:r>
          </w:p>
          <w:p>
            <w:pPr>
              <w:pStyle w:val="36"/>
              <w:bidi w:val="0"/>
              <w:rPr>
                <w:rFonts w:hint="default"/>
                <w:color w:val="auto"/>
              </w:rPr>
            </w:pPr>
            <w:r>
              <w:rPr>
                <w:rFonts w:hint="default"/>
                <w:color w:val="auto"/>
              </w:rPr>
              <w:t>（4）井漏防范措施</w:t>
            </w:r>
          </w:p>
          <w:p>
            <w:pPr>
              <w:pStyle w:val="36"/>
              <w:bidi w:val="0"/>
              <w:rPr>
                <w:rFonts w:hint="default"/>
                <w:color w:val="auto"/>
              </w:rPr>
            </w:pPr>
            <w:r>
              <w:rPr>
                <w:rFonts w:hint="default"/>
                <w:color w:val="auto"/>
              </w:rPr>
              <w:t>①建立、健全各项安全管理制度以及配套的工艺、设备安全操作规程并严格执行，确保施工质量，防漏、防窜，做好防腐工作。</w:t>
            </w:r>
          </w:p>
          <w:p>
            <w:pPr>
              <w:pStyle w:val="36"/>
              <w:bidi w:val="0"/>
              <w:rPr>
                <w:rFonts w:hint="default"/>
                <w:color w:val="auto"/>
              </w:rPr>
            </w:pPr>
            <w:r>
              <w:rPr>
                <w:rFonts w:hint="default"/>
                <w:color w:val="auto"/>
              </w:rPr>
              <w:t>②操作人员应密切注意设备运行状况，发现管件破裂刺漏等问题及时处理；作业现场应配备消防设备以备应急救援。</w:t>
            </w:r>
          </w:p>
          <w:p>
            <w:pPr>
              <w:pStyle w:val="36"/>
              <w:bidi w:val="0"/>
              <w:rPr>
                <w:rFonts w:hint="default"/>
                <w:color w:val="auto"/>
              </w:rPr>
            </w:pPr>
            <w:r>
              <w:rPr>
                <w:rFonts w:hint="default"/>
                <w:color w:val="auto"/>
              </w:rPr>
              <w:t>③严格要求套管下入深度、确保固井质量。</w:t>
            </w:r>
          </w:p>
          <w:p>
            <w:pPr>
              <w:pStyle w:val="36"/>
              <w:bidi w:val="0"/>
              <w:rPr>
                <w:rFonts w:hint="default"/>
                <w:color w:val="auto"/>
              </w:rPr>
            </w:pPr>
            <w:r>
              <w:rPr>
                <w:rFonts w:hint="default"/>
                <w:color w:val="auto"/>
              </w:rPr>
              <w:t>④工程施工单位</w:t>
            </w:r>
            <w:r>
              <w:rPr>
                <w:rFonts w:hint="eastAsia"/>
                <w:color w:val="auto"/>
                <w:lang w:eastAsia="zh-CN"/>
              </w:rPr>
              <w:t>须具备</w:t>
            </w:r>
            <w:r>
              <w:rPr>
                <w:rFonts w:hint="default"/>
                <w:color w:val="auto"/>
              </w:rPr>
              <w:t>相应资质，加强对施工现场的安全组织管理和监督。</w:t>
            </w:r>
          </w:p>
          <w:p>
            <w:pPr>
              <w:pStyle w:val="36"/>
              <w:bidi w:val="0"/>
              <w:rPr>
                <w:rFonts w:hint="default"/>
                <w:color w:val="auto"/>
              </w:rPr>
            </w:pPr>
            <w:r>
              <w:rPr>
                <w:rFonts w:hint="default"/>
                <w:color w:val="auto"/>
              </w:rPr>
              <w:t>（5）硫化氢防范措施</w:t>
            </w:r>
          </w:p>
          <w:p>
            <w:pPr>
              <w:pStyle w:val="36"/>
              <w:bidi w:val="0"/>
              <w:rPr>
                <w:rFonts w:hint="default"/>
                <w:color w:val="auto"/>
              </w:rPr>
            </w:pPr>
            <w:r>
              <w:rPr>
                <w:rFonts w:hint="default"/>
                <w:color w:val="auto"/>
              </w:rPr>
              <w:t>①设置四合一监控报警仪、井控设备、网络设施、工艺参数实时监控系统、视频监控系统；职工佩戴油田通用的便携式四合一有毒有害气体监控报警仪</w:t>
            </w:r>
            <w:r>
              <w:rPr>
                <w:rFonts w:hint="eastAsia"/>
                <w:color w:val="auto"/>
                <w:lang w:eastAsia="zh-CN"/>
              </w:rPr>
              <w:t>；</w:t>
            </w:r>
            <w:r>
              <w:rPr>
                <w:rFonts w:hint="default"/>
                <w:color w:val="auto"/>
              </w:rPr>
              <w:t>在</w:t>
            </w:r>
            <w:r>
              <w:rPr>
                <w:rFonts w:hint="default"/>
                <w:color w:val="auto"/>
                <w:lang w:val="en-US" w:eastAsia="zh-CN"/>
              </w:rPr>
              <w:t>项目施工</w:t>
            </w:r>
            <w:r>
              <w:rPr>
                <w:rFonts w:hint="default"/>
                <w:color w:val="auto"/>
              </w:rPr>
              <w:t>过程中配备便携式硫化氢监测仪，做好硫化氢监测预警工作，并制定防硫化氢应急预案。当监测到硫化氢浓度大于75mg/m</w:t>
            </w:r>
            <w:r>
              <w:rPr>
                <w:rFonts w:hint="default"/>
                <w:color w:val="auto"/>
                <w:vertAlign w:val="superscript"/>
              </w:rPr>
              <w:t>3</w:t>
            </w:r>
            <w:r>
              <w:rPr>
                <w:rFonts w:hint="default"/>
                <w:color w:val="auto"/>
              </w:rPr>
              <w:t>（50ppm）时，按照含硫油气井作业规程执行。</w:t>
            </w:r>
          </w:p>
          <w:p>
            <w:pPr>
              <w:pStyle w:val="36"/>
              <w:bidi w:val="0"/>
              <w:rPr>
                <w:rFonts w:hint="default"/>
                <w:color w:val="auto"/>
              </w:rPr>
            </w:pPr>
            <w:r>
              <w:rPr>
                <w:rFonts w:hint="default"/>
                <w:color w:val="auto"/>
              </w:rPr>
              <w:t>②钻井期在作业现场显著位置设置5处风向标；试油期设置2处风向标，并在不同方向上划定2个紧急集合点，并规划撤离路线，发生紧急情况时向上风向撤离。</w:t>
            </w:r>
          </w:p>
          <w:p>
            <w:pPr>
              <w:pStyle w:val="36"/>
              <w:bidi w:val="0"/>
              <w:rPr>
                <w:rFonts w:hint="default"/>
                <w:color w:val="auto"/>
              </w:rPr>
            </w:pPr>
            <w:r>
              <w:rPr>
                <w:rFonts w:hint="default"/>
                <w:color w:val="auto"/>
              </w:rPr>
              <w:t>（6）物料运输环境风险防范措施</w:t>
            </w:r>
          </w:p>
          <w:p>
            <w:pPr>
              <w:pStyle w:val="36"/>
              <w:bidi w:val="0"/>
              <w:rPr>
                <w:rFonts w:hint="default"/>
                <w:color w:val="auto"/>
              </w:rPr>
            </w:pPr>
            <w:r>
              <w:rPr>
                <w:rFonts w:hint="default"/>
                <w:color w:val="auto"/>
              </w:rPr>
              <w:t>加强各类储罐运输环节的管理，避免出现储罐泄漏风险事故发生。危险废物在储存、转移、处理过程中应严格执行《危险废物转移管理办法》（部令第23号）并制定内部转移、转运制度。确保危险废物的运输安全可靠，减少或避免运输过程中的二次污染和可能造成的环境风险。</w:t>
            </w:r>
          </w:p>
          <w:p>
            <w:pPr>
              <w:pStyle w:val="36"/>
              <w:bidi w:val="0"/>
              <w:rPr>
                <w:rFonts w:hint="default"/>
                <w:color w:val="auto"/>
              </w:rPr>
            </w:pPr>
            <w:r>
              <w:rPr>
                <w:rFonts w:hint="default"/>
                <w:color w:val="auto"/>
              </w:rPr>
              <w:t>（</w:t>
            </w:r>
            <w:r>
              <w:rPr>
                <w:rFonts w:hint="eastAsia"/>
                <w:color w:val="auto"/>
                <w:lang w:val="en-US" w:eastAsia="zh-CN"/>
              </w:rPr>
              <w:t>7</w:t>
            </w:r>
            <w:r>
              <w:rPr>
                <w:rFonts w:hint="default"/>
                <w:color w:val="auto"/>
              </w:rPr>
              <w:t>）环境风险应急预案</w:t>
            </w:r>
          </w:p>
          <w:p>
            <w:pPr>
              <w:pStyle w:val="36"/>
              <w:bidi w:val="0"/>
              <w:rPr>
                <w:rFonts w:hint="default"/>
                <w:color w:val="auto"/>
              </w:rPr>
            </w:pPr>
            <w:r>
              <w:rPr>
                <w:rFonts w:hint="default"/>
                <w:color w:val="auto"/>
              </w:rPr>
              <w:t>本项目归属中国石油新疆油田分公司勘探事业部管辖，应将项目实施区域纳入《中国石油新疆油田分公司勘探事业部突发环境事件应急预案》。</w:t>
            </w:r>
          </w:p>
          <w:p>
            <w:pPr>
              <w:pStyle w:val="36"/>
              <w:bidi w:val="0"/>
              <w:rPr>
                <w:rFonts w:hint="default"/>
                <w:color w:val="auto"/>
              </w:rPr>
            </w:pPr>
            <w:r>
              <w:rPr>
                <w:rFonts w:hint="default"/>
                <w:color w:val="auto"/>
              </w:rPr>
              <w:t>（</w:t>
            </w:r>
            <w:r>
              <w:rPr>
                <w:rFonts w:hint="eastAsia"/>
                <w:color w:val="auto"/>
                <w:lang w:val="en-US" w:eastAsia="zh-CN"/>
              </w:rPr>
              <w:t>8</w:t>
            </w:r>
            <w:r>
              <w:rPr>
                <w:rFonts w:hint="default"/>
                <w:color w:val="auto"/>
              </w:rPr>
              <w:t>）结论</w:t>
            </w:r>
          </w:p>
          <w:p>
            <w:pPr>
              <w:pStyle w:val="36"/>
              <w:bidi w:val="0"/>
              <w:rPr>
                <w:rFonts w:hint="default" w:ascii="Times New Roman" w:hAnsi="Times New Roman" w:cs="Times New Roman"/>
                <w:color w:val="auto"/>
              </w:rPr>
            </w:pPr>
            <w:r>
              <w:rPr>
                <w:rFonts w:hint="default"/>
                <w:color w:val="auto"/>
              </w:rPr>
              <w:t>施工期发生风险事故的概率较小，且制定了较为周全的风险事故防范措施和事故应急预案，当发生风险事故时立即启动事故应急预案，确保事故不扩大，避免对周边环境造成较大危害。在采取严格的安全防护和风险防范措施后，环境风险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2" w:hRule="atLeast"/>
        </w:trPr>
        <w:tc>
          <w:tcPr>
            <w:tcW w:w="256" w:type="pct"/>
            <w:vAlign w:val="center"/>
          </w:tcPr>
          <w:p>
            <w:pPr>
              <w:pStyle w:val="53"/>
              <w:bidi w:val="0"/>
              <w:spacing w:line="240" w:lineRule="auto"/>
              <w:rPr>
                <w:rFonts w:hint="default"/>
                <w:color w:val="auto"/>
              </w:rPr>
            </w:pPr>
            <w:r>
              <w:rPr>
                <w:rFonts w:hint="default"/>
                <w:color w:val="auto"/>
              </w:rPr>
              <w:t>运营期生态环境保护措施</w:t>
            </w:r>
          </w:p>
        </w:tc>
        <w:tc>
          <w:tcPr>
            <w:tcW w:w="4743" w:type="pct"/>
            <w:vAlign w:val="center"/>
          </w:tcPr>
          <w:p>
            <w:pPr>
              <w:pStyle w:val="36"/>
              <w:bidi w:val="0"/>
              <w:rPr>
                <w:color w:val="auto"/>
              </w:rPr>
            </w:pPr>
            <w:r>
              <w:rPr>
                <w:rFonts w:hint="eastAsia"/>
                <w:color w:val="auto"/>
              </w:rPr>
              <w:t>本项目无运营期，无需提出环境保护措施及环境监测计划。</w:t>
            </w:r>
          </w:p>
          <w:p>
            <w:pPr>
              <w:pStyle w:val="36"/>
              <w:bidi w:val="0"/>
              <w:rPr>
                <w:rFonts w:hint="eastAsia"/>
                <w:color w:val="auto"/>
                <w:lang w:val="en-US" w:eastAsia="zh-CN"/>
              </w:rPr>
            </w:pPr>
            <w:r>
              <w:rPr>
                <w:rFonts w:hint="default"/>
                <w:color w:val="auto"/>
              </w:rPr>
              <w:t>根据试采结果决定新钻井是否转为生产井，若可转为生产井，则应当在产能开发建设前对其开展环境影响评价工作，编制环境影响评价文件；</w:t>
            </w:r>
            <w:bookmarkStart w:id="70" w:name="_Hlk140836626"/>
            <w:r>
              <w:rPr>
                <w:rFonts w:hint="eastAsia"/>
                <w:color w:val="auto"/>
              </w:rPr>
              <w:t>若不具备转产条件，则应根据《废弃井封井回填技术指南（试行）》《矿山生态环境保护与恢复治理技术规范（试行）》（HJ651-2013）、《陆上石油天然气开采业绿色矿山建设规范（DZ/T0317-2018）》和中国石油新疆油田分公司的相关要求对新钻井进行封堵，并拆除相关设施，确保无土壤及地下水环境污染遗留问题、废弃物均得到妥善处置，制定生态恢复方案，并做好生态保护措施</w:t>
            </w:r>
            <w:r>
              <w:rPr>
                <w:rFonts w:hint="default"/>
                <w:color w:val="auto"/>
              </w:rPr>
              <w:t>。</w:t>
            </w:r>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 w:type="pct"/>
            <w:vAlign w:val="center"/>
          </w:tcPr>
          <w:p>
            <w:pPr>
              <w:pStyle w:val="53"/>
              <w:bidi w:val="0"/>
              <w:rPr>
                <w:rFonts w:hint="default"/>
                <w:color w:val="auto"/>
              </w:rPr>
            </w:pPr>
            <w:r>
              <w:rPr>
                <w:rFonts w:hint="default"/>
                <w:color w:val="auto"/>
              </w:rPr>
              <w:t>其他</w:t>
            </w:r>
          </w:p>
        </w:tc>
        <w:tc>
          <w:tcPr>
            <w:tcW w:w="4743" w:type="pct"/>
            <w:vAlign w:val="center"/>
          </w:tcPr>
          <w:p>
            <w:pPr>
              <w:pStyle w:val="32"/>
              <w:numPr>
                <w:ilvl w:val="0"/>
                <w:numId w:val="14"/>
              </w:numPr>
              <w:bidi w:val="0"/>
              <w:rPr>
                <w:rFonts w:hint="default"/>
                <w:color w:val="auto"/>
              </w:rPr>
            </w:pPr>
            <w:r>
              <w:rPr>
                <w:rFonts w:hint="default"/>
                <w:color w:val="auto"/>
              </w:rPr>
              <w:t>环境管理</w:t>
            </w:r>
          </w:p>
          <w:p>
            <w:pPr>
              <w:pStyle w:val="36"/>
              <w:bidi w:val="0"/>
              <w:rPr>
                <w:rFonts w:hint="default"/>
                <w:color w:val="auto"/>
                <w:lang w:val="en-US"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lang w:val="en-US" w:eastAsia="zh-CN"/>
              </w:rPr>
              <w:t>环境监管</w:t>
            </w:r>
          </w:p>
          <w:p>
            <w:pPr>
              <w:pStyle w:val="36"/>
              <w:bidi w:val="0"/>
              <w:rPr>
                <w:rFonts w:hint="default"/>
                <w:color w:val="auto"/>
              </w:rPr>
            </w:pPr>
            <w:r>
              <w:rPr>
                <w:rFonts w:hint="default"/>
                <w:color w:val="auto"/>
                <w:lang w:eastAsia="zh-CN"/>
              </w:rPr>
              <w:t>本</w:t>
            </w:r>
            <w:r>
              <w:rPr>
                <w:rFonts w:hint="default"/>
                <w:color w:val="auto"/>
              </w:rPr>
              <w:t>项目实施过程中，将根据中国石油新疆油田分公司在环境管理上建立的健康、安全与环境管理体系（HSE管理体系），落实各项环保和安全措施，减少项目开发对周围环境的影响。本报告提出的环境</w:t>
            </w:r>
            <w:r>
              <w:rPr>
                <w:rFonts w:hint="eastAsia"/>
                <w:color w:val="auto"/>
                <w:lang w:val="en-US" w:eastAsia="zh-CN"/>
              </w:rPr>
              <w:t>监理要求</w:t>
            </w:r>
            <w:r>
              <w:rPr>
                <w:rFonts w:hint="default"/>
                <w:color w:val="auto"/>
              </w:rPr>
              <w:t>见表</w:t>
            </w:r>
            <w:r>
              <w:rPr>
                <w:rFonts w:hint="default"/>
                <w:color w:val="auto"/>
                <w:lang w:val="en-US" w:eastAsia="zh-CN"/>
              </w:rPr>
              <w:t>5-2</w:t>
            </w:r>
            <w:r>
              <w:rPr>
                <w:rFonts w:hint="default"/>
                <w:color w:val="auto"/>
              </w:rPr>
              <w:t>。</w:t>
            </w:r>
          </w:p>
          <w:p>
            <w:pPr>
              <w:pStyle w:val="52"/>
              <w:bidi w:val="0"/>
              <w:rPr>
                <w:rFonts w:hint="default"/>
                <w:color w:val="auto"/>
                <w:lang w:val="en-US"/>
              </w:rPr>
            </w:pPr>
            <w:r>
              <w:rPr>
                <w:rFonts w:hint="default"/>
                <w:color w:val="auto"/>
              </w:rPr>
              <w:t>表</w:t>
            </w:r>
            <w:r>
              <w:rPr>
                <w:rFonts w:hint="default"/>
                <w:color w:val="auto"/>
                <w:lang w:val="en-US" w:eastAsia="zh-CN"/>
              </w:rPr>
              <w:t>5-2</w:t>
            </w:r>
            <w:r>
              <w:rPr>
                <w:rFonts w:hint="default"/>
                <w:color w:val="auto"/>
              </w:rPr>
              <w:t xml:space="preserve">  施工期</w:t>
            </w:r>
            <w:r>
              <w:rPr>
                <w:rFonts w:hint="eastAsia"/>
                <w:color w:val="auto"/>
                <w:lang w:val="en-US" w:eastAsia="zh-CN"/>
              </w:rPr>
              <w:t>环境监理内容一览表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740"/>
              <w:gridCol w:w="691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72" w:type="pct"/>
                  <w:tcMar>
                    <w:left w:w="0" w:type="dxa"/>
                    <w:right w:w="0" w:type="dxa"/>
                  </w:tcMar>
                  <w:vAlign w:val="center"/>
                </w:tcPr>
                <w:p>
                  <w:pPr>
                    <w:pStyle w:val="33"/>
                    <w:bidi w:val="0"/>
                    <w:rPr>
                      <w:rFonts w:hint="default" w:ascii="Times New Roman" w:hAnsi="Times New Roman" w:eastAsia="宋体" w:cs="Times New Roman"/>
                      <w:color w:val="auto"/>
                      <w:szCs w:val="21"/>
                    </w:rPr>
                  </w:pPr>
                  <w:bookmarkStart w:id="71" w:name="_Hlk183042634"/>
                  <w:r>
                    <w:rPr>
                      <w:rFonts w:hint="default"/>
                      <w:color w:val="auto"/>
                    </w:rPr>
                    <w:t>序号</w:t>
                  </w:r>
                </w:p>
              </w:tc>
              <w:tc>
                <w:tcPr>
                  <w:tcW w:w="447" w:type="pct"/>
                  <w:tcMar>
                    <w:left w:w="0" w:type="dxa"/>
                    <w:right w:w="0" w:type="dxa"/>
                  </w:tcMar>
                  <w:vAlign w:val="center"/>
                </w:tcPr>
                <w:p>
                  <w:pPr>
                    <w:pStyle w:val="33"/>
                    <w:bidi w:val="0"/>
                    <w:rPr>
                      <w:rFonts w:hint="default" w:ascii="Times New Roman" w:hAnsi="Times New Roman" w:eastAsia="宋体" w:cs="Times New Roman"/>
                      <w:color w:val="auto"/>
                      <w:szCs w:val="21"/>
                    </w:rPr>
                  </w:pPr>
                  <w:r>
                    <w:rPr>
                      <w:rFonts w:hint="default"/>
                      <w:color w:val="auto"/>
                    </w:rPr>
                    <w:t>影响因素</w:t>
                  </w:r>
                </w:p>
              </w:tc>
              <w:tc>
                <w:tcPr>
                  <w:tcW w:w="4179" w:type="pct"/>
                  <w:tcMar>
                    <w:left w:w="0" w:type="dxa"/>
                    <w:right w:w="0" w:type="dxa"/>
                  </w:tcMar>
                  <w:vAlign w:val="center"/>
                </w:tcPr>
                <w:p>
                  <w:pPr>
                    <w:pStyle w:val="33"/>
                    <w:bidi w:val="0"/>
                    <w:rPr>
                      <w:rFonts w:hint="default" w:ascii="Times New Roman" w:hAnsi="Times New Roman" w:eastAsia="宋体" w:cs="Times New Roman"/>
                      <w:color w:val="auto"/>
                      <w:szCs w:val="21"/>
                    </w:rPr>
                  </w:pPr>
                  <w:r>
                    <w:rPr>
                      <w:rFonts w:hint="default"/>
                      <w:color w:val="auto"/>
                    </w:rPr>
                    <w:t>环保措施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72" w:type="pct"/>
                  <w:tcMar>
                    <w:left w:w="0" w:type="dxa"/>
                    <w:right w:w="0" w:type="dxa"/>
                  </w:tcMar>
                  <w:vAlign w:val="center"/>
                </w:tcPr>
                <w:p>
                  <w:pPr>
                    <w:pStyle w:val="33"/>
                    <w:bidi w:val="0"/>
                    <w:rPr>
                      <w:rFonts w:hint="default" w:ascii="Times New Roman" w:hAnsi="Times New Roman" w:eastAsia="宋体" w:cs="Times New Roman"/>
                      <w:color w:val="auto"/>
                      <w:szCs w:val="21"/>
                    </w:rPr>
                  </w:pPr>
                  <w:r>
                    <w:rPr>
                      <w:rFonts w:hint="default"/>
                      <w:color w:val="auto"/>
                    </w:rPr>
                    <w:t>1</w:t>
                  </w:r>
                </w:p>
              </w:tc>
              <w:tc>
                <w:tcPr>
                  <w:tcW w:w="447" w:type="pct"/>
                  <w:tcMar>
                    <w:left w:w="0" w:type="dxa"/>
                    <w:right w:w="0" w:type="dxa"/>
                  </w:tcMar>
                  <w:vAlign w:val="center"/>
                </w:tcPr>
                <w:p>
                  <w:pPr>
                    <w:pStyle w:val="33"/>
                    <w:bidi w:val="0"/>
                    <w:rPr>
                      <w:rFonts w:hint="default" w:ascii="Times New Roman" w:hAnsi="Times New Roman" w:eastAsia="宋体" w:cs="Times New Roman"/>
                      <w:color w:val="auto"/>
                      <w:szCs w:val="21"/>
                    </w:rPr>
                  </w:pPr>
                  <w:r>
                    <w:rPr>
                      <w:rFonts w:hint="default"/>
                      <w:color w:val="auto"/>
                    </w:rPr>
                    <w:t>大气环境</w:t>
                  </w:r>
                </w:p>
              </w:tc>
              <w:tc>
                <w:tcPr>
                  <w:tcW w:w="4179" w:type="pct"/>
                  <w:tcMar>
                    <w:left w:w="0" w:type="dxa"/>
                    <w:right w:w="0" w:type="dxa"/>
                  </w:tcMar>
                  <w:vAlign w:val="center"/>
                </w:tcPr>
                <w:p>
                  <w:pPr>
                    <w:pStyle w:val="33"/>
                    <w:bidi w:val="0"/>
                    <w:rPr>
                      <w:rFonts w:hint="default" w:ascii="Times New Roman" w:hAnsi="Times New Roman" w:eastAsia="宋体" w:cs="Times New Roman"/>
                      <w:color w:val="auto"/>
                      <w:szCs w:val="21"/>
                    </w:rPr>
                  </w:pPr>
                  <w:r>
                    <w:rPr>
                      <w:rFonts w:hint="default"/>
                      <w:color w:val="auto"/>
                      <w:lang w:val="en-US" w:eastAsia="zh-CN"/>
                    </w:rPr>
                    <w:t>对易起尘物料存放，运输过程进程苫盖、</w:t>
                  </w:r>
                  <w:r>
                    <w:rPr>
                      <w:rFonts w:hint="default"/>
                      <w:color w:val="auto"/>
                    </w:rPr>
                    <w:t>避免大风天气</w:t>
                  </w:r>
                  <w:r>
                    <w:rPr>
                      <w:rFonts w:hint="default"/>
                      <w:color w:val="auto"/>
                      <w:lang w:val="en-US" w:eastAsia="zh-CN"/>
                    </w:rPr>
                    <w:t>进行易起尘施工，</w:t>
                  </w:r>
                  <w:r>
                    <w:rPr>
                      <w:rFonts w:hint="default"/>
                      <w:color w:val="auto"/>
                    </w:rPr>
                    <w:t>施工</w:t>
                  </w:r>
                  <w:r>
                    <w:rPr>
                      <w:rFonts w:hint="default"/>
                      <w:color w:val="auto"/>
                      <w:lang w:val="en-US" w:eastAsia="zh-CN"/>
                    </w:rPr>
                    <w:t>机械设备和车辆</w:t>
                  </w:r>
                  <w:r>
                    <w:rPr>
                      <w:rFonts w:hint="default"/>
                      <w:color w:val="auto"/>
                    </w:rPr>
                    <w:t>使用符合国家标准的油品，并定期保养维护</w:t>
                  </w:r>
                  <w:r>
                    <w:rPr>
                      <w:rFonts w:hint="default"/>
                      <w:color w:val="auto"/>
                      <w:lang w:val="en-US" w:eastAsia="zh-CN"/>
                    </w:rPr>
                    <w:t>确保正常运行</w:t>
                  </w:r>
                  <w:r>
                    <w:rPr>
                      <w:rFonts w:hint="default"/>
                      <w:color w:val="auto"/>
                    </w:rPr>
                    <w:t>，采出液采用密闭装载方式，柴油</w:t>
                  </w:r>
                  <w:r>
                    <w:rPr>
                      <w:rFonts w:hint="default"/>
                      <w:color w:val="auto"/>
                      <w:lang w:val="en-US" w:eastAsia="zh-CN"/>
                    </w:rPr>
                    <w:t>密闭储存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72" w:type="pct"/>
                  <w:tcMar>
                    <w:left w:w="0" w:type="dxa"/>
                    <w:right w:w="0" w:type="dxa"/>
                  </w:tcMar>
                  <w:vAlign w:val="center"/>
                </w:tcPr>
                <w:p>
                  <w:pPr>
                    <w:pStyle w:val="33"/>
                    <w:bidi w:val="0"/>
                    <w:rPr>
                      <w:rFonts w:hint="default" w:ascii="Times New Roman" w:hAnsi="Times New Roman" w:eastAsia="宋体" w:cs="Times New Roman"/>
                      <w:color w:val="auto"/>
                      <w:szCs w:val="21"/>
                    </w:rPr>
                  </w:pPr>
                  <w:r>
                    <w:rPr>
                      <w:rFonts w:hint="default"/>
                      <w:color w:val="auto"/>
                    </w:rPr>
                    <w:t>2</w:t>
                  </w:r>
                </w:p>
              </w:tc>
              <w:tc>
                <w:tcPr>
                  <w:tcW w:w="447" w:type="pct"/>
                  <w:tcMar>
                    <w:left w:w="0" w:type="dxa"/>
                    <w:right w:w="0" w:type="dxa"/>
                  </w:tcMar>
                  <w:vAlign w:val="center"/>
                </w:tcPr>
                <w:p>
                  <w:pPr>
                    <w:pStyle w:val="33"/>
                    <w:bidi w:val="0"/>
                    <w:rPr>
                      <w:rFonts w:hint="default" w:ascii="Times New Roman" w:hAnsi="Times New Roman" w:eastAsia="宋体" w:cs="Times New Roman"/>
                      <w:color w:val="auto"/>
                      <w:szCs w:val="21"/>
                    </w:rPr>
                  </w:pPr>
                  <w:r>
                    <w:rPr>
                      <w:rFonts w:hint="default"/>
                      <w:color w:val="auto"/>
                    </w:rPr>
                    <w:t>声环境</w:t>
                  </w:r>
                </w:p>
              </w:tc>
              <w:tc>
                <w:tcPr>
                  <w:tcW w:w="4179" w:type="pct"/>
                  <w:tcMar>
                    <w:left w:w="0" w:type="dxa"/>
                    <w:right w:w="0" w:type="dxa"/>
                  </w:tcMar>
                  <w:vAlign w:val="center"/>
                </w:tcPr>
                <w:p>
                  <w:pPr>
                    <w:pStyle w:val="33"/>
                    <w:bidi w:val="0"/>
                    <w:rPr>
                      <w:rFonts w:hint="default" w:ascii="Times New Roman" w:hAnsi="Times New Roman" w:eastAsia="宋体" w:cs="Times New Roman"/>
                      <w:color w:val="auto"/>
                      <w:szCs w:val="21"/>
                    </w:rPr>
                  </w:pPr>
                  <w:r>
                    <w:rPr>
                      <w:rFonts w:hint="default"/>
                      <w:color w:val="auto"/>
                    </w:rPr>
                    <w:t>施工单位应使用低噪声的施工设备、机械，并定期进行检修和维护，使其处于运行良好的状态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72" w:type="pct"/>
                  <w:tcMar>
                    <w:left w:w="0" w:type="dxa"/>
                    <w:right w:w="0" w:type="dxa"/>
                  </w:tcMar>
                  <w:vAlign w:val="center"/>
                </w:tcPr>
                <w:p>
                  <w:pPr>
                    <w:pStyle w:val="33"/>
                    <w:bidi w:val="0"/>
                    <w:rPr>
                      <w:rFonts w:hint="default" w:ascii="Times New Roman" w:hAnsi="Times New Roman" w:eastAsia="宋体" w:cs="Times New Roman"/>
                      <w:color w:val="auto"/>
                      <w:szCs w:val="21"/>
                    </w:rPr>
                  </w:pPr>
                  <w:r>
                    <w:rPr>
                      <w:rFonts w:hint="default"/>
                      <w:color w:val="auto"/>
                    </w:rPr>
                    <w:t>3</w:t>
                  </w:r>
                </w:p>
              </w:tc>
              <w:tc>
                <w:tcPr>
                  <w:tcW w:w="447" w:type="pct"/>
                  <w:tcMar>
                    <w:left w:w="0" w:type="dxa"/>
                    <w:right w:w="0" w:type="dxa"/>
                  </w:tcMar>
                  <w:vAlign w:val="center"/>
                </w:tcPr>
                <w:p>
                  <w:pPr>
                    <w:pStyle w:val="33"/>
                    <w:bidi w:val="0"/>
                    <w:rPr>
                      <w:rFonts w:hint="default" w:ascii="Times New Roman" w:hAnsi="Times New Roman" w:eastAsia="宋体" w:cs="Times New Roman"/>
                      <w:color w:val="auto"/>
                      <w:szCs w:val="21"/>
                    </w:rPr>
                  </w:pPr>
                  <w:r>
                    <w:rPr>
                      <w:rFonts w:hint="default"/>
                      <w:color w:val="auto"/>
                    </w:rPr>
                    <w:t>水环境和土壤环境</w:t>
                  </w:r>
                </w:p>
              </w:tc>
              <w:tc>
                <w:tcPr>
                  <w:tcW w:w="4179" w:type="pct"/>
                  <w:tcMar>
                    <w:left w:w="0" w:type="dxa"/>
                    <w:right w:w="0" w:type="dxa"/>
                  </w:tcMar>
                  <w:vAlign w:val="center"/>
                </w:tcPr>
                <w:p>
                  <w:pPr>
                    <w:pStyle w:val="33"/>
                    <w:bidi w:val="0"/>
                    <w:rPr>
                      <w:rFonts w:hint="default" w:ascii="Times New Roman" w:hAnsi="Times New Roman" w:eastAsia="宋体" w:cs="Times New Roman"/>
                      <w:color w:val="auto"/>
                      <w:szCs w:val="21"/>
                    </w:rPr>
                  </w:pPr>
                  <w:r>
                    <w:rPr>
                      <w:rFonts w:hint="default"/>
                      <w:color w:val="auto"/>
                    </w:rPr>
                    <w:t>钻井液采用不落地设备进行处理后回用于钻井液配置，不外排；试油期废水收集至地面储罐后由罐车拉运至采油一厂车89</w:t>
                  </w:r>
                  <w:r>
                    <w:rPr>
                      <w:rFonts w:hint="eastAsia"/>
                      <w:color w:val="auto"/>
                      <w:lang w:val="en-US" w:eastAsia="zh-CN"/>
                    </w:rPr>
                    <w:t>集中</w:t>
                  </w:r>
                  <w:r>
                    <w:rPr>
                      <w:rFonts w:hint="default"/>
                      <w:color w:val="auto"/>
                    </w:rPr>
                    <w:t>处理站；生活污水经临时防渗储集池收集暂存，清运至</w:t>
                  </w:r>
                  <w:r>
                    <w:rPr>
                      <w:rFonts w:hint="eastAsia"/>
                      <w:color w:val="auto"/>
                      <w:lang w:val="en-US" w:eastAsia="zh-CN"/>
                    </w:rPr>
                    <w:t>玛纳斯县</w:t>
                  </w:r>
                  <w:r>
                    <w:rPr>
                      <w:rFonts w:hint="default"/>
                      <w:color w:val="auto"/>
                    </w:rPr>
                    <w:t>污水处理厂处理。做好关键区域的防渗措施；采用套管与地层隔离开、并在套管与地层之间注入水泥进行固井，且固井质量合格；各类废水和固体废物得到妥善处置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72" w:type="pct"/>
                  <w:tcMar>
                    <w:left w:w="0" w:type="dxa"/>
                    <w:right w:w="0" w:type="dxa"/>
                  </w:tcMar>
                  <w:vAlign w:val="center"/>
                </w:tcPr>
                <w:p>
                  <w:pPr>
                    <w:pStyle w:val="33"/>
                    <w:bidi w:val="0"/>
                    <w:rPr>
                      <w:rFonts w:hint="default" w:ascii="Times New Roman" w:hAnsi="Times New Roman" w:eastAsia="宋体" w:cs="Times New Roman"/>
                      <w:color w:val="auto"/>
                      <w:szCs w:val="21"/>
                    </w:rPr>
                  </w:pPr>
                  <w:r>
                    <w:rPr>
                      <w:rFonts w:hint="default"/>
                      <w:color w:val="auto"/>
                    </w:rPr>
                    <w:t>4</w:t>
                  </w:r>
                </w:p>
              </w:tc>
              <w:tc>
                <w:tcPr>
                  <w:tcW w:w="447" w:type="pct"/>
                  <w:tcMar>
                    <w:left w:w="0" w:type="dxa"/>
                    <w:right w:w="0" w:type="dxa"/>
                  </w:tcMar>
                  <w:vAlign w:val="center"/>
                </w:tcPr>
                <w:p>
                  <w:pPr>
                    <w:pStyle w:val="33"/>
                    <w:bidi w:val="0"/>
                    <w:rPr>
                      <w:rFonts w:hint="default" w:ascii="Times New Roman" w:hAnsi="Times New Roman" w:eastAsia="宋体" w:cs="Times New Roman"/>
                      <w:color w:val="auto"/>
                      <w:szCs w:val="21"/>
                    </w:rPr>
                  </w:pPr>
                  <w:r>
                    <w:rPr>
                      <w:rFonts w:hint="default"/>
                      <w:color w:val="auto"/>
                    </w:rPr>
                    <w:t>固体废物</w:t>
                  </w:r>
                </w:p>
              </w:tc>
              <w:tc>
                <w:tcPr>
                  <w:tcW w:w="4179" w:type="pct"/>
                  <w:tcMar>
                    <w:left w:w="0" w:type="dxa"/>
                    <w:right w:w="0" w:type="dxa"/>
                  </w:tcMar>
                  <w:vAlign w:val="center"/>
                </w:tcPr>
                <w:p>
                  <w:pPr>
                    <w:pStyle w:val="33"/>
                    <w:bidi w:val="0"/>
                    <w:rPr>
                      <w:rFonts w:hint="default" w:ascii="Times New Roman" w:hAnsi="Times New Roman" w:eastAsia="宋体" w:cs="Times New Roman"/>
                      <w:color w:val="auto"/>
                      <w:szCs w:val="21"/>
                    </w:rPr>
                  </w:pPr>
                  <w:r>
                    <w:rPr>
                      <w:rFonts w:hint="default"/>
                      <w:color w:val="auto"/>
                    </w:rPr>
                    <w:t>生活垃圾由垃圾箱集中收集后定期委托清运至</w:t>
                  </w:r>
                  <w:r>
                    <w:rPr>
                      <w:rFonts w:hint="eastAsia"/>
                      <w:color w:val="auto"/>
                      <w:lang w:val="en-US" w:eastAsia="zh-CN"/>
                    </w:rPr>
                    <w:t>玛纳斯县</w:t>
                  </w:r>
                  <w:r>
                    <w:rPr>
                      <w:rFonts w:hint="default"/>
                      <w:color w:val="auto"/>
                    </w:rPr>
                    <w:t>生活垃圾填埋场。钻井期产生的水基钻井岩屑暂存于水基钻井岩屑方罐</w:t>
                  </w:r>
                  <w:r>
                    <w:rPr>
                      <w:rFonts w:hint="default"/>
                      <w:color w:val="auto"/>
                      <w:lang w:val="en-US" w:eastAsia="zh-CN"/>
                    </w:rPr>
                    <w:t>后</w:t>
                  </w:r>
                  <w:r>
                    <w:rPr>
                      <w:rFonts w:hint="default"/>
                      <w:color w:val="auto"/>
                    </w:rPr>
                    <w:t>委托岩屑处置单位处置；油基岩屑排入专用岩屑罐中，交由有危废处置资质单位进行处置</w:t>
                  </w:r>
                  <w:r>
                    <w:rPr>
                      <w:rFonts w:hint="eastAsia"/>
                      <w:color w:val="auto"/>
                      <w:lang w:eastAsia="zh-CN"/>
                    </w:rPr>
                    <w:t>；</w:t>
                  </w:r>
                  <w:r>
                    <w:rPr>
                      <w:rFonts w:hint="default"/>
                      <w:color w:val="auto"/>
                    </w:rPr>
                    <w:t>沾油废防渗材料、废润滑油和废润滑油桶</w:t>
                  </w:r>
                  <w:r>
                    <w:rPr>
                      <w:rFonts w:hint="default"/>
                      <w:color w:val="auto"/>
                      <w:lang w:val="en-US" w:eastAsia="zh-CN"/>
                    </w:rPr>
                    <w:t>等危险废物</w:t>
                  </w:r>
                  <w:r>
                    <w:rPr>
                      <w:rFonts w:hint="default"/>
                      <w:color w:val="auto"/>
                    </w:rPr>
                    <w:t>分区暂存在井场的危险废物贮存点，</w:t>
                  </w:r>
                  <w:r>
                    <w:rPr>
                      <w:rFonts w:hint="default"/>
                      <w:color w:val="auto"/>
                      <w:lang w:val="en-US" w:eastAsia="zh-CN"/>
                    </w:rPr>
                    <w:t>及时委托</w:t>
                  </w:r>
                  <w:r>
                    <w:rPr>
                      <w:rFonts w:hint="default"/>
                      <w:color w:val="auto"/>
                    </w:rPr>
                    <w:t>具有相应危废处置资质的单位处置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72" w:type="pct"/>
                  <w:tcMar>
                    <w:left w:w="0" w:type="dxa"/>
                    <w:right w:w="0" w:type="dxa"/>
                  </w:tcMar>
                  <w:vAlign w:val="center"/>
                </w:tcPr>
                <w:p>
                  <w:pPr>
                    <w:pStyle w:val="33"/>
                    <w:bidi w:val="0"/>
                    <w:rPr>
                      <w:rFonts w:hint="default" w:ascii="Times New Roman" w:hAnsi="Times New Roman" w:eastAsia="宋体" w:cs="Times New Roman"/>
                      <w:color w:val="auto"/>
                      <w:szCs w:val="21"/>
                    </w:rPr>
                  </w:pPr>
                  <w:r>
                    <w:rPr>
                      <w:rFonts w:hint="default"/>
                      <w:color w:val="auto"/>
                    </w:rPr>
                    <w:t>5</w:t>
                  </w:r>
                </w:p>
              </w:tc>
              <w:tc>
                <w:tcPr>
                  <w:tcW w:w="447" w:type="pct"/>
                  <w:tcMar>
                    <w:left w:w="0" w:type="dxa"/>
                    <w:right w:w="0" w:type="dxa"/>
                  </w:tcMar>
                  <w:vAlign w:val="center"/>
                </w:tcPr>
                <w:p>
                  <w:pPr>
                    <w:pStyle w:val="33"/>
                    <w:bidi w:val="0"/>
                    <w:rPr>
                      <w:rFonts w:hint="default" w:ascii="Times New Roman" w:hAnsi="Times New Roman" w:eastAsia="宋体" w:cs="Times New Roman"/>
                      <w:color w:val="auto"/>
                      <w:szCs w:val="21"/>
                    </w:rPr>
                  </w:pPr>
                  <w:r>
                    <w:rPr>
                      <w:rFonts w:hint="default"/>
                      <w:color w:val="auto"/>
                    </w:rPr>
                    <w:t>生态环境</w:t>
                  </w:r>
                </w:p>
              </w:tc>
              <w:tc>
                <w:tcPr>
                  <w:tcW w:w="4179" w:type="pct"/>
                  <w:tcMar>
                    <w:left w:w="0" w:type="dxa"/>
                    <w:right w:w="0" w:type="dxa"/>
                  </w:tcMar>
                  <w:vAlign w:val="center"/>
                </w:tcPr>
                <w:p>
                  <w:pPr>
                    <w:pStyle w:val="33"/>
                    <w:snapToGrid w:val="0"/>
                    <w:spacing w:line="240" w:lineRule="auto"/>
                    <w:jc w:val="both"/>
                    <w:rPr>
                      <w:rFonts w:hint="default" w:ascii="Times New Roman" w:hAnsi="Times New Roman" w:eastAsia="宋体" w:cs="Times New Roman"/>
                      <w:color w:val="auto"/>
                      <w:sz w:val="21"/>
                      <w:szCs w:val="21"/>
                    </w:rPr>
                  </w:pPr>
                  <w:r>
                    <w:rPr>
                      <w:rFonts w:hint="eastAsia" w:cs="宋体"/>
                      <w:color w:val="auto"/>
                      <w:sz w:val="21"/>
                    </w:rPr>
                    <w:t>用地面积按实际征地面积划定，不得超过规定面积；合理安排施工时间，避免大风天气施工；施工车辆严格按规定路线行驶，严禁随意开道，碾压植被、扰动土壤，严禁破坏植被、捕杀野生动物；施工结束后应对临时占地进行复垦，使其恢复原种植条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72" w:type="pct"/>
                  <w:tcMar>
                    <w:left w:w="0" w:type="dxa"/>
                    <w:right w:w="0" w:type="dxa"/>
                  </w:tcMar>
                  <w:vAlign w:val="center"/>
                </w:tcPr>
                <w:p>
                  <w:pPr>
                    <w:pStyle w:val="33"/>
                    <w:bidi w:val="0"/>
                    <w:rPr>
                      <w:rFonts w:hint="default" w:ascii="Times New Roman" w:hAnsi="Times New Roman" w:eastAsia="宋体" w:cs="Times New Roman"/>
                      <w:color w:val="auto"/>
                      <w:szCs w:val="21"/>
                    </w:rPr>
                  </w:pPr>
                  <w:r>
                    <w:rPr>
                      <w:rFonts w:hint="default"/>
                      <w:color w:val="auto"/>
                    </w:rPr>
                    <w:t>6</w:t>
                  </w:r>
                </w:p>
              </w:tc>
              <w:tc>
                <w:tcPr>
                  <w:tcW w:w="447" w:type="pct"/>
                  <w:tcMar>
                    <w:left w:w="0" w:type="dxa"/>
                    <w:right w:w="0" w:type="dxa"/>
                  </w:tcMar>
                  <w:vAlign w:val="center"/>
                </w:tcPr>
                <w:p>
                  <w:pPr>
                    <w:pStyle w:val="33"/>
                    <w:bidi w:val="0"/>
                    <w:rPr>
                      <w:rFonts w:hint="default" w:ascii="Times New Roman" w:hAnsi="Times New Roman" w:eastAsia="宋体" w:cs="Times New Roman"/>
                      <w:color w:val="auto"/>
                      <w:szCs w:val="21"/>
                    </w:rPr>
                  </w:pPr>
                  <w:r>
                    <w:rPr>
                      <w:rFonts w:hint="default"/>
                      <w:color w:val="auto"/>
                    </w:rPr>
                    <w:t>环境管理</w:t>
                  </w:r>
                </w:p>
              </w:tc>
              <w:tc>
                <w:tcPr>
                  <w:tcW w:w="4179" w:type="pct"/>
                  <w:tcMar>
                    <w:left w:w="0" w:type="dxa"/>
                    <w:right w:w="0" w:type="dxa"/>
                  </w:tcMar>
                  <w:vAlign w:val="center"/>
                </w:tcPr>
                <w:p>
                  <w:pPr>
                    <w:pStyle w:val="33"/>
                    <w:bidi w:val="0"/>
                    <w:rPr>
                      <w:rFonts w:hint="eastAsia" w:ascii="Times New Roman" w:hAnsi="Times New Roman" w:eastAsia="宋体" w:cs="Times New Roman"/>
                      <w:color w:val="auto"/>
                      <w:szCs w:val="21"/>
                      <w:lang w:eastAsia="zh-CN"/>
                    </w:rPr>
                  </w:pPr>
                  <w:r>
                    <w:rPr>
                      <w:rFonts w:hint="default"/>
                      <w:color w:val="auto"/>
                    </w:rPr>
                    <w:t>施工单位应建立环境保护档案，保存施工前后项目区的影像资料，使施工全过程各类污染物产生、去向和各个污染防治措施及实施情况均记录在案</w:t>
                  </w:r>
                  <w:r>
                    <w:rPr>
                      <w:rFonts w:hint="eastAsia"/>
                      <w:color w:val="auto"/>
                      <w:lang w:eastAsia="zh-CN"/>
                    </w:rPr>
                    <w:t>；</w:t>
                  </w:r>
                  <w:r>
                    <w:rPr>
                      <w:rFonts w:hint="default"/>
                      <w:color w:val="auto"/>
                    </w:rPr>
                    <w:t>建立危险废物台账，执行危险废物转移联单制度，</w:t>
                  </w:r>
                  <w:r>
                    <w:rPr>
                      <w:rFonts w:hint="eastAsia"/>
                      <w:color w:val="auto"/>
                      <w:lang w:val="en-US" w:eastAsia="zh-CN"/>
                    </w:rPr>
                    <w:t>严格进行</w:t>
                  </w:r>
                  <w:r>
                    <w:rPr>
                      <w:rFonts w:hint="default"/>
                      <w:color w:val="auto"/>
                    </w:rPr>
                    <w:t>油基岩屑</w:t>
                  </w:r>
                  <w:r>
                    <w:rPr>
                      <w:rFonts w:hint="eastAsia"/>
                      <w:color w:val="auto"/>
                      <w:lang w:val="en-US" w:eastAsia="zh-CN"/>
                    </w:rPr>
                    <w:t>和危险废物的管理；</w:t>
                  </w:r>
                  <w:r>
                    <w:rPr>
                      <w:rFonts w:hint="default"/>
                      <w:color w:val="auto"/>
                    </w:rPr>
                    <w:t>建设单位要求施工单位在钻井工程开工前进行环保自查，建设单位对施工单位钻井期间进行环保日常检查并做好记录；完工交井前，建设单位主管部门现场验收，合格后方可记录为完工，做到工完料净场地清，并做好记录</w:t>
                  </w:r>
                </w:p>
              </w:tc>
            </w:tr>
          </w:tbl>
          <w:p>
            <w:pPr>
              <w:adjustRightInd/>
              <w:snapToGrid/>
              <w:spacing w:line="520" w:lineRule="exact"/>
              <w:ind w:firstLine="480" w:firstLineChars="200"/>
              <w:rPr>
                <w:rFonts w:ascii="Times New Roman" w:hAnsi="Times New Roman" w:eastAsia="宋体" w:cs="Times New Roman"/>
                <w:bCs/>
                <w:color w:val="auto"/>
                <w:kern w:val="0"/>
                <w:sz w:val="24"/>
              </w:rPr>
            </w:pPr>
            <w:r>
              <w:rPr>
                <w:rFonts w:ascii="Times New Roman" w:hAnsi="Times New Roman" w:eastAsia="宋体" w:cs="Times New Roman"/>
                <w:bCs/>
                <w:color w:val="auto"/>
                <w:kern w:val="0"/>
                <w:sz w:val="24"/>
              </w:rPr>
              <w:t>（2）环境监测计划</w:t>
            </w:r>
          </w:p>
          <w:p>
            <w:pPr>
              <w:adjustRightInd/>
              <w:snapToGrid/>
              <w:spacing w:line="520" w:lineRule="exact"/>
              <w:ind w:firstLine="480" w:firstLineChars="200"/>
              <w:rPr>
                <w:rFonts w:ascii="Times New Roman" w:hAnsi="Times New Roman" w:eastAsia="宋体" w:cs="Times New Roman"/>
                <w:bCs/>
                <w:color w:val="auto"/>
                <w:kern w:val="0"/>
                <w:sz w:val="24"/>
              </w:rPr>
            </w:pPr>
            <w:r>
              <w:rPr>
                <w:rFonts w:hint="eastAsia" w:ascii="Times New Roman" w:hAnsi="Times New Roman" w:eastAsia="宋体" w:cs="Times New Roman"/>
                <w:bCs/>
                <w:color w:val="auto"/>
                <w:kern w:val="0"/>
                <w:sz w:val="24"/>
              </w:rPr>
              <w:t>本</w:t>
            </w:r>
            <w:r>
              <w:rPr>
                <w:rFonts w:ascii="Times New Roman" w:hAnsi="Times New Roman" w:eastAsia="宋体" w:cs="Times New Roman"/>
                <w:bCs/>
                <w:color w:val="auto"/>
                <w:kern w:val="0"/>
                <w:sz w:val="24"/>
              </w:rPr>
              <w:t>项目</w:t>
            </w:r>
            <w:r>
              <w:rPr>
                <w:rFonts w:hint="eastAsia" w:ascii="Times New Roman" w:hAnsi="Times New Roman" w:eastAsia="宋体" w:cs="Times New Roman"/>
                <w:bCs/>
                <w:color w:val="auto"/>
                <w:kern w:val="0"/>
                <w:sz w:val="24"/>
                <w:lang w:val="en-US" w:eastAsia="zh-CN"/>
              </w:rPr>
              <w:t>钻试</w:t>
            </w:r>
            <w:r>
              <w:rPr>
                <w:rFonts w:ascii="Times New Roman" w:hAnsi="Times New Roman" w:eastAsia="宋体" w:cs="Times New Roman"/>
                <w:bCs/>
                <w:color w:val="auto"/>
                <w:kern w:val="0"/>
                <w:sz w:val="24"/>
              </w:rPr>
              <w:t>结束后，大气及噪声影响消失，无废水、固废</w:t>
            </w:r>
            <w:r>
              <w:rPr>
                <w:rFonts w:hint="eastAsia" w:ascii="Times New Roman" w:hAnsi="Times New Roman" w:eastAsia="宋体" w:cs="Times New Roman"/>
                <w:bCs/>
                <w:color w:val="auto"/>
                <w:kern w:val="0"/>
                <w:sz w:val="24"/>
                <w:lang w:val="en-US" w:eastAsia="zh-CN"/>
              </w:rPr>
              <w:t>继续</w:t>
            </w:r>
            <w:r>
              <w:rPr>
                <w:rFonts w:ascii="Times New Roman" w:hAnsi="Times New Roman" w:eastAsia="宋体" w:cs="Times New Roman"/>
                <w:bCs/>
                <w:color w:val="auto"/>
                <w:kern w:val="0"/>
                <w:sz w:val="24"/>
              </w:rPr>
              <w:t>产生</w:t>
            </w:r>
            <w:r>
              <w:rPr>
                <w:rFonts w:hint="eastAsia" w:ascii="Times New Roman" w:hAnsi="Times New Roman" w:eastAsia="宋体" w:cs="Times New Roman"/>
                <w:bCs/>
                <w:color w:val="auto"/>
                <w:kern w:val="0"/>
                <w:sz w:val="24"/>
                <w:lang w:eastAsia="zh-CN"/>
              </w:rPr>
              <w:t>，</w:t>
            </w:r>
            <w:r>
              <w:rPr>
                <w:rFonts w:hint="eastAsia" w:ascii="Times New Roman" w:hAnsi="Times New Roman" w:eastAsia="宋体" w:cs="Times New Roman"/>
                <w:bCs/>
                <w:color w:val="auto"/>
                <w:kern w:val="0"/>
                <w:sz w:val="24"/>
                <w:lang w:val="en-US" w:eastAsia="zh-CN"/>
              </w:rPr>
              <w:t>施工结束对废水、固废清运处置；项目无运营期，</w:t>
            </w:r>
            <w:r>
              <w:rPr>
                <w:rFonts w:ascii="Times New Roman" w:hAnsi="Times New Roman" w:eastAsia="宋体" w:cs="Times New Roman"/>
                <w:bCs/>
                <w:color w:val="auto"/>
                <w:kern w:val="0"/>
                <w:sz w:val="24"/>
              </w:rPr>
              <w:t>因此不制定</w:t>
            </w:r>
            <w:r>
              <w:rPr>
                <w:rFonts w:hint="eastAsia" w:ascii="Times New Roman" w:hAnsi="Times New Roman" w:eastAsia="宋体" w:cs="Times New Roman"/>
                <w:bCs/>
                <w:color w:val="auto"/>
                <w:kern w:val="0"/>
                <w:sz w:val="24"/>
                <w:lang w:val="en-US" w:eastAsia="zh-CN"/>
              </w:rPr>
              <w:t>污染物</w:t>
            </w:r>
            <w:r>
              <w:rPr>
                <w:rFonts w:ascii="Times New Roman" w:hAnsi="Times New Roman" w:eastAsia="宋体" w:cs="Times New Roman"/>
                <w:bCs/>
                <w:color w:val="auto"/>
                <w:kern w:val="0"/>
                <w:sz w:val="24"/>
              </w:rPr>
              <w:t>监测计划。</w:t>
            </w:r>
          </w:p>
          <w:p>
            <w:pPr>
              <w:adjustRightInd/>
              <w:snapToGrid/>
              <w:spacing w:line="520" w:lineRule="exact"/>
              <w:ind w:firstLine="480" w:firstLineChars="200"/>
              <w:rPr>
                <w:rFonts w:ascii="Times New Roman" w:hAnsi="Times New Roman" w:eastAsia="宋体" w:cs="Times New Roman"/>
                <w:bCs/>
                <w:color w:val="auto"/>
                <w:kern w:val="0"/>
                <w:sz w:val="24"/>
              </w:rPr>
            </w:pPr>
            <w:r>
              <w:rPr>
                <w:rFonts w:hint="eastAsia" w:ascii="Times New Roman" w:hAnsi="Times New Roman" w:eastAsia="宋体" w:cs="Times New Roman"/>
                <w:bCs/>
                <w:color w:val="auto"/>
                <w:kern w:val="0"/>
                <w:sz w:val="24"/>
                <w:lang w:eastAsia="zh-CN"/>
              </w:rPr>
              <w:t>本</w:t>
            </w:r>
            <w:r>
              <w:rPr>
                <w:rFonts w:ascii="Times New Roman" w:hAnsi="Times New Roman" w:eastAsia="宋体" w:cs="Times New Roman"/>
                <w:bCs/>
                <w:color w:val="auto"/>
                <w:kern w:val="0"/>
                <w:sz w:val="24"/>
              </w:rPr>
              <w:t>项目对环境的影响主要是生态影响，根据《环境影响评价技术导则 生态影响》（HJ 19</w:t>
            </w:r>
            <w:r>
              <w:rPr>
                <w:rFonts w:hint="eastAsia" w:ascii="Times New Roman" w:hAnsi="Times New Roman" w:eastAsia="宋体" w:cs="Times New Roman"/>
                <w:bCs/>
                <w:color w:val="auto"/>
                <w:kern w:val="0"/>
                <w:sz w:val="24"/>
              </w:rPr>
              <w:t>-</w:t>
            </w:r>
            <w:r>
              <w:rPr>
                <w:rFonts w:ascii="Times New Roman" w:hAnsi="Times New Roman" w:eastAsia="宋体" w:cs="Times New Roman"/>
                <w:bCs/>
                <w:color w:val="auto"/>
                <w:kern w:val="0"/>
                <w:sz w:val="24"/>
              </w:rPr>
              <w:t>2022），制定生态监测计划见</w:t>
            </w:r>
            <w:r>
              <w:rPr>
                <w:rFonts w:hint="eastAsia" w:ascii="Times New Roman" w:hAnsi="Times New Roman" w:eastAsia="宋体" w:cs="Times New Roman"/>
                <w:bCs/>
                <w:color w:val="auto"/>
                <w:kern w:val="0"/>
                <w:sz w:val="24"/>
              </w:rPr>
              <w:t>表</w:t>
            </w:r>
            <w:r>
              <w:rPr>
                <w:rFonts w:hint="eastAsia" w:ascii="Times New Roman" w:hAnsi="Times New Roman" w:eastAsia="宋体" w:cs="Times New Roman"/>
                <w:bCs/>
                <w:color w:val="auto"/>
                <w:kern w:val="0"/>
                <w:sz w:val="24"/>
                <w:lang w:val="en-US" w:eastAsia="zh-CN"/>
              </w:rPr>
              <w:t>5-3</w:t>
            </w:r>
            <w:r>
              <w:rPr>
                <w:rFonts w:ascii="Times New Roman" w:hAnsi="Times New Roman" w:eastAsia="宋体" w:cs="Times New Roman"/>
                <w:bCs/>
                <w:color w:val="auto"/>
                <w:kern w:val="0"/>
                <w:sz w:val="24"/>
              </w:rPr>
              <w:t>。</w:t>
            </w:r>
          </w:p>
          <w:p>
            <w:pPr>
              <w:pStyle w:val="52"/>
              <w:bidi w:val="0"/>
              <w:rPr>
                <w:rFonts w:hint="eastAsia"/>
                <w:color w:val="auto"/>
                <w:lang w:val="en-US" w:eastAsia="zh-CN"/>
              </w:rPr>
            </w:pPr>
            <w:r>
              <w:rPr>
                <w:rFonts w:hint="eastAsia"/>
                <w:color w:val="auto"/>
                <w:lang w:val="en-US" w:eastAsia="zh-CN"/>
              </w:rPr>
              <w:t>表5-3  环境监测计划</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2836"/>
              <w:gridCol w:w="2165"/>
              <w:gridCol w:w="19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noWrap w:val="0"/>
                  <w:vAlign w:val="center"/>
                </w:tcPr>
                <w:p>
                  <w:pPr>
                    <w:pStyle w:val="33"/>
                    <w:bidi w:val="0"/>
                    <w:rPr>
                      <w:rFonts w:hint="eastAsia"/>
                      <w:color w:val="auto"/>
                      <w:szCs w:val="21"/>
                    </w:rPr>
                  </w:pPr>
                  <w:r>
                    <w:rPr>
                      <w:rFonts w:hint="eastAsia"/>
                      <w:color w:val="auto"/>
                    </w:rPr>
                    <w:t>监测对象</w:t>
                  </w:r>
                </w:p>
              </w:tc>
              <w:tc>
                <w:tcPr>
                  <w:tcW w:w="2632" w:type="dxa"/>
                  <w:noWrap w:val="0"/>
                  <w:vAlign w:val="center"/>
                </w:tcPr>
                <w:p>
                  <w:pPr>
                    <w:pStyle w:val="33"/>
                    <w:bidi w:val="0"/>
                    <w:rPr>
                      <w:rFonts w:hint="eastAsia"/>
                      <w:color w:val="auto"/>
                      <w:szCs w:val="21"/>
                    </w:rPr>
                  </w:pPr>
                  <w:r>
                    <w:rPr>
                      <w:rFonts w:hint="eastAsia"/>
                      <w:color w:val="auto"/>
                    </w:rPr>
                    <w:t>监测范围</w:t>
                  </w:r>
                </w:p>
              </w:tc>
              <w:tc>
                <w:tcPr>
                  <w:tcW w:w="2010" w:type="dxa"/>
                  <w:noWrap w:val="0"/>
                  <w:vAlign w:val="center"/>
                </w:tcPr>
                <w:p>
                  <w:pPr>
                    <w:pStyle w:val="33"/>
                    <w:bidi w:val="0"/>
                    <w:rPr>
                      <w:rFonts w:hint="eastAsia"/>
                      <w:color w:val="auto"/>
                      <w:szCs w:val="21"/>
                    </w:rPr>
                  </w:pPr>
                  <w:r>
                    <w:rPr>
                      <w:rFonts w:hint="eastAsia"/>
                      <w:color w:val="auto"/>
                    </w:rPr>
                    <w:t>监测内容</w:t>
                  </w:r>
                </w:p>
              </w:tc>
              <w:tc>
                <w:tcPr>
                  <w:tcW w:w="1850" w:type="dxa"/>
                  <w:noWrap w:val="0"/>
                  <w:vAlign w:val="center"/>
                </w:tcPr>
                <w:p>
                  <w:pPr>
                    <w:pStyle w:val="33"/>
                    <w:bidi w:val="0"/>
                    <w:rPr>
                      <w:rFonts w:hint="eastAsia"/>
                      <w:color w:val="auto"/>
                      <w:szCs w:val="21"/>
                    </w:rPr>
                  </w:pPr>
                  <w:r>
                    <w:rPr>
                      <w:rFonts w:hint="eastAsia"/>
                      <w:color w:val="auto"/>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noWrap w:val="0"/>
                  <w:vAlign w:val="center"/>
                </w:tcPr>
                <w:p>
                  <w:pPr>
                    <w:pStyle w:val="33"/>
                    <w:bidi w:val="0"/>
                    <w:rPr>
                      <w:rFonts w:hint="eastAsia"/>
                      <w:color w:val="auto"/>
                      <w:szCs w:val="21"/>
                    </w:rPr>
                  </w:pPr>
                  <w:r>
                    <w:rPr>
                      <w:rFonts w:hint="eastAsia"/>
                      <w:color w:val="auto"/>
                    </w:rPr>
                    <w:t>生态</w:t>
                  </w:r>
                </w:p>
              </w:tc>
              <w:tc>
                <w:tcPr>
                  <w:tcW w:w="2632" w:type="dxa"/>
                  <w:noWrap w:val="0"/>
                  <w:vAlign w:val="center"/>
                </w:tcPr>
                <w:p>
                  <w:pPr>
                    <w:pStyle w:val="33"/>
                    <w:bidi w:val="0"/>
                    <w:rPr>
                      <w:rFonts w:hint="eastAsia"/>
                      <w:color w:val="auto"/>
                      <w:szCs w:val="21"/>
                    </w:rPr>
                  </w:pPr>
                  <w:r>
                    <w:rPr>
                      <w:rFonts w:hint="eastAsia"/>
                      <w:color w:val="auto"/>
                    </w:rPr>
                    <w:t>井场、生活营地及道路两侧扰动范围内</w:t>
                  </w:r>
                </w:p>
              </w:tc>
              <w:tc>
                <w:tcPr>
                  <w:tcW w:w="2010" w:type="dxa"/>
                  <w:noWrap w:val="0"/>
                  <w:vAlign w:val="center"/>
                </w:tcPr>
                <w:p>
                  <w:pPr>
                    <w:pStyle w:val="33"/>
                    <w:bidi w:val="0"/>
                    <w:rPr>
                      <w:rFonts w:hint="eastAsia"/>
                      <w:color w:val="auto"/>
                      <w:szCs w:val="21"/>
                    </w:rPr>
                  </w:pPr>
                  <w:r>
                    <w:rPr>
                      <w:rFonts w:hint="eastAsia"/>
                      <w:color w:val="auto"/>
                    </w:rPr>
                    <w:t>植被自然恢复</w:t>
                  </w:r>
                </w:p>
              </w:tc>
              <w:tc>
                <w:tcPr>
                  <w:tcW w:w="1850" w:type="dxa"/>
                  <w:noWrap w:val="0"/>
                  <w:vAlign w:val="center"/>
                </w:tcPr>
                <w:p>
                  <w:pPr>
                    <w:pStyle w:val="33"/>
                    <w:bidi w:val="0"/>
                    <w:rPr>
                      <w:rFonts w:hint="eastAsia"/>
                      <w:color w:val="auto"/>
                      <w:szCs w:val="21"/>
                    </w:rPr>
                  </w:pPr>
                  <w:r>
                    <w:rPr>
                      <w:rFonts w:hint="eastAsia"/>
                      <w:color w:val="auto"/>
                    </w:rPr>
                    <w:t>项目验收时期</w:t>
                  </w:r>
                </w:p>
              </w:tc>
            </w:tr>
          </w:tbl>
          <w:p>
            <w:pPr>
              <w:pStyle w:val="32"/>
              <w:numPr>
                <w:ilvl w:val="0"/>
                <w:numId w:val="5"/>
              </w:numPr>
              <w:bidi w:val="0"/>
              <w:rPr>
                <w:rFonts w:hint="default"/>
                <w:color w:val="auto"/>
              </w:rPr>
            </w:pPr>
            <w:r>
              <w:rPr>
                <w:rFonts w:hint="default"/>
                <w:color w:val="auto"/>
              </w:rPr>
              <w:t>环保标识</w:t>
            </w:r>
          </w:p>
          <w:bookmarkEnd w:id="71"/>
          <w:p>
            <w:pPr>
              <w:pStyle w:val="36"/>
              <w:bidi w:val="0"/>
              <w:rPr>
                <w:rFonts w:hint="default" w:eastAsia="宋体"/>
                <w:color w:val="auto"/>
                <w:lang w:val="en-US" w:eastAsia="zh-CN"/>
              </w:rPr>
            </w:pPr>
            <w:r>
              <w:rPr>
                <w:rFonts w:hint="default"/>
                <w:color w:val="auto"/>
                <w:lang w:val="en-US" w:eastAsia="zh-CN"/>
              </w:rPr>
              <w:t>本项目</w:t>
            </w:r>
            <w:r>
              <w:rPr>
                <w:rFonts w:hint="default"/>
                <w:color w:val="auto"/>
              </w:rPr>
              <w:t>井场为标准化设计，井场进场处应设警示牌，危险废物贮存点应设危险废物标识</w:t>
            </w:r>
            <w:r>
              <w:rPr>
                <w:rFonts w:hint="eastAsia"/>
                <w:color w:val="auto"/>
                <w:lang w:eastAsia="zh-CN"/>
              </w:rPr>
              <w:t>，</w:t>
            </w:r>
            <w:r>
              <w:rPr>
                <w:rFonts w:hint="eastAsia"/>
                <w:color w:val="auto"/>
                <w:lang w:val="en-US" w:eastAsia="zh-CN"/>
              </w:rPr>
              <w:t>具体如下图所示。</w:t>
            </w:r>
          </w:p>
          <w:p>
            <w:pPr>
              <w:pStyle w:val="52"/>
              <w:bidi w:val="0"/>
              <w:rPr>
                <w:rFonts w:hint="default"/>
                <w:color w:val="auto"/>
              </w:rPr>
            </w:pPr>
            <w:r>
              <w:rPr>
                <w:rFonts w:hint="default"/>
                <w:color w:val="auto"/>
              </w:rPr>
              <w:t>表</w:t>
            </w:r>
            <w:r>
              <w:rPr>
                <w:rFonts w:hint="default"/>
                <w:color w:val="auto"/>
                <w:lang w:val="en-US" w:eastAsia="zh-CN"/>
              </w:rPr>
              <w:t>5-</w:t>
            </w:r>
            <w:r>
              <w:rPr>
                <w:rFonts w:hint="eastAsia"/>
                <w:color w:val="auto"/>
                <w:lang w:val="en-US" w:eastAsia="zh-CN"/>
              </w:rPr>
              <w:t>4</w:t>
            </w:r>
            <w:r>
              <w:rPr>
                <w:rFonts w:hint="default"/>
                <w:color w:val="auto"/>
              </w:rPr>
              <w:t xml:space="preserve">  危险废物标识</w:t>
            </w:r>
          </w:p>
          <w:tbl>
            <w:tblPr>
              <w:tblStyle w:val="23"/>
              <w:tblW w:w="5000" w:type="pct"/>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20"/>
              <w:gridCol w:w="4254"/>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136" w:hRule="atLeast"/>
              </w:trPr>
              <w:tc>
                <w:tcPr>
                  <w:tcW w:w="2429" w:type="pct"/>
                  <w:tcBorders>
                    <w:right w:val="single" w:color="auto" w:sz="12" w:space="0"/>
                  </w:tcBorders>
                  <w:vAlign w:val="center"/>
                </w:tcPr>
                <w:p>
                  <w:pPr>
                    <w:pStyle w:val="33"/>
                    <w:bidi w:val="0"/>
                    <w:rPr>
                      <w:rFonts w:hint="default" w:ascii="Times New Roman" w:hAnsi="Times New Roman" w:eastAsia="宋体" w:cs="Times New Roman"/>
                      <w:color w:val="auto"/>
                    </w:rPr>
                  </w:pPr>
                  <w:r>
                    <w:rPr>
                      <w:rFonts w:hint="default"/>
                      <w:color w:val="auto"/>
                    </w:rPr>
                    <w:t>危险废物</w:t>
                  </w:r>
                </w:p>
              </w:tc>
              <w:tc>
                <w:tcPr>
                  <w:tcW w:w="2570" w:type="pct"/>
                  <w:tcBorders>
                    <w:left w:val="single" w:color="auto" w:sz="12" w:space="0"/>
                  </w:tcBorders>
                  <w:vAlign w:val="center"/>
                </w:tcPr>
                <w:p>
                  <w:pPr>
                    <w:pStyle w:val="33"/>
                    <w:bidi w:val="0"/>
                    <w:rPr>
                      <w:rFonts w:hint="default" w:ascii="Times New Roman" w:hAnsi="Times New Roman" w:eastAsia="宋体" w:cs="Times New Roman"/>
                      <w:color w:val="auto"/>
                    </w:rPr>
                  </w:pPr>
                  <w:r>
                    <w:rPr>
                      <w:rFonts w:hint="default"/>
                      <w:color w:val="auto"/>
                    </w:rPr>
                    <w:t>危险废物贮存设施</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trPr>
              <w:tc>
                <w:tcPr>
                  <w:tcW w:w="2429" w:type="pct"/>
                  <w:tcBorders>
                    <w:right w:val="single" w:color="auto" w:sz="12" w:space="0"/>
                  </w:tcBorders>
                  <w:vAlign w:val="center"/>
                </w:tcPr>
                <w:p>
                  <w:pPr>
                    <w:pStyle w:val="33"/>
                    <w:bidi w:val="0"/>
                    <w:spacing w:line="240" w:lineRule="auto"/>
                    <w:rPr>
                      <w:rFonts w:hint="default" w:ascii="Times New Roman" w:hAnsi="Times New Roman" w:cs="Times New Roman"/>
                      <w:color w:val="auto"/>
                    </w:rPr>
                  </w:pPr>
                  <w:r>
                    <w:rPr>
                      <w:rFonts w:hint="default"/>
                      <w:color w:val="auto"/>
                    </w:rPr>
                    <w:drawing>
                      <wp:inline distT="0" distB="0" distL="0" distR="0">
                        <wp:extent cx="1296035" cy="1151890"/>
                        <wp:effectExtent l="0" t="0" r="18415" b="10160"/>
                        <wp:docPr id="195276730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67309"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96035" cy="1151890"/>
                                </a:xfrm>
                                <a:prstGeom prst="rect">
                                  <a:avLst/>
                                </a:prstGeom>
                                <a:noFill/>
                                <a:ln>
                                  <a:noFill/>
                                </a:ln>
                              </pic:spPr>
                            </pic:pic>
                          </a:graphicData>
                        </a:graphic>
                      </wp:inline>
                    </w:drawing>
                  </w:r>
                </w:p>
              </w:tc>
              <w:tc>
                <w:tcPr>
                  <w:tcW w:w="2570" w:type="pct"/>
                  <w:tcBorders>
                    <w:left w:val="single" w:color="auto" w:sz="12" w:space="0"/>
                  </w:tcBorders>
                  <w:vAlign w:val="center"/>
                </w:tcPr>
                <w:p>
                  <w:pPr>
                    <w:pStyle w:val="33"/>
                    <w:bidi w:val="0"/>
                    <w:spacing w:line="240" w:lineRule="auto"/>
                    <w:rPr>
                      <w:rFonts w:hint="default" w:ascii="Times New Roman" w:hAnsi="Times New Roman" w:cs="Times New Roman"/>
                      <w:color w:val="auto"/>
                    </w:rPr>
                  </w:pPr>
                  <w:r>
                    <w:rPr>
                      <w:rFonts w:hint="default"/>
                      <w:color w:val="auto"/>
                    </w:rPr>
                    <w:drawing>
                      <wp:inline distT="0" distB="0" distL="0" distR="0">
                        <wp:extent cx="1837055" cy="1151890"/>
                        <wp:effectExtent l="0" t="0" r="10795" b="10160"/>
                        <wp:docPr id="2513400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340015"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37055" cy="1151890"/>
                                </a:xfrm>
                                <a:prstGeom prst="rect">
                                  <a:avLst/>
                                </a:prstGeom>
                                <a:noFill/>
                                <a:ln>
                                  <a:noFill/>
                                </a:ln>
                              </pic:spPr>
                            </pic:pic>
                          </a:graphicData>
                        </a:graphic>
                      </wp:inline>
                    </w:drawing>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default"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8" w:hRule="atLeast"/>
        </w:trPr>
        <w:tc>
          <w:tcPr>
            <w:tcW w:w="256" w:type="pct"/>
            <w:vAlign w:val="center"/>
          </w:tcPr>
          <w:p>
            <w:pPr>
              <w:pStyle w:val="53"/>
              <w:bidi w:val="0"/>
              <w:rPr>
                <w:rFonts w:hint="default"/>
                <w:color w:val="auto"/>
              </w:rPr>
            </w:pPr>
            <w:r>
              <w:rPr>
                <w:rFonts w:hint="default"/>
                <w:color w:val="auto"/>
              </w:rPr>
              <w:t>环保投资</w:t>
            </w:r>
          </w:p>
        </w:tc>
        <w:tc>
          <w:tcPr>
            <w:tcW w:w="4743" w:type="pct"/>
            <w:vAlign w:val="center"/>
          </w:tcPr>
          <w:p>
            <w:pPr>
              <w:pStyle w:val="36"/>
              <w:bidi w:val="0"/>
              <w:rPr>
                <w:rFonts w:hint="default"/>
                <w:color w:val="auto"/>
              </w:rPr>
            </w:pPr>
            <w:bookmarkStart w:id="72" w:name="_Hlk136795979"/>
            <w:r>
              <w:rPr>
                <w:rFonts w:hint="default"/>
                <w:color w:val="auto"/>
                <w:lang w:val="en-US" w:eastAsia="zh-CN"/>
              </w:rPr>
              <w:t>本</w:t>
            </w:r>
            <w:r>
              <w:rPr>
                <w:rFonts w:hint="default"/>
                <w:color w:val="auto"/>
              </w:rPr>
              <w:t>项目总投资为</w:t>
            </w:r>
            <w:r>
              <w:rPr>
                <w:rFonts w:hint="default"/>
                <w:color w:val="auto"/>
                <w:lang w:val="en-US"/>
              </w:rPr>
              <w:t>12000</w:t>
            </w:r>
            <w:r>
              <w:rPr>
                <w:rFonts w:hint="default"/>
                <w:color w:val="auto"/>
              </w:rPr>
              <w:t>万元，其中环保投资</w:t>
            </w:r>
            <w:r>
              <w:rPr>
                <w:rFonts w:hint="eastAsia"/>
                <w:color w:val="auto"/>
                <w:lang w:val="en-US" w:eastAsia="zh-CN"/>
              </w:rPr>
              <w:t>365</w:t>
            </w:r>
            <w:r>
              <w:rPr>
                <w:rFonts w:hint="default"/>
                <w:color w:val="auto"/>
              </w:rPr>
              <w:t>万元，占总投资的</w:t>
            </w:r>
            <w:r>
              <w:rPr>
                <w:rFonts w:hint="eastAsia"/>
                <w:color w:val="auto"/>
                <w:lang w:val="en-US" w:eastAsia="zh-CN"/>
              </w:rPr>
              <w:t>3.04</w:t>
            </w:r>
            <w:r>
              <w:rPr>
                <w:rFonts w:hint="default"/>
                <w:color w:val="auto"/>
              </w:rPr>
              <w:t>%。</w:t>
            </w:r>
          </w:p>
          <w:p>
            <w:pPr>
              <w:pStyle w:val="52"/>
              <w:bidi w:val="0"/>
              <w:rPr>
                <w:rFonts w:hint="default"/>
                <w:color w:val="auto"/>
              </w:rPr>
            </w:pPr>
            <w:r>
              <w:rPr>
                <w:rFonts w:hint="default"/>
                <w:color w:val="auto"/>
              </w:rPr>
              <w:t>表</w:t>
            </w:r>
            <w:r>
              <w:rPr>
                <w:rFonts w:hint="default"/>
                <w:color w:val="auto"/>
                <w:lang w:val="en-US" w:eastAsia="zh-CN"/>
              </w:rPr>
              <w:t>5-4</w:t>
            </w:r>
            <w:r>
              <w:rPr>
                <w:rFonts w:hint="default"/>
                <w:color w:val="auto"/>
              </w:rPr>
              <w:t xml:space="preserve">  环保投资一览表</w:t>
            </w:r>
          </w:p>
          <w:bookmarkEnd w:id="72"/>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457"/>
              <w:gridCol w:w="5182"/>
              <w:gridCol w:w="10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5" w:type="pct"/>
                  <w:gridSpan w:val="2"/>
                  <w:tcMar>
                    <w:left w:w="0" w:type="dxa"/>
                    <w:right w:w="0" w:type="dxa"/>
                  </w:tcMar>
                  <w:vAlign w:val="center"/>
                </w:tcPr>
                <w:p>
                  <w:pPr>
                    <w:pStyle w:val="33"/>
                    <w:bidi w:val="0"/>
                    <w:rPr>
                      <w:rFonts w:hint="default"/>
                      <w:color w:val="auto"/>
                    </w:rPr>
                  </w:pPr>
                  <w:r>
                    <w:rPr>
                      <w:rFonts w:hint="default"/>
                      <w:color w:val="auto"/>
                    </w:rPr>
                    <w:t>工程名称</w:t>
                  </w:r>
                </w:p>
              </w:tc>
              <w:tc>
                <w:tcPr>
                  <w:tcW w:w="3131" w:type="pct"/>
                  <w:tcMar>
                    <w:left w:w="0" w:type="dxa"/>
                    <w:right w:w="0" w:type="dxa"/>
                  </w:tcMar>
                  <w:vAlign w:val="center"/>
                </w:tcPr>
                <w:p>
                  <w:pPr>
                    <w:pStyle w:val="33"/>
                    <w:bidi w:val="0"/>
                    <w:rPr>
                      <w:rFonts w:hint="default"/>
                      <w:color w:val="auto"/>
                    </w:rPr>
                  </w:pPr>
                  <w:r>
                    <w:rPr>
                      <w:rFonts w:hint="default"/>
                      <w:color w:val="auto"/>
                    </w:rPr>
                    <w:t>拟采取的环保措施</w:t>
                  </w:r>
                </w:p>
              </w:tc>
              <w:tc>
                <w:tcPr>
                  <w:tcW w:w="643" w:type="pct"/>
                  <w:tcMar>
                    <w:left w:w="0" w:type="dxa"/>
                    <w:right w:w="0" w:type="dxa"/>
                  </w:tcMar>
                  <w:vAlign w:val="center"/>
                </w:tcPr>
                <w:p>
                  <w:pPr>
                    <w:pStyle w:val="33"/>
                    <w:bidi w:val="0"/>
                    <w:rPr>
                      <w:rFonts w:hint="default"/>
                      <w:color w:val="auto"/>
                    </w:rPr>
                  </w:pPr>
                  <w:r>
                    <w:rPr>
                      <w:rFonts w:hint="default"/>
                      <w:color w:val="auto"/>
                    </w:rPr>
                    <w:t>环保投资</w:t>
                  </w:r>
                </w:p>
                <w:p>
                  <w:pPr>
                    <w:pStyle w:val="33"/>
                    <w:bidi w:val="0"/>
                    <w:rPr>
                      <w:rFonts w:hint="default"/>
                      <w:color w:val="auto"/>
                    </w:rPr>
                  </w:pPr>
                  <w:r>
                    <w:rPr>
                      <w:rFonts w:hint="default"/>
                      <w:color w:val="auto"/>
                    </w:rPr>
                    <w:t>（万元）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 w:type="pct"/>
                  <w:vMerge w:val="restart"/>
                  <w:tcMar>
                    <w:left w:w="0" w:type="dxa"/>
                    <w:right w:w="0" w:type="dxa"/>
                  </w:tcMar>
                  <w:vAlign w:val="center"/>
                </w:tcPr>
                <w:p>
                  <w:pPr>
                    <w:pStyle w:val="33"/>
                    <w:bidi w:val="0"/>
                    <w:rPr>
                      <w:rFonts w:hint="default"/>
                      <w:color w:val="auto"/>
                    </w:rPr>
                  </w:pPr>
                  <w:bookmarkStart w:id="73" w:name="_Hlk180059680"/>
                  <w:bookmarkStart w:id="74" w:name="_Hlk186826244"/>
                  <w:r>
                    <w:rPr>
                      <w:rFonts w:hint="default"/>
                      <w:color w:val="auto"/>
                    </w:rPr>
                    <w:t>废气</w:t>
                  </w:r>
                </w:p>
              </w:tc>
              <w:tc>
                <w:tcPr>
                  <w:tcW w:w="880" w:type="pct"/>
                  <w:vAlign w:val="center"/>
                </w:tcPr>
                <w:p>
                  <w:pPr>
                    <w:pStyle w:val="33"/>
                    <w:bidi w:val="0"/>
                    <w:rPr>
                      <w:rFonts w:hint="default"/>
                      <w:color w:val="auto"/>
                    </w:rPr>
                  </w:pPr>
                  <w:r>
                    <w:rPr>
                      <w:rFonts w:hint="default"/>
                      <w:color w:val="auto"/>
                    </w:rPr>
                    <w:t>试油伴生气</w:t>
                  </w:r>
                </w:p>
              </w:tc>
              <w:tc>
                <w:tcPr>
                  <w:tcW w:w="3131" w:type="pct"/>
                  <w:tcMar>
                    <w:left w:w="0" w:type="dxa"/>
                    <w:right w:w="0" w:type="dxa"/>
                  </w:tcMar>
                  <w:vAlign w:val="center"/>
                </w:tcPr>
                <w:p>
                  <w:pPr>
                    <w:pStyle w:val="33"/>
                    <w:bidi w:val="0"/>
                    <w:rPr>
                      <w:rFonts w:hint="default"/>
                      <w:color w:val="auto"/>
                    </w:rPr>
                  </w:pPr>
                  <w:r>
                    <w:rPr>
                      <w:rFonts w:hint="default"/>
                      <w:color w:val="auto"/>
                    </w:rPr>
                    <w:t>经排气管线充分燃烧后排放</w:t>
                  </w:r>
                </w:p>
              </w:tc>
              <w:tc>
                <w:tcPr>
                  <w:tcW w:w="643" w:type="pct"/>
                  <w:tcMar>
                    <w:left w:w="0" w:type="dxa"/>
                    <w:right w:w="0" w:type="dxa"/>
                  </w:tcMar>
                  <w:vAlign w:val="center"/>
                </w:tcPr>
                <w:p>
                  <w:pPr>
                    <w:pStyle w:val="33"/>
                    <w:bidi w:val="0"/>
                    <w:rPr>
                      <w:rFonts w:hint="eastAsia"/>
                      <w:color w:val="auto"/>
                      <w:lang w:val="en-US" w:eastAsia="zh-CN"/>
                    </w:rPr>
                  </w:pPr>
                  <w:r>
                    <w:rPr>
                      <w:rFonts w:hint="eastAsia"/>
                      <w:color w:val="auto"/>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 w:type="pct"/>
                  <w:vMerge w:val="continue"/>
                  <w:tcMar>
                    <w:left w:w="0" w:type="dxa"/>
                    <w:right w:w="0" w:type="dxa"/>
                  </w:tcMar>
                  <w:vAlign w:val="center"/>
                </w:tcPr>
                <w:p>
                  <w:pPr>
                    <w:pStyle w:val="33"/>
                    <w:bidi w:val="0"/>
                    <w:rPr>
                      <w:rFonts w:hint="default"/>
                      <w:color w:val="auto"/>
                    </w:rPr>
                  </w:pPr>
                </w:p>
              </w:tc>
              <w:tc>
                <w:tcPr>
                  <w:tcW w:w="880" w:type="pct"/>
                  <w:vAlign w:val="center"/>
                </w:tcPr>
                <w:p>
                  <w:pPr>
                    <w:pStyle w:val="33"/>
                    <w:bidi w:val="0"/>
                    <w:rPr>
                      <w:rFonts w:hint="default"/>
                      <w:color w:val="auto"/>
                    </w:rPr>
                  </w:pPr>
                  <w:r>
                    <w:rPr>
                      <w:rFonts w:hint="default"/>
                      <w:color w:val="auto"/>
                    </w:rPr>
                    <w:t>施工扬尘</w:t>
                  </w:r>
                </w:p>
              </w:tc>
              <w:tc>
                <w:tcPr>
                  <w:tcW w:w="3131" w:type="pct"/>
                  <w:tcMar>
                    <w:left w:w="0" w:type="dxa"/>
                    <w:right w:w="0" w:type="dxa"/>
                  </w:tcMar>
                  <w:vAlign w:val="center"/>
                </w:tcPr>
                <w:p>
                  <w:pPr>
                    <w:pStyle w:val="33"/>
                    <w:bidi w:val="0"/>
                    <w:rPr>
                      <w:rFonts w:hint="default"/>
                      <w:color w:val="auto"/>
                    </w:rPr>
                  </w:pPr>
                  <w:r>
                    <w:rPr>
                      <w:rFonts w:hint="default"/>
                      <w:color w:val="auto"/>
                    </w:rPr>
                    <w:t>采取井场洒水抑尘、对易起尘物料进行遮盖、加强车辆管理等措施</w:t>
                  </w:r>
                </w:p>
              </w:tc>
              <w:tc>
                <w:tcPr>
                  <w:tcW w:w="643" w:type="pct"/>
                  <w:tcMar>
                    <w:left w:w="0" w:type="dxa"/>
                    <w:right w:w="0" w:type="dxa"/>
                  </w:tcMar>
                  <w:vAlign w:val="center"/>
                </w:tcPr>
                <w:p>
                  <w:pPr>
                    <w:pStyle w:val="33"/>
                    <w:bidi w:val="0"/>
                    <w:rPr>
                      <w:rFonts w:hint="eastAsia"/>
                      <w:color w:val="auto"/>
                      <w:lang w:val="en-US" w:eastAsia="zh-CN"/>
                    </w:rPr>
                  </w:pPr>
                  <w:r>
                    <w:rPr>
                      <w:rFonts w:hint="eastAsia"/>
                      <w:color w:val="auto"/>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 w:type="pct"/>
                  <w:vMerge w:val="restart"/>
                  <w:tcMar>
                    <w:left w:w="0" w:type="dxa"/>
                    <w:right w:w="0" w:type="dxa"/>
                  </w:tcMar>
                  <w:vAlign w:val="center"/>
                </w:tcPr>
                <w:p>
                  <w:pPr>
                    <w:pStyle w:val="33"/>
                    <w:bidi w:val="0"/>
                    <w:rPr>
                      <w:rFonts w:hint="default"/>
                      <w:color w:val="auto"/>
                    </w:rPr>
                  </w:pPr>
                  <w:r>
                    <w:rPr>
                      <w:rFonts w:hint="default"/>
                      <w:color w:val="auto"/>
                    </w:rPr>
                    <w:t>废水</w:t>
                  </w:r>
                </w:p>
              </w:tc>
              <w:tc>
                <w:tcPr>
                  <w:tcW w:w="880" w:type="pct"/>
                  <w:tcMar>
                    <w:left w:w="0" w:type="dxa"/>
                    <w:right w:w="0" w:type="dxa"/>
                  </w:tcMar>
                  <w:vAlign w:val="center"/>
                </w:tcPr>
                <w:p>
                  <w:pPr>
                    <w:pStyle w:val="33"/>
                    <w:bidi w:val="0"/>
                    <w:rPr>
                      <w:rFonts w:hint="default"/>
                      <w:color w:val="auto"/>
                    </w:rPr>
                  </w:pPr>
                  <w:r>
                    <w:rPr>
                      <w:rFonts w:hint="default"/>
                      <w:color w:val="auto"/>
                    </w:rPr>
                    <w:t>洗井废水、压裂返排液</w:t>
                  </w:r>
                </w:p>
              </w:tc>
              <w:tc>
                <w:tcPr>
                  <w:tcW w:w="3131" w:type="pct"/>
                  <w:tcMar>
                    <w:left w:w="0" w:type="dxa"/>
                    <w:right w:w="0" w:type="dxa"/>
                  </w:tcMar>
                  <w:vAlign w:val="center"/>
                </w:tcPr>
                <w:p>
                  <w:pPr>
                    <w:pStyle w:val="33"/>
                    <w:bidi w:val="0"/>
                    <w:rPr>
                      <w:rFonts w:hint="default"/>
                      <w:color w:val="auto"/>
                    </w:rPr>
                  </w:pPr>
                  <w:r>
                    <w:rPr>
                      <w:rFonts w:hint="default"/>
                      <w:color w:val="auto"/>
                    </w:rPr>
                    <w:t>由地面储罐收集后，依托采油一厂车89</w:t>
                  </w:r>
                  <w:r>
                    <w:rPr>
                      <w:rFonts w:hint="eastAsia"/>
                      <w:color w:val="auto"/>
                      <w:lang w:val="en-US" w:eastAsia="zh-CN"/>
                    </w:rPr>
                    <w:t>集中</w:t>
                  </w:r>
                  <w:r>
                    <w:rPr>
                      <w:rFonts w:hint="default"/>
                      <w:color w:val="auto"/>
                    </w:rPr>
                    <w:t>处理站</w:t>
                  </w:r>
                </w:p>
              </w:tc>
              <w:tc>
                <w:tcPr>
                  <w:tcW w:w="643" w:type="pct"/>
                  <w:tcMar>
                    <w:left w:w="0" w:type="dxa"/>
                    <w:right w:w="0" w:type="dxa"/>
                  </w:tcMar>
                  <w:vAlign w:val="center"/>
                </w:tcPr>
                <w:p>
                  <w:pPr>
                    <w:pStyle w:val="33"/>
                    <w:bidi w:val="0"/>
                    <w:rPr>
                      <w:rFonts w:hint="default"/>
                      <w:color w:val="auto"/>
                      <w:lang w:val="en-US" w:eastAsia="zh-CN"/>
                    </w:rPr>
                  </w:pPr>
                  <w:r>
                    <w:rPr>
                      <w:rFonts w:hint="eastAsia"/>
                      <w:color w:val="auto"/>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 w:type="pct"/>
                  <w:vMerge w:val="continue"/>
                  <w:tcMar>
                    <w:left w:w="0" w:type="dxa"/>
                    <w:right w:w="0" w:type="dxa"/>
                  </w:tcMar>
                  <w:vAlign w:val="center"/>
                </w:tcPr>
                <w:p>
                  <w:pPr>
                    <w:pStyle w:val="33"/>
                    <w:bidi w:val="0"/>
                    <w:rPr>
                      <w:rFonts w:hint="default"/>
                      <w:color w:val="auto"/>
                    </w:rPr>
                  </w:pPr>
                </w:p>
              </w:tc>
              <w:tc>
                <w:tcPr>
                  <w:tcW w:w="880" w:type="pct"/>
                  <w:tcMar>
                    <w:left w:w="0" w:type="dxa"/>
                    <w:right w:w="0" w:type="dxa"/>
                  </w:tcMar>
                  <w:vAlign w:val="center"/>
                </w:tcPr>
                <w:p>
                  <w:pPr>
                    <w:pStyle w:val="33"/>
                    <w:bidi w:val="0"/>
                    <w:rPr>
                      <w:rFonts w:hint="default"/>
                      <w:color w:val="auto"/>
                      <w:lang w:val="en-US" w:eastAsia="zh-CN"/>
                    </w:rPr>
                  </w:pPr>
                  <w:r>
                    <w:rPr>
                      <w:rFonts w:hint="eastAsia"/>
                      <w:color w:val="auto"/>
                      <w:lang w:val="en-US" w:eastAsia="zh-CN"/>
                    </w:rPr>
                    <w:t>生活污水</w:t>
                  </w:r>
                </w:p>
              </w:tc>
              <w:tc>
                <w:tcPr>
                  <w:tcW w:w="3131" w:type="pct"/>
                  <w:shd w:val="clear" w:color="auto" w:fill="auto"/>
                  <w:tcMar>
                    <w:left w:w="0" w:type="dxa"/>
                    <w:right w:w="0" w:type="dxa"/>
                  </w:tcMar>
                  <w:vAlign w:val="center"/>
                </w:tcPr>
                <w:p>
                  <w:pPr>
                    <w:pStyle w:val="33"/>
                    <w:bidi w:val="0"/>
                    <w:rPr>
                      <w:rFonts w:hint="default"/>
                      <w:color w:val="auto"/>
                      <w:lang w:val="en-US" w:eastAsia="zh-CN"/>
                    </w:rPr>
                  </w:pPr>
                  <w:r>
                    <w:rPr>
                      <w:rFonts w:hint="default"/>
                      <w:color w:val="auto"/>
                    </w:rPr>
                    <w:t>生活营地内设1座临时</w:t>
                  </w:r>
                  <w:r>
                    <w:rPr>
                      <w:rFonts w:hint="eastAsia"/>
                      <w:color w:val="auto"/>
                      <w:lang w:eastAsia="zh-CN"/>
                    </w:rPr>
                    <w:t>防渗储集池</w:t>
                  </w:r>
                  <w:r>
                    <w:rPr>
                      <w:rFonts w:hint="default"/>
                      <w:color w:val="auto"/>
                    </w:rPr>
                    <w:t>收集暂存，定期</w:t>
                  </w:r>
                  <w:r>
                    <w:rPr>
                      <w:rFonts w:hint="eastAsia"/>
                      <w:color w:val="auto"/>
                      <w:lang w:val="en-US" w:eastAsia="zh-CN"/>
                    </w:rPr>
                    <w:t>委托</w:t>
                  </w:r>
                  <w:r>
                    <w:rPr>
                      <w:rFonts w:hint="default"/>
                      <w:color w:val="auto"/>
                    </w:rPr>
                    <w:t>吸污车抽出并拉运至</w:t>
                  </w:r>
                  <w:r>
                    <w:rPr>
                      <w:rFonts w:hint="eastAsia"/>
                      <w:color w:val="auto"/>
                      <w:lang w:val="en-US" w:eastAsia="zh-CN"/>
                    </w:rPr>
                    <w:t>玛纳斯县</w:t>
                  </w:r>
                  <w:r>
                    <w:rPr>
                      <w:rFonts w:hint="default"/>
                      <w:color w:val="auto"/>
                    </w:rPr>
                    <w:t>污水处理厂处理</w:t>
                  </w:r>
                </w:p>
              </w:tc>
              <w:tc>
                <w:tcPr>
                  <w:tcW w:w="643" w:type="pct"/>
                  <w:tcMar>
                    <w:left w:w="0" w:type="dxa"/>
                    <w:right w:w="0" w:type="dxa"/>
                  </w:tcMar>
                  <w:vAlign w:val="center"/>
                </w:tcPr>
                <w:p>
                  <w:pPr>
                    <w:pStyle w:val="33"/>
                    <w:bidi w:val="0"/>
                    <w:rPr>
                      <w:rFonts w:hint="default"/>
                      <w:color w:val="auto"/>
                      <w:lang w:val="en-US" w:eastAsia="zh-CN"/>
                    </w:rPr>
                  </w:pPr>
                  <w:r>
                    <w:rPr>
                      <w:rFonts w:hint="eastAsia"/>
                      <w:color w:val="auto"/>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 w:type="pct"/>
                  <w:vMerge w:val="restart"/>
                  <w:tcMar>
                    <w:left w:w="0" w:type="dxa"/>
                    <w:right w:w="0" w:type="dxa"/>
                  </w:tcMar>
                  <w:vAlign w:val="center"/>
                </w:tcPr>
                <w:p>
                  <w:pPr>
                    <w:pStyle w:val="33"/>
                    <w:bidi w:val="0"/>
                    <w:rPr>
                      <w:rFonts w:hint="eastAsia"/>
                      <w:color w:val="auto"/>
                      <w:lang w:val="en-US" w:eastAsia="zh-CN"/>
                    </w:rPr>
                  </w:pPr>
                  <w:r>
                    <w:rPr>
                      <w:rFonts w:hint="eastAsia"/>
                      <w:color w:val="auto"/>
                      <w:lang w:val="en-US" w:eastAsia="zh-CN"/>
                    </w:rPr>
                    <w:t>固体废物</w:t>
                  </w:r>
                </w:p>
              </w:tc>
              <w:tc>
                <w:tcPr>
                  <w:tcW w:w="880" w:type="pct"/>
                  <w:tcMar>
                    <w:left w:w="0" w:type="dxa"/>
                    <w:right w:w="0" w:type="dxa"/>
                  </w:tcMar>
                  <w:vAlign w:val="center"/>
                </w:tcPr>
                <w:p>
                  <w:pPr>
                    <w:pStyle w:val="33"/>
                    <w:bidi w:val="0"/>
                    <w:rPr>
                      <w:rFonts w:hint="default"/>
                      <w:color w:val="auto"/>
                    </w:rPr>
                  </w:pPr>
                  <w:r>
                    <w:rPr>
                      <w:rFonts w:hint="default"/>
                      <w:color w:val="auto"/>
                    </w:rPr>
                    <w:t>水基钻井岩屑</w:t>
                  </w:r>
                </w:p>
              </w:tc>
              <w:tc>
                <w:tcPr>
                  <w:tcW w:w="3131" w:type="pct"/>
                  <w:vMerge w:val="restart"/>
                  <w:tcMar>
                    <w:left w:w="0" w:type="dxa"/>
                    <w:right w:w="0" w:type="dxa"/>
                  </w:tcMar>
                  <w:vAlign w:val="center"/>
                </w:tcPr>
                <w:p>
                  <w:pPr>
                    <w:pStyle w:val="33"/>
                    <w:bidi w:val="0"/>
                    <w:rPr>
                      <w:rFonts w:hint="default"/>
                      <w:color w:val="auto"/>
                    </w:rPr>
                  </w:pPr>
                  <w:r>
                    <w:rPr>
                      <w:rFonts w:hint="eastAsia"/>
                      <w:color w:val="auto"/>
                    </w:rPr>
                    <w:t>井场设</w:t>
                  </w:r>
                  <w:r>
                    <w:rPr>
                      <w:rFonts w:hint="eastAsia"/>
                      <w:color w:val="auto"/>
                      <w:lang w:val="en-US" w:eastAsia="zh-CN"/>
                    </w:rPr>
                    <w:t>有水基和油基</w:t>
                  </w:r>
                  <w:r>
                    <w:rPr>
                      <w:rFonts w:hint="eastAsia"/>
                      <w:color w:val="auto"/>
                    </w:rPr>
                    <w:t>钻井液不落地设备</w:t>
                  </w:r>
                  <w:r>
                    <w:rPr>
                      <w:rFonts w:hint="eastAsia"/>
                      <w:color w:val="auto"/>
                      <w:lang w:val="en-US" w:eastAsia="zh-CN"/>
                    </w:rPr>
                    <w:t>各1套</w:t>
                  </w:r>
                  <w:r>
                    <w:rPr>
                      <w:rFonts w:hint="eastAsia"/>
                      <w:color w:val="auto"/>
                    </w:rPr>
                    <w:t>，水基岩屑暂存于岩屑方罐中，油基岩屑暂存于岩屑专用储罐，水基岩屑委托岩屑处置单位处置，油基岩屑委托具有相应危废处置资质的单位处置</w:t>
                  </w:r>
                </w:p>
              </w:tc>
              <w:tc>
                <w:tcPr>
                  <w:tcW w:w="643" w:type="pct"/>
                  <w:vMerge w:val="restart"/>
                  <w:tcMar>
                    <w:left w:w="0" w:type="dxa"/>
                    <w:right w:w="0" w:type="dxa"/>
                  </w:tcMar>
                  <w:vAlign w:val="center"/>
                </w:tcPr>
                <w:p>
                  <w:pPr>
                    <w:pStyle w:val="33"/>
                    <w:bidi w:val="0"/>
                    <w:rPr>
                      <w:rFonts w:hint="default"/>
                      <w:color w:val="auto"/>
                      <w:lang w:val="en-US" w:eastAsia="zh-CN"/>
                    </w:rPr>
                  </w:pPr>
                  <w:r>
                    <w:rPr>
                      <w:rFonts w:hint="eastAsia"/>
                      <w:color w:val="auto"/>
                      <w:lang w:val="en-US" w:eastAsia="zh-CN"/>
                    </w:rPr>
                    <w:t>320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 w:type="pct"/>
                  <w:vMerge w:val="continue"/>
                  <w:tcMar>
                    <w:left w:w="0" w:type="dxa"/>
                    <w:right w:w="0" w:type="dxa"/>
                  </w:tcMar>
                  <w:vAlign w:val="center"/>
                </w:tcPr>
                <w:p>
                  <w:pPr>
                    <w:pStyle w:val="33"/>
                    <w:bidi w:val="0"/>
                    <w:rPr>
                      <w:rFonts w:hint="default"/>
                      <w:color w:val="auto"/>
                    </w:rPr>
                  </w:pPr>
                </w:p>
              </w:tc>
              <w:tc>
                <w:tcPr>
                  <w:tcW w:w="880" w:type="pct"/>
                  <w:tcMar>
                    <w:left w:w="0" w:type="dxa"/>
                    <w:right w:w="0" w:type="dxa"/>
                  </w:tcMar>
                  <w:vAlign w:val="center"/>
                </w:tcPr>
                <w:p>
                  <w:pPr>
                    <w:pStyle w:val="33"/>
                    <w:bidi w:val="0"/>
                    <w:rPr>
                      <w:rFonts w:hint="default"/>
                      <w:color w:val="auto"/>
                      <w:lang w:val="en-US" w:eastAsia="zh-CN"/>
                    </w:rPr>
                  </w:pPr>
                  <w:r>
                    <w:rPr>
                      <w:rFonts w:hint="eastAsia"/>
                      <w:color w:val="auto"/>
                      <w:lang w:val="en-US" w:eastAsia="zh-CN"/>
                    </w:rPr>
                    <w:t>油基钻井岩屑</w:t>
                  </w:r>
                </w:p>
              </w:tc>
              <w:tc>
                <w:tcPr>
                  <w:tcW w:w="3131" w:type="pct"/>
                  <w:vMerge w:val="continue"/>
                  <w:tcMar>
                    <w:left w:w="0" w:type="dxa"/>
                    <w:right w:w="0" w:type="dxa"/>
                  </w:tcMar>
                  <w:vAlign w:val="center"/>
                </w:tcPr>
                <w:p>
                  <w:pPr>
                    <w:pStyle w:val="33"/>
                    <w:bidi w:val="0"/>
                    <w:rPr>
                      <w:rFonts w:hint="default"/>
                      <w:color w:val="auto"/>
                    </w:rPr>
                  </w:pPr>
                </w:p>
              </w:tc>
              <w:tc>
                <w:tcPr>
                  <w:tcW w:w="643" w:type="pct"/>
                  <w:vMerge w:val="continue"/>
                  <w:tcMar>
                    <w:left w:w="0" w:type="dxa"/>
                    <w:right w:w="0" w:type="dxa"/>
                  </w:tcMar>
                  <w:vAlign w:val="center"/>
                </w:tcPr>
                <w:p>
                  <w:pPr>
                    <w:pStyle w:val="33"/>
                    <w:bidi w:val="0"/>
                    <w:rPr>
                      <w:rFonts w:hint="default"/>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 w:type="pct"/>
                  <w:vMerge w:val="continue"/>
                  <w:tcMar>
                    <w:left w:w="0" w:type="dxa"/>
                    <w:right w:w="0" w:type="dxa"/>
                  </w:tcMar>
                  <w:vAlign w:val="center"/>
                </w:tcPr>
                <w:p>
                  <w:pPr>
                    <w:pStyle w:val="33"/>
                    <w:bidi w:val="0"/>
                    <w:rPr>
                      <w:rFonts w:hint="default"/>
                      <w:color w:val="auto"/>
                    </w:rPr>
                  </w:pPr>
                </w:p>
              </w:tc>
              <w:tc>
                <w:tcPr>
                  <w:tcW w:w="880" w:type="pct"/>
                  <w:shd w:val="clear" w:color="auto" w:fill="auto"/>
                  <w:tcMar>
                    <w:left w:w="0" w:type="dxa"/>
                    <w:right w:w="0" w:type="dxa"/>
                  </w:tcMar>
                  <w:vAlign w:val="center"/>
                </w:tcPr>
                <w:p>
                  <w:pPr>
                    <w:pStyle w:val="33"/>
                    <w:bidi w:val="0"/>
                    <w:rPr>
                      <w:rFonts w:hint="default" w:eastAsia="宋体"/>
                      <w:color w:val="auto"/>
                      <w:lang w:val="en-US" w:eastAsia="zh-CN"/>
                    </w:rPr>
                  </w:pPr>
                  <w:r>
                    <w:rPr>
                      <w:rFonts w:hint="default"/>
                      <w:color w:val="auto"/>
                    </w:rPr>
                    <w:t>沾油废防渗材料、废润滑油及废润滑油桶</w:t>
                  </w:r>
                  <w:r>
                    <w:rPr>
                      <w:rFonts w:hint="eastAsia"/>
                      <w:color w:val="auto"/>
                      <w:lang w:eastAsia="zh-CN"/>
                    </w:rPr>
                    <w:t>、</w:t>
                  </w:r>
                  <w:r>
                    <w:rPr>
                      <w:rFonts w:hint="eastAsia"/>
                      <w:color w:val="auto"/>
                      <w:lang w:val="en-US" w:eastAsia="zh-CN"/>
                    </w:rPr>
                    <w:t>废沾油手套和劳保用品</w:t>
                  </w:r>
                </w:p>
              </w:tc>
              <w:tc>
                <w:tcPr>
                  <w:tcW w:w="3131" w:type="pct"/>
                  <w:shd w:val="clear" w:color="auto" w:fill="auto"/>
                  <w:tcMar>
                    <w:left w:w="0" w:type="dxa"/>
                    <w:right w:w="0" w:type="dxa"/>
                  </w:tcMar>
                  <w:vAlign w:val="center"/>
                </w:tcPr>
                <w:p>
                  <w:pPr>
                    <w:pStyle w:val="33"/>
                    <w:bidi w:val="0"/>
                    <w:rPr>
                      <w:rFonts w:hint="default"/>
                      <w:color w:val="auto"/>
                      <w:lang w:val="en-US" w:eastAsia="zh-CN"/>
                    </w:rPr>
                  </w:pPr>
                  <w:r>
                    <w:rPr>
                      <w:rFonts w:hint="default"/>
                      <w:color w:val="auto"/>
                    </w:rPr>
                    <w:t>钻井井场设置1座危险废物贮存点，用于施工过程中产生的沾油废防渗材料、废润滑油及废润滑油桶的暂存，各类危险废物定期交由具有相应危险废物处置资质的单位进行接收、转运和处置</w:t>
                  </w:r>
                </w:p>
              </w:tc>
              <w:tc>
                <w:tcPr>
                  <w:tcW w:w="643" w:type="pct"/>
                  <w:shd w:val="clear" w:color="auto" w:fill="auto"/>
                  <w:tcMar>
                    <w:left w:w="0" w:type="dxa"/>
                    <w:right w:w="0" w:type="dxa"/>
                  </w:tcMar>
                  <w:vAlign w:val="center"/>
                </w:tcPr>
                <w:p>
                  <w:pPr>
                    <w:pStyle w:val="33"/>
                    <w:bidi w:val="0"/>
                    <w:rPr>
                      <w:rFonts w:hint="default"/>
                      <w:color w:val="auto"/>
                      <w:lang w:val="en-US" w:eastAsia="zh-CN"/>
                    </w:rPr>
                  </w:pPr>
                  <w:r>
                    <w:rPr>
                      <w:rFonts w:hint="eastAsia"/>
                      <w:color w:val="auto"/>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45" w:type="pct"/>
                  <w:vMerge w:val="continue"/>
                  <w:tcMar>
                    <w:left w:w="0" w:type="dxa"/>
                    <w:right w:w="0" w:type="dxa"/>
                  </w:tcMar>
                  <w:vAlign w:val="center"/>
                </w:tcPr>
                <w:p>
                  <w:pPr>
                    <w:pStyle w:val="33"/>
                    <w:bidi w:val="0"/>
                    <w:rPr>
                      <w:rFonts w:hint="default"/>
                      <w:color w:val="auto"/>
                    </w:rPr>
                  </w:pPr>
                </w:p>
              </w:tc>
              <w:tc>
                <w:tcPr>
                  <w:tcW w:w="880" w:type="pct"/>
                  <w:tcMar>
                    <w:left w:w="0" w:type="dxa"/>
                    <w:right w:w="0" w:type="dxa"/>
                  </w:tcMar>
                  <w:vAlign w:val="center"/>
                </w:tcPr>
                <w:p>
                  <w:pPr>
                    <w:pStyle w:val="33"/>
                    <w:bidi w:val="0"/>
                    <w:rPr>
                      <w:rFonts w:hint="default"/>
                      <w:color w:val="auto"/>
                      <w:lang w:val="en-US" w:eastAsia="zh-CN"/>
                    </w:rPr>
                  </w:pPr>
                  <w:r>
                    <w:rPr>
                      <w:rFonts w:hint="eastAsia"/>
                      <w:color w:val="auto"/>
                      <w:lang w:val="en-US" w:eastAsia="zh-CN"/>
                    </w:rPr>
                    <w:t>生活垃圾</w:t>
                  </w:r>
                </w:p>
              </w:tc>
              <w:tc>
                <w:tcPr>
                  <w:tcW w:w="3131" w:type="pct"/>
                  <w:shd w:val="clear" w:color="auto" w:fill="auto"/>
                  <w:tcMar>
                    <w:left w:w="0" w:type="dxa"/>
                    <w:right w:w="0" w:type="dxa"/>
                  </w:tcMar>
                  <w:vAlign w:val="center"/>
                </w:tcPr>
                <w:p>
                  <w:pPr>
                    <w:pStyle w:val="33"/>
                    <w:bidi w:val="0"/>
                    <w:rPr>
                      <w:rFonts w:hint="default"/>
                      <w:color w:val="auto"/>
                      <w:lang w:val="en-US" w:eastAsia="zh-CN"/>
                    </w:rPr>
                  </w:pPr>
                  <w:r>
                    <w:rPr>
                      <w:rFonts w:hint="default"/>
                      <w:color w:val="auto"/>
                    </w:rPr>
                    <w:t>设有垃圾箱集中收集，定期</w:t>
                  </w:r>
                  <w:r>
                    <w:rPr>
                      <w:rFonts w:hint="eastAsia"/>
                      <w:color w:val="auto"/>
                      <w:lang w:val="en-US" w:eastAsia="zh-CN"/>
                    </w:rPr>
                    <w:t>委托</w:t>
                  </w:r>
                  <w:r>
                    <w:rPr>
                      <w:rFonts w:hint="default"/>
                      <w:color w:val="auto"/>
                    </w:rPr>
                    <w:t>清运至</w:t>
                  </w:r>
                  <w:r>
                    <w:rPr>
                      <w:rFonts w:hint="eastAsia"/>
                      <w:color w:val="auto"/>
                      <w:lang w:val="en-US" w:eastAsia="zh-CN"/>
                    </w:rPr>
                    <w:t>玛纳斯县</w:t>
                  </w:r>
                  <w:r>
                    <w:rPr>
                      <w:rFonts w:hint="default"/>
                      <w:color w:val="auto"/>
                    </w:rPr>
                    <w:t>生活垃圾填埋场处置</w:t>
                  </w:r>
                </w:p>
              </w:tc>
              <w:tc>
                <w:tcPr>
                  <w:tcW w:w="643" w:type="pct"/>
                  <w:tcMar>
                    <w:left w:w="0" w:type="dxa"/>
                    <w:right w:w="0" w:type="dxa"/>
                  </w:tcMar>
                  <w:vAlign w:val="center"/>
                </w:tcPr>
                <w:p>
                  <w:pPr>
                    <w:pStyle w:val="33"/>
                    <w:bidi w:val="0"/>
                    <w:rPr>
                      <w:rFonts w:hint="default"/>
                      <w:color w:val="auto"/>
                      <w:lang w:val="en-US" w:eastAsia="zh-CN"/>
                    </w:rPr>
                  </w:pPr>
                  <w:r>
                    <w:rPr>
                      <w:rFonts w:hint="eastAsia"/>
                      <w:color w:val="auto"/>
                      <w:lang w:val="en-US" w:eastAsia="zh-CN"/>
                    </w:rPr>
                    <w:t>3</w:t>
                  </w:r>
                </w:p>
              </w:tc>
            </w:tr>
            <w:bookmarkEnd w:id="73"/>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5" w:type="pct"/>
                  <w:gridSpan w:val="2"/>
                  <w:tcMar>
                    <w:left w:w="0" w:type="dxa"/>
                    <w:right w:w="0" w:type="dxa"/>
                  </w:tcMar>
                  <w:vAlign w:val="center"/>
                </w:tcPr>
                <w:p>
                  <w:pPr>
                    <w:pStyle w:val="33"/>
                    <w:bidi w:val="0"/>
                    <w:rPr>
                      <w:rFonts w:hint="default"/>
                      <w:color w:val="auto"/>
                    </w:rPr>
                  </w:pPr>
                  <w:bookmarkStart w:id="75" w:name="_Hlk180059585"/>
                  <w:r>
                    <w:rPr>
                      <w:rFonts w:hint="default"/>
                      <w:color w:val="auto"/>
                    </w:rPr>
                    <w:t>生态恢复</w:t>
                  </w:r>
                </w:p>
              </w:tc>
              <w:tc>
                <w:tcPr>
                  <w:tcW w:w="3131" w:type="pct"/>
                  <w:tcMar>
                    <w:left w:w="0" w:type="dxa"/>
                    <w:right w:w="0" w:type="dxa"/>
                  </w:tcMar>
                  <w:vAlign w:val="center"/>
                </w:tcPr>
                <w:p>
                  <w:pPr>
                    <w:pStyle w:val="33"/>
                    <w:bidi w:val="0"/>
                    <w:rPr>
                      <w:rFonts w:hint="default"/>
                      <w:color w:val="auto"/>
                    </w:rPr>
                  </w:pPr>
                  <w:r>
                    <w:rPr>
                      <w:rFonts w:hint="default"/>
                      <w:color w:val="auto"/>
                    </w:rPr>
                    <w:t>对临时占地进行清理、平整</w:t>
                  </w:r>
                </w:p>
              </w:tc>
              <w:tc>
                <w:tcPr>
                  <w:tcW w:w="643" w:type="pct"/>
                  <w:tcMar>
                    <w:left w:w="0" w:type="dxa"/>
                    <w:right w:w="0" w:type="dxa"/>
                  </w:tcMar>
                  <w:vAlign w:val="center"/>
                </w:tcPr>
                <w:p>
                  <w:pPr>
                    <w:pStyle w:val="33"/>
                    <w:bidi w:val="0"/>
                    <w:rPr>
                      <w:rFonts w:hint="default"/>
                      <w:color w:val="auto"/>
                      <w:lang w:val="en-US" w:eastAsia="zh-CN"/>
                    </w:rPr>
                  </w:pPr>
                  <w:r>
                    <w:rPr>
                      <w:rFonts w:hint="eastAsia"/>
                      <w:color w:val="auto"/>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5" w:type="pct"/>
                  <w:gridSpan w:val="2"/>
                  <w:tcMar>
                    <w:left w:w="0" w:type="dxa"/>
                    <w:right w:w="0" w:type="dxa"/>
                  </w:tcMar>
                  <w:vAlign w:val="center"/>
                </w:tcPr>
                <w:p>
                  <w:pPr>
                    <w:pStyle w:val="33"/>
                    <w:bidi w:val="0"/>
                    <w:rPr>
                      <w:rFonts w:hint="default"/>
                      <w:color w:val="auto"/>
                    </w:rPr>
                  </w:pPr>
                  <w:r>
                    <w:rPr>
                      <w:rFonts w:hint="default"/>
                      <w:color w:val="auto"/>
                    </w:rPr>
                    <w:t>井控装置</w:t>
                  </w:r>
                </w:p>
              </w:tc>
              <w:tc>
                <w:tcPr>
                  <w:tcW w:w="3131" w:type="pct"/>
                  <w:tcMar>
                    <w:left w:w="0" w:type="dxa"/>
                    <w:right w:w="0" w:type="dxa"/>
                  </w:tcMar>
                  <w:vAlign w:val="center"/>
                </w:tcPr>
                <w:p>
                  <w:pPr>
                    <w:pStyle w:val="33"/>
                    <w:bidi w:val="0"/>
                    <w:rPr>
                      <w:rFonts w:hint="default"/>
                      <w:color w:val="auto"/>
                    </w:rPr>
                  </w:pPr>
                  <w:r>
                    <w:rPr>
                      <w:rFonts w:hint="default"/>
                      <w:color w:val="auto"/>
                    </w:rPr>
                    <w:t>设置防喷器，防止井喷；井场左右两侧各设置1条放喷管线，并预留应急放喷池位置</w:t>
                  </w:r>
                </w:p>
              </w:tc>
              <w:tc>
                <w:tcPr>
                  <w:tcW w:w="643" w:type="pct"/>
                  <w:tcMar>
                    <w:left w:w="0" w:type="dxa"/>
                    <w:right w:w="0" w:type="dxa"/>
                  </w:tcMar>
                  <w:vAlign w:val="center"/>
                </w:tcPr>
                <w:p>
                  <w:pPr>
                    <w:pStyle w:val="33"/>
                    <w:bidi w:val="0"/>
                    <w:rPr>
                      <w:rFonts w:hint="default"/>
                      <w:color w:val="auto"/>
                      <w:lang w:val="en-US" w:eastAsia="zh-CN"/>
                    </w:rPr>
                  </w:pPr>
                  <w:r>
                    <w:rPr>
                      <w:rFonts w:hint="eastAsia"/>
                      <w:color w:val="auto"/>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5" w:type="pct"/>
                  <w:gridSpan w:val="2"/>
                  <w:tcMar>
                    <w:left w:w="0" w:type="dxa"/>
                    <w:right w:w="0" w:type="dxa"/>
                  </w:tcMar>
                  <w:vAlign w:val="center"/>
                </w:tcPr>
                <w:p>
                  <w:pPr>
                    <w:pStyle w:val="33"/>
                    <w:bidi w:val="0"/>
                    <w:rPr>
                      <w:rFonts w:hint="default"/>
                      <w:color w:val="auto"/>
                    </w:rPr>
                  </w:pPr>
                  <w:r>
                    <w:rPr>
                      <w:rFonts w:hint="default"/>
                      <w:color w:val="auto"/>
                    </w:rPr>
                    <w:t>硫化氢监测</w:t>
                  </w:r>
                </w:p>
              </w:tc>
              <w:tc>
                <w:tcPr>
                  <w:tcW w:w="3131" w:type="pct"/>
                  <w:tcMar>
                    <w:left w:w="0" w:type="dxa"/>
                    <w:right w:w="0" w:type="dxa"/>
                  </w:tcMar>
                  <w:vAlign w:val="center"/>
                </w:tcPr>
                <w:p>
                  <w:pPr>
                    <w:pStyle w:val="33"/>
                    <w:bidi w:val="0"/>
                    <w:rPr>
                      <w:rFonts w:hint="default"/>
                      <w:color w:val="auto"/>
                    </w:rPr>
                  </w:pPr>
                  <w:r>
                    <w:rPr>
                      <w:rFonts w:hint="default"/>
                      <w:color w:val="auto"/>
                      <w:lang w:val="en-US" w:eastAsia="zh-CN"/>
                    </w:rPr>
                    <w:t>井场配备便携式</w:t>
                  </w:r>
                  <w:r>
                    <w:rPr>
                      <w:rFonts w:hint="default"/>
                      <w:color w:val="auto"/>
                    </w:rPr>
                    <w:t>硫化氢气体检测</w:t>
                  </w:r>
                  <w:r>
                    <w:rPr>
                      <w:rFonts w:hint="default"/>
                      <w:color w:val="auto"/>
                      <w:lang w:val="en-US" w:eastAsia="zh-CN"/>
                    </w:rPr>
                    <w:t>仪</w:t>
                  </w:r>
                </w:p>
              </w:tc>
              <w:tc>
                <w:tcPr>
                  <w:tcW w:w="643" w:type="pct"/>
                  <w:tcMar>
                    <w:left w:w="0" w:type="dxa"/>
                    <w:right w:w="0" w:type="dxa"/>
                  </w:tcMar>
                  <w:vAlign w:val="center"/>
                </w:tcPr>
                <w:p>
                  <w:pPr>
                    <w:pStyle w:val="33"/>
                    <w:bidi w:val="0"/>
                    <w:rPr>
                      <w:rFonts w:hint="eastAsia"/>
                      <w:color w:val="auto"/>
                      <w:lang w:eastAsia="zh-CN"/>
                    </w:rPr>
                  </w:pPr>
                  <w:r>
                    <w:rPr>
                      <w:rFonts w:hint="eastAsia"/>
                      <w:color w:val="auto"/>
                      <w:lang w:val="en-US" w:eastAsia="zh-CN"/>
                    </w:rPr>
                    <w:t>1</w:t>
                  </w:r>
                </w:p>
              </w:tc>
            </w:tr>
            <w:bookmarkEnd w:id="74"/>
            <w:bookmarkEnd w:id="75"/>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56" w:type="pct"/>
                  <w:gridSpan w:val="3"/>
                  <w:tcMar>
                    <w:left w:w="0" w:type="dxa"/>
                    <w:right w:w="0" w:type="dxa"/>
                  </w:tcMar>
                  <w:vAlign w:val="center"/>
                </w:tcPr>
                <w:p>
                  <w:pPr>
                    <w:pStyle w:val="33"/>
                    <w:bidi w:val="0"/>
                    <w:rPr>
                      <w:rFonts w:hint="default"/>
                      <w:color w:val="auto"/>
                    </w:rPr>
                  </w:pPr>
                  <w:r>
                    <w:rPr>
                      <w:rFonts w:hint="default"/>
                      <w:color w:val="auto"/>
                    </w:rPr>
                    <w:t>合计</w:t>
                  </w:r>
                </w:p>
              </w:tc>
              <w:tc>
                <w:tcPr>
                  <w:tcW w:w="643" w:type="pct"/>
                  <w:tcMar>
                    <w:left w:w="0" w:type="dxa"/>
                    <w:right w:w="0" w:type="dxa"/>
                  </w:tcMar>
                  <w:vAlign w:val="center"/>
                </w:tcPr>
                <w:p>
                  <w:pPr>
                    <w:pStyle w:val="33"/>
                    <w:bidi w:val="0"/>
                    <w:rPr>
                      <w:rFonts w:hint="default"/>
                      <w:color w:val="auto"/>
                      <w:lang w:val="en-US" w:eastAsia="zh-CN"/>
                    </w:rPr>
                  </w:pPr>
                  <w:r>
                    <w:rPr>
                      <w:rFonts w:hint="eastAsia"/>
                      <w:color w:val="auto"/>
                      <w:lang w:val="en-US" w:eastAsia="zh-CN"/>
                    </w:rPr>
                    <w:t>365</w:t>
                  </w:r>
                </w:p>
              </w:tc>
            </w:tr>
          </w:tbl>
          <w:p>
            <w:pPr>
              <w:ind w:left="0" w:leftChars="0" w:firstLine="0" w:firstLineChars="0"/>
              <w:rPr>
                <w:rFonts w:hint="default" w:ascii="Times New Roman" w:hAnsi="Times New Roman" w:eastAsia="宋体" w:cs="Times New Roman"/>
                <w:color w:val="auto"/>
                <w:lang w:val="en-US" w:eastAsia="zh-CN"/>
              </w:rPr>
            </w:pPr>
          </w:p>
          <w:p>
            <w:pPr>
              <w:pStyle w:val="10"/>
              <w:rPr>
                <w:rFonts w:hint="default"/>
                <w:color w:val="auto"/>
                <w:lang w:val="en-US" w:eastAsia="zh-CN"/>
              </w:rPr>
            </w:pPr>
          </w:p>
          <w:p>
            <w:pPr>
              <w:pStyle w:val="11"/>
              <w:rPr>
                <w:rFonts w:hint="default"/>
                <w:color w:val="auto"/>
                <w:lang w:val="en-US" w:eastAsia="zh-CN"/>
              </w:rPr>
            </w:pPr>
          </w:p>
          <w:p>
            <w:pPr>
              <w:rPr>
                <w:rFonts w:hint="default"/>
                <w:color w:val="auto"/>
                <w:lang w:val="en-US" w:eastAsia="zh-CN"/>
              </w:rPr>
            </w:pPr>
          </w:p>
          <w:p>
            <w:pPr>
              <w:pStyle w:val="22"/>
              <w:rPr>
                <w:rFonts w:hint="default"/>
                <w:color w:val="auto"/>
                <w:lang w:val="en-US" w:eastAsia="zh-CN"/>
              </w:rPr>
            </w:pPr>
          </w:p>
          <w:p>
            <w:pPr>
              <w:pStyle w:val="22"/>
              <w:rPr>
                <w:rFonts w:hint="default"/>
                <w:color w:val="auto"/>
                <w:lang w:val="en-US" w:eastAsia="zh-CN"/>
              </w:rPr>
            </w:pPr>
          </w:p>
          <w:p>
            <w:pPr>
              <w:pStyle w:val="22"/>
              <w:rPr>
                <w:rFonts w:hint="default"/>
                <w:color w:val="auto"/>
                <w:lang w:val="en-US" w:eastAsia="zh-CN"/>
              </w:rPr>
            </w:pPr>
          </w:p>
          <w:p>
            <w:pPr>
              <w:pStyle w:val="22"/>
              <w:rPr>
                <w:rFonts w:hint="default"/>
                <w:color w:val="auto"/>
                <w:lang w:val="en-US" w:eastAsia="zh-CN"/>
              </w:rPr>
            </w:pPr>
          </w:p>
          <w:p>
            <w:pPr>
              <w:pStyle w:val="22"/>
              <w:rPr>
                <w:rFonts w:hint="default"/>
                <w:color w:val="auto"/>
                <w:lang w:val="en-US" w:eastAsia="zh-CN"/>
              </w:rPr>
            </w:pPr>
          </w:p>
        </w:tc>
      </w:tr>
    </w:tbl>
    <w:p>
      <w:pPr>
        <w:pStyle w:val="2"/>
        <w:rPr>
          <w:rFonts w:hint="default" w:ascii="Times New Roman" w:hAnsi="Times New Roman" w:cs="Times New Roman"/>
          <w:color w:val="auto"/>
        </w:rPr>
        <w:sectPr>
          <w:pgSz w:w="11906" w:h="16838"/>
          <w:pgMar w:top="1417" w:right="1587" w:bottom="1417"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rPr>
          <w:rFonts w:hint="default" w:ascii="Times New Roman" w:hAnsi="Times New Roman" w:eastAsia="黑体" w:cs="Times New Roman"/>
          <w:b w:val="0"/>
          <w:bCs/>
          <w:color w:val="auto"/>
          <w:sz w:val="30"/>
          <w:szCs w:val="30"/>
        </w:rPr>
      </w:pPr>
      <w:bookmarkStart w:id="76" w:name="_Toc10686"/>
      <w:r>
        <w:rPr>
          <w:rFonts w:hint="default" w:ascii="Times New Roman" w:hAnsi="Times New Roman" w:eastAsia="黑体" w:cs="Times New Roman"/>
          <w:b w:val="0"/>
          <w:bCs/>
          <w:color w:val="auto"/>
          <w:sz w:val="30"/>
          <w:szCs w:val="30"/>
        </w:rPr>
        <w:t>六、生态环境保护措施监督检查清单</w:t>
      </w:r>
      <w:bookmarkEnd w:id="76"/>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79" w:type="dxa"/>
          <w:bottom w:w="0" w:type="dxa"/>
          <w:right w:w="79" w:type="dxa"/>
        </w:tblCellMar>
      </w:tblPr>
      <w:tblGrid>
        <w:gridCol w:w="1449"/>
        <w:gridCol w:w="3747"/>
        <w:gridCol w:w="2106"/>
        <w:gridCol w:w="884"/>
        <w:gridCol w:w="7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397" w:hRule="atLeast"/>
          <w:tblHeader/>
        </w:trPr>
        <w:tc>
          <w:tcPr>
            <w:tcW w:w="815" w:type="pct"/>
            <w:vMerge w:val="restart"/>
            <w:tcBorders>
              <w:tl2br w:val="single" w:color="auto" w:sz="4" w:space="0"/>
            </w:tcBorders>
          </w:tcPr>
          <w:p>
            <w:pPr>
              <w:pStyle w:val="53"/>
              <w:bidi w:val="0"/>
              <w:rPr>
                <w:rFonts w:hint="default"/>
                <w:color w:val="auto"/>
                <w:lang w:val="en-US" w:eastAsia="zh-CN"/>
              </w:rPr>
            </w:pPr>
            <w:bookmarkStart w:id="77" w:name="_Toc32580"/>
            <w:r>
              <w:rPr>
                <w:rFonts w:hint="default"/>
                <w:color w:val="auto"/>
                <w:lang w:val="en-US" w:eastAsia="zh-CN"/>
              </w:rPr>
              <w:t>内容</w:t>
            </w:r>
            <w:bookmarkEnd w:id="77"/>
          </w:p>
          <w:p>
            <w:pPr>
              <w:pStyle w:val="53"/>
              <w:bidi w:val="0"/>
              <w:rPr>
                <w:rFonts w:hint="default"/>
                <w:color w:val="auto"/>
                <w:lang w:val="en-US" w:eastAsia="zh-CN"/>
              </w:rPr>
            </w:pPr>
            <w:r>
              <w:rPr>
                <w:rFonts w:hint="default"/>
                <w:color w:val="auto"/>
                <w:lang w:val="en-US" w:eastAsia="zh-CN"/>
              </w:rPr>
              <w:t xml:space="preserve">  </w:t>
            </w:r>
          </w:p>
          <w:p>
            <w:pPr>
              <w:pStyle w:val="53"/>
              <w:bidi w:val="0"/>
              <w:rPr>
                <w:rFonts w:hint="default"/>
                <w:color w:val="auto"/>
                <w:lang w:val="en-US" w:eastAsia="zh-CN"/>
              </w:rPr>
            </w:pPr>
            <w:bookmarkStart w:id="78" w:name="_Toc5962"/>
            <w:r>
              <w:rPr>
                <w:rFonts w:hint="default"/>
                <w:color w:val="auto"/>
                <w:lang w:val="en-US" w:eastAsia="zh-CN"/>
              </w:rPr>
              <w:t>要素</w:t>
            </w:r>
            <w:bookmarkEnd w:id="78"/>
          </w:p>
        </w:tc>
        <w:tc>
          <w:tcPr>
            <w:tcW w:w="3291" w:type="pct"/>
            <w:gridSpan w:val="2"/>
            <w:vAlign w:val="center"/>
          </w:tcPr>
          <w:p>
            <w:pPr>
              <w:pStyle w:val="53"/>
              <w:bidi w:val="0"/>
              <w:rPr>
                <w:rFonts w:hint="default"/>
                <w:color w:val="auto"/>
                <w:lang w:val="en-US" w:eastAsia="zh-CN"/>
              </w:rPr>
            </w:pPr>
            <w:bookmarkStart w:id="79" w:name="_Toc20362"/>
            <w:r>
              <w:rPr>
                <w:rFonts w:hint="default"/>
                <w:color w:val="auto"/>
                <w:lang w:val="en-US" w:eastAsia="zh-CN"/>
              </w:rPr>
              <w:t>施工期</w:t>
            </w:r>
            <w:bookmarkEnd w:id="79"/>
          </w:p>
        </w:tc>
        <w:tc>
          <w:tcPr>
            <w:tcW w:w="893" w:type="pct"/>
            <w:gridSpan w:val="2"/>
            <w:vAlign w:val="center"/>
          </w:tcPr>
          <w:p>
            <w:pPr>
              <w:pStyle w:val="53"/>
              <w:bidi w:val="0"/>
              <w:rPr>
                <w:rFonts w:hint="default"/>
                <w:color w:val="auto"/>
              </w:rPr>
            </w:pPr>
            <w:bookmarkStart w:id="80" w:name="_Toc14726"/>
            <w:r>
              <w:rPr>
                <w:rFonts w:hint="default"/>
                <w:color w:val="auto"/>
              </w:rPr>
              <w:t>运营期</w:t>
            </w:r>
            <w:bookmarkEnd w:id="8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397" w:hRule="atLeast"/>
          <w:tblHeader/>
        </w:trPr>
        <w:tc>
          <w:tcPr>
            <w:tcW w:w="815" w:type="pct"/>
            <w:vMerge w:val="continue"/>
          </w:tcPr>
          <w:p>
            <w:pPr>
              <w:pStyle w:val="53"/>
              <w:bidi w:val="0"/>
              <w:rPr>
                <w:rFonts w:hint="default"/>
                <w:color w:val="auto"/>
                <w:lang w:val="en-US" w:eastAsia="zh-CN"/>
              </w:rPr>
            </w:pPr>
          </w:p>
        </w:tc>
        <w:tc>
          <w:tcPr>
            <w:tcW w:w="2107" w:type="pct"/>
            <w:vAlign w:val="center"/>
          </w:tcPr>
          <w:p>
            <w:pPr>
              <w:pStyle w:val="53"/>
              <w:bidi w:val="0"/>
              <w:rPr>
                <w:rFonts w:hint="default"/>
                <w:color w:val="auto"/>
                <w:lang w:val="en-US" w:eastAsia="zh-CN"/>
              </w:rPr>
            </w:pPr>
            <w:bookmarkStart w:id="81" w:name="_Toc18508"/>
            <w:r>
              <w:rPr>
                <w:rFonts w:hint="default"/>
                <w:color w:val="auto"/>
                <w:lang w:val="en-US" w:eastAsia="zh-CN"/>
              </w:rPr>
              <w:t>环境保护措施</w:t>
            </w:r>
            <w:bookmarkEnd w:id="81"/>
          </w:p>
        </w:tc>
        <w:tc>
          <w:tcPr>
            <w:tcW w:w="1183" w:type="pct"/>
            <w:vAlign w:val="center"/>
          </w:tcPr>
          <w:p>
            <w:pPr>
              <w:pStyle w:val="53"/>
              <w:bidi w:val="0"/>
              <w:rPr>
                <w:rFonts w:hint="default"/>
                <w:color w:val="auto"/>
              </w:rPr>
            </w:pPr>
            <w:bookmarkStart w:id="82" w:name="_Toc26361"/>
            <w:r>
              <w:rPr>
                <w:rFonts w:hint="default"/>
                <w:color w:val="auto"/>
              </w:rPr>
              <w:t>验收要求</w:t>
            </w:r>
            <w:bookmarkEnd w:id="82"/>
          </w:p>
        </w:tc>
        <w:tc>
          <w:tcPr>
            <w:tcW w:w="497" w:type="pct"/>
            <w:vAlign w:val="center"/>
          </w:tcPr>
          <w:p>
            <w:pPr>
              <w:pStyle w:val="53"/>
              <w:bidi w:val="0"/>
              <w:rPr>
                <w:rFonts w:hint="default"/>
                <w:color w:val="auto"/>
              </w:rPr>
            </w:pPr>
            <w:bookmarkStart w:id="83" w:name="_Toc22115"/>
            <w:r>
              <w:rPr>
                <w:rFonts w:hint="default"/>
                <w:color w:val="auto"/>
              </w:rPr>
              <w:t>环境保护措施</w:t>
            </w:r>
            <w:bookmarkEnd w:id="83"/>
          </w:p>
        </w:tc>
        <w:tc>
          <w:tcPr>
            <w:tcW w:w="395" w:type="pct"/>
            <w:vAlign w:val="center"/>
          </w:tcPr>
          <w:p>
            <w:pPr>
              <w:pStyle w:val="53"/>
              <w:bidi w:val="0"/>
              <w:rPr>
                <w:rFonts w:hint="default"/>
                <w:color w:val="auto"/>
              </w:rPr>
            </w:pPr>
            <w:bookmarkStart w:id="84" w:name="_Toc24712"/>
            <w:r>
              <w:rPr>
                <w:rFonts w:hint="default"/>
                <w:color w:val="auto"/>
              </w:rPr>
              <w:t>验收要求</w:t>
            </w:r>
            <w:bookmarkEnd w:id="8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397" w:hRule="atLeast"/>
        </w:trPr>
        <w:tc>
          <w:tcPr>
            <w:tcW w:w="815" w:type="pct"/>
            <w:vAlign w:val="center"/>
          </w:tcPr>
          <w:p>
            <w:pPr>
              <w:pStyle w:val="53"/>
              <w:bidi w:val="0"/>
              <w:rPr>
                <w:rFonts w:hint="default"/>
                <w:color w:val="auto"/>
              </w:rPr>
            </w:pPr>
            <w:r>
              <w:rPr>
                <w:rFonts w:hint="default"/>
                <w:color w:val="auto"/>
              </w:rPr>
              <w:t>陆生生态</w:t>
            </w:r>
          </w:p>
        </w:tc>
        <w:tc>
          <w:tcPr>
            <w:tcW w:w="2107" w:type="pct"/>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rPr>
            </w:pPr>
            <w:r>
              <w:rPr>
                <w:rFonts w:hint="default"/>
                <w:color w:val="auto"/>
              </w:rPr>
              <w:fldChar w:fldCharType="begin"/>
            </w:r>
            <w:r>
              <w:rPr>
                <w:rFonts w:hint="default"/>
                <w:color w:val="auto"/>
              </w:rPr>
              <w:instrText xml:space="preserve"> = 1 \* GB3 </w:instrText>
            </w:r>
            <w:r>
              <w:rPr>
                <w:rFonts w:hint="default"/>
                <w:color w:val="auto"/>
              </w:rPr>
              <w:fldChar w:fldCharType="separate"/>
            </w:r>
            <w:r>
              <w:rPr>
                <w:rFonts w:hint="default"/>
                <w:color w:val="auto"/>
              </w:rPr>
              <w:t>①</w:t>
            </w:r>
            <w:r>
              <w:rPr>
                <w:rFonts w:hint="default"/>
                <w:color w:val="auto"/>
              </w:rPr>
              <w:fldChar w:fldCharType="end"/>
            </w:r>
            <w:r>
              <w:rPr>
                <w:rFonts w:hint="default"/>
                <w:color w:val="auto"/>
              </w:rPr>
              <w:t>选址尽量避开植被密集区域；严格划定路线，禁止乱辗乱轧；确保各环保设施正常运行，避免各种污染物对土壤环境的影响；</w:t>
            </w:r>
          </w:p>
          <w:p>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rPr>
            </w:pPr>
            <w:r>
              <w:rPr>
                <w:rFonts w:hint="default"/>
                <w:color w:val="auto"/>
              </w:rPr>
              <w:t>②严格控制占地，</w:t>
            </w:r>
            <w:r>
              <w:rPr>
                <w:rFonts w:hint="eastAsia"/>
                <w:color w:val="auto"/>
                <w:lang w:val="en-US" w:eastAsia="zh-CN"/>
              </w:rPr>
              <w:t>限定</w:t>
            </w:r>
            <w:r>
              <w:rPr>
                <w:rFonts w:hint="default"/>
                <w:color w:val="auto"/>
              </w:rPr>
              <w:t>人员活动范围；</w:t>
            </w:r>
          </w:p>
          <w:p>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rPr>
            </w:pPr>
            <w:r>
              <w:rPr>
                <w:rFonts w:hint="default"/>
                <w:color w:val="auto"/>
                <w:lang w:val="en-US" w:eastAsia="zh-CN"/>
              </w:rPr>
              <w:t>③</w:t>
            </w:r>
            <w:r>
              <w:rPr>
                <w:rFonts w:hint="default"/>
                <w:color w:val="auto"/>
              </w:rPr>
              <w:t>照相关要求办理临时占地经济补偿协议；</w:t>
            </w:r>
          </w:p>
          <w:p>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eastAsia="zh-CN"/>
              </w:rPr>
            </w:pPr>
            <w:r>
              <w:rPr>
                <w:rFonts w:hint="default"/>
                <w:color w:val="auto"/>
                <w:lang w:val="en-US" w:eastAsia="zh-CN"/>
              </w:rPr>
              <w:t>④</w:t>
            </w:r>
            <w:r>
              <w:rPr>
                <w:rFonts w:hint="default"/>
                <w:color w:val="auto"/>
              </w:rPr>
              <w:t>合理安排施工时间，避免大风天气施工</w:t>
            </w:r>
            <w:r>
              <w:rPr>
                <w:rFonts w:hint="default"/>
                <w:color w:val="auto"/>
                <w:lang w:eastAsia="zh-CN"/>
              </w:rPr>
              <w:t>；</w:t>
            </w:r>
          </w:p>
          <w:p>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rPr>
            </w:pPr>
            <w:r>
              <w:rPr>
                <w:rFonts w:hint="default"/>
                <w:color w:val="auto"/>
                <w:lang w:val="en-US" w:eastAsia="zh-CN"/>
              </w:rPr>
              <w:t>⑤</w:t>
            </w:r>
            <w:r>
              <w:rPr>
                <w:rFonts w:hint="default"/>
                <w:color w:val="auto"/>
              </w:rPr>
              <w:t>完井后施工机械、设备及时撤离，废水和固体废物全部妥善处置，现场禁止遗留；</w:t>
            </w:r>
          </w:p>
          <w:p>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rPr>
            </w:pPr>
            <w:r>
              <w:rPr>
                <w:rFonts w:hint="default"/>
                <w:color w:val="auto"/>
                <w:lang w:val="en-US" w:eastAsia="zh-CN"/>
              </w:rPr>
              <w:t>⑥</w:t>
            </w:r>
            <w:r>
              <w:rPr>
                <w:rFonts w:hint="default"/>
                <w:color w:val="auto"/>
              </w:rPr>
              <w:t>施工结束后及时对场地进行清理、平整并压实。</w:t>
            </w:r>
          </w:p>
        </w:tc>
        <w:tc>
          <w:tcPr>
            <w:tcW w:w="1183" w:type="pct"/>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default"/>
                <w:color w:val="auto"/>
              </w:rPr>
              <w:t>井场</w:t>
            </w:r>
            <w:r>
              <w:rPr>
                <w:rFonts w:hint="eastAsia"/>
                <w:color w:val="auto"/>
                <w:lang w:eastAsia="zh-CN"/>
              </w:rPr>
              <w:t>、探临道路</w:t>
            </w:r>
            <w:r>
              <w:rPr>
                <w:rFonts w:hint="eastAsia"/>
                <w:color w:val="auto"/>
                <w:lang w:val="en-US" w:eastAsia="zh-CN"/>
              </w:rPr>
              <w:t>及生活营地已</w:t>
            </w:r>
            <w:r>
              <w:rPr>
                <w:rFonts w:hint="default"/>
                <w:color w:val="auto"/>
              </w:rPr>
              <w:t>平整</w:t>
            </w:r>
            <w:r>
              <w:rPr>
                <w:rFonts w:hint="eastAsia"/>
                <w:color w:val="auto"/>
                <w:lang w:eastAsia="zh-CN"/>
              </w:rPr>
              <w:t>、</w:t>
            </w:r>
            <w:r>
              <w:rPr>
                <w:rFonts w:hint="eastAsia"/>
                <w:color w:val="auto"/>
                <w:lang w:val="en-US" w:eastAsia="zh-CN"/>
              </w:rPr>
              <w:t>清理</w:t>
            </w:r>
            <w:r>
              <w:rPr>
                <w:rFonts w:hint="default"/>
                <w:color w:val="auto"/>
              </w:rPr>
              <w:t>，利于土壤、植被自然恢复</w:t>
            </w:r>
            <w:r>
              <w:rPr>
                <w:rFonts w:hint="eastAsia"/>
                <w:color w:val="auto"/>
                <w:lang w:eastAsia="zh-CN"/>
              </w:rPr>
              <w:t>；</w:t>
            </w:r>
            <w:r>
              <w:rPr>
                <w:rFonts w:hint="default"/>
                <w:color w:val="auto"/>
                <w:lang w:val="en-US" w:eastAsia="zh-CN"/>
              </w:rPr>
              <w:t>临时占地范围内</w:t>
            </w:r>
            <w:r>
              <w:rPr>
                <w:rFonts w:hint="default"/>
                <w:color w:val="auto"/>
              </w:rPr>
              <w:t>无废水和固体废物遗留。</w:t>
            </w:r>
            <w:r>
              <w:rPr>
                <w:rFonts w:hint="default"/>
                <w:color w:val="auto"/>
                <w:lang w:val="en-US" w:eastAsia="zh-CN"/>
              </w:rPr>
              <w:t>具有临时用地</w:t>
            </w:r>
            <w:r>
              <w:rPr>
                <w:rFonts w:hint="eastAsia"/>
                <w:color w:val="auto"/>
                <w:lang w:val="en-US" w:eastAsia="zh-CN"/>
              </w:rPr>
              <w:t>手续和植被</w:t>
            </w:r>
            <w:r>
              <w:rPr>
                <w:rFonts w:hint="default"/>
                <w:color w:val="auto"/>
                <w:lang w:val="en-US" w:eastAsia="zh-CN"/>
              </w:rPr>
              <w:t>补偿手续</w:t>
            </w:r>
          </w:p>
        </w:tc>
        <w:tc>
          <w:tcPr>
            <w:tcW w:w="497" w:type="pct"/>
            <w:vAlign w:val="center"/>
          </w:tcPr>
          <w:p>
            <w:pPr>
              <w:pStyle w:val="59"/>
              <w:bidi w:val="0"/>
              <w:jc w:val="center"/>
              <w:rPr>
                <w:rFonts w:hint="default"/>
                <w:color w:val="auto"/>
              </w:rPr>
            </w:pPr>
            <w:r>
              <w:rPr>
                <w:rFonts w:hint="default"/>
                <w:color w:val="auto"/>
              </w:rPr>
              <w:t>/</w:t>
            </w:r>
          </w:p>
        </w:tc>
        <w:tc>
          <w:tcPr>
            <w:tcW w:w="395" w:type="pct"/>
            <w:vAlign w:val="center"/>
          </w:tcPr>
          <w:p>
            <w:pPr>
              <w:pStyle w:val="59"/>
              <w:bidi w:val="0"/>
              <w:jc w:val="center"/>
              <w:rPr>
                <w:rFonts w:hint="default"/>
                <w:color w:val="auto"/>
              </w:rPr>
            </w:pPr>
            <w:r>
              <w:rPr>
                <w:rFonts w:hint="default"/>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397" w:hRule="atLeast"/>
        </w:trPr>
        <w:tc>
          <w:tcPr>
            <w:tcW w:w="815" w:type="pct"/>
            <w:vAlign w:val="center"/>
          </w:tcPr>
          <w:p>
            <w:pPr>
              <w:pStyle w:val="53"/>
              <w:bidi w:val="0"/>
              <w:rPr>
                <w:rFonts w:hint="default"/>
                <w:color w:val="auto"/>
              </w:rPr>
            </w:pPr>
            <w:r>
              <w:rPr>
                <w:rFonts w:hint="default"/>
                <w:color w:val="auto"/>
              </w:rPr>
              <w:t>水生生态</w:t>
            </w:r>
          </w:p>
        </w:tc>
        <w:tc>
          <w:tcPr>
            <w:tcW w:w="2107" w:type="pct"/>
            <w:vAlign w:val="center"/>
          </w:tcPr>
          <w:p>
            <w:pPr>
              <w:pStyle w:val="59"/>
              <w:bidi w:val="0"/>
              <w:spacing w:line="240" w:lineRule="auto"/>
              <w:jc w:val="center"/>
              <w:rPr>
                <w:rFonts w:hint="default"/>
                <w:color w:val="auto"/>
              </w:rPr>
            </w:pPr>
            <w:r>
              <w:rPr>
                <w:rFonts w:hint="default"/>
                <w:color w:val="auto"/>
              </w:rPr>
              <w:t>/</w:t>
            </w:r>
          </w:p>
        </w:tc>
        <w:tc>
          <w:tcPr>
            <w:tcW w:w="1183" w:type="pct"/>
            <w:vAlign w:val="center"/>
          </w:tcPr>
          <w:p>
            <w:pPr>
              <w:pStyle w:val="59"/>
              <w:bidi w:val="0"/>
              <w:spacing w:line="240" w:lineRule="auto"/>
              <w:jc w:val="center"/>
              <w:rPr>
                <w:rFonts w:hint="default"/>
                <w:color w:val="auto"/>
              </w:rPr>
            </w:pPr>
            <w:r>
              <w:rPr>
                <w:rFonts w:hint="default"/>
                <w:color w:val="auto"/>
              </w:rPr>
              <w:t>/</w:t>
            </w:r>
          </w:p>
        </w:tc>
        <w:tc>
          <w:tcPr>
            <w:tcW w:w="497" w:type="pct"/>
            <w:vAlign w:val="center"/>
          </w:tcPr>
          <w:p>
            <w:pPr>
              <w:pStyle w:val="59"/>
              <w:bidi w:val="0"/>
              <w:jc w:val="center"/>
              <w:rPr>
                <w:rFonts w:hint="default"/>
                <w:color w:val="auto"/>
              </w:rPr>
            </w:pPr>
            <w:r>
              <w:rPr>
                <w:rFonts w:hint="default"/>
                <w:color w:val="auto"/>
              </w:rPr>
              <w:t>/</w:t>
            </w:r>
          </w:p>
        </w:tc>
        <w:tc>
          <w:tcPr>
            <w:tcW w:w="395" w:type="pct"/>
            <w:vAlign w:val="center"/>
          </w:tcPr>
          <w:p>
            <w:pPr>
              <w:pStyle w:val="59"/>
              <w:bidi w:val="0"/>
              <w:jc w:val="center"/>
              <w:rPr>
                <w:rFonts w:hint="default"/>
                <w:color w:val="auto"/>
              </w:rPr>
            </w:pPr>
            <w:r>
              <w:rPr>
                <w:rFonts w:hint="default"/>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397" w:hRule="atLeast"/>
        </w:trPr>
        <w:tc>
          <w:tcPr>
            <w:tcW w:w="815" w:type="pct"/>
            <w:vAlign w:val="center"/>
          </w:tcPr>
          <w:p>
            <w:pPr>
              <w:pStyle w:val="53"/>
              <w:bidi w:val="0"/>
              <w:rPr>
                <w:rFonts w:hint="default"/>
                <w:color w:val="auto"/>
              </w:rPr>
            </w:pPr>
            <w:r>
              <w:rPr>
                <w:rFonts w:hint="default"/>
                <w:color w:val="auto"/>
              </w:rPr>
              <w:t>地表水环境</w:t>
            </w:r>
          </w:p>
        </w:tc>
        <w:tc>
          <w:tcPr>
            <w:tcW w:w="2107" w:type="pct"/>
            <w:shd w:val="clear" w:color="auto" w:fill="auto"/>
            <w:vAlign w:val="center"/>
          </w:tcPr>
          <w:p>
            <w:pPr>
              <w:pStyle w:val="59"/>
              <w:bidi w:val="0"/>
              <w:spacing w:line="240" w:lineRule="auto"/>
              <w:jc w:val="center"/>
              <w:rPr>
                <w:rFonts w:hint="default"/>
                <w:color w:val="auto"/>
                <w:lang w:val="en-US" w:eastAsia="zh-CN"/>
              </w:rPr>
            </w:pPr>
            <w:r>
              <w:rPr>
                <w:rFonts w:hint="default"/>
                <w:color w:val="auto"/>
              </w:rPr>
              <w:t>/</w:t>
            </w:r>
          </w:p>
        </w:tc>
        <w:tc>
          <w:tcPr>
            <w:tcW w:w="1183" w:type="pct"/>
            <w:shd w:val="clear" w:color="auto" w:fill="auto"/>
            <w:vAlign w:val="center"/>
          </w:tcPr>
          <w:p>
            <w:pPr>
              <w:pStyle w:val="59"/>
              <w:bidi w:val="0"/>
              <w:spacing w:line="240" w:lineRule="auto"/>
              <w:jc w:val="center"/>
              <w:rPr>
                <w:rFonts w:hint="default"/>
                <w:color w:val="auto"/>
                <w:lang w:val="en-US" w:eastAsia="zh-CN"/>
              </w:rPr>
            </w:pPr>
            <w:r>
              <w:rPr>
                <w:rFonts w:hint="default"/>
                <w:color w:val="auto"/>
              </w:rPr>
              <w:t>/</w:t>
            </w:r>
          </w:p>
        </w:tc>
        <w:tc>
          <w:tcPr>
            <w:tcW w:w="497" w:type="pct"/>
            <w:vAlign w:val="center"/>
          </w:tcPr>
          <w:p>
            <w:pPr>
              <w:pStyle w:val="59"/>
              <w:bidi w:val="0"/>
              <w:jc w:val="center"/>
              <w:rPr>
                <w:rFonts w:hint="default"/>
                <w:color w:val="auto"/>
              </w:rPr>
            </w:pPr>
            <w:r>
              <w:rPr>
                <w:rFonts w:hint="default"/>
                <w:color w:val="auto"/>
              </w:rPr>
              <w:t>/</w:t>
            </w:r>
          </w:p>
        </w:tc>
        <w:tc>
          <w:tcPr>
            <w:tcW w:w="395" w:type="pct"/>
            <w:vAlign w:val="center"/>
          </w:tcPr>
          <w:p>
            <w:pPr>
              <w:pStyle w:val="59"/>
              <w:bidi w:val="0"/>
              <w:jc w:val="center"/>
              <w:rPr>
                <w:rFonts w:hint="default"/>
                <w:color w:val="auto"/>
              </w:rPr>
            </w:pPr>
            <w:r>
              <w:rPr>
                <w:rFonts w:hint="default"/>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397" w:hRule="atLeast"/>
        </w:trPr>
        <w:tc>
          <w:tcPr>
            <w:tcW w:w="815" w:type="pct"/>
            <w:vAlign w:val="center"/>
          </w:tcPr>
          <w:p>
            <w:pPr>
              <w:pStyle w:val="53"/>
              <w:bidi w:val="0"/>
              <w:rPr>
                <w:rFonts w:hint="default"/>
                <w:color w:val="auto"/>
              </w:rPr>
            </w:pPr>
            <w:r>
              <w:rPr>
                <w:rFonts w:hint="default"/>
                <w:color w:val="auto"/>
              </w:rPr>
              <w:t>地下水及土壤环境</w:t>
            </w:r>
          </w:p>
        </w:tc>
        <w:tc>
          <w:tcPr>
            <w:tcW w:w="2107" w:type="pct"/>
            <w:vAlign w:val="center"/>
          </w:tcPr>
          <w:p>
            <w:pPr>
              <w:pStyle w:val="59"/>
              <w:bidi w:val="0"/>
              <w:spacing w:line="240" w:lineRule="auto"/>
              <w:rPr>
                <w:rFonts w:hint="default"/>
                <w:color w:val="auto"/>
              </w:rPr>
            </w:pPr>
            <w:r>
              <w:rPr>
                <w:rFonts w:hint="default"/>
                <w:color w:val="auto"/>
              </w:rPr>
              <w:fldChar w:fldCharType="begin"/>
            </w:r>
            <w:r>
              <w:rPr>
                <w:rFonts w:hint="default"/>
                <w:color w:val="auto"/>
              </w:rPr>
              <w:instrText xml:space="preserve"> = 1 \* GB3 </w:instrText>
            </w:r>
            <w:r>
              <w:rPr>
                <w:rFonts w:hint="default"/>
                <w:color w:val="auto"/>
              </w:rPr>
              <w:fldChar w:fldCharType="separate"/>
            </w:r>
            <w:r>
              <w:rPr>
                <w:rFonts w:hint="default"/>
                <w:color w:val="auto"/>
              </w:rPr>
              <w:t>①</w:t>
            </w:r>
            <w:r>
              <w:rPr>
                <w:rFonts w:hint="default"/>
                <w:color w:val="auto"/>
              </w:rPr>
              <w:fldChar w:fldCharType="end"/>
            </w:r>
            <w:r>
              <w:rPr>
                <w:rFonts w:hint="default"/>
                <w:color w:val="auto"/>
              </w:rPr>
              <w:t>生活污水经临时</w:t>
            </w:r>
            <w:r>
              <w:rPr>
                <w:rFonts w:hint="eastAsia"/>
                <w:color w:val="auto"/>
                <w:lang w:eastAsia="zh-CN"/>
              </w:rPr>
              <w:t>防渗储集池</w:t>
            </w:r>
            <w:r>
              <w:rPr>
                <w:rFonts w:hint="default"/>
                <w:color w:val="auto"/>
              </w:rPr>
              <w:t>收集和暂存，定期由吸污车拉运至</w:t>
            </w:r>
            <w:r>
              <w:rPr>
                <w:rFonts w:hint="eastAsia"/>
                <w:color w:val="auto"/>
                <w:lang w:val="en-US" w:eastAsia="zh-CN"/>
              </w:rPr>
              <w:t>玛纳斯县</w:t>
            </w:r>
            <w:r>
              <w:rPr>
                <w:rFonts w:hint="default"/>
                <w:color w:val="auto"/>
              </w:rPr>
              <w:t>污水处理厂；</w:t>
            </w:r>
          </w:p>
          <w:p>
            <w:pPr>
              <w:pStyle w:val="59"/>
              <w:bidi w:val="0"/>
              <w:spacing w:line="240" w:lineRule="auto"/>
              <w:rPr>
                <w:rFonts w:hint="default"/>
                <w:color w:val="auto"/>
                <w:lang w:val="en-US" w:eastAsia="zh-CN"/>
              </w:rPr>
            </w:pPr>
            <w:r>
              <w:rPr>
                <w:rFonts w:hint="default"/>
                <w:color w:val="auto"/>
              </w:rPr>
              <w:t>②洗井废水和压裂返排液收集至专用储罐后由罐车拉运至采油一厂车89处理站处理。</w:t>
            </w:r>
          </w:p>
        </w:tc>
        <w:tc>
          <w:tcPr>
            <w:tcW w:w="1183" w:type="pct"/>
            <w:vAlign w:val="center"/>
          </w:tcPr>
          <w:p>
            <w:pPr>
              <w:pStyle w:val="59"/>
              <w:bidi w:val="0"/>
              <w:spacing w:line="240" w:lineRule="auto"/>
              <w:rPr>
                <w:rFonts w:hint="default"/>
                <w:color w:val="auto"/>
                <w:lang w:val="en-US" w:eastAsia="zh-CN"/>
              </w:rPr>
            </w:pPr>
            <w:r>
              <w:rPr>
                <w:rFonts w:hint="default"/>
                <w:color w:val="auto"/>
                <w:lang w:val="en-US" w:eastAsia="zh-CN"/>
              </w:rPr>
              <w:t>现场无污水</w:t>
            </w:r>
            <w:r>
              <w:rPr>
                <w:rFonts w:hint="eastAsia"/>
                <w:color w:val="auto"/>
                <w:lang w:val="en-US" w:eastAsia="zh-CN"/>
              </w:rPr>
              <w:t>、废水遗留；</w:t>
            </w:r>
            <w:r>
              <w:rPr>
                <w:rFonts w:hint="default"/>
                <w:color w:val="auto"/>
                <w:lang w:val="en-US" w:eastAsia="zh-CN"/>
              </w:rPr>
              <w:t>有</w:t>
            </w:r>
            <w:r>
              <w:rPr>
                <w:rFonts w:hint="eastAsia"/>
                <w:color w:val="auto"/>
                <w:lang w:val="en-US" w:eastAsia="zh-CN"/>
              </w:rPr>
              <w:t>污水、废水</w:t>
            </w:r>
            <w:r>
              <w:rPr>
                <w:rFonts w:hint="default"/>
                <w:color w:val="auto"/>
                <w:lang w:val="en-US" w:eastAsia="zh-CN"/>
              </w:rPr>
              <w:t>清运协议</w:t>
            </w:r>
            <w:r>
              <w:rPr>
                <w:rFonts w:hint="eastAsia"/>
                <w:color w:val="auto"/>
                <w:lang w:val="en-US" w:eastAsia="zh-CN"/>
              </w:rPr>
              <w:t>和清运台账；</w:t>
            </w:r>
            <w:r>
              <w:rPr>
                <w:rFonts w:hint="default"/>
                <w:color w:val="auto"/>
                <w:lang w:val="en-US" w:eastAsia="zh-CN"/>
              </w:rPr>
              <w:t>无地下水及土壤污染事件发生</w:t>
            </w:r>
          </w:p>
        </w:tc>
        <w:tc>
          <w:tcPr>
            <w:tcW w:w="497" w:type="pct"/>
            <w:vAlign w:val="center"/>
          </w:tcPr>
          <w:p>
            <w:pPr>
              <w:pStyle w:val="59"/>
              <w:bidi w:val="0"/>
              <w:jc w:val="center"/>
              <w:rPr>
                <w:rFonts w:hint="default"/>
                <w:color w:val="auto"/>
              </w:rPr>
            </w:pPr>
            <w:r>
              <w:rPr>
                <w:rFonts w:hint="default"/>
                <w:color w:val="auto"/>
              </w:rPr>
              <w:t>/</w:t>
            </w:r>
          </w:p>
        </w:tc>
        <w:tc>
          <w:tcPr>
            <w:tcW w:w="395" w:type="pct"/>
            <w:vAlign w:val="center"/>
          </w:tcPr>
          <w:p>
            <w:pPr>
              <w:pStyle w:val="59"/>
              <w:bidi w:val="0"/>
              <w:jc w:val="center"/>
              <w:rPr>
                <w:rFonts w:hint="default"/>
                <w:color w:val="auto"/>
              </w:rPr>
            </w:pPr>
            <w:r>
              <w:rPr>
                <w:rFonts w:hint="default"/>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397" w:hRule="atLeast"/>
        </w:trPr>
        <w:tc>
          <w:tcPr>
            <w:tcW w:w="815" w:type="pct"/>
            <w:vAlign w:val="center"/>
          </w:tcPr>
          <w:p>
            <w:pPr>
              <w:pStyle w:val="53"/>
              <w:bidi w:val="0"/>
              <w:rPr>
                <w:rFonts w:hint="default"/>
                <w:color w:val="auto"/>
              </w:rPr>
            </w:pPr>
            <w:r>
              <w:rPr>
                <w:rFonts w:hint="default"/>
                <w:color w:val="auto"/>
              </w:rPr>
              <w:t>声环境</w:t>
            </w:r>
          </w:p>
        </w:tc>
        <w:tc>
          <w:tcPr>
            <w:tcW w:w="2107" w:type="pct"/>
            <w:vAlign w:val="center"/>
          </w:tcPr>
          <w:p>
            <w:pPr>
              <w:pStyle w:val="59"/>
              <w:bidi w:val="0"/>
              <w:spacing w:line="240" w:lineRule="auto"/>
              <w:rPr>
                <w:rFonts w:hint="default"/>
                <w:color w:val="auto"/>
              </w:rPr>
            </w:pPr>
            <w:r>
              <w:rPr>
                <w:rFonts w:hint="default"/>
                <w:color w:val="auto"/>
                <w:lang w:val="en-US" w:eastAsia="zh-CN"/>
              </w:rPr>
              <w:t>①</w:t>
            </w:r>
            <w:r>
              <w:rPr>
                <w:rFonts w:hint="default"/>
                <w:color w:val="auto"/>
              </w:rPr>
              <w:t>在设备选型上要求采用低噪声的设备，施工设备定期检查维修，对噪声较大的设备采取基础减震措施；</w:t>
            </w:r>
          </w:p>
          <w:p>
            <w:pPr>
              <w:pStyle w:val="59"/>
              <w:bidi w:val="0"/>
              <w:spacing w:line="240" w:lineRule="auto"/>
              <w:rPr>
                <w:rFonts w:hint="default"/>
                <w:color w:val="auto"/>
              </w:rPr>
            </w:pPr>
            <w:r>
              <w:rPr>
                <w:rFonts w:hint="default"/>
                <w:color w:val="auto"/>
                <w:lang w:val="en-US" w:eastAsia="zh-CN"/>
              </w:rPr>
              <w:t>②</w:t>
            </w:r>
            <w:r>
              <w:rPr>
                <w:rFonts w:hint="default"/>
                <w:color w:val="auto"/>
              </w:rPr>
              <w:t>加强施工场地管理，合理疏导进入施工区的车辆，禁止运输车辆随意高声鸣笛。</w:t>
            </w:r>
          </w:p>
        </w:tc>
        <w:tc>
          <w:tcPr>
            <w:tcW w:w="1183" w:type="pct"/>
            <w:vAlign w:val="center"/>
          </w:tcPr>
          <w:p>
            <w:pPr>
              <w:pStyle w:val="59"/>
              <w:bidi w:val="0"/>
              <w:jc w:val="center"/>
              <w:rPr>
                <w:rFonts w:hint="default"/>
                <w:color w:val="auto"/>
                <w:lang w:val="en-US" w:eastAsia="zh-CN"/>
              </w:rPr>
            </w:pPr>
            <w:r>
              <w:rPr>
                <w:rFonts w:hint="default"/>
                <w:color w:val="auto"/>
              </w:rPr>
              <w:t>/</w:t>
            </w:r>
          </w:p>
        </w:tc>
        <w:tc>
          <w:tcPr>
            <w:tcW w:w="497" w:type="pct"/>
            <w:vAlign w:val="center"/>
          </w:tcPr>
          <w:p>
            <w:pPr>
              <w:pStyle w:val="59"/>
              <w:bidi w:val="0"/>
              <w:jc w:val="center"/>
              <w:rPr>
                <w:rFonts w:hint="default"/>
                <w:color w:val="auto"/>
              </w:rPr>
            </w:pPr>
            <w:r>
              <w:rPr>
                <w:rFonts w:hint="default"/>
                <w:color w:val="auto"/>
              </w:rPr>
              <w:t>/</w:t>
            </w:r>
          </w:p>
        </w:tc>
        <w:tc>
          <w:tcPr>
            <w:tcW w:w="395" w:type="pct"/>
            <w:vAlign w:val="center"/>
          </w:tcPr>
          <w:p>
            <w:pPr>
              <w:pStyle w:val="59"/>
              <w:bidi w:val="0"/>
              <w:jc w:val="center"/>
              <w:rPr>
                <w:rFonts w:hint="default"/>
                <w:color w:val="auto"/>
              </w:rPr>
            </w:pPr>
            <w:r>
              <w:rPr>
                <w:rFonts w:hint="default"/>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397" w:hRule="atLeast"/>
        </w:trPr>
        <w:tc>
          <w:tcPr>
            <w:tcW w:w="815" w:type="pct"/>
            <w:vAlign w:val="center"/>
          </w:tcPr>
          <w:p>
            <w:pPr>
              <w:pStyle w:val="53"/>
              <w:bidi w:val="0"/>
              <w:rPr>
                <w:rFonts w:hint="default"/>
                <w:color w:val="auto"/>
              </w:rPr>
            </w:pPr>
            <w:r>
              <w:rPr>
                <w:rFonts w:hint="default"/>
                <w:color w:val="auto"/>
              </w:rPr>
              <w:t>振动</w:t>
            </w:r>
          </w:p>
        </w:tc>
        <w:tc>
          <w:tcPr>
            <w:tcW w:w="2107" w:type="pct"/>
            <w:vAlign w:val="center"/>
          </w:tcPr>
          <w:p>
            <w:pPr>
              <w:pStyle w:val="59"/>
              <w:bidi w:val="0"/>
              <w:jc w:val="center"/>
              <w:rPr>
                <w:rFonts w:hint="default"/>
                <w:color w:val="auto"/>
              </w:rPr>
            </w:pPr>
            <w:r>
              <w:rPr>
                <w:rFonts w:hint="default"/>
                <w:color w:val="auto"/>
              </w:rPr>
              <w:t>/</w:t>
            </w:r>
          </w:p>
        </w:tc>
        <w:tc>
          <w:tcPr>
            <w:tcW w:w="1183" w:type="pct"/>
            <w:vAlign w:val="center"/>
          </w:tcPr>
          <w:p>
            <w:pPr>
              <w:pStyle w:val="59"/>
              <w:bidi w:val="0"/>
              <w:jc w:val="center"/>
              <w:rPr>
                <w:rFonts w:hint="default"/>
                <w:color w:val="auto"/>
              </w:rPr>
            </w:pPr>
            <w:r>
              <w:rPr>
                <w:rFonts w:hint="default"/>
                <w:color w:val="auto"/>
              </w:rPr>
              <w:t>/</w:t>
            </w:r>
          </w:p>
        </w:tc>
        <w:tc>
          <w:tcPr>
            <w:tcW w:w="497" w:type="pct"/>
            <w:vAlign w:val="center"/>
          </w:tcPr>
          <w:p>
            <w:pPr>
              <w:pStyle w:val="59"/>
              <w:bidi w:val="0"/>
              <w:jc w:val="center"/>
              <w:rPr>
                <w:rFonts w:hint="default"/>
                <w:color w:val="auto"/>
              </w:rPr>
            </w:pPr>
            <w:r>
              <w:rPr>
                <w:rFonts w:hint="default"/>
                <w:color w:val="auto"/>
              </w:rPr>
              <w:t>/</w:t>
            </w:r>
          </w:p>
        </w:tc>
        <w:tc>
          <w:tcPr>
            <w:tcW w:w="395" w:type="pct"/>
            <w:vAlign w:val="center"/>
          </w:tcPr>
          <w:p>
            <w:pPr>
              <w:pStyle w:val="59"/>
              <w:bidi w:val="0"/>
              <w:jc w:val="center"/>
              <w:rPr>
                <w:rFonts w:hint="default"/>
                <w:color w:val="auto"/>
              </w:rPr>
            </w:pPr>
            <w:r>
              <w:rPr>
                <w:rFonts w:hint="default"/>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397" w:hRule="atLeast"/>
        </w:trPr>
        <w:tc>
          <w:tcPr>
            <w:tcW w:w="815" w:type="pct"/>
            <w:vAlign w:val="center"/>
          </w:tcPr>
          <w:p>
            <w:pPr>
              <w:pStyle w:val="53"/>
              <w:bidi w:val="0"/>
              <w:rPr>
                <w:rFonts w:hint="default"/>
                <w:color w:val="auto"/>
              </w:rPr>
            </w:pPr>
            <w:r>
              <w:rPr>
                <w:rFonts w:hint="default"/>
                <w:color w:val="auto"/>
              </w:rPr>
              <w:t>大气环境</w:t>
            </w:r>
          </w:p>
        </w:tc>
        <w:tc>
          <w:tcPr>
            <w:tcW w:w="2107" w:type="pct"/>
            <w:vAlign w:val="center"/>
          </w:tcPr>
          <w:p>
            <w:pPr>
              <w:pStyle w:val="59"/>
              <w:bidi w:val="0"/>
              <w:spacing w:line="240" w:lineRule="auto"/>
              <w:rPr>
                <w:rFonts w:hint="default"/>
                <w:color w:val="auto"/>
                <w:lang w:val="en-US"/>
              </w:rPr>
            </w:pPr>
            <w:r>
              <w:rPr>
                <w:rFonts w:hint="default"/>
                <w:color w:val="auto"/>
              </w:rPr>
              <w:t>①使用</w:t>
            </w:r>
            <w:r>
              <w:rPr>
                <w:rFonts w:hint="default"/>
                <w:color w:val="auto"/>
                <w:lang w:val="en-US" w:eastAsia="zh-CN"/>
              </w:rPr>
              <w:t>符合国家标准的合格</w:t>
            </w:r>
            <w:r>
              <w:rPr>
                <w:rFonts w:hint="default"/>
                <w:color w:val="auto"/>
              </w:rPr>
              <w:t>油品</w:t>
            </w:r>
            <w:r>
              <w:rPr>
                <w:rFonts w:hint="default"/>
                <w:color w:val="auto"/>
                <w:lang w:val="en-US" w:eastAsia="zh-CN"/>
              </w:rPr>
              <w:t>作为燃料</w:t>
            </w:r>
            <w:r>
              <w:rPr>
                <w:rFonts w:hint="default"/>
                <w:color w:val="auto"/>
              </w:rPr>
              <w:t>，</w:t>
            </w:r>
            <w:r>
              <w:rPr>
                <w:rFonts w:hint="eastAsia"/>
                <w:color w:val="auto"/>
                <w:lang w:val="en-US" w:eastAsia="zh-CN"/>
              </w:rPr>
              <w:t>使用符合国家排放标准的机械、设备和车辆；</w:t>
            </w:r>
            <w:r>
              <w:rPr>
                <w:rFonts w:hint="default"/>
                <w:color w:val="auto"/>
              </w:rPr>
              <w:t>加强</w:t>
            </w:r>
            <w:r>
              <w:rPr>
                <w:rFonts w:hint="default"/>
                <w:color w:val="auto"/>
                <w:lang w:val="en-US" w:eastAsia="zh-CN"/>
              </w:rPr>
              <w:t>施工</w:t>
            </w:r>
            <w:r>
              <w:rPr>
                <w:rFonts w:hint="eastAsia"/>
                <w:color w:val="auto"/>
                <w:lang w:val="en-US" w:eastAsia="zh-CN"/>
              </w:rPr>
              <w:t>机械、</w:t>
            </w:r>
            <w:r>
              <w:rPr>
                <w:rFonts w:hint="default"/>
                <w:color w:val="auto"/>
              </w:rPr>
              <w:t>设备</w:t>
            </w:r>
            <w:r>
              <w:rPr>
                <w:rFonts w:hint="default"/>
                <w:color w:val="auto"/>
                <w:lang w:val="en-US" w:eastAsia="zh-CN"/>
              </w:rPr>
              <w:t>和车辆的</w:t>
            </w:r>
            <w:r>
              <w:rPr>
                <w:rFonts w:hint="default"/>
                <w:color w:val="auto"/>
              </w:rPr>
              <w:t>维护</w:t>
            </w:r>
            <w:r>
              <w:rPr>
                <w:rFonts w:hint="default"/>
                <w:color w:val="auto"/>
                <w:lang w:val="en-US" w:eastAsia="zh-CN"/>
              </w:rPr>
              <w:t>和保养</w:t>
            </w:r>
            <w:r>
              <w:rPr>
                <w:rFonts w:hint="eastAsia"/>
                <w:color w:val="auto"/>
                <w:lang w:val="en-US" w:eastAsia="zh-CN"/>
              </w:rPr>
              <w:t>，确保正常、稳定运行</w:t>
            </w:r>
          </w:p>
          <w:p>
            <w:pPr>
              <w:pStyle w:val="59"/>
              <w:bidi w:val="0"/>
              <w:spacing w:line="240" w:lineRule="auto"/>
              <w:rPr>
                <w:rFonts w:hint="default"/>
                <w:color w:val="auto"/>
              </w:rPr>
            </w:pPr>
            <w:r>
              <w:rPr>
                <w:rFonts w:hint="default"/>
                <w:color w:val="auto"/>
              </w:rPr>
              <w:t>②试油期产生的伴生气含量较少且不稳定，不具备回收利用条件，</w:t>
            </w:r>
            <w:r>
              <w:rPr>
                <w:rFonts w:hint="default"/>
                <w:color w:val="auto"/>
                <w:lang w:val="en-US" w:eastAsia="zh-CN"/>
              </w:rPr>
              <w:t>必须</w:t>
            </w:r>
            <w:r>
              <w:rPr>
                <w:rFonts w:hint="default"/>
                <w:color w:val="auto"/>
              </w:rPr>
              <w:t>经排气管线充分燃烧后排放</w:t>
            </w:r>
            <w:r>
              <w:rPr>
                <w:rFonts w:hint="default"/>
                <w:color w:val="auto"/>
                <w:lang w:eastAsia="zh-CN"/>
              </w:rPr>
              <w:t>，</w:t>
            </w:r>
            <w:r>
              <w:rPr>
                <w:rFonts w:hint="default"/>
                <w:color w:val="auto"/>
                <w:lang w:val="en-US" w:eastAsia="zh-CN"/>
              </w:rPr>
              <w:t>严禁不燃烧排放</w:t>
            </w:r>
            <w:r>
              <w:rPr>
                <w:rFonts w:hint="default"/>
                <w:color w:val="auto"/>
              </w:rPr>
              <w:t>；</w:t>
            </w:r>
          </w:p>
          <w:p>
            <w:pPr>
              <w:pStyle w:val="59"/>
              <w:bidi w:val="0"/>
              <w:spacing w:line="240" w:lineRule="auto"/>
              <w:rPr>
                <w:rFonts w:hint="default"/>
                <w:color w:val="auto"/>
              </w:rPr>
            </w:pPr>
            <w:r>
              <w:rPr>
                <w:rFonts w:hint="default"/>
                <w:color w:val="auto"/>
              </w:rPr>
              <w:t>③加强车辆管理</w:t>
            </w:r>
            <w:r>
              <w:rPr>
                <w:rFonts w:hint="default"/>
                <w:color w:val="auto"/>
                <w:lang w:eastAsia="zh-CN"/>
              </w:rPr>
              <w:t>；</w:t>
            </w:r>
            <w:r>
              <w:rPr>
                <w:rFonts w:hint="default"/>
                <w:color w:val="auto"/>
                <w:lang w:val="en-US" w:eastAsia="zh-CN"/>
              </w:rPr>
              <w:t>对易起尘物料在运输和存放时加盖遮盖物，合理安排施工时间，</w:t>
            </w:r>
            <w:r>
              <w:rPr>
                <w:rFonts w:hint="default"/>
                <w:color w:val="auto"/>
              </w:rPr>
              <w:t>避免大风</w:t>
            </w:r>
            <w:r>
              <w:rPr>
                <w:rFonts w:hint="default"/>
                <w:color w:val="auto"/>
                <w:lang w:val="en-US" w:eastAsia="zh-CN"/>
              </w:rPr>
              <w:t>天气</w:t>
            </w:r>
            <w:r>
              <w:rPr>
                <w:rFonts w:hint="default"/>
                <w:color w:val="auto"/>
              </w:rPr>
              <w:t>作业；</w:t>
            </w:r>
          </w:p>
          <w:p>
            <w:pPr>
              <w:pStyle w:val="59"/>
              <w:bidi w:val="0"/>
              <w:spacing w:line="240" w:lineRule="auto"/>
              <w:rPr>
                <w:rFonts w:hint="default"/>
                <w:color w:val="auto"/>
              </w:rPr>
            </w:pPr>
            <w:r>
              <w:rPr>
                <w:rFonts w:hint="default"/>
                <w:color w:val="auto"/>
              </w:rPr>
              <w:t>④柴油</w:t>
            </w:r>
            <w:r>
              <w:rPr>
                <w:rFonts w:hint="default"/>
                <w:color w:val="auto"/>
                <w:lang w:val="en-US" w:eastAsia="zh-CN"/>
              </w:rPr>
              <w:t>采用密闭储存；</w:t>
            </w:r>
          </w:p>
          <w:p>
            <w:pPr>
              <w:pStyle w:val="59"/>
              <w:bidi w:val="0"/>
              <w:spacing w:line="240" w:lineRule="auto"/>
              <w:rPr>
                <w:rFonts w:hint="default"/>
                <w:color w:val="auto"/>
                <w:lang w:val="en-US" w:eastAsia="zh-CN"/>
              </w:rPr>
            </w:pPr>
            <w:r>
              <w:rPr>
                <w:rFonts w:hint="default"/>
                <w:color w:val="auto"/>
              </w:rPr>
              <w:t>⑤加强采出液储罐管理、采取密闭装载方式</w:t>
            </w:r>
          </w:p>
        </w:tc>
        <w:tc>
          <w:tcPr>
            <w:tcW w:w="1183" w:type="pct"/>
            <w:vAlign w:val="center"/>
          </w:tcPr>
          <w:p>
            <w:pPr>
              <w:pStyle w:val="59"/>
              <w:bidi w:val="0"/>
              <w:spacing w:line="240" w:lineRule="auto"/>
              <w:rPr>
                <w:rFonts w:hint="default"/>
                <w:color w:val="auto"/>
              </w:rPr>
            </w:pPr>
            <w:r>
              <w:rPr>
                <w:rFonts w:hint="default"/>
                <w:color w:val="auto"/>
              </w:rPr>
              <w:t>验收</w:t>
            </w:r>
            <w:r>
              <w:rPr>
                <w:rFonts w:hint="default"/>
                <w:color w:val="auto"/>
                <w:lang w:val="en-US" w:eastAsia="zh-CN"/>
              </w:rPr>
              <w:t>时</w:t>
            </w:r>
            <w:r>
              <w:rPr>
                <w:rFonts w:hint="default"/>
                <w:color w:val="auto"/>
              </w:rPr>
              <w:t>现场无施工遗留问题。</w:t>
            </w:r>
          </w:p>
        </w:tc>
        <w:tc>
          <w:tcPr>
            <w:tcW w:w="497" w:type="pct"/>
            <w:vAlign w:val="center"/>
          </w:tcPr>
          <w:p>
            <w:pPr>
              <w:pStyle w:val="59"/>
              <w:bidi w:val="0"/>
              <w:jc w:val="center"/>
              <w:rPr>
                <w:rFonts w:hint="default"/>
                <w:color w:val="auto"/>
              </w:rPr>
            </w:pPr>
            <w:r>
              <w:rPr>
                <w:rFonts w:hint="default"/>
                <w:color w:val="auto"/>
              </w:rPr>
              <w:t>/</w:t>
            </w:r>
          </w:p>
        </w:tc>
        <w:tc>
          <w:tcPr>
            <w:tcW w:w="395" w:type="pct"/>
            <w:vAlign w:val="center"/>
          </w:tcPr>
          <w:p>
            <w:pPr>
              <w:pStyle w:val="59"/>
              <w:bidi w:val="0"/>
              <w:jc w:val="center"/>
              <w:rPr>
                <w:rFonts w:hint="default"/>
                <w:color w:val="auto"/>
              </w:rPr>
            </w:pPr>
            <w:r>
              <w:rPr>
                <w:rFonts w:hint="default"/>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397" w:hRule="atLeast"/>
        </w:trPr>
        <w:tc>
          <w:tcPr>
            <w:tcW w:w="815" w:type="pct"/>
            <w:vAlign w:val="center"/>
          </w:tcPr>
          <w:p>
            <w:pPr>
              <w:pStyle w:val="53"/>
              <w:bidi w:val="0"/>
              <w:rPr>
                <w:rFonts w:hint="default"/>
                <w:color w:val="auto"/>
              </w:rPr>
            </w:pPr>
            <w:r>
              <w:rPr>
                <w:rFonts w:hint="default"/>
                <w:color w:val="auto"/>
              </w:rPr>
              <w:t>固体废物</w:t>
            </w:r>
          </w:p>
        </w:tc>
        <w:tc>
          <w:tcPr>
            <w:tcW w:w="2107" w:type="pct"/>
            <w:vAlign w:val="center"/>
          </w:tcPr>
          <w:p>
            <w:pPr>
              <w:pStyle w:val="59"/>
              <w:bidi w:val="0"/>
              <w:spacing w:line="240" w:lineRule="auto"/>
              <w:rPr>
                <w:rFonts w:hint="default"/>
                <w:color w:val="auto"/>
              </w:rPr>
            </w:pPr>
            <w:r>
              <w:rPr>
                <w:rFonts w:hint="default"/>
                <w:color w:val="auto"/>
              </w:rPr>
              <w:t>①水基钻井岩屑</w:t>
            </w:r>
            <w:r>
              <w:rPr>
                <w:rFonts w:hint="default"/>
                <w:color w:val="auto"/>
                <w:lang w:val="en-US" w:eastAsia="zh-CN"/>
              </w:rPr>
              <w:t>进罐收集后交</w:t>
            </w:r>
            <w:r>
              <w:rPr>
                <w:rFonts w:hint="default"/>
                <w:color w:val="auto"/>
              </w:rPr>
              <w:t>由岩屑处置单位处置；</w:t>
            </w:r>
          </w:p>
          <w:p>
            <w:pPr>
              <w:pStyle w:val="59"/>
              <w:bidi w:val="0"/>
              <w:spacing w:line="240" w:lineRule="auto"/>
              <w:rPr>
                <w:rFonts w:hint="default"/>
                <w:color w:val="auto"/>
              </w:rPr>
            </w:pPr>
            <w:r>
              <w:rPr>
                <w:rFonts w:hint="default"/>
                <w:color w:val="auto"/>
              </w:rPr>
              <w:t>②油基钻井岩屑经钻井液不落地设备处理后</w:t>
            </w:r>
            <w:r>
              <w:rPr>
                <w:rFonts w:hint="eastAsia"/>
                <w:color w:val="auto"/>
                <w:lang w:eastAsia="zh-CN"/>
              </w:rPr>
              <w:t>进入</w:t>
            </w:r>
            <w:r>
              <w:rPr>
                <w:rFonts w:hint="default"/>
                <w:color w:val="auto"/>
              </w:rPr>
              <w:t>专用储罐储存，最终交由具有相应危险废物处置资质的单位处置；</w:t>
            </w:r>
          </w:p>
          <w:p>
            <w:pPr>
              <w:pStyle w:val="59"/>
              <w:bidi w:val="0"/>
              <w:spacing w:line="240" w:lineRule="auto"/>
              <w:rPr>
                <w:rFonts w:hint="default"/>
                <w:color w:val="auto"/>
              </w:rPr>
            </w:pPr>
            <w:r>
              <w:rPr>
                <w:rFonts w:hint="eastAsia"/>
                <w:color w:val="auto"/>
                <w:lang w:val="en-US" w:eastAsia="zh-CN"/>
              </w:rPr>
              <w:t>③</w:t>
            </w:r>
            <w:r>
              <w:rPr>
                <w:rFonts w:hint="default"/>
                <w:color w:val="auto"/>
              </w:rPr>
              <w:t>未沾油的防渗材料由施工单位集中回收利用，沾油的废防渗材料、废润滑油及废润滑油桶</w:t>
            </w:r>
            <w:r>
              <w:rPr>
                <w:rFonts w:hint="default"/>
                <w:color w:val="auto"/>
                <w:lang w:val="en-US" w:eastAsia="zh-CN"/>
              </w:rPr>
              <w:t>分区暂存在井场危险废物贮存点，定期交</w:t>
            </w:r>
            <w:r>
              <w:rPr>
                <w:rFonts w:hint="default"/>
                <w:color w:val="auto"/>
              </w:rPr>
              <w:t>具有相应危险废物处置资质的单位进行接收、转运和处置；</w:t>
            </w:r>
          </w:p>
          <w:p>
            <w:pPr>
              <w:pStyle w:val="59"/>
              <w:bidi w:val="0"/>
              <w:spacing w:line="240" w:lineRule="auto"/>
              <w:rPr>
                <w:rFonts w:hint="default"/>
                <w:color w:val="auto"/>
                <w:lang w:val="en-US" w:eastAsia="zh-CN"/>
              </w:rPr>
            </w:pPr>
            <w:r>
              <w:rPr>
                <w:rFonts w:hint="eastAsia"/>
                <w:color w:val="auto"/>
                <w:lang w:val="en-US" w:eastAsia="zh-CN"/>
              </w:rPr>
              <w:t>④</w:t>
            </w:r>
            <w:r>
              <w:rPr>
                <w:rFonts w:hint="default"/>
                <w:color w:val="auto"/>
                <w:lang w:val="en-US" w:eastAsia="zh-CN"/>
              </w:rPr>
              <w:t>危险废物贮存点建设满足《危险废物贮存污染控制标准》</w:t>
            </w:r>
            <w:r>
              <w:rPr>
                <w:rFonts w:hint="eastAsia"/>
                <w:color w:val="auto"/>
                <w:lang w:val="en-US" w:eastAsia="zh-CN"/>
              </w:rPr>
              <w:t>（</w:t>
            </w:r>
            <w:r>
              <w:rPr>
                <w:rFonts w:hint="default"/>
                <w:color w:val="auto"/>
                <w:lang w:val="en-US" w:eastAsia="zh-CN"/>
              </w:rPr>
              <w:t>GB18597-2023</w:t>
            </w:r>
            <w:r>
              <w:rPr>
                <w:rFonts w:hint="eastAsia"/>
                <w:color w:val="auto"/>
                <w:lang w:val="en-US" w:eastAsia="zh-CN"/>
              </w:rPr>
              <w:t>）</w:t>
            </w:r>
            <w:r>
              <w:rPr>
                <w:rFonts w:hint="default"/>
                <w:color w:val="auto"/>
                <w:lang w:val="en-US" w:eastAsia="zh-CN"/>
              </w:rPr>
              <w:t>中要求；</w:t>
            </w:r>
          </w:p>
          <w:p>
            <w:pPr>
              <w:pStyle w:val="59"/>
              <w:bidi w:val="0"/>
              <w:spacing w:line="240" w:lineRule="auto"/>
              <w:rPr>
                <w:rFonts w:hint="default"/>
                <w:color w:val="auto"/>
                <w:lang w:eastAsia="zh-CN"/>
              </w:rPr>
            </w:pPr>
            <w:r>
              <w:rPr>
                <w:rFonts w:hint="eastAsia"/>
                <w:color w:val="auto"/>
                <w:lang w:val="en-US" w:eastAsia="zh-CN"/>
              </w:rPr>
              <w:t>⑤</w:t>
            </w:r>
            <w:r>
              <w:rPr>
                <w:rFonts w:hint="default"/>
                <w:color w:val="auto"/>
              </w:rPr>
              <w:t>生活垃圾集中在垃圾箱内，定期清运至</w:t>
            </w:r>
            <w:r>
              <w:rPr>
                <w:rFonts w:hint="eastAsia"/>
                <w:color w:val="auto"/>
                <w:lang w:val="en-US" w:eastAsia="zh-CN"/>
              </w:rPr>
              <w:t>玛纳斯县</w:t>
            </w:r>
            <w:r>
              <w:rPr>
                <w:rFonts w:hint="default"/>
                <w:color w:val="auto"/>
              </w:rPr>
              <w:t>生活垃圾填埋场处置。</w:t>
            </w:r>
          </w:p>
        </w:tc>
        <w:tc>
          <w:tcPr>
            <w:tcW w:w="1183" w:type="pct"/>
            <w:vAlign w:val="center"/>
          </w:tcPr>
          <w:p>
            <w:pPr>
              <w:pStyle w:val="59"/>
              <w:bidi w:val="0"/>
              <w:spacing w:line="240" w:lineRule="auto"/>
              <w:rPr>
                <w:rFonts w:hint="default"/>
                <w:color w:val="auto"/>
              </w:rPr>
            </w:pPr>
            <w:r>
              <w:rPr>
                <w:rFonts w:hint="default"/>
                <w:color w:val="auto"/>
                <w:lang w:val="en-US" w:eastAsia="zh-CN"/>
              </w:rPr>
              <w:t>具备水基</w:t>
            </w:r>
            <w:r>
              <w:rPr>
                <w:rFonts w:hint="eastAsia"/>
                <w:color w:val="auto"/>
                <w:lang w:val="en-US" w:eastAsia="zh-CN"/>
              </w:rPr>
              <w:t>、油基</w:t>
            </w:r>
            <w:r>
              <w:rPr>
                <w:rFonts w:hint="default"/>
                <w:color w:val="auto"/>
                <w:lang w:val="en-US" w:eastAsia="zh-CN"/>
              </w:rPr>
              <w:t>钻井岩屑清运处置协议及台账；具备</w:t>
            </w:r>
            <w:r>
              <w:rPr>
                <w:rFonts w:hint="default"/>
                <w:color w:val="auto"/>
              </w:rPr>
              <w:t>危险废物</w:t>
            </w:r>
            <w:r>
              <w:rPr>
                <w:rFonts w:hint="default"/>
                <w:color w:val="auto"/>
                <w:lang w:val="en-US" w:eastAsia="zh-CN"/>
              </w:rPr>
              <w:t>处置协议及台账；具备</w:t>
            </w:r>
            <w:r>
              <w:rPr>
                <w:rFonts w:hint="default"/>
                <w:color w:val="auto"/>
              </w:rPr>
              <w:t>生活垃圾</w:t>
            </w:r>
            <w:r>
              <w:rPr>
                <w:rFonts w:hint="default"/>
                <w:color w:val="auto"/>
                <w:lang w:val="en-US" w:eastAsia="zh-CN"/>
              </w:rPr>
              <w:t>清运协议；验收现场无固体废物</w:t>
            </w:r>
            <w:r>
              <w:rPr>
                <w:rFonts w:hint="default"/>
                <w:color w:val="auto"/>
              </w:rPr>
              <w:t>遗留</w:t>
            </w:r>
          </w:p>
        </w:tc>
        <w:tc>
          <w:tcPr>
            <w:tcW w:w="497" w:type="pct"/>
            <w:vAlign w:val="center"/>
          </w:tcPr>
          <w:p>
            <w:pPr>
              <w:pStyle w:val="59"/>
              <w:bidi w:val="0"/>
              <w:jc w:val="center"/>
              <w:rPr>
                <w:rFonts w:hint="default"/>
                <w:color w:val="auto"/>
              </w:rPr>
            </w:pPr>
            <w:r>
              <w:rPr>
                <w:rFonts w:hint="default"/>
                <w:color w:val="auto"/>
              </w:rPr>
              <w:t>/</w:t>
            </w:r>
          </w:p>
        </w:tc>
        <w:tc>
          <w:tcPr>
            <w:tcW w:w="395" w:type="pct"/>
            <w:vAlign w:val="center"/>
          </w:tcPr>
          <w:p>
            <w:pPr>
              <w:pStyle w:val="59"/>
              <w:bidi w:val="0"/>
              <w:jc w:val="center"/>
              <w:rPr>
                <w:rFonts w:hint="default"/>
                <w:color w:val="auto"/>
              </w:rPr>
            </w:pPr>
            <w:r>
              <w:rPr>
                <w:rFonts w:hint="default"/>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397" w:hRule="atLeast"/>
        </w:trPr>
        <w:tc>
          <w:tcPr>
            <w:tcW w:w="815" w:type="pct"/>
            <w:vAlign w:val="center"/>
          </w:tcPr>
          <w:p>
            <w:pPr>
              <w:pStyle w:val="53"/>
              <w:bidi w:val="0"/>
              <w:rPr>
                <w:rFonts w:hint="default"/>
                <w:color w:val="auto"/>
              </w:rPr>
            </w:pPr>
            <w:r>
              <w:rPr>
                <w:rFonts w:hint="default"/>
                <w:color w:val="auto"/>
              </w:rPr>
              <w:t>电磁环境</w:t>
            </w:r>
          </w:p>
        </w:tc>
        <w:tc>
          <w:tcPr>
            <w:tcW w:w="2107" w:type="pct"/>
            <w:vAlign w:val="center"/>
          </w:tcPr>
          <w:p>
            <w:pPr>
              <w:pStyle w:val="59"/>
              <w:bidi w:val="0"/>
              <w:jc w:val="center"/>
              <w:rPr>
                <w:rFonts w:hint="default"/>
                <w:color w:val="auto"/>
              </w:rPr>
            </w:pPr>
            <w:r>
              <w:rPr>
                <w:rFonts w:hint="default"/>
                <w:color w:val="auto"/>
              </w:rPr>
              <w:t>/</w:t>
            </w:r>
          </w:p>
        </w:tc>
        <w:tc>
          <w:tcPr>
            <w:tcW w:w="1183" w:type="pct"/>
            <w:vAlign w:val="center"/>
          </w:tcPr>
          <w:p>
            <w:pPr>
              <w:pStyle w:val="59"/>
              <w:bidi w:val="0"/>
              <w:jc w:val="center"/>
              <w:rPr>
                <w:rFonts w:hint="default"/>
                <w:color w:val="auto"/>
              </w:rPr>
            </w:pPr>
            <w:r>
              <w:rPr>
                <w:rFonts w:hint="default"/>
                <w:color w:val="auto"/>
              </w:rPr>
              <w:t>/</w:t>
            </w:r>
          </w:p>
        </w:tc>
        <w:tc>
          <w:tcPr>
            <w:tcW w:w="497" w:type="pct"/>
            <w:vAlign w:val="center"/>
          </w:tcPr>
          <w:p>
            <w:pPr>
              <w:pStyle w:val="59"/>
              <w:bidi w:val="0"/>
              <w:jc w:val="center"/>
              <w:rPr>
                <w:rFonts w:hint="default"/>
                <w:color w:val="auto"/>
              </w:rPr>
            </w:pPr>
            <w:r>
              <w:rPr>
                <w:rFonts w:hint="default"/>
                <w:color w:val="auto"/>
              </w:rPr>
              <w:t>/</w:t>
            </w:r>
          </w:p>
        </w:tc>
        <w:tc>
          <w:tcPr>
            <w:tcW w:w="395" w:type="pct"/>
            <w:vAlign w:val="center"/>
          </w:tcPr>
          <w:p>
            <w:pPr>
              <w:pStyle w:val="59"/>
              <w:bidi w:val="0"/>
              <w:jc w:val="center"/>
              <w:rPr>
                <w:rFonts w:hint="default"/>
                <w:color w:val="auto"/>
              </w:rPr>
            </w:pPr>
            <w:r>
              <w:rPr>
                <w:rFonts w:hint="default"/>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397" w:hRule="atLeast"/>
        </w:trPr>
        <w:tc>
          <w:tcPr>
            <w:tcW w:w="815" w:type="pct"/>
            <w:vAlign w:val="center"/>
          </w:tcPr>
          <w:p>
            <w:pPr>
              <w:pStyle w:val="53"/>
              <w:bidi w:val="0"/>
              <w:rPr>
                <w:rFonts w:hint="default"/>
                <w:color w:val="auto"/>
              </w:rPr>
            </w:pPr>
            <w:r>
              <w:rPr>
                <w:rFonts w:hint="default"/>
                <w:color w:val="auto"/>
              </w:rPr>
              <w:t>环境风险</w:t>
            </w:r>
          </w:p>
        </w:tc>
        <w:tc>
          <w:tcPr>
            <w:tcW w:w="2107" w:type="pct"/>
            <w:vAlign w:val="center"/>
          </w:tcPr>
          <w:p>
            <w:pPr>
              <w:pStyle w:val="59"/>
              <w:bidi w:val="0"/>
              <w:spacing w:line="240" w:lineRule="auto"/>
              <w:rPr>
                <w:rFonts w:hint="default"/>
                <w:color w:val="auto"/>
              </w:rPr>
            </w:pPr>
            <w:r>
              <w:rPr>
                <w:rFonts w:hint="default"/>
                <w:color w:val="auto"/>
              </w:rPr>
              <w:t>①施工时应严格执行相关风险防范措施和规章制度，严禁违规操作加强设备维修与巡检，避免储罐泄漏事故的发生；</w:t>
            </w:r>
          </w:p>
          <w:p>
            <w:pPr>
              <w:pStyle w:val="59"/>
              <w:bidi w:val="0"/>
              <w:spacing w:line="240" w:lineRule="auto"/>
              <w:rPr>
                <w:rFonts w:hint="default"/>
                <w:color w:val="auto"/>
              </w:rPr>
            </w:pPr>
            <w:r>
              <w:rPr>
                <w:rFonts w:hint="default"/>
                <w:color w:val="auto"/>
              </w:rPr>
              <w:t>②在井口安装井控装置，杜绝井喷的发生；</w:t>
            </w:r>
          </w:p>
          <w:p>
            <w:pPr>
              <w:pStyle w:val="59"/>
              <w:bidi w:val="0"/>
              <w:spacing w:line="240" w:lineRule="auto"/>
              <w:rPr>
                <w:rFonts w:hint="default"/>
                <w:color w:val="auto"/>
              </w:rPr>
            </w:pPr>
            <w:r>
              <w:rPr>
                <w:rFonts w:hint="default"/>
                <w:color w:val="auto"/>
              </w:rPr>
              <w:fldChar w:fldCharType="begin"/>
            </w:r>
            <w:r>
              <w:rPr>
                <w:rFonts w:hint="default"/>
                <w:color w:val="auto"/>
              </w:rPr>
              <w:instrText xml:space="preserve"> = 3 \* GB3 </w:instrText>
            </w:r>
            <w:r>
              <w:rPr>
                <w:rFonts w:hint="default"/>
                <w:color w:val="auto"/>
              </w:rPr>
              <w:fldChar w:fldCharType="separate"/>
            </w:r>
            <w:r>
              <w:rPr>
                <w:rFonts w:hint="default"/>
                <w:color w:val="auto"/>
              </w:rPr>
              <w:t>③</w:t>
            </w:r>
            <w:r>
              <w:rPr>
                <w:rFonts w:hint="default"/>
                <w:color w:val="auto"/>
              </w:rPr>
              <w:fldChar w:fldCharType="end"/>
            </w:r>
            <w:r>
              <w:rPr>
                <w:rFonts w:hint="default"/>
                <w:color w:val="auto"/>
              </w:rPr>
              <w:t>定期检查固井质量，发现固井质量不合格应及时采取措施，保证固井质量合格；</w:t>
            </w:r>
          </w:p>
          <w:p>
            <w:pPr>
              <w:pStyle w:val="59"/>
              <w:bidi w:val="0"/>
              <w:spacing w:line="240" w:lineRule="auto"/>
              <w:rPr>
                <w:rFonts w:hint="default"/>
                <w:color w:val="auto"/>
              </w:rPr>
            </w:pPr>
            <w:r>
              <w:rPr>
                <w:rFonts w:hint="default"/>
                <w:color w:val="auto"/>
              </w:rPr>
              <w:fldChar w:fldCharType="begin"/>
            </w:r>
            <w:r>
              <w:rPr>
                <w:rFonts w:hint="default"/>
                <w:color w:val="auto"/>
              </w:rPr>
              <w:instrText xml:space="preserve"> = 4 \* GB3 </w:instrText>
            </w:r>
            <w:r>
              <w:rPr>
                <w:rFonts w:hint="default"/>
                <w:color w:val="auto"/>
              </w:rPr>
              <w:fldChar w:fldCharType="separate"/>
            </w:r>
            <w:r>
              <w:rPr>
                <w:rFonts w:hint="default"/>
                <w:color w:val="auto"/>
              </w:rPr>
              <w:t>④</w:t>
            </w:r>
            <w:r>
              <w:rPr>
                <w:rFonts w:hint="default"/>
                <w:color w:val="auto"/>
              </w:rPr>
              <w:fldChar w:fldCharType="end"/>
            </w:r>
            <w:r>
              <w:rPr>
                <w:rFonts w:hint="default"/>
                <w:color w:val="auto"/>
              </w:rPr>
              <w:t>加强各类储罐及放喷管线的日常管理及安全检查；</w:t>
            </w:r>
          </w:p>
          <w:p>
            <w:pPr>
              <w:pStyle w:val="59"/>
              <w:bidi w:val="0"/>
              <w:spacing w:line="240" w:lineRule="auto"/>
              <w:rPr>
                <w:rFonts w:hint="default"/>
                <w:color w:val="auto"/>
              </w:rPr>
            </w:pPr>
            <w:r>
              <w:rPr>
                <w:rFonts w:hint="default"/>
                <w:color w:val="auto"/>
              </w:rPr>
              <w:fldChar w:fldCharType="begin"/>
            </w:r>
            <w:r>
              <w:rPr>
                <w:rFonts w:hint="default"/>
                <w:color w:val="auto"/>
              </w:rPr>
              <w:instrText xml:space="preserve"> = 5 \* GB3 </w:instrText>
            </w:r>
            <w:r>
              <w:rPr>
                <w:rFonts w:hint="default"/>
                <w:color w:val="auto"/>
              </w:rPr>
              <w:fldChar w:fldCharType="separate"/>
            </w:r>
            <w:r>
              <w:rPr>
                <w:rFonts w:hint="default"/>
                <w:color w:val="auto"/>
              </w:rPr>
              <w:t>⑤</w:t>
            </w:r>
            <w:r>
              <w:rPr>
                <w:rFonts w:hint="default"/>
                <w:color w:val="auto"/>
              </w:rPr>
              <w:fldChar w:fldCharType="end"/>
            </w:r>
            <w:r>
              <w:rPr>
                <w:rFonts w:hint="default"/>
                <w:color w:val="auto"/>
              </w:rPr>
              <w:t>加强施工期管理，严禁油田施工人员和车辆随意进入临时占地以外的区域；</w:t>
            </w:r>
          </w:p>
          <w:p>
            <w:pPr>
              <w:pStyle w:val="59"/>
              <w:bidi w:val="0"/>
              <w:spacing w:line="240" w:lineRule="auto"/>
              <w:rPr>
                <w:rFonts w:hint="default"/>
                <w:color w:val="auto"/>
              </w:rPr>
            </w:pPr>
            <w:r>
              <w:rPr>
                <w:rFonts w:hint="default"/>
                <w:color w:val="auto"/>
              </w:rPr>
              <w:t>⑥应将本项目纳入《中国石油新疆油田分公司勘探事业部突发环境事件应急预案》。</w:t>
            </w:r>
          </w:p>
        </w:tc>
        <w:tc>
          <w:tcPr>
            <w:tcW w:w="1183" w:type="pct"/>
            <w:vAlign w:val="center"/>
          </w:tcPr>
          <w:p>
            <w:pPr>
              <w:pStyle w:val="59"/>
              <w:bidi w:val="0"/>
              <w:spacing w:line="240" w:lineRule="auto"/>
              <w:rPr>
                <w:rFonts w:hint="default"/>
                <w:color w:val="auto"/>
                <w:lang w:val="en-US" w:eastAsia="zh-CN"/>
              </w:rPr>
            </w:pPr>
            <w:r>
              <w:rPr>
                <w:rFonts w:hint="eastAsia"/>
                <w:color w:val="auto"/>
                <w:lang w:val="en-US" w:eastAsia="zh-CN"/>
              </w:rPr>
              <w:t>无突发环境事件发生或发生的环境风险事件根据突发环境事件应急预案得到了合理处理、处置</w:t>
            </w:r>
          </w:p>
        </w:tc>
        <w:tc>
          <w:tcPr>
            <w:tcW w:w="497" w:type="pct"/>
            <w:vAlign w:val="center"/>
          </w:tcPr>
          <w:p>
            <w:pPr>
              <w:pStyle w:val="59"/>
              <w:bidi w:val="0"/>
              <w:jc w:val="center"/>
              <w:rPr>
                <w:rFonts w:hint="default"/>
                <w:color w:val="auto"/>
              </w:rPr>
            </w:pPr>
            <w:r>
              <w:rPr>
                <w:rFonts w:hint="default"/>
                <w:color w:val="auto"/>
              </w:rPr>
              <w:t>/</w:t>
            </w:r>
          </w:p>
        </w:tc>
        <w:tc>
          <w:tcPr>
            <w:tcW w:w="395" w:type="pct"/>
            <w:vAlign w:val="center"/>
          </w:tcPr>
          <w:p>
            <w:pPr>
              <w:pStyle w:val="59"/>
              <w:bidi w:val="0"/>
              <w:jc w:val="center"/>
              <w:rPr>
                <w:rFonts w:hint="default"/>
                <w:color w:val="auto"/>
              </w:rPr>
            </w:pPr>
            <w:r>
              <w:rPr>
                <w:rFonts w:hint="default"/>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397" w:hRule="atLeast"/>
        </w:trPr>
        <w:tc>
          <w:tcPr>
            <w:tcW w:w="815" w:type="pct"/>
            <w:vAlign w:val="center"/>
          </w:tcPr>
          <w:p>
            <w:pPr>
              <w:pStyle w:val="53"/>
              <w:bidi w:val="0"/>
              <w:rPr>
                <w:rFonts w:hint="default"/>
                <w:color w:val="auto"/>
              </w:rPr>
            </w:pPr>
            <w:r>
              <w:rPr>
                <w:rFonts w:hint="default"/>
                <w:color w:val="auto"/>
              </w:rPr>
              <w:t>环境监测</w:t>
            </w:r>
          </w:p>
        </w:tc>
        <w:tc>
          <w:tcPr>
            <w:tcW w:w="2107" w:type="pct"/>
            <w:vAlign w:val="center"/>
          </w:tcPr>
          <w:p>
            <w:pPr>
              <w:pStyle w:val="59"/>
              <w:bidi w:val="0"/>
              <w:jc w:val="center"/>
              <w:rPr>
                <w:rFonts w:hint="default"/>
                <w:color w:val="auto"/>
              </w:rPr>
            </w:pPr>
            <w:r>
              <w:rPr>
                <w:rFonts w:hint="default"/>
                <w:color w:val="auto"/>
              </w:rPr>
              <w:t>/</w:t>
            </w:r>
          </w:p>
        </w:tc>
        <w:tc>
          <w:tcPr>
            <w:tcW w:w="1183" w:type="pct"/>
            <w:vAlign w:val="center"/>
          </w:tcPr>
          <w:p>
            <w:pPr>
              <w:pStyle w:val="59"/>
              <w:bidi w:val="0"/>
              <w:jc w:val="center"/>
              <w:rPr>
                <w:rFonts w:hint="default"/>
                <w:color w:val="auto"/>
              </w:rPr>
            </w:pPr>
            <w:r>
              <w:rPr>
                <w:rFonts w:hint="default"/>
                <w:color w:val="auto"/>
              </w:rPr>
              <w:t>/</w:t>
            </w:r>
          </w:p>
        </w:tc>
        <w:tc>
          <w:tcPr>
            <w:tcW w:w="497" w:type="pct"/>
            <w:vAlign w:val="center"/>
          </w:tcPr>
          <w:p>
            <w:pPr>
              <w:pStyle w:val="59"/>
              <w:bidi w:val="0"/>
              <w:jc w:val="center"/>
              <w:rPr>
                <w:rFonts w:hint="default"/>
                <w:color w:val="auto"/>
              </w:rPr>
            </w:pPr>
            <w:r>
              <w:rPr>
                <w:rFonts w:hint="default"/>
                <w:color w:val="auto"/>
              </w:rPr>
              <w:t>/</w:t>
            </w:r>
          </w:p>
        </w:tc>
        <w:tc>
          <w:tcPr>
            <w:tcW w:w="395" w:type="pct"/>
            <w:vAlign w:val="center"/>
          </w:tcPr>
          <w:p>
            <w:pPr>
              <w:pStyle w:val="59"/>
              <w:bidi w:val="0"/>
              <w:jc w:val="center"/>
              <w:rPr>
                <w:rFonts w:hint="default"/>
                <w:color w:val="auto"/>
              </w:rPr>
            </w:pPr>
            <w:r>
              <w:rPr>
                <w:rFonts w:hint="default"/>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397" w:hRule="atLeast"/>
        </w:trPr>
        <w:tc>
          <w:tcPr>
            <w:tcW w:w="815" w:type="pct"/>
            <w:vAlign w:val="center"/>
          </w:tcPr>
          <w:p>
            <w:pPr>
              <w:pStyle w:val="53"/>
              <w:bidi w:val="0"/>
              <w:rPr>
                <w:rFonts w:hint="default"/>
                <w:color w:val="auto"/>
              </w:rPr>
            </w:pPr>
            <w:r>
              <w:rPr>
                <w:rFonts w:hint="default"/>
                <w:color w:val="auto"/>
              </w:rPr>
              <w:t>其他</w:t>
            </w:r>
          </w:p>
        </w:tc>
        <w:tc>
          <w:tcPr>
            <w:tcW w:w="2107" w:type="pct"/>
            <w:vAlign w:val="center"/>
          </w:tcPr>
          <w:p>
            <w:pPr>
              <w:pStyle w:val="59"/>
              <w:bidi w:val="0"/>
              <w:spacing w:line="240" w:lineRule="auto"/>
              <w:rPr>
                <w:rFonts w:hint="default"/>
                <w:color w:val="auto"/>
              </w:rPr>
            </w:pPr>
            <w:r>
              <w:rPr>
                <w:rFonts w:hint="default"/>
                <w:color w:val="auto"/>
                <w:lang w:val="en-US" w:eastAsia="zh-CN"/>
              </w:rPr>
              <w:t>①</w:t>
            </w:r>
            <w:r>
              <w:rPr>
                <w:rFonts w:hint="default"/>
                <w:color w:val="auto"/>
              </w:rPr>
              <w:t>施工单位应建立环境保护档案，保存施工前后项目区的影像资料，使施工全过程各类污染物产生、去向和各个污染措施及实施情况均记录在案。</w:t>
            </w:r>
          </w:p>
          <w:p>
            <w:pPr>
              <w:pStyle w:val="59"/>
              <w:bidi w:val="0"/>
              <w:spacing w:line="240" w:lineRule="auto"/>
              <w:rPr>
                <w:rFonts w:hint="default"/>
                <w:color w:val="auto"/>
              </w:rPr>
            </w:pPr>
            <w:r>
              <w:rPr>
                <w:rFonts w:hint="default"/>
                <w:color w:val="auto"/>
                <w:lang w:val="en-US" w:eastAsia="zh-CN"/>
              </w:rPr>
              <w:t>②</w:t>
            </w:r>
            <w:r>
              <w:rPr>
                <w:rFonts w:hint="default"/>
                <w:color w:val="auto"/>
              </w:rPr>
              <w:t>建设单位对施工单位钻井期间进行环保日常检查并做好记录；完工交井前，建设单位主管部门现场验收，合格后方可记录为完工，做到工完料净场地清，并做好记录。</w:t>
            </w:r>
          </w:p>
        </w:tc>
        <w:tc>
          <w:tcPr>
            <w:tcW w:w="1183" w:type="pct"/>
            <w:vAlign w:val="center"/>
          </w:tcPr>
          <w:p>
            <w:pPr>
              <w:pStyle w:val="59"/>
              <w:bidi w:val="0"/>
              <w:spacing w:line="240" w:lineRule="auto"/>
              <w:rPr>
                <w:rFonts w:hint="default"/>
                <w:color w:val="auto"/>
                <w:lang w:val="en-US" w:eastAsia="zh-CN"/>
              </w:rPr>
            </w:pPr>
            <w:r>
              <w:rPr>
                <w:rFonts w:hint="default"/>
                <w:color w:val="auto"/>
                <w:lang w:val="en-US" w:eastAsia="zh-CN"/>
              </w:rPr>
              <w:t>环境管理制度是否建立并完善，环保机构及人员是否设置到位；是否保留必要的影像资料</w:t>
            </w:r>
          </w:p>
        </w:tc>
        <w:tc>
          <w:tcPr>
            <w:tcW w:w="497" w:type="pct"/>
            <w:vAlign w:val="center"/>
          </w:tcPr>
          <w:p>
            <w:pPr>
              <w:pStyle w:val="59"/>
              <w:bidi w:val="0"/>
              <w:jc w:val="center"/>
              <w:rPr>
                <w:rFonts w:hint="default"/>
                <w:color w:val="auto"/>
              </w:rPr>
            </w:pPr>
            <w:r>
              <w:rPr>
                <w:rFonts w:hint="default"/>
                <w:color w:val="auto"/>
              </w:rPr>
              <w:t>/</w:t>
            </w:r>
          </w:p>
        </w:tc>
        <w:tc>
          <w:tcPr>
            <w:tcW w:w="395" w:type="pct"/>
            <w:vAlign w:val="center"/>
          </w:tcPr>
          <w:p>
            <w:pPr>
              <w:pStyle w:val="59"/>
              <w:bidi w:val="0"/>
              <w:jc w:val="center"/>
              <w:rPr>
                <w:rFonts w:hint="default"/>
                <w:color w:val="auto"/>
              </w:rPr>
            </w:pPr>
            <w:r>
              <w:rPr>
                <w:rFonts w:hint="default"/>
                <w:color w:val="auto"/>
              </w:rPr>
              <w:t>/</w:t>
            </w:r>
          </w:p>
        </w:tc>
      </w:tr>
    </w:tbl>
    <w:p>
      <w:pPr>
        <w:pStyle w:val="36"/>
        <w:bidi w:val="0"/>
        <w:rPr>
          <w:rFonts w:hint="default"/>
          <w:color w:val="auto"/>
        </w:rPr>
        <w:sectPr>
          <w:pgSz w:w="11906" w:h="16838"/>
          <w:pgMar w:top="1417" w:right="1587" w:bottom="1417"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rPr>
          <w:rFonts w:hint="default" w:ascii="Times New Roman" w:hAnsi="Times New Roman" w:eastAsia="黑体" w:cs="Times New Roman"/>
          <w:b w:val="0"/>
          <w:bCs/>
          <w:color w:val="auto"/>
          <w:sz w:val="30"/>
          <w:szCs w:val="30"/>
        </w:rPr>
      </w:pPr>
      <w:bookmarkStart w:id="85" w:name="_Toc21148"/>
      <w:r>
        <w:rPr>
          <w:rFonts w:hint="default" w:ascii="Times New Roman" w:hAnsi="Times New Roman" w:eastAsia="黑体" w:cs="Times New Roman"/>
          <w:b w:val="0"/>
          <w:bCs/>
          <w:color w:val="auto"/>
          <w:sz w:val="30"/>
          <w:szCs w:val="30"/>
        </w:rPr>
        <w:t>七、结论</w:t>
      </w:r>
      <w:bookmarkEnd w:id="85"/>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vAlign w:val="center"/>
          </w:tcPr>
          <w:p>
            <w:pPr>
              <w:pStyle w:val="36"/>
              <w:bidi w:val="0"/>
              <w:rPr>
                <w:rFonts w:hint="default"/>
                <w:color w:val="auto"/>
              </w:rPr>
            </w:pPr>
            <w:r>
              <w:rPr>
                <w:rFonts w:hint="default"/>
                <w:color w:val="auto"/>
              </w:rPr>
              <w:t>本项目符合国家产业政策、“三线一单”和相关规划，选址选线合理。在严格执行已有各项环保政策、规定，认真落实报告表中提出的污染防治措施和生态影响减缓措施的前提下，</w:t>
            </w:r>
            <w:r>
              <w:rPr>
                <w:rFonts w:hint="eastAsia"/>
                <w:color w:val="auto"/>
                <w:lang w:val="en-US" w:eastAsia="zh-CN"/>
              </w:rPr>
              <w:t>本项目环境影响可行</w:t>
            </w:r>
            <w:r>
              <w:rPr>
                <w:rFonts w:hint="default"/>
                <w:color w:val="auto"/>
              </w:rPr>
              <w:t>。</w:t>
            </w: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pStyle w:val="36"/>
              <w:bidi w:val="0"/>
              <w:rPr>
                <w:rFonts w:hint="default"/>
                <w:color w:val="auto"/>
              </w:rPr>
            </w:pPr>
          </w:p>
          <w:p>
            <w:pPr>
              <w:rPr>
                <w:rFonts w:hint="default" w:ascii="Times New Roman" w:hAnsi="Times New Roman" w:cs="Times New Roman"/>
                <w:color w:val="auto"/>
              </w:rPr>
            </w:pPr>
          </w:p>
        </w:tc>
      </w:tr>
    </w:tbl>
    <w:p>
      <w:pPr>
        <w:pStyle w:val="36"/>
        <w:bidi w:val="0"/>
        <w:spacing w:line="240" w:lineRule="auto"/>
        <w:ind w:left="0" w:leftChars="0" w:firstLine="0" w:firstLineChars="0"/>
        <w:rPr>
          <w:rFonts w:hint="default"/>
          <w:color w:val="auto"/>
          <w:lang w:val="en-US" w:eastAsia="zh-CN"/>
        </w:rPr>
      </w:pPr>
    </w:p>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4625" cy="1828800"/>
              <wp:effectExtent l="0" t="0" r="0" b="14605"/>
              <wp:wrapNone/>
              <wp:docPr id="7" name="文本框 7"/>
              <wp:cNvGraphicFramePr/>
              <a:graphic xmlns:a="http://schemas.openxmlformats.org/drawingml/2006/main">
                <a:graphicData uri="http://schemas.microsoft.com/office/word/2010/wordprocessingShape">
                  <wps:wsp>
                    <wps:cNvSpPr txBox="1"/>
                    <wps:spPr>
                      <a:xfrm>
                        <a:off x="0" y="0"/>
                        <a:ext cx="174423"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3.75pt;mso-position-horizontal:center;mso-position-horizontal-relative:margin;z-index:251659264;mso-width-relative:page;mso-height-relative:page;" filled="f" stroked="f" coordsize="21600,21600" o:gfxdata="UEsDBAoAAAAAAIdO4kAAAAAAAAAAAAAAAAAEAAAAZHJzL1BLAwQUAAAACACHTuJAT8RQeNMAAAAE&#10;AQAADwAAAGRycy9kb3ducmV2LnhtbE2PQU/DMAyF70j8h8hI3FiySUBVmu6AYAc40U2Io9e6TaFx&#10;qibrBr8ewwUutqxnv/e5WJ/8oGaaYh/YwnJhQBHXoem5s7DbPl5loGJCbnAITBY+KcK6PD8rMG/C&#10;kV9orlKnxIRjjhZcSmOudawdeYyLMBKL1obJY5Jx6nQz4VHM/aBXxtxojz1LgsOR7h3VH9XBC8br&#10;s/Gbr9a9+SdsY+W28+bh3drLi6W5A5XolP6W4QdfbqAUpn04cBPVYEEeSb9VtNXtNai99CwzoMtC&#10;/4cvvwFQSwMEFAAAAAgAh07iQOy7WBQzAgAAVgQAAA4AAABkcnMvZTJvRG9jLnhtbK1UTY7TMBTe&#10;I3EHy3uatDNMq6jpqExVhFQxIxXE2nWcJpLtZ2y3STkA3IAVG/acq+fg2Uk6aGAxCzbui9/v9/l7&#10;nd+2SpKjsK4GndPxKKVEaA5Frfc5/fhh/WpGifNMF0yCFjk9CUdvFy9fzBuTiQlUIAthCRbRLmtM&#10;TivvTZYkjldCMTcCIzQ6S7CKefy0+6SwrMHqSiaTNL1JGrCFscCFc3i76py0r2ifUxDKsuZiBfyg&#10;hPZdVSsk8wjJVbVxdBGnLUvB/X1ZOuGJzCki9fHEJmjvwpks5izbW2aqmvcjsOeM8ASTYrXGppdS&#10;K+YZOdj6r1Kq5hYclH7EQSUdkMgIohinT7jZVsyIiAWpduZCuvt/Zfn744MldZHTKSWaKXzw8/dv&#10;5x+/zj+/kmmgpzEuw6itwTjfvoEWRTPcO7wMqNvSqvCLeAj6kdzThVzResJD0vT6enJFCUfXeDaZ&#10;zdLIfvKYbazzbwUoEoycWny8yCk7bpzHSTB0CAnNNKxrKeMDSk2anN5cvU5jwsWDGVJjYsDQzRos&#10;3+7aHtgOihPistAJwxm+rrH5hjn/wCwqAaHgrvh7PEoJ2AR6i5IK7Jd/3Yd4fCD0UtKgsnLqPh+Y&#10;FZTIdxqfLshwMOxg7AZDH9QdoFjHuIWGRxMTrJeDWVpQn3CFlqELupjm2CunfjDvfKdvXEEulssY&#10;hGIzzG/01vBQOtDnzPLgkcLIbKCl46JnC+UWCe9XI+j5z+8Y9fh3sP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8RQeNMAAAAEAQAADwAAAAAAAAABACAAAAAiAAAAZHJzL2Rvd25yZXYueG1sUEsB&#10;AhQAFAAAAAgAh07iQOy7WBQzAgAAVgQAAA4AAAAAAAAAAQAgAAAAIgEAAGRycy9lMm9Eb2MueG1s&#10;UEsFBgAAAAAGAAYAWQEAAMc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75FEC"/>
    <w:multiLevelType w:val="singleLevel"/>
    <w:tmpl w:val="C0675FEC"/>
    <w:lvl w:ilvl="0" w:tentative="0">
      <w:start w:val="1"/>
      <w:numFmt w:val="chineseCounting"/>
      <w:pStyle w:val="56"/>
      <w:suff w:val="nothing"/>
      <w:lvlText w:val="附件%1、"/>
      <w:lvlJc w:val="left"/>
      <w:pPr>
        <w:tabs>
          <w:tab w:val="left" w:pos="0"/>
        </w:tabs>
        <w:ind w:left="0" w:firstLine="0"/>
      </w:pPr>
      <w:rPr>
        <w:rFonts w:hint="eastAsia"/>
      </w:rPr>
    </w:lvl>
  </w:abstractNum>
  <w:abstractNum w:abstractNumId="1">
    <w:nsid w:val="2283ED65"/>
    <w:multiLevelType w:val="multilevel"/>
    <w:tmpl w:val="2283ED65"/>
    <w:lvl w:ilvl="0" w:tentative="0">
      <w:start w:val="1"/>
      <w:numFmt w:val="decimal"/>
      <w:pStyle w:val="32"/>
      <w:suff w:val="nothing"/>
      <w:lvlText w:val="%1."/>
      <w:lvlJc w:val="left"/>
      <w:pPr>
        <w:tabs>
          <w:tab w:val="left" w:pos="0"/>
        </w:tabs>
        <w:ind w:left="0" w:leftChars="0" w:firstLine="471" w:firstLineChars="0"/>
      </w:pPr>
      <w:rPr>
        <w:rFonts w:hint="default"/>
        <w:sz w:val="24"/>
        <w:szCs w:val="24"/>
      </w:rPr>
    </w:lvl>
    <w:lvl w:ilvl="1" w:tentative="0">
      <w:start w:val="1"/>
      <w:numFmt w:val="decimal"/>
      <w:pStyle w:val="31"/>
      <w:suff w:val="nothing"/>
      <w:lvlText w:val="（%2）"/>
      <w:lvlJc w:val="left"/>
      <w:pPr>
        <w:tabs>
          <w:tab w:val="left" w:pos="0"/>
        </w:tabs>
        <w:ind w:left="0" w:firstLine="40"/>
      </w:pPr>
      <w:rPr>
        <w:rFonts w:hint="default" w:ascii="Times New Roman" w:hAnsi="Times New Roman" w:eastAsia="宋体" w:cs="宋体"/>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47D15015"/>
    <w:multiLevelType w:val="multilevel"/>
    <w:tmpl w:val="47D15015"/>
    <w:lvl w:ilvl="0" w:tentative="0">
      <w:start w:val="1"/>
      <w:numFmt w:val="decimal"/>
      <w:suff w:val="space"/>
      <w:lvlText w:val="%1"/>
      <w:lvlJc w:val="left"/>
      <w:pPr>
        <w:ind w:left="0" w:firstLine="0"/>
      </w:pPr>
      <w:rPr>
        <w:rFonts w:hint="eastAsia" w:ascii="黑体" w:eastAsia="黑体"/>
        <w:b w:val="0"/>
        <w:i w:val="0"/>
        <w:sz w:val="32"/>
      </w:rPr>
    </w:lvl>
    <w:lvl w:ilvl="1" w:tentative="0">
      <w:start w:val="1"/>
      <w:numFmt w:val="decimal"/>
      <w:pStyle w:val="3"/>
      <w:suff w:val="space"/>
      <w:lvlText w:val="%1.%2"/>
      <w:lvlJc w:val="left"/>
      <w:pPr>
        <w:ind w:left="0" w:firstLine="0"/>
      </w:pPr>
      <w:rPr>
        <w:rFonts w:hint="eastAsia" w:ascii="黑体" w:eastAsia="黑体"/>
        <w:b w:val="0"/>
        <w:i w:val="0"/>
        <w:sz w:val="28"/>
      </w:rPr>
    </w:lvl>
    <w:lvl w:ilvl="2" w:tentative="0">
      <w:start w:val="1"/>
      <w:numFmt w:val="decimal"/>
      <w:suff w:val="space"/>
      <w:lvlText w:val="%1.%2.%3"/>
      <w:lvlJc w:val="left"/>
      <w:pPr>
        <w:ind w:left="0" w:firstLine="0"/>
      </w:pPr>
      <w:rPr>
        <w:rFonts w:hint="eastAsia" w:ascii="黑体" w:hAnsi="宋体" w:eastAsia="黑体"/>
        <w:b w:val="0"/>
        <w:i w:val="0"/>
        <w:sz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5FAE8B0"/>
    <w:multiLevelType w:val="multilevel"/>
    <w:tmpl w:val="55FAE8B0"/>
    <w:lvl w:ilvl="0" w:tentative="0">
      <w:start w:val="1"/>
      <w:numFmt w:val="decimal"/>
      <w:suff w:val="nothing"/>
      <w:lvlText w:val="%1."/>
      <w:lvlJc w:val="left"/>
      <w:pPr>
        <w:tabs>
          <w:tab w:val="left" w:pos="0"/>
        </w:tabs>
        <w:ind w:left="0" w:leftChars="0" w:firstLine="471" w:firstLineChars="0"/>
      </w:pPr>
      <w:rPr>
        <w:rFonts w:hint="default"/>
      </w:rPr>
    </w:lvl>
    <w:lvl w:ilvl="1" w:tentative="0">
      <w:start w:val="1"/>
      <w:numFmt w:val="decimal"/>
      <w:suff w:val="nothing"/>
      <w:lvlText w:val="（%2）"/>
      <w:lvlJc w:val="left"/>
      <w:pPr>
        <w:ind w:left="0" w:firstLine="0"/>
      </w:pPr>
      <w:rPr>
        <w:rFonts w:hint="default" w:ascii="宋体" w:hAnsi="宋体" w:eastAsia="宋体" w:cs="宋体"/>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71D0F045"/>
    <w:multiLevelType w:val="singleLevel"/>
    <w:tmpl w:val="71D0F045"/>
    <w:lvl w:ilvl="0" w:tentative="0">
      <w:start w:val="1"/>
      <w:numFmt w:val="decimal"/>
      <w:pStyle w:val="54"/>
      <w:lvlText w:val="附图%1."/>
      <w:lvlJc w:val="left"/>
      <w:pPr>
        <w:tabs>
          <w:tab w:val="left" w:pos="0"/>
        </w:tabs>
        <w:ind w:left="0" w:leftChars="0" w:firstLine="0" w:firstLineChars="0"/>
      </w:pPr>
      <w:rPr>
        <w:rFonts w:hint="default"/>
        <w:sz w:val="24"/>
      </w:rPr>
    </w:lvl>
  </w:abstractNum>
  <w:num w:numId="1">
    <w:abstractNumId w:val="2"/>
  </w:num>
  <w:num w:numId="2">
    <w:abstractNumId w:val="1"/>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NTk5MmMwY2U2YTg2MWMyNDlhMTQwNDJkYTQwYmUifQ=="/>
  </w:docVars>
  <w:rsids>
    <w:rsidRoot w:val="63603041"/>
    <w:rsid w:val="00002111"/>
    <w:rsid w:val="000035A3"/>
    <w:rsid w:val="00004028"/>
    <w:rsid w:val="00007F00"/>
    <w:rsid w:val="0001205F"/>
    <w:rsid w:val="00013122"/>
    <w:rsid w:val="00013BDB"/>
    <w:rsid w:val="00015E93"/>
    <w:rsid w:val="0001671B"/>
    <w:rsid w:val="0001687A"/>
    <w:rsid w:val="00017DAF"/>
    <w:rsid w:val="00020778"/>
    <w:rsid w:val="0002164B"/>
    <w:rsid w:val="00022356"/>
    <w:rsid w:val="00024D11"/>
    <w:rsid w:val="000251BA"/>
    <w:rsid w:val="000252A9"/>
    <w:rsid w:val="000276E7"/>
    <w:rsid w:val="00031221"/>
    <w:rsid w:val="00033935"/>
    <w:rsid w:val="00034443"/>
    <w:rsid w:val="00036FD8"/>
    <w:rsid w:val="00037C45"/>
    <w:rsid w:val="00041942"/>
    <w:rsid w:val="00043144"/>
    <w:rsid w:val="0004404C"/>
    <w:rsid w:val="0004472D"/>
    <w:rsid w:val="00044A1B"/>
    <w:rsid w:val="00047FE0"/>
    <w:rsid w:val="00051C2A"/>
    <w:rsid w:val="00052B81"/>
    <w:rsid w:val="000566B5"/>
    <w:rsid w:val="00057CDB"/>
    <w:rsid w:val="000646D1"/>
    <w:rsid w:val="00065823"/>
    <w:rsid w:val="00066544"/>
    <w:rsid w:val="0006791F"/>
    <w:rsid w:val="000702E9"/>
    <w:rsid w:val="000708E4"/>
    <w:rsid w:val="00073160"/>
    <w:rsid w:val="00075726"/>
    <w:rsid w:val="00077FB7"/>
    <w:rsid w:val="000832C7"/>
    <w:rsid w:val="00086D67"/>
    <w:rsid w:val="00086F92"/>
    <w:rsid w:val="00087035"/>
    <w:rsid w:val="000870FA"/>
    <w:rsid w:val="00087668"/>
    <w:rsid w:val="0009211C"/>
    <w:rsid w:val="00094BB9"/>
    <w:rsid w:val="000A2C55"/>
    <w:rsid w:val="000A2E07"/>
    <w:rsid w:val="000A64E3"/>
    <w:rsid w:val="000A716C"/>
    <w:rsid w:val="000B2E6C"/>
    <w:rsid w:val="000B3281"/>
    <w:rsid w:val="000B3AA9"/>
    <w:rsid w:val="000B799E"/>
    <w:rsid w:val="000C0A31"/>
    <w:rsid w:val="000C380E"/>
    <w:rsid w:val="000D0E74"/>
    <w:rsid w:val="000D29E0"/>
    <w:rsid w:val="000D2D8E"/>
    <w:rsid w:val="000D6B30"/>
    <w:rsid w:val="000D6F87"/>
    <w:rsid w:val="000D766F"/>
    <w:rsid w:val="000E3771"/>
    <w:rsid w:val="000E68BD"/>
    <w:rsid w:val="000F14D3"/>
    <w:rsid w:val="000F189B"/>
    <w:rsid w:val="000F35FD"/>
    <w:rsid w:val="000F4E55"/>
    <w:rsid w:val="000F50F3"/>
    <w:rsid w:val="000F534B"/>
    <w:rsid w:val="000F5505"/>
    <w:rsid w:val="0010099A"/>
    <w:rsid w:val="00105010"/>
    <w:rsid w:val="00105030"/>
    <w:rsid w:val="00105861"/>
    <w:rsid w:val="0011028C"/>
    <w:rsid w:val="00113F50"/>
    <w:rsid w:val="0011641C"/>
    <w:rsid w:val="0011760F"/>
    <w:rsid w:val="00121159"/>
    <w:rsid w:val="00122E62"/>
    <w:rsid w:val="00124232"/>
    <w:rsid w:val="00124925"/>
    <w:rsid w:val="00125361"/>
    <w:rsid w:val="00125EF1"/>
    <w:rsid w:val="00131AE2"/>
    <w:rsid w:val="0013338B"/>
    <w:rsid w:val="00135589"/>
    <w:rsid w:val="001372D7"/>
    <w:rsid w:val="001410B7"/>
    <w:rsid w:val="00142842"/>
    <w:rsid w:val="00144C02"/>
    <w:rsid w:val="00145310"/>
    <w:rsid w:val="001472B2"/>
    <w:rsid w:val="001510F9"/>
    <w:rsid w:val="00151123"/>
    <w:rsid w:val="00151961"/>
    <w:rsid w:val="001522EB"/>
    <w:rsid w:val="00152D3D"/>
    <w:rsid w:val="00153AE4"/>
    <w:rsid w:val="00156055"/>
    <w:rsid w:val="00156FC3"/>
    <w:rsid w:val="00157C71"/>
    <w:rsid w:val="00162A15"/>
    <w:rsid w:val="00165513"/>
    <w:rsid w:val="00166A6D"/>
    <w:rsid w:val="0016714B"/>
    <w:rsid w:val="001707F6"/>
    <w:rsid w:val="00173D62"/>
    <w:rsid w:val="0017698D"/>
    <w:rsid w:val="001827DF"/>
    <w:rsid w:val="0018418A"/>
    <w:rsid w:val="0018553C"/>
    <w:rsid w:val="00187F53"/>
    <w:rsid w:val="001905FF"/>
    <w:rsid w:val="0019128D"/>
    <w:rsid w:val="00191BDE"/>
    <w:rsid w:val="001932DE"/>
    <w:rsid w:val="0019578B"/>
    <w:rsid w:val="00195945"/>
    <w:rsid w:val="001A08DC"/>
    <w:rsid w:val="001A20CB"/>
    <w:rsid w:val="001A4FAC"/>
    <w:rsid w:val="001A5D32"/>
    <w:rsid w:val="001B3F30"/>
    <w:rsid w:val="001B5074"/>
    <w:rsid w:val="001B703E"/>
    <w:rsid w:val="001B724E"/>
    <w:rsid w:val="001C1214"/>
    <w:rsid w:val="001C35B0"/>
    <w:rsid w:val="001C58F7"/>
    <w:rsid w:val="001C6C1B"/>
    <w:rsid w:val="001C79E9"/>
    <w:rsid w:val="001D4D7A"/>
    <w:rsid w:val="001D4D84"/>
    <w:rsid w:val="001D55B8"/>
    <w:rsid w:val="001D7692"/>
    <w:rsid w:val="001E0814"/>
    <w:rsid w:val="001E123C"/>
    <w:rsid w:val="001E2AB4"/>
    <w:rsid w:val="001E4162"/>
    <w:rsid w:val="001E472B"/>
    <w:rsid w:val="001E47F3"/>
    <w:rsid w:val="001E6625"/>
    <w:rsid w:val="001E6C15"/>
    <w:rsid w:val="001F0226"/>
    <w:rsid w:val="001F53E3"/>
    <w:rsid w:val="00200934"/>
    <w:rsid w:val="0020194B"/>
    <w:rsid w:val="00202E66"/>
    <w:rsid w:val="0020498B"/>
    <w:rsid w:val="002052DD"/>
    <w:rsid w:val="00207673"/>
    <w:rsid w:val="00211427"/>
    <w:rsid w:val="00213BC0"/>
    <w:rsid w:val="00215278"/>
    <w:rsid w:val="002206DC"/>
    <w:rsid w:val="00223137"/>
    <w:rsid w:val="00227B86"/>
    <w:rsid w:val="0023041B"/>
    <w:rsid w:val="00231DEE"/>
    <w:rsid w:val="00232E9A"/>
    <w:rsid w:val="002341C4"/>
    <w:rsid w:val="002405DC"/>
    <w:rsid w:val="00240D97"/>
    <w:rsid w:val="00242186"/>
    <w:rsid w:val="00250171"/>
    <w:rsid w:val="00252EA1"/>
    <w:rsid w:val="0025560C"/>
    <w:rsid w:val="0025588B"/>
    <w:rsid w:val="00261CAA"/>
    <w:rsid w:val="0026401D"/>
    <w:rsid w:val="00267449"/>
    <w:rsid w:val="00267A39"/>
    <w:rsid w:val="00270BFE"/>
    <w:rsid w:val="00272096"/>
    <w:rsid w:val="0027476E"/>
    <w:rsid w:val="00277B64"/>
    <w:rsid w:val="00281DD6"/>
    <w:rsid w:val="00282A4B"/>
    <w:rsid w:val="00282B07"/>
    <w:rsid w:val="002842F7"/>
    <w:rsid w:val="00286873"/>
    <w:rsid w:val="00292A0C"/>
    <w:rsid w:val="00292DE5"/>
    <w:rsid w:val="002A2C3E"/>
    <w:rsid w:val="002A2D25"/>
    <w:rsid w:val="002A48B0"/>
    <w:rsid w:val="002B04AC"/>
    <w:rsid w:val="002B0913"/>
    <w:rsid w:val="002B09EB"/>
    <w:rsid w:val="002B0C05"/>
    <w:rsid w:val="002B3A89"/>
    <w:rsid w:val="002B7E0B"/>
    <w:rsid w:val="002C0CCF"/>
    <w:rsid w:val="002C0DEB"/>
    <w:rsid w:val="002D1252"/>
    <w:rsid w:val="002E3AA6"/>
    <w:rsid w:val="002E6226"/>
    <w:rsid w:val="002F2F21"/>
    <w:rsid w:val="002F4E8E"/>
    <w:rsid w:val="0030169B"/>
    <w:rsid w:val="0030434D"/>
    <w:rsid w:val="00305714"/>
    <w:rsid w:val="00311727"/>
    <w:rsid w:val="00314F4D"/>
    <w:rsid w:val="003158D5"/>
    <w:rsid w:val="0031685D"/>
    <w:rsid w:val="00317461"/>
    <w:rsid w:val="003325E6"/>
    <w:rsid w:val="00337749"/>
    <w:rsid w:val="00337E4F"/>
    <w:rsid w:val="003412A4"/>
    <w:rsid w:val="0034396E"/>
    <w:rsid w:val="0034734C"/>
    <w:rsid w:val="0035116E"/>
    <w:rsid w:val="0035132E"/>
    <w:rsid w:val="00351A97"/>
    <w:rsid w:val="00353451"/>
    <w:rsid w:val="00364C97"/>
    <w:rsid w:val="00365EEA"/>
    <w:rsid w:val="0036786B"/>
    <w:rsid w:val="00376163"/>
    <w:rsid w:val="00380030"/>
    <w:rsid w:val="003810B8"/>
    <w:rsid w:val="00383249"/>
    <w:rsid w:val="00385287"/>
    <w:rsid w:val="003860C7"/>
    <w:rsid w:val="0039592F"/>
    <w:rsid w:val="00396033"/>
    <w:rsid w:val="00397B35"/>
    <w:rsid w:val="003A017D"/>
    <w:rsid w:val="003A29F2"/>
    <w:rsid w:val="003A472A"/>
    <w:rsid w:val="003A6CAD"/>
    <w:rsid w:val="003A733A"/>
    <w:rsid w:val="003B1757"/>
    <w:rsid w:val="003B4F66"/>
    <w:rsid w:val="003B612C"/>
    <w:rsid w:val="003B7FF5"/>
    <w:rsid w:val="003C0258"/>
    <w:rsid w:val="003C7A3D"/>
    <w:rsid w:val="003C7B53"/>
    <w:rsid w:val="003D0E60"/>
    <w:rsid w:val="003D2BBC"/>
    <w:rsid w:val="003D424F"/>
    <w:rsid w:val="003D6179"/>
    <w:rsid w:val="003E2845"/>
    <w:rsid w:val="003E5576"/>
    <w:rsid w:val="003E5C56"/>
    <w:rsid w:val="003E7B9A"/>
    <w:rsid w:val="003F1834"/>
    <w:rsid w:val="003F264D"/>
    <w:rsid w:val="003F2946"/>
    <w:rsid w:val="003F37AB"/>
    <w:rsid w:val="00404CF8"/>
    <w:rsid w:val="004061AF"/>
    <w:rsid w:val="00407416"/>
    <w:rsid w:val="00407BCA"/>
    <w:rsid w:val="0041279C"/>
    <w:rsid w:val="0041658F"/>
    <w:rsid w:val="00416953"/>
    <w:rsid w:val="0042188F"/>
    <w:rsid w:val="004229FC"/>
    <w:rsid w:val="004235DB"/>
    <w:rsid w:val="004248B9"/>
    <w:rsid w:val="0042569B"/>
    <w:rsid w:val="00425B3A"/>
    <w:rsid w:val="00426D12"/>
    <w:rsid w:val="004325F0"/>
    <w:rsid w:val="00433441"/>
    <w:rsid w:val="00434DBF"/>
    <w:rsid w:val="0043610C"/>
    <w:rsid w:val="00437BE5"/>
    <w:rsid w:val="00440A43"/>
    <w:rsid w:val="004436C3"/>
    <w:rsid w:val="00445C13"/>
    <w:rsid w:val="00445D14"/>
    <w:rsid w:val="00450583"/>
    <w:rsid w:val="004609EE"/>
    <w:rsid w:val="00466EBD"/>
    <w:rsid w:val="004704FA"/>
    <w:rsid w:val="00470809"/>
    <w:rsid w:val="004717EF"/>
    <w:rsid w:val="00472AFF"/>
    <w:rsid w:val="00472FE0"/>
    <w:rsid w:val="00473085"/>
    <w:rsid w:val="004734CE"/>
    <w:rsid w:val="00473F93"/>
    <w:rsid w:val="00477B24"/>
    <w:rsid w:val="00477C43"/>
    <w:rsid w:val="00477EEF"/>
    <w:rsid w:val="00481546"/>
    <w:rsid w:val="00483BB5"/>
    <w:rsid w:val="004840E3"/>
    <w:rsid w:val="00484C5C"/>
    <w:rsid w:val="00484FAD"/>
    <w:rsid w:val="00485802"/>
    <w:rsid w:val="00485F5D"/>
    <w:rsid w:val="0048733E"/>
    <w:rsid w:val="004876E6"/>
    <w:rsid w:val="00490859"/>
    <w:rsid w:val="00492043"/>
    <w:rsid w:val="00494643"/>
    <w:rsid w:val="00494D3D"/>
    <w:rsid w:val="004A1ECF"/>
    <w:rsid w:val="004A535F"/>
    <w:rsid w:val="004A7977"/>
    <w:rsid w:val="004B39C3"/>
    <w:rsid w:val="004B4A04"/>
    <w:rsid w:val="004B5418"/>
    <w:rsid w:val="004B5613"/>
    <w:rsid w:val="004B5F08"/>
    <w:rsid w:val="004C4F4B"/>
    <w:rsid w:val="004D28C7"/>
    <w:rsid w:val="004D6361"/>
    <w:rsid w:val="004D72F3"/>
    <w:rsid w:val="004D79C4"/>
    <w:rsid w:val="004E4013"/>
    <w:rsid w:val="004E4C8D"/>
    <w:rsid w:val="004E594B"/>
    <w:rsid w:val="004F7BFD"/>
    <w:rsid w:val="0050493E"/>
    <w:rsid w:val="00504A56"/>
    <w:rsid w:val="00506344"/>
    <w:rsid w:val="00513877"/>
    <w:rsid w:val="00520A19"/>
    <w:rsid w:val="00531496"/>
    <w:rsid w:val="00534209"/>
    <w:rsid w:val="0053460E"/>
    <w:rsid w:val="00537FB4"/>
    <w:rsid w:val="0054229E"/>
    <w:rsid w:val="00542603"/>
    <w:rsid w:val="00545A0F"/>
    <w:rsid w:val="00545C10"/>
    <w:rsid w:val="005506A0"/>
    <w:rsid w:val="005513F4"/>
    <w:rsid w:val="0055347F"/>
    <w:rsid w:val="00555C38"/>
    <w:rsid w:val="00555E8D"/>
    <w:rsid w:val="0055697E"/>
    <w:rsid w:val="00563AD7"/>
    <w:rsid w:val="005648B1"/>
    <w:rsid w:val="00565401"/>
    <w:rsid w:val="00565A99"/>
    <w:rsid w:val="00570D25"/>
    <w:rsid w:val="00572397"/>
    <w:rsid w:val="00572A8E"/>
    <w:rsid w:val="00573929"/>
    <w:rsid w:val="00574A4D"/>
    <w:rsid w:val="005761EC"/>
    <w:rsid w:val="00577BDC"/>
    <w:rsid w:val="00587298"/>
    <w:rsid w:val="00587C5B"/>
    <w:rsid w:val="005921AA"/>
    <w:rsid w:val="005922D5"/>
    <w:rsid w:val="00593B4C"/>
    <w:rsid w:val="005949D4"/>
    <w:rsid w:val="005A1985"/>
    <w:rsid w:val="005A2515"/>
    <w:rsid w:val="005A2989"/>
    <w:rsid w:val="005A37EE"/>
    <w:rsid w:val="005A4DEE"/>
    <w:rsid w:val="005A704D"/>
    <w:rsid w:val="005A72F0"/>
    <w:rsid w:val="005B0449"/>
    <w:rsid w:val="005B73B0"/>
    <w:rsid w:val="005C091D"/>
    <w:rsid w:val="005C0C11"/>
    <w:rsid w:val="005C112C"/>
    <w:rsid w:val="005C1669"/>
    <w:rsid w:val="005C4798"/>
    <w:rsid w:val="005D2854"/>
    <w:rsid w:val="005D74CD"/>
    <w:rsid w:val="005E0205"/>
    <w:rsid w:val="005E2BC6"/>
    <w:rsid w:val="005F037B"/>
    <w:rsid w:val="005F1765"/>
    <w:rsid w:val="005F35ED"/>
    <w:rsid w:val="005F5674"/>
    <w:rsid w:val="005F6A6F"/>
    <w:rsid w:val="006021FC"/>
    <w:rsid w:val="006033F4"/>
    <w:rsid w:val="00605324"/>
    <w:rsid w:val="0060641C"/>
    <w:rsid w:val="00607A81"/>
    <w:rsid w:val="00612474"/>
    <w:rsid w:val="00612616"/>
    <w:rsid w:val="00613D44"/>
    <w:rsid w:val="0061670C"/>
    <w:rsid w:val="006216BB"/>
    <w:rsid w:val="006225CC"/>
    <w:rsid w:val="0062509A"/>
    <w:rsid w:val="00627F9D"/>
    <w:rsid w:val="00630C62"/>
    <w:rsid w:val="00631721"/>
    <w:rsid w:val="00631EF3"/>
    <w:rsid w:val="006353E2"/>
    <w:rsid w:val="00636B7D"/>
    <w:rsid w:val="00643FC9"/>
    <w:rsid w:val="0064577B"/>
    <w:rsid w:val="00646C00"/>
    <w:rsid w:val="006509CE"/>
    <w:rsid w:val="00653594"/>
    <w:rsid w:val="00663D1C"/>
    <w:rsid w:val="00671A00"/>
    <w:rsid w:val="00673314"/>
    <w:rsid w:val="00675B6F"/>
    <w:rsid w:val="00677AEB"/>
    <w:rsid w:val="0068232F"/>
    <w:rsid w:val="00682870"/>
    <w:rsid w:val="00686ED2"/>
    <w:rsid w:val="00687968"/>
    <w:rsid w:val="00693BD3"/>
    <w:rsid w:val="00694D68"/>
    <w:rsid w:val="00695E1C"/>
    <w:rsid w:val="00696890"/>
    <w:rsid w:val="006972E6"/>
    <w:rsid w:val="006A0A0E"/>
    <w:rsid w:val="006A15A7"/>
    <w:rsid w:val="006A1F6B"/>
    <w:rsid w:val="006A3CDE"/>
    <w:rsid w:val="006A6BE4"/>
    <w:rsid w:val="006A78E3"/>
    <w:rsid w:val="006B1F0E"/>
    <w:rsid w:val="006B3785"/>
    <w:rsid w:val="006C026F"/>
    <w:rsid w:val="006C11B4"/>
    <w:rsid w:val="006C2440"/>
    <w:rsid w:val="006C259F"/>
    <w:rsid w:val="006D01FE"/>
    <w:rsid w:val="006D0304"/>
    <w:rsid w:val="006D12BF"/>
    <w:rsid w:val="006D3E5E"/>
    <w:rsid w:val="006D4D35"/>
    <w:rsid w:val="006D5E61"/>
    <w:rsid w:val="006E06DB"/>
    <w:rsid w:val="006E0B16"/>
    <w:rsid w:val="006E341F"/>
    <w:rsid w:val="006E3888"/>
    <w:rsid w:val="006F287B"/>
    <w:rsid w:val="006F454A"/>
    <w:rsid w:val="006F4EB5"/>
    <w:rsid w:val="006F5D21"/>
    <w:rsid w:val="006F766F"/>
    <w:rsid w:val="00702E26"/>
    <w:rsid w:val="00703A1E"/>
    <w:rsid w:val="00704B07"/>
    <w:rsid w:val="00717E6A"/>
    <w:rsid w:val="00720365"/>
    <w:rsid w:val="00722669"/>
    <w:rsid w:val="00724F14"/>
    <w:rsid w:val="0072507A"/>
    <w:rsid w:val="00725E0E"/>
    <w:rsid w:val="007263BF"/>
    <w:rsid w:val="00733CBC"/>
    <w:rsid w:val="00735645"/>
    <w:rsid w:val="00735F7F"/>
    <w:rsid w:val="0073700C"/>
    <w:rsid w:val="00741270"/>
    <w:rsid w:val="00741496"/>
    <w:rsid w:val="00742182"/>
    <w:rsid w:val="007446D7"/>
    <w:rsid w:val="00746D91"/>
    <w:rsid w:val="00747225"/>
    <w:rsid w:val="007532AF"/>
    <w:rsid w:val="00753C2B"/>
    <w:rsid w:val="0075523F"/>
    <w:rsid w:val="00760072"/>
    <w:rsid w:val="007615EA"/>
    <w:rsid w:val="00761896"/>
    <w:rsid w:val="00763AA8"/>
    <w:rsid w:val="00763E82"/>
    <w:rsid w:val="007667E9"/>
    <w:rsid w:val="00770391"/>
    <w:rsid w:val="00771A54"/>
    <w:rsid w:val="00773B9C"/>
    <w:rsid w:val="00777ABC"/>
    <w:rsid w:val="007800AA"/>
    <w:rsid w:val="007818DC"/>
    <w:rsid w:val="00783EC9"/>
    <w:rsid w:val="007905B1"/>
    <w:rsid w:val="00790AA4"/>
    <w:rsid w:val="007919BB"/>
    <w:rsid w:val="00792DBA"/>
    <w:rsid w:val="00797FD8"/>
    <w:rsid w:val="007A0785"/>
    <w:rsid w:val="007A0D09"/>
    <w:rsid w:val="007A22D0"/>
    <w:rsid w:val="007B1AEF"/>
    <w:rsid w:val="007B22C5"/>
    <w:rsid w:val="007B53F0"/>
    <w:rsid w:val="007B5D00"/>
    <w:rsid w:val="007B7D9F"/>
    <w:rsid w:val="007C026D"/>
    <w:rsid w:val="007C4380"/>
    <w:rsid w:val="007C77BC"/>
    <w:rsid w:val="007D1E32"/>
    <w:rsid w:val="007D41F8"/>
    <w:rsid w:val="007D4BCD"/>
    <w:rsid w:val="007E18B5"/>
    <w:rsid w:val="007E2327"/>
    <w:rsid w:val="007E27EE"/>
    <w:rsid w:val="007E7608"/>
    <w:rsid w:val="007E7A7F"/>
    <w:rsid w:val="007F0CC4"/>
    <w:rsid w:val="007F2919"/>
    <w:rsid w:val="007F386C"/>
    <w:rsid w:val="007F46A9"/>
    <w:rsid w:val="007F6A70"/>
    <w:rsid w:val="00802FF7"/>
    <w:rsid w:val="008054A6"/>
    <w:rsid w:val="0080682F"/>
    <w:rsid w:val="00807215"/>
    <w:rsid w:val="00810CAB"/>
    <w:rsid w:val="00810DCC"/>
    <w:rsid w:val="00812BD7"/>
    <w:rsid w:val="00812E67"/>
    <w:rsid w:val="00816155"/>
    <w:rsid w:val="00816226"/>
    <w:rsid w:val="008200AC"/>
    <w:rsid w:val="008207D2"/>
    <w:rsid w:val="00821A92"/>
    <w:rsid w:val="00822D6C"/>
    <w:rsid w:val="00824262"/>
    <w:rsid w:val="008246CE"/>
    <w:rsid w:val="008248CC"/>
    <w:rsid w:val="00825A55"/>
    <w:rsid w:val="008302B6"/>
    <w:rsid w:val="00832693"/>
    <w:rsid w:val="00833896"/>
    <w:rsid w:val="00834823"/>
    <w:rsid w:val="00843B09"/>
    <w:rsid w:val="0084483E"/>
    <w:rsid w:val="00845478"/>
    <w:rsid w:val="00845580"/>
    <w:rsid w:val="00847DE1"/>
    <w:rsid w:val="00850DB5"/>
    <w:rsid w:val="008534F2"/>
    <w:rsid w:val="00853903"/>
    <w:rsid w:val="00856B0A"/>
    <w:rsid w:val="008570C5"/>
    <w:rsid w:val="0086041F"/>
    <w:rsid w:val="00860E9C"/>
    <w:rsid w:val="00863C12"/>
    <w:rsid w:val="00863C14"/>
    <w:rsid w:val="0086538A"/>
    <w:rsid w:val="008653A1"/>
    <w:rsid w:val="0086679B"/>
    <w:rsid w:val="00866A05"/>
    <w:rsid w:val="00867421"/>
    <w:rsid w:val="00870CB3"/>
    <w:rsid w:val="00875F44"/>
    <w:rsid w:val="00885FE7"/>
    <w:rsid w:val="008863AA"/>
    <w:rsid w:val="008871A2"/>
    <w:rsid w:val="00892CFF"/>
    <w:rsid w:val="008A2949"/>
    <w:rsid w:val="008A2D5E"/>
    <w:rsid w:val="008A3502"/>
    <w:rsid w:val="008A43FB"/>
    <w:rsid w:val="008B42DC"/>
    <w:rsid w:val="008B57DB"/>
    <w:rsid w:val="008B67FC"/>
    <w:rsid w:val="008C1BE9"/>
    <w:rsid w:val="008C268D"/>
    <w:rsid w:val="008C2938"/>
    <w:rsid w:val="008C6899"/>
    <w:rsid w:val="008C6C3E"/>
    <w:rsid w:val="008C73FC"/>
    <w:rsid w:val="008D1947"/>
    <w:rsid w:val="008D1B92"/>
    <w:rsid w:val="008D2445"/>
    <w:rsid w:val="008D2E70"/>
    <w:rsid w:val="008D6624"/>
    <w:rsid w:val="008E02CC"/>
    <w:rsid w:val="008E0740"/>
    <w:rsid w:val="008E2DF0"/>
    <w:rsid w:val="008E3300"/>
    <w:rsid w:val="008E3AA6"/>
    <w:rsid w:val="008E4B62"/>
    <w:rsid w:val="008E745E"/>
    <w:rsid w:val="008F09C6"/>
    <w:rsid w:val="008F2571"/>
    <w:rsid w:val="00901F06"/>
    <w:rsid w:val="0090317C"/>
    <w:rsid w:val="009078E4"/>
    <w:rsid w:val="00915005"/>
    <w:rsid w:val="00916722"/>
    <w:rsid w:val="00926158"/>
    <w:rsid w:val="0092634C"/>
    <w:rsid w:val="009277AB"/>
    <w:rsid w:val="00932E66"/>
    <w:rsid w:val="009351F0"/>
    <w:rsid w:val="0093705B"/>
    <w:rsid w:val="009370B8"/>
    <w:rsid w:val="009409C8"/>
    <w:rsid w:val="009425AF"/>
    <w:rsid w:val="00944839"/>
    <w:rsid w:val="00950716"/>
    <w:rsid w:val="00950ABF"/>
    <w:rsid w:val="0095623A"/>
    <w:rsid w:val="009604D4"/>
    <w:rsid w:val="0096247B"/>
    <w:rsid w:val="00963CD8"/>
    <w:rsid w:val="00965AD7"/>
    <w:rsid w:val="00966582"/>
    <w:rsid w:val="00966C3D"/>
    <w:rsid w:val="00972451"/>
    <w:rsid w:val="00972C29"/>
    <w:rsid w:val="00973A93"/>
    <w:rsid w:val="00982190"/>
    <w:rsid w:val="00984F44"/>
    <w:rsid w:val="00986980"/>
    <w:rsid w:val="00987356"/>
    <w:rsid w:val="009873D6"/>
    <w:rsid w:val="00987AB2"/>
    <w:rsid w:val="00990822"/>
    <w:rsid w:val="00991673"/>
    <w:rsid w:val="0099530F"/>
    <w:rsid w:val="00997A4E"/>
    <w:rsid w:val="00997A77"/>
    <w:rsid w:val="009A3E15"/>
    <w:rsid w:val="009A6BEA"/>
    <w:rsid w:val="009B168A"/>
    <w:rsid w:val="009B35A2"/>
    <w:rsid w:val="009B36AC"/>
    <w:rsid w:val="009B3EC2"/>
    <w:rsid w:val="009B56E3"/>
    <w:rsid w:val="009C0B34"/>
    <w:rsid w:val="009C2035"/>
    <w:rsid w:val="009C4648"/>
    <w:rsid w:val="009D2887"/>
    <w:rsid w:val="009D44C7"/>
    <w:rsid w:val="009D4530"/>
    <w:rsid w:val="009D4581"/>
    <w:rsid w:val="009D78FE"/>
    <w:rsid w:val="009D7940"/>
    <w:rsid w:val="009E0685"/>
    <w:rsid w:val="009E1BFB"/>
    <w:rsid w:val="009E549B"/>
    <w:rsid w:val="009E707D"/>
    <w:rsid w:val="009E7B00"/>
    <w:rsid w:val="009F08E2"/>
    <w:rsid w:val="009F48C2"/>
    <w:rsid w:val="00A016DF"/>
    <w:rsid w:val="00A104DD"/>
    <w:rsid w:val="00A1174B"/>
    <w:rsid w:val="00A14193"/>
    <w:rsid w:val="00A15261"/>
    <w:rsid w:val="00A16BED"/>
    <w:rsid w:val="00A20B02"/>
    <w:rsid w:val="00A2143F"/>
    <w:rsid w:val="00A218ED"/>
    <w:rsid w:val="00A232F7"/>
    <w:rsid w:val="00A23322"/>
    <w:rsid w:val="00A23B65"/>
    <w:rsid w:val="00A25A9C"/>
    <w:rsid w:val="00A26E83"/>
    <w:rsid w:val="00A3451C"/>
    <w:rsid w:val="00A37903"/>
    <w:rsid w:val="00A37AA7"/>
    <w:rsid w:val="00A449B8"/>
    <w:rsid w:val="00A46BD3"/>
    <w:rsid w:val="00A47B0E"/>
    <w:rsid w:val="00A50133"/>
    <w:rsid w:val="00A627A7"/>
    <w:rsid w:val="00A62C8B"/>
    <w:rsid w:val="00A633FC"/>
    <w:rsid w:val="00A6343B"/>
    <w:rsid w:val="00A63EFE"/>
    <w:rsid w:val="00A70DE2"/>
    <w:rsid w:val="00A718B5"/>
    <w:rsid w:val="00A729AF"/>
    <w:rsid w:val="00A739D1"/>
    <w:rsid w:val="00A744AF"/>
    <w:rsid w:val="00A74A8B"/>
    <w:rsid w:val="00A75199"/>
    <w:rsid w:val="00A77DF3"/>
    <w:rsid w:val="00A80E21"/>
    <w:rsid w:val="00A83660"/>
    <w:rsid w:val="00A870A9"/>
    <w:rsid w:val="00A87345"/>
    <w:rsid w:val="00A907DF"/>
    <w:rsid w:val="00A963AA"/>
    <w:rsid w:val="00AA146C"/>
    <w:rsid w:val="00AA2E22"/>
    <w:rsid w:val="00AA301F"/>
    <w:rsid w:val="00AA32B6"/>
    <w:rsid w:val="00AA3E9C"/>
    <w:rsid w:val="00AA4FB5"/>
    <w:rsid w:val="00AB65FF"/>
    <w:rsid w:val="00AB780E"/>
    <w:rsid w:val="00AB7813"/>
    <w:rsid w:val="00AC0968"/>
    <w:rsid w:val="00AC0B95"/>
    <w:rsid w:val="00AC1201"/>
    <w:rsid w:val="00AC24B5"/>
    <w:rsid w:val="00AC583D"/>
    <w:rsid w:val="00AD7532"/>
    <w:rsid w:val="00AE0495"/>
    <w:rsid w:val="00AE13B1"/>
    <w:rsid w:val="00AE1460"/>
    <w:rsid w:val="00AE175E"/>
    <w:rsid w:val="00AE260F"/>
    <w:rsid w:val="00AE3739"/>
    <w:rsid w:val="00AE3839"/>
    <w:rsid w:val="00AE3C7B"/>
    <w:rsid w:val="00AE3EE5"/>
    <w:rsid w:val="00AE4165"/>
    <w:rsid w:val="00AE42F4"/>
    <w:rsid w:val="00AE7FBA"/>
    <w:rsid w:val="00AF689A"/>
    <w:rsid w:val="00AF7E8F"/>
    <w:rsid w:val="00B0015A"/>
    <w:rsid w:val="00B01FC1"/>
    <w:rsid w:val="00B06F72"/>
    <w:rsid w:val="00B103E8"/>
    <w:rsid w:val="00B10EEC"/>
    <w:rsid w:val="00B11EF5"/>
    <w:rsid w:val="00B12A54"/>
    <w:rsid w:val="00B1450E"/>
    <w:rsid w:val="00B154E7"/>
    <w:rsid w:val="00B158A1"/>
    <w:rsid w:val="00B16244"/>
    <w:rsid w:val="00B16FC4"/>
    <w:rsid w:val="00B2005C"/>
    <w:rsid w:val="00B21408"/>
    <w:rsid w:val="00B23A07"/>
    <w:rsid w:val="00B24EDF"/>
    <w:rsid w:val="00B253F8"/>
    <w:rsid w:val="00B27704"/>
    <w:rsid w:val="00B27AD8"/>
    <w:rsid w:val="00B300DD"/>
    <w:rsid w:val="00B315F8"/>
    <w:rsid w:val="00B31B68"/>
    <w:rsid w:val="00B320AE"/>
    <w:rsid w:val="00B34811"/>
    <w:rsid w:val="00B34DE7"/>
    <w:rsid w:val="00B360A7"/>
    <w:rsid w:val="00B371C2"/>
    <w:rsid w:val="00B376DB"/>
    <w:rsid w:val="00B446BE"/>
    <w:rsid w:val="00B44717"/>
    <w:rsid w:val="00B45AF7"/>
    <w:rsid w:val="00B46616"/>
    <w:rsid w:val="00B50291"/>
    <w:rsid w:val="00B52195"/>
    <w:rsid w:val="00B526DB"/>
    <w:rsid w:val="00B53FB1"/>
    <w:rsid w:val="00B54F6D"/>
    <w:rsid w:val="00B5745C"/>
    <w:rsid w:val="00B57847"/>
    <w:rsid w:val="00B6014A"/>
    <w:rsid w:val="00B60B2A"/>
    <w:rsid w:val="00B62F96"/>
    <w:rsid w:val="00B6436E"/>
    <w:rsid w:val="00B66319"/>
    <w:rsid w:val="00B67F5C"/>
    <w:rsid w:val="00B748E2"/>
    <w:rsid w:val="00B74BD3"/>
    <w:rsid w:val="00B74C4F"/>
    <w:rsid w:val="00B750B4"/>
    <w:rsid w:val="00B7529B"/>
    <w:rsid w:val="00B76409"/>
    <w:rsid w:val="00B77641"/>
    <w:rsid w:val="00B8269D"/>
    <w:rsid w:val="00B83FF5"/>
    <w:rsid w:val="00B858A9"/>
    <w:rsid w:val="00B85B32"/>
    <w:rsid w:val="00B92360"/>
    <w:rsid w:val="00B92632"/>
    <w:rsid w:val="00B93D80"/>
    <w:rsid w:val="00B9534C"/>
    <w:rsid w:val="00B96C4D"/>
    <w:rsid w:val="00BA590A"/>
    <w:rsid w:val="00BB24BC"/>
    <w:rsid w:val="00BB6375"/>
    <w:rsid w:val="00BC4623"/>
    <w:rsid w:val="00BC4AC2"/>
    <w:rsid w:val="00BC5180"/>
    <w:rsid w:val="00BD01B4"/>
    <w:rsid w:val="00BD20EE"/>
    <w:rsid w:val="00BD6B29"/>
    <w:rsid w:val="00BD75F8"/>
    <w:rsid w:val="00BE4D5F"/>
    <w:rsid w:val="00BE4F45"/>
    <w:rsid w:val="00BE7E3B"/>
    <w:rsid w:val="00BF1276"/>
    <w:rsid w:val="00BF269D"/>
    <w:rsid w:val="00BF3BE3"/>
    <w:rsid w:val="00BF3C09"/>
    <w:rsid w:val="00BF5F6E"/>
    <w:rsid w:val="00BF6B90"/>
    <w:rsid w:val="00BF7F98"/>
    <w:rsid w:val="00C0669C"/>
    <w:rsid w:val="00C07854"/>
    <w:rsid w:val="00C11035"/>
    <w:rsid w:val="00C14A9D"/>
    <w:rsid w:val="00C15716"/>
    <w:rsid w:val="00C16A22"/>
    <w:rsid w:val="00C16A81"/>
    <w:rsid w:val="00C16D06"/>
    <w:rsid w:val="00C178F4"/>
    <w:rsid w:val="00C17FA3"/>
    <w:rsid w:val="00C2208F"/>
    <w:rsid w:val="00C23F03"/>
    <w:rsid w:val="00C25050"/>
    <w:rsid w:val="00C27653"/>
    <w:rsid w:val="00C32E63"/>
    <w:rsid w:val="00C366C5"/>
    <w:rsid w:val="00C36BAB"/>
    <w:rsid w:val="00C3725A"/>
    <w:rsid w:val="00C40B25"/>
    <w:rsid w:val="00C432E3"/>
    <w:rsid w:val="00C444B4"/>
    <w:rsid w:val="00C4629C"/>
    <w:rsid w:val="00C51278"/>
    <w:rsid w:val="00C51D7C"/>
    <w:rsid w:val="00C51F1E"/>
    <w:rsid w:val="00C5303F"/>
    <w:rsid w:val="00C53474"/>
    <w:rsid w:val="00C557D3"/>
    <w:rsid w:val="00C6408C"/>
    <w:rsid w:val="00C64A26"/>
    <w:rsid w:val="00C64D0A"/>
    <w:rsid w:val="00C64D68"/>
    <w:rsid w:val="00C66475"/>
    <w:rsid w:val="00C752BA"/>
    <w:rsid w:val="00C820BD"/>
    <w:rsid w:val="00C8235C"/>
    <w:rsid w:val="00C82C60"/>
    <w:rsid w:val="00C87511"/>
    <w:rsid w:val="00C909DD"/>
    <w:rsid w:val="00C925D4"/>
    <w:rsid w:val="00C928F4"/>
    <w:rsid w:val="00C94583"/>
    <w:rsid w:val="00CB0D8A"/>
    <w:rsid w:val="00CB3036"/>
    <w:rsid w:val="00CB44DD"/>
    <w:rsid w:val="00CB6AB2"/>
    <w:rsid w:val="00CC013E"/>
    <w:rsid w:val="00CC0324"/>
    <w:rsid w:val="00CC2966"/>
    <w:rsid w:val="00CC7099"/>
    <w:rsid w:val="00CD29E4"/>
    <w:rsid w:val="00CD39DB"/>
    <w:rsid w:val="00CD4CB3"/>
    <w:rsid w:val="00CD5344"/>
    <w:rsid w:val="00CE002B"/>
    <w:rsid w:val="00CE0A23"/>
    <w:rsid w:val="00CE0D3D"/>
    <w:rsid w:val="00CE1487"/>
    <w:rsid w:val="00CE14A6"/>
    <w:rsid w:val="00CE183D"/>
    <w:rsid w:val="00CE373C"/>
    <w:rsid w:val="00CE3FAF"/>
    <w:rsid w:val="00CE4486"/>
    <w:rsid w:val="00CE59FB"/>
    <w:rsid w:val="00CE5ADA"/>
    <w:rsid w:val="00CF5C1A"/>
    <w:rsid w:val="00CF627D"/>
    <w:rsid w:val="00D00A40"/>
    <w:rsid w:val="00D06C55"/>
    <w:rsid w:val="00D0783E"/>
    <w:rsid w:val="00D107A4"/>
    <w:rsid w:val="00D11219"/>
    <w:rsid w:val="00D11FA0"/>
    <w:rsid w:val="00D16C3C"/>
    <w:rsid w:val="00D201E0"/>
    <w:rsid w:val="00D27458"/>
    <w:rsid w:val="00D30D89"/>
    <w:rsid w:val="00D30EC8"/>
    <w:rsid w:val="00D352A7"/>
    <w:rsid w:val="00D36362"/>
    <w:rsid w:val="00D4216C"/>
    <w:rsid w:val="00D4361E"/>
    <w:rsid w:val="00D439A9"/>
    <w:rsid w:val="00D459BE"/>
    <w:rsid w:val="00D46434"/>
    <w:rsid w:val="00D46BBB"/>
    <w:rsid w:val="00D47CE9"/>
    <w:rsid w:val="00D52048"/>
    <w:rsid w:val="00D55E07"/>
    <w:rsid w:val="00D617FA"/>
    <w:rsid w:val="00D63327"/>
    <w:rsid w:val="00D652D9"/>
    <w:rsid w:val="00D72437"/>
    <w:rsid w:val="00D7335A"/>
    <w:rsid w:val="00D76872"/>
    <w:rsid w:val="00D80D54"/>
    <w:rsid w:val="00D81598"/>
    <w:rsid w:val="00D83F18"/>
    <w:rsid w:val="00D86003"/>
    <w:rsid w:val="00D8787C"/>
    <w:rsid w:val="00D904D6"/>
    <w:rsid w:val="00D93CE4"/>
    <w:rsid w:val="00D93D2D"/>
    <w:rsid w:val="00D97E66"/>
    <w:rsid w:val="00DA07FC"/>
    <w:rsid w:val="00DA2524"/>
    <w:rsid w:val="00DA2B11"/>
    <w:rsid w:val="00DA45E4"/>
    <w:rsid w:val="00DA6A1F"/>
    <w:rsid w:val="00DB3058"/>
    <w:rsid w:val="00DB3D40"/>
    <w:rsid w:val="00DB69CC"/>
    <w:rsid w:val="00DB728F"/>
    <w:rsid w:val="00DC34DF"/>
    <w:rsid w:val="00DC552E"/>
    <w:rsid w:val="00DC616E"/>
    <w:rsid w:val="00DC7C2C"/>
    <w:rsid w:val="00DC7DF3"/>
    <w:rsid w:val="00DD0206"/>
    <w:rsid w:val="00DD2D75"/>
    <w:rsid w:val="00DD4C5C"/>
    <w:rsid w:val="00DD4C87"/>
    <w:rsid w:val="00DD4F41"/>
    <w:rsid w:val="00DE173E"/>
    <w:rsid w:val="00DE3FFA"/>
    <w:rsid w:val="00DE4B7C"/>
    <w:rsid w:val="00DE5972"/>
    <w:rsid w:val="00DE5E26"/>
    <w:rsid w:val="00DE6EA0"/>
    <w:rsid w:val="00DE770C"/>
    <w:rsid w:val="00DF02A6"/>
    <w:rsid w:val="00DF02AA"/>
    <w:rsid w:val="00DF163B"/>
    <w:rsid w:val="00DF229C"/>
    <w:rsid w:val="00DF5293"/>
    <w:rsid w:val="00DF7272"/>
    <w:rsid w:val="00DF7611"/>
    <w:rsid w:val="00DF772F"/>
    <w:rsid w:val="00E0297B"/>
    <w:rsid w:val="00E02C2D"/>
    <w:rsid w:val="00E0575C"/>
    <w:rsid w:val="00E114A4"/>
    <w:rsid w:val="00E17ADD"/>
    <w:rsid w:val="00E20B0F"/>
    <w:rsid w:val="00E21E1A"/>
    <w:rsid w:val="00E21FB7"/>
    <w:rsid w:val="00E2315B"/>
    <w:rsid w:val="00E24401"/>
    <w:rsid w:val="00E27D55"/>
    <w:rsid w:val="00E3101A"/>
    <w:rsid w:val="00E343CA"/>
    <w:rsid w:val="00E351C9"/>
    <w:rsid w:val="00E3622C"/>
    <w:rsid w:val="00E36FE5"/>
    <w:rsid w:val="00E378A4"/>
    <w:rsid w:val="00E446FA"/>
    <w:rsid w:val="00E44809"/>
    <w:rsid w:val="00E44A3E"/>
    <w:rsid w:val="00E4600A"/>
    <w:rsid w:val="00E461B9"/>
    <w:rsid w:val="00E47314"/>
    <w:rsid w:val="00E477D7"/>
    <w:rsid w:val="00E50F34"/>
    <w:rsid w:val="00E513E2"/>
    <w:rsid w:val="00E51490"/>
    <w:rsid w:val="00E56376"/>
    <w:rsid w:val="00E574B0"/>
    <w:rsid w:val="00E621EB"/>
    <w:rsid w:val="00E6263D"/>
    <w:rsid w:val="00E632E8"/>
    <w:rsid w:val="00E639F4"/>
    <w:rsid w:val="00E6445A"/>
    <w:rsid w:val="00E737F1"/>
    <w:rsid w:val="00E775A9"/>
    <w:rsid w:val="00E80E9B"/>
    <w:rsid w:val="00E81834"/>
    <w:rsid w:val="00E90396"/>
    <w:rsid w:val="00E91CE9"/>
    <w:rsid w:val="00E93263"/>
    <w:rsid w:val="00E94599"/>
    <w:rsid w:val="00E94DE0"/>
    <w:rsid w:val="00EA2441"/>
    <w:rsid w:val="00EA2EDA"/>
    <w:rsid w:val="00EB32D0"/>
    <w:rsid w:val="00EB46DC"/>
    <w:rsid w:val="00EC12AD"/>
    <w:rsid w:val="00EC2DC9"/>
    <w:rsid w:val="00EC2DD7"/>
    <w:rsid w:val="00EC5775"/>
    <w:rsid w:val="00EC7E20"/>
    <w:rsid w:val="00ED0F6D"/>
    <w:rsid w:val="00ED171E"/>
    <w:rsid w:val="00ED2329"/>
    <w:rsid w:val="00ED4227"/>
    <w:rsid w:val="00ED54D1"/>
    <w:rsid w:val="00ED6378"/>
    <w:rsid w:val="00EE14C7"/>
    <w:rsid w:val="00EE2077"/>
    <w:rsid w:val="00EE279E"/>
    <w:rsid w:val="00EE2D55"/>
    <w:rsid w:val="00EE63A3"/>
    <w:rsid w:val="00EE65C6"/>
    <w:rsid w:val="00EE6ECB"/>
    <w:rsid w:val="00EF04AB"/>
    <w:rsid w:val="00EF30B6"/>
    <w:rsid w:val="00EF4592"/>
    <w:rsid w:val="00F03375"/>
    <w:rsid w:val="00F06F9B"/>
    <w:rsid w:val="00F1227D"/>
    <w:rsid w:val="00F12667"/>
    <w:rsid w:val="00F14F07"/>
    <w:rsid w:val="00F15BCB"/>
    <w:rsid w:val="00F15EB3"/>
    <w:rsid w:val="00F2113E"/>
    <w:rsid w:val="00F225CB"/>
    <w:rsid w:val="00F2468E"/>
    <w:rsid w:val="00F25CB0"/>
    <w:rsid w:val="00F25DFD"/>
    <w:rsid w:val="00F26762"/>
    <w:rsid w:val="00F3161C"/>
    <w:rsid w:val="00F31F70"/>
    <w:rsid w:val="00F329FF"/>
    <w:rsid w:val="00F3357D"/>
    <w:rsid w:val="00F33B16"/>
    <w:rsid w:val="00F35FB9"/>
    <w:rsid w:val="00F36BF4"/>
    <w:rsid w:val="00F44EC1"/>
    <w:rsid w:val="00F46F28"/>
    <w:rsid w:val="00F47D54"/>
    <w:rsid w:val="00F53324"/>
    <w:rsid w:val="00F631A6"/>
    <w:rsid w:val="00F634C4"/>
    <w:rsid w:val="00F64813"/>
    <w:rsid w:val="00F655B6"/>
    <w:rsid w:val="00F6767F"/>
    <w:rsid w:val="00F7040F"/>
    <w:rsid w:val="00F708F8"/>
    <w:rsid w:val="00F73091"/>
    <w:rsid w:val="00F80343"/>
    <w:rsid w:val="00F8178A"/>
    <w:rsid w:val="00F82114"/>
    <w:rsid w:val="00F82CA4"/>
    <w:rsid w:val="00F843B4"/>
    <w:rsid w:val="00F85D7F"/>
    <w:rsid w:val="00F8742D"/>
    <w:rsid w:val="00F91F14"/>
    <w:rsid w:val="00F9403B"/>
    <w:rsid w:val="00FA15E5"/>
    <w:rsid w:val="00FA4AA8"/>
    <w:rsid w:val="00FA54FE"/>
    <w:rsid w:val="00FA6EFE"/>
    <w:rsid w:val="00FA7692"/>
    <w:rsid w:val="00FB16A7"/>
    <w:rsid w:val="00FB2F0A"/>
    <w:rsid w:val="00FB31FA"/>
    <w:rsid w:val="00FB5003"/>
    <w:rsid w:val="00FC0629"/>
    <w:rsid w:val="00FC1EE1"/>
    <w:rsid w:val="00FC5245"/>
    <w:rsid w:val="00FD04EB"/>
    <w:rsid w:val="00FD0DC4"/>
    <w:rsid w:val="00FD0F2F"/>
    <w:rsid w:val="00FD169D"/>
    <w:rsid w:val="00FD3780"/>
    <w:rsid w:val="00FD3B59"/>
    <w:rsid w:val="00FD3EE4"/>
    <w:rsid w:val="00FD4F79"/>
    <w:rsid w:val="00FD6109"/>
    <w:rsid w:val="00FD7CE4"/>
    <w:rsid w:val="00FD7F8F"/>
    <w:rsid w:val="00FE207A"/>
    <w:rsid w:val="00FE2F7B"/>
    <w:rsid w:val="00FE3EEA"/>
    <w:rsid w:val="00FE542F"/>
    <w:rsid w:val="00FE5DE6"/>
    <w:rsid w:val="00FF064D"/>
    <w:rsid w:val="00FF2204"/>
    <w:rsid w:val="00FF36FA"/>
    <w:rsid w:val="00FF722C"/>
    <w:rsid w:val="01027E5C"/>
    <w:rsid w:val="010C2B69"/>
    <w:rsid w:val="011216B6"/>
    <w:rsid w:val="011E1AE4"/>
    <w:rsid w:val="01437C9C"/>
    <w:rsid w:val="0147153B"/>
    <w:rsid w:val="0147403C"/>
    <w:rsid w:val="01606FDB"/>
    <w:rsid w:val="01792184"/>
    <w:rsid w:val="01874535"/>
    <w:rsid w:val="018E5CC5"/>
    <w:rsid w:val="019E5991"/>
    <w:rsid w:val="01A019AA"/>
    <w:rsid w:val="01A96046"/>
    <w:rsid w:val="01B029F8"/>
    <w:rsid w:val="01B67601"/>
    <w:rsid w:val="01CB2E8B"/>
    <w:rsid w:val="01D95F0B"/>
    <w:rsid w:val="01DE1773"/>
    <w:rsid w:val="01E52B01"/>
    <w:rsid w:val="01FD609D"/>
    <w:rsid w:val="02380249"/>
    <w:rsid w:val="025005C5"/>
    <w:rsid w:val="02510197"/>
    <w:rsid w:val="02663EAD"/>
    <w:rsid w:val="02667B4D"/>
    <w:rsid w:val="026954E1"/>
    <w:rsid w:val="02746BAB"/>
    <w:rsid w:val="02803E12"/>
    <w:rsid w:val="028043E0"/>
    <w:rsid w:val="029E0CDB"/>
    <w:rsid w:val="02A824AD"/>
    <w:rsid w:val="02B96468"/>
    <w:rsid w:val="02BB280A"/>
    <w:rsid w:val="02BC6EF0"/>
    <w:rsid w:val="02BF3353"/>
    <w:rsid w:val="02CE17E8"/>
    <w:rsid w:val="02CE3403"/>
    <w:rsid w:val="02E72159"/>
    <w:rsid w:val="02F8709B"/>
    <w:rsid w:val="030D2310"/>
    <w:rsid w:val="032F4898"/>
    <w:rsid w:val="03374F36"/>
    <w:rsid w:val="0337738D"/>
    <w:rsid w:val="033C2BF5"/>
    <w:rsid w:val="033C49A3"/>
    <w:rsid w:val="03411FB9"/>
    <w:rsid w:val="034A3564"/>
    <w:rsid w:val="03502CFD"/>
    <w:rsid w:val="03633F1C"/>
    <w:rsid w:val="03685A61"/>
    <w:rsid w:val="036B2A26"/>
    <w:rsid w:val="03930613"/>
    <w:rsid w:val="039447DF"/>
    <w:rsid w:val="03A16114"/>
    <w:rsid w:val="03C06894"/>
    <w:rsid w:val="03D2580E"/>
    <w:rsid w:val="03FC51CB"/>
    <w:rsid w:val="041D7567"/>
    <w:rsid w:val="04425FE9"/>
    <w:rsid w:val="044C50BA"/>
    <w:rsid w:val="04506958"/>
    <w:rsid w:val="046D4F42"/>
    <w:rsid w:val="048033EF"/>
    <w:rsid w:val="048760F2"/>
    <w:rsid w:val="048D43A6"/>
    <w:rsid w:val="048F3C18"/>
    <w:rsid w:val="049D5915"/>
    <w:rsid w:val="04AA7AB6"/>
    <w:rsid w:val="04CA2EB8"/>
    <w:rsid w:val="04CB41E8"/>
    <w:rsid w:val="04D962EF"/>
    <w:rsid w:val="04DC643E"/>
    <w:rsid w:val="05045994"/>
    <w:rsid w:val="05137986"/>
    <w:rsid w:val="05485881"/>
    <w:rsid w:val="055479C4"/>
    <w:rsid w:val="05573452"/>
    <w:rsid w:val="055E4967"/>
    <w:rsid w:val="0563090D"/>
    <w:rsid w:val="056A1C9B"/>
    <w:rsid w:val="05790857"/>
    <w:rsid w:val="059324A9"/>
    <w:rsid w:val="05A54A82"/>
    <w:rsid w:val="05AF76AE"/>
    <w:rsid w:val="05C55124"/>
    <w:rsid w:val="05D13AC9"/>
    <w:rsid w:val="05E0020A"/>
    <w:rsid w:val="06010068"/>
    <w:rsid w:val="060D0C49"/>
    <w:rsid w:val="06181458"/>
    <w:rsid w:val="0639341C"/>
    <w:rsid w:val="064006F3"/>
    <w:rsid w:val="06482F2B"/>
    <w:rsid w:val="064E12C8"/>
    <w:rsid w:val="065364FE"/>
    <w:rsid w:val="065A13C7"/>
    <w:rsid w:val="06654211"/>
    <w:rsid w:val="067032E2"/>
    <w:rsid w:val="06755314"/>
    <w:rsid w:val="0678353E"/>
    <w:rsid w:val="06835F3A"/>
    <w:rsid w:val="06905732"/>
    <w:rsid w:val="06965E6A"/>
    <w:rsid w:val="069F3BC7"/>
    <w:rsid w:val="06C97BAD"/>
    <w:rsid w:val="06DD024B"/>
    <w:rsid w:val="06E374FE"/>
    <w:rsid w:val="06F35CC1"/>
    <w:rsid w:val="06F877D2"/>
    <w:rsid w:val="070E509C"/>
    <w:rsid w:val="07322345"/>
    <w:rsid w:val="07372051"/>
    <w:rsid w:val="073C7C63"/>
    <w:rsid w:val="075220F4"/>
    <w:rsid w:val="07524795"/>
    <w:rsid w:val="075A189C"/>
    <w:rsid w:val="07762B7A"/>
    <w:rsid w:val="077C4159"/>
    <w:rsid w:val="078828AD"/>
    <w:rsid w:val="078A1921"/>
    <w:rsid w:val="078D0CA5"/>
    <w:rsid w:val="079B4B3D"/>
    <w:rsid w:val="079E2DA6"/>
    <w:rsid w:val="07B471FE"/>
    <w:rsid w:val="07CB1364"/>
    <w:rsid w:val="07CC279A"/>
    <w:rsid w:val="07E07FF3"/>
    <w:rsid w:val="07F36E06"/>
    <w:rsid w:val="08033CE1"/>
    <w:rsid w:val="081657AF"/>
    <w:rsid w:val="08227A35"/>
    <w:rsid w:val="082544EA"/>
    <w:rsid w:val="082A5712"/>
    <w:rsid w:val="08A77042"/>
    <w:rsid w:val="08DD09D6"/>
    <w:rsid w:val="08F822C4"/>
    <w:rsid w:val="090D12BC"/>
    <w:rsid w:val="090E6DE2"/>
    <w:rsid w:val="091C14FF"/>
    <w:rsid w:val="091D4E83"/>
    <w:rsid w:val="09381603"/>
    <w:rsid w:val="09385C0D"/>
    <w:rsid w:val="0950795F"/>
    <w:rsid w:val="096114AF"/>
    <w:rsid w:val="096376DD"/>
    <w:rsid w:val="096D2029"/>
    <w:rsid w:val="097766A4"/>
    <w:rsid w:val="097E7AC3"/>
    <w:rsid w:val="09CD0A4B"/>
    <w:rsid w:val="09D75426"/>
    <w:rsid w:val="09E013D8"/>
    <w:rsid w:val="09F36E1A"/>
    <w:rsid w:val="0A042978"/>
    <w:rsid w:val="0A424F95"/>
    <w:rsid w:val="0A6E5D8A"/>
    <w:rsid w:val="0A7113D6"/>
    <w:rsid w:val="0A7F7F97"/>
    <w:rsid w:val="0AA4449E"/>
    <w:rsid w:val="0AA5353C"/>
    <w:rsid w:val="0AD35BED"/>
    <w:rsid w:val="0AD9196E"/>
    <w:rsid w:val="0AE31100"/>
    <w:rsid w:val="0AE72965"/>
    <w:rsid w:val="0AF7207F"/>
    <w:rsid w:val="0AFC27B3"/>
    <w:rsid w:val="0B00275A"/>
    <w:rsid w:val="0B0E781A"/>
    <w:rsid w:val="0B106D25"/>
    <w:rsid w:val="0B186B99"/>
    <w:rsid w:val="0B195D7B"/>
    <w:rsid w:val="0B2E71DA"/>
    <w:rsid w:val="0B315C74"/>
    <w:rsid w:val="0B324A5B"/>
    <w:rsid w:val="0B497F1C"/>
    <w:rsid w:val="0B4B1C27"/>
    <w:rsid w:val="0B5F4097"/>
    <w:rsid w:val="0B732F2C"/>
    <w:rsid w:val="0B8B64C8"/>
    <w:rsid w:val="0B9E269F"/>
    <w:rsid w:val="0BC20266"/>
    <w:rsid w:val="0BD6482C"/>
    <w:rsid w:val="0BE301C1"/>
    <w:rsid w:val="0BED22F8"/>
    <w:rsid w:val="0BED7182"/>
    <w:rsid w:val="0BF71DAF"/>
    <w:rsid w:val="0BF7590B"/>
    <w:rsid w:val="0C0B7609"/>
    <w:rsid w:val="0C1969E9"/>
    <w:rsid w:val="0C2C2DB9"/>
    <w:rsid w:val="0C3C5C5D"/>
    <w:rsid w:val="0C476233"/>
    <w:rsid w:val="0C8A49D1"/>
    <w:rsid w:val="0CA5429E"/>
    <w:rsid w:val="0CA77331"/>
    <w:rsid w:val="0CB67574"/>
    <w:rsid w:val="0CC60D00"/>
    <w:rsid w:val="0CE642FD"/>
    <w:rsid w:val="0CFB767D"/>
    <w:rsid w:val="0D044784"/>
    <w:rsid w:val="0D15610F"/>
    <w:rsid w:val="0D224C0A"/>
    <w:rsid w:val="0D232A61"/>
    <w:rsid w:val="0D245C18"/>
    <w:rsid w:val="0D471E0C"/>
    <w:rsid w:val="0D782393"/>
    <w:rsid w:val="0D814E9C"/>
    <w:rsid w:val="0D821B4C"/>
    <w:rsid w:val="0D86163D"/>
    <w:rsid w:val="0DF77E44"/>
    <w:rsid w:val="0E0F33E0"/>
    <w:rsid w:val="0E481D12"/>
    <w:rsid w:val="0E525ADF"/>
    <w:rsid w:val="0E5434E9"/>
    <w:rsid w:val="0E562298"/>
    <w:rsid w:val="0E5627B9"/>
    <w:rsid w:val="0E63372C"/>
    <w:rsid w:val="0E721BC1"/>
    <w:rsid w:val="0E813BB2"/>
    <w:rsid w:val="0E8F7C34"/>
    <w:rsid w:val="0EA7554F"/>
    <w:rsid w:val="0ED24AE4"/>
    <w:rsid w:val="0EDB59B8"/>
    <w:rsid w:val="0EE24651"/>
    <w:rsid w:val="0EE4486D"/>
    <w:rsid w:val="0EF16F8A"/>
    <w:rsid w:val="0EF3685E"/>
    <w:rsid w:val="0EF461A4"/>
    <w:rsid w:val="0F1669F0"/>
    <w:rsid w:val="0F1E7653"/>
    <w:rsid w:val="0F4E1CE6"/>
    <w:rsid w:val="0F5117D6"/>
    <w:rsid w:val="0F640675"/>
    <w:rsid w:val="0F763385"/>
    <w:rsid w:val="0F7656DC"/>
    <w:rsid w:val="0F864220"/>
    <w:rsid w:val="0F955E06"/>
    <w:rsid w:val="0F9D0EBF"/>
    <w:rsid w:val="0FB32491"/>
    <w:rsid w:val="0FB57FB7"/>
    <w:rsid w:val="0FDD28C7"/>
    <w:rsid w:val="0FE31D1E"/>
    <w:rsid w:val="0FFB7896"/>
    <w:rsid w:val="10184E62"/>
    <w:rsid w:val="101F2AD6"/>
    <w:rsid w:val="10205149"/>
    <w:rsid w:val="102E6E40"/>
    <w:rsid w:val="1034589B"/>
    <w:rsid w:val="106B68C8"/>
    <w:rsid w:val="106D3063"/>
    <w:rsid w:val="108A4FA0"/>
    <w:rsid w:val="1092654A"/>
    <w:rsid w:val="10F82212"/>
    <w:rsid w:val="110F4134"/>
    <w:rsid w:val="110F6D60"/>
    <w:rsid w:val="1119164B"/>
    <w:rsid w:val="11230F0A"/>
    <w:rsid w:val="11334471"/>
    <w:rsid w:val="11406D4B"/>
    <w:rsid w:val="115E01DA"/>
    <w:rsid w:val="11627514"/>
    <w:rsid w:val="1182036D"/>
    <w:rsid w:val="11C10E95"/>
    <w:rsid w:val="11CC3396"/>
    <w:rsid w:val="120945EA"/>
    <w:rsid w:val="12105979"/>
    <w:rsid w:val="12185725"/>
    <w:rsid w:val="121A05A5"/>
    <w:rsid w:val="121B6CEE"/>
    <w:rsid w:val="121D08C8"/>
    <w:rsid w:val="12274A70"/>
    <w:rsid w:val="122D652B"/>
    <w:rsid w:val="124244CE"/>
    <w:rsid w:val="124E4E5A"/>
    <w:rsid w:val="12582E7C"/>
    <w:rsid w:val="12612E3B"/>
    <w:rsid w:val="126B0E01"/>
    <w:rsid w:val="127B4EDD"/>
    <w:rsid w:val="127C6BC4"/>
    <w:rsid w:val="1291575A"/>
    <w:rsid w:val="129A3494"/>
    <w:rsid w:val="129E7D2D"/>
    <w:rsid w:val="12C23D3B"/>
    <w:rsid w:val="12D31871"/>
    <w:rsid w:val="12EF7E22"/>
    <w:rsid w:val="12F2346E"/>
    <w:rsid w:val="130B7721"/>
    <w:rsid w:val="13135B99"/>
    <w:rsid w:val="132536A6"/>
    <w:rsid w:val="132966A1"/>
    <w:rsid w:val="133D279D"/>
    <w:rsid w:val="134C0C32"/>
    <w:rsid w:val="135A6B89"/>
    <w:rsid w:val="1374267F"/>
    <w:rsid w:val="137A01A1"/>
    <w:rsid w:val="13815793"/>
    <w:rsid w:val="138E75D3"/>
    <w:rsid w:val="13A75426"/>
    <w:rsid w:val="13F30F85"/>
    <w:rsid w:val="13F526CC"/>
    <w:rsid w:val="143666D2"/>
    <w:rsid w:val="143771ED"/>
    <w:rsid w:val="146F2E2A"/>
    <w:rsid w:val="14717E92"/>
    <w:rsid w:val="14742A65"/>
    <w:rsid w:val="148937C0"/>
    <w:rsid w:val="14A60BBB"/>
    <w:rsid w:val="14A648F6"/>
    <w:rsid w:val="14A82170"/>
    <w:rsid w:val="14AC071E"/>
    <w:rsid w:val="14C36CD2"/>
    <w:rsid w:val="14C376F9"/>
    <w:rsid w:val="14D346C6"/>
    <w:rsid w:val="1508266F"/>
    <w:rsid w:val="151412DC"/>
    <w:rsid w:val="15153B78"/>
    <w:rsid w:val="151614F8"/>
    <w:rsid w:val="151632A6"/>
    <w:rsid w:val="151E215B"/>
    <w:rsid w:val="15211C4B"/>
    <w:rsid w:val="15271294"/>
    <w:rsid w:val="154D1CD8"/>
    <w:rsid w:val="15664D87"/>
    <w:rsid w:val="15A33119"/>
    <w:rsid w:val="15A72150"/>
    <w:rsid w:val="15A801E6"/>
    <w:rsid w:val="15BF56EC"/>
    <w:rsid w:val="15FC6940"/>
    <w:rsid w:val="1615355E"/>
    <w:rsid w:val="16273291"/>
    <w:rsid w:val="163015C4"/>
    <w:rsid w:val="163065E9"/>
    <w:rsid w:val="16AE37F3"/>
    <w:rsid w:val="16B32D77"/>
    <w:rsid w:val="16B54D41"/>
    <w:rsid w:val="16C66DAA"/>
    <w:rsid w:val="16CE4F2C"/>
    <w:rsid w:val="16DC407B"/>
    <w:rsid w:val="16E3540A"/>
    <w:rsid w:val="16E82DF1"/>
    <w:rsid w:val="16FF0087"/>
    <w:rsid w:val="16FF749C"/>
    <w:rsid w:val="17242B35"/>
    <w:rsid w:val="17267936"/>
    <w:rsid w:val="172C1BA1"/>
    <w:rsid w:val="172F794D"/>
    <w:rsid w:val="173159F1"/>
    <w:rsid w:val="17424826"/>
    <w:rsid w:val="175C51BC"/>
    <w:rsid w:val="175E3EB2"/>
    <w:rsid w:val="17800EAB"/>
    <w:rsid w:val="17871CFD"/>
    <w:rsid w:val="178A3129"/>
    <w:rsid w:val="179A37C7"/>
    <w:rsid w:val="17BD3EAD"/>
    <w:rsid w:val="17DD62FD"/>
    <w:rsid w:val="17DF23C2"/>
    <w:rsid w:val="17F0312F"/>
    <w:rsid w:val="17F65611"/>
    <w:rsid w:val="182F467F"/>
    <w:rsid w:val="186C142F"/>
    <w:rsid w:val="18756535"/>
    <w:rsid w:val="188501DE"/>
    <w:rsid w:val="188D7D23"/>
    <w:rsid w:val="18982224"/>
    <w:rsid w:val="189B3AC2"/>
    <w:rsid w:val="18B83CF9"/>
    <w:rsid w:val="18C63235"/>
    <w:rsid w:val="18E54692"/>
    <w:rsid w:val="193E726F"/>
    <w:rsid w:val="19526877"/>
    <w:rsid w:val="19593CDE"/>
    <w:rsid w:val="195C14A3"/>
    <w:rsid w:val="19805192"/>
    <w:rsid w:val="198527A8"/>
    <w:rsid w:val="19936669"/>
    <w:rsid w:val="19993273"/>
    <w:rsid w:val="19B644F0"/>
    <w:rsid w:val="19B808EA"/>
    <w:rsid w:val="19CA0B03"/>
    <w:rsid w:val="19E219A9"/>
    <w:rsid w:val="19EF2318"/>
    <w:rsid w:val="1A0822E3"/>
    <w:rsid w:val="1A3537A8"/>
    <w:rsid w:val="1A3F329F"/>
    <w:rsid w:val="1A424B3D"/>
    <w:rsid w:val="1A5358A1"/>
    <w:rsid w:val="1A7828FB"/>
    <w:rsid w:val="1A7E3710"/>
    <w:rsid w:val="1A7F48BE"/>
    <w:rsid w:val="1A7F5449"/>
    <w:rsid w:val="1A83746A"/>
    <w:rsid w:val="1A8B43DC"/>
    <w:rsid w:val="1A991D03"/>
    <w:rsid w:val="1AAC1FB7"/>
    <w:rsid w:val="1AAD6142"/>
    <w:rsid w:val="1AD56FF2"/>
    <w:rsid w:val="1AFE48C4"/>
    <w:rsid w:val="1B157B5C"/>
    <w:rsid w:val="1B4D4FFE"/>
    <w:rsid w:val="1B5857EC"/>
    <w:rsid w:val="1B617245"/>
    <w:rsid w:val="1B7C7BDB"/>
    <w:rsid w:val="1B7D5788"/>
    <w:rsid w:val="1B852F33"/>
    <w:rsid w:val="1B886580"/>
    <w:rsid w:val="1B9F4B59"/>
    <w:rsid w:val="1BAD4238"/>
    <w:rsid w:val="1BC7354C"/>
    <w:rsid w:val="1BE96189"/>
    <w:rsid w:val="1BFE2CE6"/>
    <w:rsid w:val="1C0A2EB8"/>
    <w:rsid w:val="1C0C71B1"/>
    <w:rsid w:val="1C2633D9"/>
    <w:rsid w:val="1C270975"/>
    <w:rsid w:val="1C34594F"/>
    <w:rsid w:val="1C6551CC"/>
    <w:rsid w:val="1C6B487E"/>
    <w:rsid w:val="1C6E22CA"/>
    <w:rsid w:val="1C7C24C7"/>
    <w:rsid w:val="1C880A5C"/>
    <w:rsid w:val="1C9176B6"/>
    <w:rsid w:val="1CA473E9"/>
    <w:rsid w:val="1CA83640"/>
    <w:rsid w:val="1CCE4466"/>
    <w:rsid w:val="1CEC7E01"/>
    <w:rsid w:val="1CFF32CC"/>
    <w:rsid w:val="1D183E39"/>
    <w:rsid w:val="1D4473FF"/>
    <w:rsid w:val="1D4709CD"/>
    <w:rsid w:val="1D4971FB"/>
    <w:rsid w:val="1D6F46DD"/>
    <w:rsid w:val="1D715A06"/>
    <w:rsid w:val="1D8C74F8"/>
    <w:rsid w:val="1DA82657"/>
    <w:rsid w:val="1DEB181E"/>
    <w:rsid w:val="1DF16B20"/>
    <w:rsid w:val="1DF33169"/>
    <w:rsid w:val="1E192F6A"/>
    <w:rsid w:val="1E2B7FD1"/>
    <w:rsid w:val="1E2E0954"/>
    <w:rsid w:val="1E3649B9"/>
    <w:rsid w:val="1E3D5BAC"/>
    <w:rsid w:val="1E546D62"/>
    <w:rsid w:val="1E7D7EF2"/>
    <w:rsid w:val="1E8C751D"/>
    <w:rsid w:val="1EC27FFB"/>
    <w:rsid w:val="1ECA5375"/>
    <w:rsid w:val="1ED11F7E"/>
    <w:rsid w:val="1EE24A39"/>
    <w:rsid w:val="1F046272"/>
    <w:rsid w:val="1F066139"/>
    <w:rsid w:val="1F086E69"/>
    <w:rsid w:val="1F0A567B"/>
    <w:rsid w:val="1F0B7BF4"/>
    <w:rsid w:val="1F110373"/>
    <w:rsid w:val="1F38206B"/>
    <w:rsid w:val="1F3C7DAD"/>
    <w:rsid w:val="1F5F2313"/>
    <w:rsid w:val="1F610FFA"/>
    <w:rsid w:val="1F6924FB"/>
    <w:rsid w:val="1F884DA0"/>
    <w:rsid w:val="1F8C6152"/>
    <w:rsid w:val="1F8D685B"/>
    <w:rsid w:val="1FA808F8"/>
    <w:rsid w:val="1FB9308A"/>
    <w:rsid w:val="1FBB40E7"/>
    <w:rsid w:val="1FC45AFF"/>
    <w:rsid w:val="1FC96D37"/>
    <w:rsid w:val="1FD16BF6"/>
    <w:rsid w:val="1FE87F35"/>
    <w:rsid w:val="200313C7"/>
    <w:rsid w:val="20140D2A"/>
    <w:rsid w:val="203B4489"/>
    <w:rsid w:val="203C18B7"/>
    <w:rsid w:val="204818BF"/>
    <w:rsid w:val="204B6589"/>
    <w:rsid w:val="204C400B"/>
    <w:rsid w:val="205834A5"/>
    <w:rsid w:val="20653161"/>
    <w:rsid w:val="20790B8D"/>
    <w:rsid w:val="20AF1FB5"/>
    <w:rsid w:val="20B90CD6"/>
    <w:rsid w:val="20BC09C9"/>
    <w:rsid w:val="20CA3197"/>
    <w:rsid w:val="20DD55C0"/>
    <w:rsid w:val="20F90682"/>
    <w:rsid w:val="21425423"/>
    <w:rsid w:val="214C13B9"/>
    <w:rsid w:val="21620938"/>
    <w:rsid w:val="2164183D"/>
    <w:rsid w:val="218E2416"/>
    <w:rsid w:val="219537A4"/>
    <w:rsid w:val="21CA2907"/>
    <w:rsid w:val="21CA7CFF"/>
    <w:rsid w:val="21E604A4"/>
    <w:rsid w:val="21EE7F72"/>
    <w:rsid w:val="21FB04CE"/>
    <w:rsid w:val="224F08FC"/>
    <w:rsid w:val="225B49A9"/>
    <w:rsid w:val="226715E5"/>
    <w:rsid w:val="22791318"/>
    <w:rsid w:val="22A4003B"/>
    <w:rsid w:val="22B74211"/>
    <w:rsid w:val="22C00CF5"/>
    <w:rsid w:val="22C24A6D"/>
    <w:rsid w:val="22E70030"/>
    <w:rsid w:val="22F23892"/>
    <w:rsid w:val="2311409D"/>
    <w:rsid w:val="23163ED6"/>
    <w:rsid w:val="231B12FE"/>
    <w:rsid w:val="232272BA"/>
    <w:rsid w:val="23246089"/>
    <w:rsid w:val="235002CB"/>
    <w:rsid w:val="2355768F"/>
    <w:rsid w:val="235F43AF"/>
    <w:rsid w:val="238B5659"/>
    <w:rsid w:val="239C0C8D"/>
    <w:rsid w:val="23A423C5"/>
    <w:rsid w:val="23AD16E8"/>
    <w:rsid w:val="23B73EA6"/>
    <w:rsid w:val="23C87E61"/>
    <w:rsid w:val="23D61C99"/>
    <w:rsid w:val="23DD3EED"/>
    <w:rsid w:val="23F5677C"/>
    <w:rsid w:val="23FC3FAF"/>
    <w:rsid w:val="2400212D"/>
    <w:rsid w:val="24442987"/>
    <w:rsid w:val="24630A91"/>
    <w:rsid w:val="246B4C91"/>
    <w:rsid w:val="248D4C07"/>
    <w:rsid w:val="248F3BA6"/>
    <w:rsid w:val="24927F9E"/>
    <w:rsid w:val="2493532F"/>
    <w:rsid w:val="24A563F4"/>
    <w:rsid w:val="24C41DFA"/>
    <w:rsid w:val="24DB3BC4"/>
    <w:rsid w:val="24EA02AB"/>
    <w:rsid w:val="24ED56A6"/>
    <w:rsid w:val="24F35209"/>
    <w:rsid w:val="24F86524"/>
    <w:rsid w:val="24F904EE"/>
    <w:rsid w:val="252D109A"/>
    <w:rsid w:val="254C2D14"/>
    <w:rsid w:val="255E0351"/>
    <w:rsid w:val="25733DFD"/>
    <w:rsid w:val="257B0F03"/>
    <w:rsid w:val="25B763DF"/>
    <w:rsid w:val="25BF5294"/>
    <w:rsid w:val="25CB4399"/>
    <w:rsid w:val="25D36F91"/>
    <w:rsid w:val="25D53C59"/>
    <w:rsid w:val="25E140B7"/>
    <w:rsid w:val="25EE7927"/>
    <w:rsid w:val="25F82554"/>
    <w:rsid w:val="26003694"/>
    <w:rsid w:val="26007A51"/>
    <w:rsid w:val="260144A5"/>
    <w:rsid w:val="260D5FFF"/>
    <w:rsid w:val="2613066B"/>
    <w:rsid w:val="2613129A"/>
    <w:rsid w:val="261455E0"/>
    <w:rsid w:val="261F6773"/>
    <w:rsid w:val="26263565"/>
    <w:rsid w:val="263C0693"/>
    <w:rsid w:val="26487037"/>
    <w:rsid w:val="26753BA5"/>
    <w:rsid w:val="267C13D7"/>
    <w:rsid w:val="26981B61"/>
    <w:rsid w:val="269A22AF"/>
    <w:rsid w:val="26B40111"/>
    <w:rsid w:val="26EA68A8"/>
    <w:rsid w:val="26F40F6D"/>
    <w:rsid w:val="271C31D9"/>
    <w:rsid w:val="27217CEC"/>
    <w:rsid w:val="27383550"/>
    <w:rsid w:val="273870AC"/>
    <w:rsid w:val="27392E24"/>
    <w:rsid w:val="273B6E85"/>
    <w:rsid w:val="277E4734"/>
    <w:rsid w:val="27894255"/>
    <w:rsid w:val="279F537D"/>
    <w:rsid w:val="27BC17BF"/>
    <w:rsid w:val="27C8499F"/>
    <w:rsid w:val="27CB43C4"/>
    <w:rsid w:val="27CC5A46"/>
    <w:rsid w:val="27DB40A7"/>
    <w:rsid w:val="27F32686"/>
    <w:rsid w:val="27FD02F5"/>
    <w:rsid w:val="28170E9E"/>
    <w:rsid w:val="281D62A2"/>
    <w:rsid w:val="283E5421"/>
    <w:rsid w:val="283F26BC"/>
    <w:rsid w:val="28453CC8"/>
    <w:rsid w:val="284D4DD9"/>
    <w:rsid w:val="2852419D"/>
    <w:rsid w:val="2856629C"/>
    <w:rsid w:val="2888016A"/>
    <w:rsid w:val="288D3427"/>
    <w:rsid w:val="28902F18"/>
    <w:rsid w:val="28930A95"/>
    <w:rsid w:val="28C037FD"/>
    <w:rsid w:val="28CA0A01"/>
    <w:rsid w:val="28D57E59"/>
    <w:rsid w:val="28DE347B"/>
    <w:rsid w:val="28F33BD2"/>
    <w:rsid w:val="29193E2B"/>
    <w:rsid w:val="2920429C"/>
    <w:rsid w:val="292F0982"/>
    <w:rsid w:val="29483CFC"/>
    <w:rsid w:val="29624758"/>
    <w:rsid w:val="297D349C"/>
    <w:rsid w:val="29820AB2"/>
    <w:rsid w:val="298D7483"/>
    <w:rsid w:val="299A0972"/>
    <w:rsid w:val="29AC35F6"/>
    <w:rsid w:val="29B844D4"/>
    <w:rsid w:val="29CE019B"/>
    <w:rsid w:val="2A2339C1"/>
    <w:rsid w:val="2A2A7ED1"/>
    <w:rsid w:val="2A467BD6"/>
    <w:rsid w:val="2A703001"/>
    <w:rsid w:val="2A7D127A"/>
    <w:rsid w:val="2A8D770F"/>
    <w:rsid w:val="2AA9129D"/>
    <w:rsid w:val="2AB078A1"/>
    <w:rsid w:val="2ACB46DB"/>
    <w:rsid w:val="2AD27817"/>
    <w:rsid w:val="2AE95028"/>
    <w:rsid w:val="2AF402FE"/>
    <w:rsid w:val="2AF61A56"/>
    <w:rsid w:val="2AF754D0"/>
    <w:rsid w:val="2B1E2A5D"/>
    <w:rsid w:val="2B2B6F28"/>
    <w:rsid w:val="2B361B54"/>
    <w:rsid w:val="2B377690"/>
    <w:rsid w:val="2B3B360F"/>
    <w:rsid w:val="2B54022C"/>
    <w:rsid w:val="2B5C7557"/>
    <w:rsid w:val="2B7D7783"/>
    <w:rsid w:val="2B836D64"/>
    <w:rsid w:val="2B8C3E6A"/>
    <w:rsid w:val="2B956A91"/>
    <w:rsid w:val="2B9E508B"/>
    <w:rsid w:val="2BA22524"/>
    <w:rsid w:val="2BAC027F"/>
    <w:rsid w:val="2BB331A5"/>
    <w:rsid w:val="2BBE7D9C"/>
    <w:rsid w:val="2BD6635D"/>
    <w:rsid w:val="2BEF44BB"/>
    <w:rsid w:val="2BEF49DC"/>
    <w:rsid w:val="2BF30E0C"/>
    <w:rsid w:val="2BFC0486"/>
    <w:rsid w:val="2C273B93"/>
    <w:rsid w:val="2C453170"/>
    <w:rsid w:val="2C495545"/>
    <w:rsid w:val="2C4A23DD"/>
    <w:rsid w:val="2C54533B"/>
    <w:rsid w:val="2C6B7F24"/>
    <w:rsid w:val="2C771D6E"/>
    <w:rsid w:val="2C843F1F"/>
    <w:rsid w:val="2CC633AC"/>
    <w:rsid w:val="2CC6515A"/>
    <w:rsid w:val="2CE555E6"/>
    <w:rsid w:val="2D077487"/>
    <w:rsid w:val="2D0E2451"/>
    <w:rsid w:val="2D187803"/>
    <w:rsid w:val="2D6A01DB"/>
    <w:rsid w:val="2D6F4515"/>
    <w:rsid w:val="2D782CA0"/>
    <w:rsid w:val="2D851856"/>
    <w:rsid w:val="2DA23685"/>
    <w:rsid w:val="2DC31699"/>
    <w:rsid w:val="2E0221C2"/>
    <w:rsid w:val="2E1C1D54"/>
    <w:rsid w:val="2E283EF2"/>
    <w:rsid w:val="2E4550AD"/>
    <w:rsid w:val="2E4F73D4"/>
    <w:rsid w:val="2E5A3DAC"/>
    <w:rsid w:val="2E7C6A4A"/>
    <w:rsid w:val="2E807AA7"/>
    <w:rsid w:val="2E847AE6"/>
    <w:rsid w:val="2E8960F0"/>
    <w:rsid w:val="2E903DFD"/>
    <w:rsid w:val="2E9A7ACB"/>
    <w:rsid w:val="2E9C0E80"/>
    <w:rsid w:val="2EA4771D"/>
    <w:rsid w:val="2EC519AD"/>
    <w:rsid w:val="2EC5717E"/>
    <w:rsid w:val="2ECD27D0"/>
    <w:rsid w:val="2ECF1047"/>
    <w:rsid w:val="2ED61573"/>
    <w:rsid w:val="2F0106CB"/>
    <w:rsid w:val="2F2131FE"/>
    <w:rsid w:val="2F51608C"/>
    <w:rsid w:val="2F590507"/>
    <w:rsid w:val="2F594063"/>
    <w:rsid w:val="2FA057DA"/>
    <w:rsid w:val="2FA83A6B"/>
    <w:rsid w:val="2FB27C17"/>
    <w:rsid w:val="2FB44AFF"/>
    <w:rsid w:val="2FF344B8"/>
    <w:rsid w:val="2FF901F3"/>
    <w:rsid w:val="3034062C"/>
    <w:rsid w:val="3038011D"/>
    <w:rsid w:val="303F594F"/>
    <w:rsid w:val="304167F7"/>
    <w:rsid w:val="304657BB"/>
    <w:rsid w:val="306A7D83"/>
    <w:rsid w:val="307A24E3"/>
    <w:rsid w:val="30890DB9"/>
    <w:rsid w:val="30C47A81"/>
    <w:rsid w:val="30C47C02"/>
    <w:rsid w:val="30D53BFF"/>
    <w:rsid w:val="30DF67EA"/>
    <w:rsid w:val="30F63FC7"/>
    <w:rsid w:val="30F71D86"/>
    <w:rsid w:val="30F756DE"/>
    <w:rsid w:val="31097D0B"/>
    <w:rsid w:val="31124E12"/>
    <w:rsid w:val="3115045E"/>
    <w:rsid w:val="312D483B"/>
    <w:rsid w:val="31307AFE"/>
    <w:rsid w:val="31542A5D"/>
    <w:rsid w:val="317E4255"/>
    <w:rsid w:val="318123B0"/>
    <w:rsid w:val="318555E4"/>
    <w:rsid w:val="31903F88"/>
    <w:rsid w:val="3193229F"/>
    <w:rsid w:val="319770C5"/>
    <w:rsid w:val="31F07456"/>
    <w:rsid w:val="31FB58A6"/>
    <w:rsid w:val="31FF0314"/>
    <w:rsid w:val="32075FF9"/>
    <w:rsid w:val="32085B3A"/>
    <w:rsid w:val="321B1AA4"/>
    <w:rsid w:val="322222E5"/>
    <w:rsid w:val="322546D1"/>
    <w:rsid w:val="322B489E"/>
    <w:rsid w:val="322C5A5F"/>
    <w:rsid w:val="32422005"/>
    <w:rsid w:val="32472899"/>
    <w:rsid w:val="324803BF"/>
    <w:rsid w:val="32673C7A"/>
    <w:rsid w:val="326835EA"/>
    <w:rsid w:val="326C0551"/>
    <w:rsid w:val="32794A1C"/>
    <w:rsid w:val="32A27237"/>
    <w:rsid w:val="32A970B0"/>
    <w:rsid w:val="32AB72CC"/>
    <w:rsid w:val="32AE46C6"/>
    <w:rsid w:val="32F04CDF"/>
    <w:rsid w:val="3306714A"/>
    <w:rsid w:val="330F6123"/>
    <w:rsid w:val="331704BD"/>
    <w:rsid w:val="33181118"/>
    <w:rsid w:val="33233089"/>
    <w:rsid w:val="335214F5"/>
    <w:rsid w:val="33525C4B"/>
    <w:rsid w:val="33571065"/>
    <w:rsid w:val="337C0FFF"/>
    <w:rsid w:val="33890C8F"/>
    <w:rsid w:val="338A6CBC"/>
    <w:rsid w:val="33903B8C"/>
    <w:rsid w:val="339A032E"/>
    <w:rsid w:val="33B201E6"/>
    <w:rsid w:val="33BE302F"/>
    <w:rsid w:val="33C22EAC"/>
    <w:rsid w:val="33D017F1"/>
    <w:rsid w:val="33DA09AC"/>
    <w:rsid w:val="33ED42A1"/>
    <w:rsid w:val="340145E2"/>
    <w:rsid w:val="34030A42"/>
    <w:rsid w:val="341A34F8"/>
    <w:rsid w:val="343E7CCC"/>
    <w:rsid w:val="34607C42"/>
    <w:rsid w:val="34767465"/>
    <w:rsid w:val="34A51AF9"/>
    <w:rsid w:val="34B85CD0"/>
    <w:rsid w:val="34D8433D"/>
    <w:rsid w:val="34EC3BCC"/>
    <w:rsid w:val="34EE7BB1"/>
    <w:rsid w:val="351453A4"/>
    <w:rsid w:val="35245BD2"/>
    <w:rsid w:val="352D676C"/>
    <w:rsid w:val="35301D0A"/>
    <w:rsid w:val="35494B7A"/>
    <w:rsid w:val="356419B4"/>
    <w:rsid w:val="356D6ABA"/>
    <w:rsid w:val="35702107"/>
    <w:rsid w:val="357F059C"/>
    <w:rsid w:val="359833FE"/>
    <w:rsid w:val="35A87AF3"/>
    <w:rsid w:val="35D067A7"/>
    <w:rsid w:val="35E87A5C"/>
    <w:rsid w:val="35F621A2"/>
    <w:rsid w:val="35F80DD4"/>
    <w:rsid w:val="360F7B72"/>
    <w:rsid w:val="36115D5A"/>
    <w:rsid w:val="362F3BFA"/>
    <w:rsid w:val="36681030"/>
    <w:rsid w:val="366C4167"/>
    <w:rsid w:val="3676374D"/>
    <w:rsid w:val="36767569"/>
    <w:rsid w:val="368B78F1"/>
    <w:rsid w:val="369C5811"/>
    <w:rsid w:val="36A24542"/>
    <w:rsid w:val="36A6609A"/>
    <w:rsid w:val="36A75FFC"/>
    <w:rsid w:val="36AC3612"/>
    <w:rsid w:val="36BA6964"/>
    <w:rsid w:val="36F47456"/>
    <w:rsid w:val="370116CC"/>
    <w:rsid w:val="3715740A"/>
    <w:rsid w:val="371B2546"/>
    <w:rsid w:val="37403A90"/>
    <w:rsid w:val="37404B77"/>
    <w:rsid w:val="374061D6"/>
    <w:rsid w:val="374D6BA3"/>
    <w:rsid w:val="37541156"/>
    <w:rsid w:val="377834F5"/>
    <w:rsid w:val="37846B10"/>
    <w:rsid w:val="37AE6F16"/>
    <w:rsid w:val="37B704C1"/>
    <w:rsid w:val="37D050DF"/>
    <w:rsid w:val="37DA4862"/>
    <w:rsid w:val="381C086C"/>
    <w:rsid w:val="381C28FC"/>
    <w:rsid w:val="381F1BC2"/>
    <w:rsid w:val="383A1294"/>
    <w:rsid w:val="384344D3"/>
    <w:rsid w:val="386D5023"/>
    <w:rsid w:val="388F2773"/>
    <w:rsid w:val="38A772D5"/>
    <w:rsid w:val="38AB1707"/>
    <w:rsid w:val="38D201BE"/>
    <w:rsid w:val="39047736"/>
    <w:rsid w:val="390C65EA"/>
    <w:rsid w:val="391334D5"/>
    <w:rsid w:val="391B4A7F"/>
    <w:rsid w:val="392B54D9"/>
    <w:rsid w:val="393712EB"/>
    <w:rsid w:val="393F47DD"/>
    <w:rsid w:val="39440A0C"/>
    <w:rsid w:val="396401D4"/>
    <w:rsid w:val="39662ED0"/>
    <w:rsid w:val="398443D3"/>
    <w:rsid w:val="39A131D7"/>
    <w:rsid w:val="39A22AAB"/>
    <w:rsid w:val="39AB195F"/>
    <w:rsid w:val="39B0341A"/>
    <w:rsid w:val="39BF6117"/>
    <w:rsid w:val="39DF4558"/>
    <w:rsid w:val="39E3734B"/>
    <w:rsid w:val="39FA4695"/>
    <w:rsid w:val="39FD5F33"/>
    <w:rsid w:val="3A0476F3"/>
    <w:rsid w:val="3A085372"/>
    <w:rsid w:val="3A2260A1"/>
    <w:rsid w:val="3A3000B7"/>
    <w:rsid w:val="3A316EDF"/>
    <w:rsid w:val="3A322EC1"/>
    <w:rsid w:val="3A3B679F"/>
    <w:rsid w:val="3A3F71F7"/>
    <w:rsid w:val="3A455684"/>
    <w:rsid w:val="3A4C614A"/>
    <w:rsid w:val="3A6B5A2C"/>
    <w:rsid w:val="3A7E0E22"/>
    <w:rsid w:val="3ACC6E0B"/>
    <w:rsid w:val="3B135A0E"/>
    <w:rsid w:val="3B2714BA"/>
    <w:rsid w:val="3B471B5C"/>
    <w:rsid w:val="3B771C1F"/>
    <w:rsid w:val="3BA37180"/>
    <w:rsid w:val="3BDF0BC2"/>
    <w:rsid w:val="3BEA1B59"/>
    <w:rsid w:val="3C073099"/>
    <w:rsid w:val="3C1852A6"/>
    <w:rsid w:val="3C1F22C7"/>
    <w:rsid w:val="3C2002D7"/>
    <w:rsid w:val="3C243C4B"/>
    <w:rsid w:val="3C2E5A2F"/>
    <w:rsid w:val="3C2F4ACD"/>
    <w:rsid w:val="3C376F76"/>
    <w:rsid w:val="3C3A4DDB"/>
    <w:rsid w:val="3C4E4BA9"/>
    <w:rsid w:val="3C5E715D"/>
    <w:rsid w:val="3C634773"/>
    <w:rsid w:val="3C647683"/>
    <w:rsid w:val="3C77021F"/>
    <w:rsid w:val="3C917532"/>
    <w:rsid w:val="3C9A01E5"/>
    <w:rsid w:val="3CAF3B3C"/>
    <w:rsid w:val="3CC85B63"/>
    <w:rsid w:val="3CE07B72"/>
    <w:rsid w:val="3D08531B"/>
    <w:rsid w:val="3D0F66A9"/>
    <w:rsid w:val="3D121CF5"/>
    <w:rsid w:val="3D337B49"/>
    <w:rsid w:val="3D583BAC"/>
    <w:rsid w:val="3D671B69"/>
    <w:rsid w:val="3D71769B"/>
    <w:rsid w:val="3D84116E"/>
    <w:rsid w:val="3D8C3C51"/>
    <w:rsid w:val="3DAD4CBD"/>
    <w:rsid w:val="3DC01751"/>
    <w:rsid w:val="3DD671C7"/>
    <w:rsid w:val="3E060836"/>
    <w:rsid w:val="3E157CEF"/>
    <w:rsid w:val="3E1675C3"/>
    <w:rsid w:val="3E353EED"/>
    <w:rsid w:val="3E3B796C"/>
    <w:rsid w:val="3E4051D3"/>
    <w:rsid w:val="3E540ED5"/>
    <w:rsid w:val="3E592176"/>
    <w:rsid w:val="3E763A6F"/>
    <w:rsid w:val="3E7B70C5"/>
    <w:rsid w:val="3E7D3071"/>
    <w:rsid w:val="3E863530"/>
    <w:rsid w:val="3E950E30"/>
    <w:rsid w:val="3EA130E8"/>
    <w:rsid w:val="3EAA022C"/>
    <w:rsid w:val="3EAD2EC9"/>
    <w:rsid w:val="3EAF1EF2"/>
    <w:rsid w:val="3EB16E42"/>
    <w:rsid w:val="3EBA2645"/>
    <w:rsid w:val="3EDC58A7"/>
    <w:rsid w:val="3F0D5703"/>
    <w:rsid w:val="3F47212A"/>
    <w:rsid w:val="3F7153F9"/>
    <w:rsid w:val="3F871CA4"/>
    <w:rsid w:val="3F8C7AD1"/>
    <w:rsid w:val="3F8D0A1C"/>
    <w:rsid w:val="3FC400FB"/>
    <w:rsid w:val="3FCE742E"/>
    <w:rsid w:val="3FD50795"/>
    <w:rsid w:val="3FD85478"/>
    <w:rsid w:val="3FD91DCF"/>
    <w:rsid w:val="3FDB6D16"/>
    <w:rsid w:val="401144E6"/>
    <w:rsid w:val="401F6CC0"/>
    <w:rsid w:val="404C1107"/>
    <w:rsid w:val="405A0529"/>
    <w:rsid w:val="405C7E57"/>
    <w:rsid w:val="40630A6C"/>
    <w:rsid w:val="406805AA"/>
    <w:rsid w:val="4079494B"/>
    <w:rsid w:val="40864ED4"/>
    <w:rsid w:val="408B4299"/>
    <w:rsid w:val="408C7674"/>
    <w:rsid w:val="408E7CE2"/>
    <w:rsid w:val="40A016CD"/>
    <w:rsid w:val="40AE52C3"/>
    <w:rsid w:val="40CE4A65"/>
    <w:rsid w:val="40D64B0A"/>
    <w:rsid w:val="40DE086C"/>
    <w:rsid w:val="41270465"/>
    <w:rsid w:val="41286718"/>
    <w:rsid w:val="4148218A"/>
    <w:rsid w:val="414C1C7A"/>
    <w:rsid w:val="41536635"/>
    <w:rsid w:val="41691C24"/>
    <w:rsid w:val="41793B21"/>
    <w:rsid w:val="41795491"/>
    <w:rsid w:val="417A5147"/>
    <w:rsid w:val="417E656E"/>
    <w:rsid w:val="418B713B"/>
    <w:rsid w:val="41A33D4E"/>
    <w:rsid w:val="41B25AE9"/>
    <w:rsid w:val="41B82E6B"/>
    <w:rsid w:val="41B96BE3"/>
    <w:rsid w:val="41BF3FF3"/>
    <w:rsid w:val="41C2228F"/>
    <w:rsid w:val="41EA09C0"/>
    <w:rsid w:val="421A763F"/>
    <w:rsid w:val="421E67E1"/>
    <w:rsid w:val="4220265B"/>
    <w:rsid w:val="424503FA"/>
    <w:rsid w:val="424766FB"/>
    <w:rsid w:val="425D3A13"/>
    <w:rsid w:val="42611755"/>
    <w:rsid w:val="427C7B53"/>
    <w:rsid w:val="427D651B"/>
    <w:rsid w:val="42880EAC"/>
    <w:rsid w:val="429107DA"/>
    <w:rsid w:val="429252A3"/>
    <w:rsid w:val="429D02B3"/>
    <w:rsid w:val="42B53CC1"/>
    <w:rsid w:val="42C972FA"/>
    <w:rsid w:val="42E22431"/>
    <w:rsid w:val="430F2F5F"/>
    <w:rsid w:val="43170066"/>
    <w:rsid w:val="431C742A"/>
    <w:rsid w:val="432D4E22"/>
    <w:rsid w:val="435C3CCA"/>
    <w:rsid w:val="437454B8"/>
    <w:rsid w:val="437C611B"/>
    <w:rsid w:val="4391543F"/>
    <w:rsid w:val="43960ACF"/>
    <w:rsid w:val="43A10D69"/>
    <w:rsid w:val="43B265E3"/>
    <w:rsid w:val="43BC29BB"/>
    <w:rsid w:val="43DD4E0B"/>
    <w:rsid w:val="43EB1D58"/>
    <w:rsid w:val="43F403A7"/>
    <w:rsid w:val="44064C80"/>
    <w:rsid w:val="443F4D58"/>
    <w:rsid w:val="444100C9"/>
    <w:rsid w:val="445D419E"/>
    <w:rsid w:val="44607359"/>
    <w:rsid w:val="44826404"/>
    <w:rsid w:val="449D05B7"/>
    <w:rsid w:val="44B04FD9"/>
    <w:rsid w:val="44B10046"/>
    <w:rsid w:val="44B968EF"/>
    <w:rsid w:val="44BC2C73"/>
    <w:rsid w:val="44CE0BF8"/>
    <w:rsid w:val="44CE18F2"/>
    <w:rsid w:val="44CF729F"/>
    <w:rsid w:val="44D74953"/>
    <w:rsid w:val="44E644B0"/>
    <w:rsid w:val="44FD328B"/>
    <w:rsid w:val="450B3BFA"/>
    <w:rsid w:val="451B17F6"/>
    <w:rsid w:val="452876B2"/>
    <w:rsid w:val="4541586E"/>
    <w:rsid w:val="45594965"/>
    <w:rsid w:val="45813EBC"/>
    <w:rsid w:val="458E3310"/>
    <w:rsid w:val="45A176CC"/>
    <w:rsid w:val="45AA3413"/>
    <w:rsid w:val="45AB0BB2"/>
    <w:rsid w:val="45AE2F45"/>
    <w:rsid w:val="45C86107"/>
    <w:rsid w:val="45CA5B37"/>
    <w:rsid w:val="45EA1A61"/>
    <w:rsid w:val="45EB56D0"/>
    <w:rsid w:val="45EE1552"/>
    <w:rsid w:val="46130B22"/>
    <w:rsid w:val="4618414C"/>
    <w:rsid w:val="46236D21"/>
    <w:rsid w:val="465667F3"/>
    <w:rsid w:val="465A4338"/>
    <w:rsid w:val="467A34E7"/>
    <w:rsid w:val="468616FB"/>
    <w:rsid w:val="46985894"/>
    <w:rsid w:val="469F45FA"/>
    <w:rsid w:val="46B326A2"/>
    <w:rsid w:val="46BE34E7"/>
    <w:rsid w:val="46C357BC"/>
    <w:rsid w:val="46D70238"/>
    <w:rsid w:val="46E13DB1"/>
    <w:rsid w:val="46E2098A"/>
    <w:rsid w:val="46F07B2C"/>
    <w:rsid w:val="46FF32EA"/>
    <w:rsid w:val="471274C2"/>
    <w:rsid w:val="472532B3"/>
    <w:rsid w:val="47354F5E"/>
    <w:rsid w:val="47571378"/>
    <w:rsid w:val="477535AD"/>
    <w:rsid w:val="477C2B8D"/>
    <w:rsid w:val="47B512B6"/>
    <w:rsid w:val="47BB1907"/>
    <w:rsid w:val="47C572D2"/>
    <w:rsid w:val="47CA7D9C"/>
    <w:rsid w:val="47CB141F"/>
    <w:rsid w:val="47D66741"/>
    <w:rsid w:val="47DE350B"/>
    <w:rsid w:val="48143FFB"/>
    <w:rsid w:val="481B6200"/>
    <w:rsid w:val="481C57BF"/>
    <w:rsid w:val="484F3DFE"/>
    <w:rsid w:val="48552C62"/>
    <w:rsid w:val="48657AC5"/>
    <w:rsid w:val="48720648"/>
    <w:rsid w:val="48735ADA"/>
    <w:rsid w:val="48A44149"/>
    <w:rsid w:val="48A51C70"/>
    <w:rsid w:val="48A766BF"/>
    <w:rsid w:val="48BF0A99"/>
    <w:rsid w:val="48BF2D31"/>
    <w:rsid w:val="48C77A88"/>
    <w:rsid w:val="48D367DD"/>
    <w:rsid w:val="48E924A4"/>
    <w:rsid w:val="48EF5D2E"/>
    <w:rsid w:val="490A38A3"/>
    <w:rsid w:val="491C63D6"/>
    <w:rsid w:val="49267254"/>
    <w:rsid w:val="492C0CCA"/>
    <w:rsid w:val="493014BE"/>
    <w:rsid w:val="49417BEA"/>
    <w:rsid w:val="495F639D"/>
    <w:rsid w:val="496541A2"/>
    <w:rsid w:val="496C1BD1"/>
    <w:rsid w:val="496E7B1A"/>
    <w:rsid w:val="497578A1"/>
    <w:rsid w:val="497E4B01"/>
    <w:rsid w:val="498875C7"/>
    <w:rsid w:val="498B355B"/>
    <w:rsid w:val="49952A14"/>
    <w:rsid w:val="499D371C"/>
    <w:rsid w:val="49A47A9B"/>
    <w:rsid w:val="49B83A21"/>
    <w:rsid w:val="49ED2CCD"/>
    <w:rsid w:val="4A0959C8"/>
    <w:rsid w:val="4A1D6937"/>
    <w:rsid w:val="4A29004F"/>
    <w:rsid w:val="4A3C3D1F"/>
    <w:rsid w:val="4A3F2F5D"/>
    <w:rsid w:val="4A4831FA"/>
    <w:rsid w:val="4A4B252B"/>
    <w:rsid w:val="4A6A6D04"/>
    <w:rsid w:val="4A6C027D"/>
    <w:rsid w:val="4A757163"/>
    <w:rsid w:val="4A9205ED"/>
    <w:rsid w:val="4A9432D3"/>
    <w:rsid w:val="4A987CDE"/>
    <w:rsid w:val="4AC779BE"/>
    <w:rsid w:val="4AD64BDE"/>
    <w:rsid w:val="4AE52F2B"/>
    <w:rsid w:val="4AEC6043"/>
    <w:rsid w:val="4B1A4B97"/>
    <w:rsid w:val="4B1E7200"/>
    <w:rsid w:val="4B217CD3"/>
    <w:rsid w:val="4B225666"/>
    <w:rsid w:val="4B2B7EBA"/>
    <w:rsid w:val="4B36751C"/>
    <w:rsid w:val="4B3F63AB"/>
    <w:rsid w:val="4B6C2A28"/>
    <w:rsid w:val="4B7645F1"/>
    <w:rsid w:val="4B786F2D"/>
    <w:rsid w:val="4B9304A5"/>
    <w:rsid w:val="4B986E74"/>
    <w:rsid w:val="4BAB3A41"/>
    <w:rsid w:val="4BB26B7D"/>
    <w:rsid w:val="4BB41A6E"/>
    <w:rsid w:val="4BBE33D4"/>
    <w:rsid w:val="4BBF1C08"/>
    <w:rsid w:val="4BCD166F"/>
    <w:rsid w:val="4BD411EA"/>
    <w:rsid w:val="4BDA60D4"/>
    <w:rsid w:val="4BE34E89"/>
    <w:rsid w:val="4BE74117"/>
    <w:rsid w:val="4BF5382E"/>
    <w:rsid w:val="4C03562B"/>
    <w:rsid w:val="4C06511B"/>
    <w:rsid w:val="4C082C41"/>
    <w:rsid w:val="4C147838"/>
    <w:rsid w:val="4C175517"/>
    <w:rsid w:val="4C207F8B"/>
    <w:rsid w:val="4C3F7C92"/>
    <w:rsid w:val="4C687B84"/>
    <w:rsid w:val="4C995F8F"/>
    <w:rsid w:val="4CCC0782"/>
    <w:rsid w:val="4CCE6A8F"/>
    <w:rsid w:val="4CDE28BF"/>
    <w:rsid w:val="4CDF5113"/>
    <w:rsid w:val="4CE312FC"/>
    <w:rsid w:val="4CFE56F6"/>
    <w:rsid w:val="4CFE5C17"/>
    <w:rsid w:val="4D1473C4"/>
    <w:rsid w:val="4D2C12E0"/>
    <w:rsid w:val="4D4521D3"/>
    <w:rsid w:val="4D5631A1"/>
    <w:rsid w:val="4D587BF8"/>
    <w:rsid w:val="4D64034B"/>
    <w:rsid w:val="4D746CD8"/>
    <w:rsid w:val="4D8F77C9"/>
    <w:rsid w:val="4D92171C"/>
    <w:rsid w:val="4D9D560B"/>
    <w:rsid w:val="4DCA15C8"/>
    <w:rsid w:val="4DD3727F"/>
    <w:rsid w:val="4DEF5972"/>
    <w:rsid w:val="4E04568A"/>
    <w:rsid w:val="4E125FF9"/>
    <w:rsid w:val="4E131ACC"/>
    <w:rsid w:val="4E1738D6"/>
    <w:rsid w:val="4E266826"/>
    <w:rsid w:val="4E2C074F"/>
    <w:rsid w:val="4E2F0959"/>
    <w:rsid w:val="4E323FA5"/>
    <w:rsid w:val="4E345F70"/>
    <w:rsid w:val="4E4D0DDF"/>
    <w:rsid w:val="4E65437B"/>
    <w:rsid w:val="4E720846"/>
    <w:rsid w:val="4EA84268"/>
    <w:rsid w:val="4EB64BD7"/>
    <w:rsid w:val="4EBC1A2B"/>
    <w:rsid w:val="4EC33834"/>
    <w:rsid w:val="4EC45545"/>
    <w:rsid w:val="4EDE2BD4"/>
    <w:rsid w:val="4EE72982"/>
    <w:rsid w:val="4EEA5E14"/>
    <w:rsid w:val="4F1A25AD"/>
    <w:rsid w:val="4F22401A"/>
    <w:rsid w:val="4F5159D7"/>
    <w:rsid w:val="4F9C7EC6"/>
    <w:rsid w:val="4F9D5D96"/>
    <w:rsid w:val="4FAB5D09"/>
    <w:rsid w:val="4FC21359"/>
    <w:rsid w:val="4FDC68BF"/>
    <w:rsid w:val="502246FD"/>
    <w:rsid w:val="50674E00"/>
    <w:rsid w:val="506B19F1"/>
    <w:rsid w:val="50704A07"/>
    <w:rsid w:val="50886ED7"/>
    <w:rsid w:val="5092008F"/>
    <w:rsid w:val="50B95974"/>
    <w:rsid w:val="50DC1EB2"/>
    <w:rsid w:val="50DD28EE"/>
    <w:rsid w:val="50DE0552"/>
    <w:rsid w:val="511B6F73"/>
    <w:rsid w:val="512C4DBA"/>
    <w:rsid w:val="51475683"/>
    <w:rsid w:val="515F3303"/>
    <w:rsid w:val="5164091A"/>
    <w:rsid w:val="51824B2F"/>
    <w:rsid w:val="51897B82"/>
    <w:rsid w:val="519531C9"/>
    <w:rsid w:val="51DA4891"/>
    <w:rsid w:val="51F15F26"/>
    <w:rsid w:val="51F7573B"/>
    <w:rsid w:val="51F85506"/>
    <w:rsid w:val="51F96C9B"/>
    <w:rsid w:val="51FD2B1C"/>
    <w:rsid w:val="520008D8"/>
    <w:rsid w:val="52090DED"/>
    <w:rsid w:val="522B58DB"/>
    <w:rsid w:val="523636A7"/>
    <w:rsid w:val="52386093"/>
    <w:rsid w:val="523C3645"/>
    <w:rsid w:val="523E2E19"/>
    <w:rsid w:val="528F1AE6"/>
    <w:rsid w:val="529271E0"/>
    <w:rsid w:val="52982B30"/>
    <w:rsid w:val="52990A97"/>
    <w:rsid w:val="529D03AD"/>
    <w:rsid w:val="52A1794C"/>
    <w:rsid w:val="52B17E39"/>
    <w:rsid w:val="52B54C41"/>
    <w:rsid w:val="52E00474"/>
    <w:rsid w:val="52E11882"/>
    <w:rsid w:val="52E15F9A"/>
    <w:rsid w:val="52F27B46"/>
    <w:rsid w:val="52F5184E"/>
    <w:rsid w:val="52F77B3F"/>
    <w:rsid w:val="52F92CDD"/>
    <w:rsid w:val="530002C1"/>
    <w:rsid w:val="53071EA5"/>
    <w:rsid w:val="5338205E"/>
    <w:rsid w:val="534D3630"/>
    <w:rsid w:val="53775035"/>
    <w:rsid w:val="537C0F42"/>
    <w:rsid w:val="53BD6A07"/>
    <w:rsid w:val="53BE4C3E"/>
    <w:rsid w:val="53CB3D61"/>
    <w:rsid w:val="53D14261"/>
    <w:rsid w:val="53E15B76"/>
    <w:rsid w:val="53E97F57"/>
    <w:rsid w:val="53FC01C8"/>
    <w:rsid w:val="53FC6721"/>
    <w:rsid w:val="54090F7F"/>
    <w:rsid w:val="541879C0"/>
    <w:rsid w:val="542A3A4D"/>
    <w:rsid w:val="54372316"/>
    <w:rsid w:val="543C16DA"/>
    <w:rsid w:val="545468C2"/>
    <w:rsid w:val="5457656B"/>
    <w:rsid w:val="545B74F3"/>
    <w:rsid w:val="546B5441"/>
    <w:rsid w:val="54A51975"/>
    <w:rsid w:val="54AE00FE"/>
    <w:rsid w:val="54BA7621"/>
    <w:rsid w:val="54DF4EE8"/>
    <w:rsid w:val="54E702A4"/>
    <w:rsid w:val="54E9490C"/>
    <w:rsid w:val="54F40207"/>
    <w:rsid w:val="55061CE8"/>
    <w:rsid w:val="553700F3"/>
    <w:rsid w:val="553B5E36"/>
    <w:rsid w:val="553D4864"/>
    <w:rsid w:val="554D7917"/>
    <w:rsid w:val="55547AD1"/>
    <w:rsid w:val="55654C60"/>
    <w:rsid w:val="55802B56"/>
    <w:rsid w:val="55992B5C"/>
    <w:rsid w:val="55A95B7B"/>
    <w:rsid w:val="55AC7A04"/>
    <w:rsid w:val="55AD49B3"/>
    <w:rsid w:val="55DB20F6"/>
    <w:rsid w:val="55F0410E"/>
    <w:rsid w:val="55F54236"/>
    <w:rsid w:val="55F94688"/>
    <w:rsid w:val="55FC4ADD"/>
    <w:rsid w:val="56004989"/>
    <w:rsid w:val="56151AED"/>
    <w:rsid w:val="56177552"/>
    <w:rsid w:val="561E35DE"/>
    <w:rsid w:val="56250239"/>
    <w:rsid w:val="562B4FB5"/>
    <w:rsid w:val="564D4072"/>
    <w:rsid w:val="56711C5C"/>
    <w:rsid w:val="568A3B11"/>
    <w:rsid w:val="56E02369"/>
    <w:rsid w:val="56E6661F"/>
    <w:rsid w:val="56F1208A"/>
    <w:rsid w:val="56FE4611"/>
    <w:rsid w:val="57004346"/>
    <w:rsid w:val="570F1328"/>
    <w:rsid w:val="571D166C"/>
    <w:rsid w:val="572C012C"/>
    <w:rsid w:val="574134AB"/>
    <w:rsid w:val="574803C1"/>
    <w:rsid w:val="574A04A7"/>
    <w:rsid w:val="574D18E2"/>
    <w:rsid w:val="576168EA"/>
    <w:rsid w:val="576C0528"/>
    <w:rsid w:val="576D24F2"/>
    <w:rsid w:val="576F3AEF"/>
    <w:rsid w:val="577365E1"/>
    <w:rsid w:val="577C4928"/>
    <w:rsid w:val="577E46FF"/>
    <w:rsid w:val="57802226"/>
    <w:rsid w:val="579F744D"/>
    <w:rsid w:val="57A75A04"/>
    <w:rsid w:val="57AB43E4"/>
    <w:rsid w:val="57AD21A3"/>
    <w:rsid w:val="57B20595"/>
    <w:rsid w:val="57EE53E1"/>
    <w:rsid w:val="57F14ED1"/>
    <w:rsid w:val="5814471C"/>
    <w:rsid w:val="58226E39"/>
    <w:rsid w:val="58276B45"/>
    <w:rsid w:val="58331046"/>
    <w:rsid w:val="58363FE9"/>
    <w:rsid w:val="58394402"/>
    <w:rsid w:val="583F0AAB"/>
    <w:rsid w:val="584148D8"/>
    <w:rsid w:val="584C2108"/>
    <w:rsid w:val="584C64D4"/>
    <w:rsid w:val="58704048"/>
    <w:rsid w:val="587E7C60"/>
    <w:rsid w:val="588418A2"/>
    <w:rsid w:val="58913FBE"/>
    <w:rsid w:val="58AA6505"/>
    <w:rsid w:val="58B83E74"/>
    <w:rsid w:val="58D17568"/>
    <w:rsid w:val="58E3481A"/>
    <w:rsid w:val="58E41D48"/>
    <w:rsid w:val="58E81E30"/>
    <w:rsid w:val="59030A18"/>
    <w:rsid w:val="591A2BA2"/>
    <w:rsid w:val="59246BE1"/>
    <w:rsid w:val="592B7F6F"/>
    <w:rsid w:val="592F3F03"/>
    <w:rsid w:val="594F1EAF"/>
    <w:rsid w:val="597247E0"/>
    <w:rsid w:val="59975605"/>
    <w:rsid w:val="5999137D"/>
    <w:rsid w:val="59B94D9F"/>
    <w:rsid w:val="5A0204B6"/>
    <w:rsid w:val="5A1621EF"/>
    <w:rsid w:val="5A2E5F69"/>
    <w:rsid w:val="5A3B5997"/>
    <w:rsid w:val="5A427C66"/>
    <w:rsid w:val="5A7A0667"/>
    <w:rsid w:val="5A7F67C4"/>
    <w:rsid w:val="5A9658BC"/>
    <w:rsid w:val="5A96780E"/>
    <w:rsid w:val="5AA038A2"/>
    <w:rsid w:val="5AAF3A64"/>
    <w:rsid w:val="5AC056CA"/>
    <w:rsid w:val="5AF32D0E"/>
    <w:rsid w:val="5AF42331"/>
    <w:rsid w:val="5AFC3B8E"/>
    <w:rsid w:val="5B2568B5"/>
    <w:rsid w:val="5B4516CD"/>
    <w:rsid w:val="5B577BFC"/>
    <w:rsid w:val="5B801186"/>
    <w:rsid w:val="5B8D3163"/>
    <w:rsid w:val="5BAA50C6"/>
    <w:rsid w:val="5BAA7871"/>
    <w:rsid w:val="5BC57D05"/>
    <w:rsid w:val="5BC76675"/>
    <w:rsid w:val="5BD92251"/>
    <w:rsid w:val="5BE85E95"/>
    <w:rsid w:val="5BF22F75"/>
    <w:rsid w:val="5BF3746A"/>
    <w:rsid w:val="5C0608D6"/>
    <w:rsid w:val="5C166888"/>
    <w:rsid w:val="5C1B076F"/>
    <w:rsid w:val="5C49419B"/>
    <w:rsid w:val="5C6A3DF7"/>
    <w:rsid w:val="5C6E089F"/>
    <w:rsid w:val="5C71213D"/>
    <w:rsid w:val="5C981DBF"/>
    <w:rsid w:val="5C9D73E5"/>
    <w:rsid w:val="5C9E3C9E"/>
    <w:rsid w:val="5CA024D2"/>
    <w:rsid w:val="5CB5471F"/>
    <w:rsid w:val="5CBF559E"/>
    <w:rsid w:val="5CCF14F4"/>
    <w:rsid w:val="5CD91AE3"/>
    <w:rsid w:val="5CEB1EEF"/>
    <w:rsid w:val="5CF94CBF"/>
    <w:rsid w:val="5CFD02A0"/>
    <w:rsid w:val="5D071531"/>
    <w:rsid w:val="5D0B07E3"/>
    <w:rsid w:val="5D312E34"/>
    <w:rsid w:val="5D4D4958"/>
    <w:rsid w:val="5D6E4AE7"/>
    <w:rsid w:val="5D7E2D63"/>
    <w:rsid w:val="5D8B5480"/>
    <w:rsid w:val="5D962F27"/>
    <w:rsid w:val="5DCF1811"/>
    <w:rsid w:val="5DD72473"/>
    <w:rsid w:val="5DED09D2"/>
    <w:rsid w:val="5DEF78BB"/>
    <w:rsid w:val="5E062D59"/>
    <w:rsid w:val="5E0F7E5F"/>
    <w:rsid w:val="5E2356B9"/>
    <w:rsid w:val="5E280F21"/>
    <w:rsid w:val="5E2D162C"/>
    <w:rsid w:val="5E2F405E"/>
    <w:rsid w:val="5E317DD6"/>
    <w:rsid w:val="5E3E301E"/>
    <w:rsid w:val="5E547F68"/>
    <w:rsid w:val="5E730E82"/>
    <w:rsid w:val="5E84084D"/>
    <w:rsid w:val="5E8E347A"/>
    <w:rsid w:val="5EA731C3"/>
    <w:rsid w:val="5EAA5DDA"/>
    <w:rsid w:val="5EB92812"/>
    <w:rsid w:val="5ED370DF"/>
    <w:rsid w:val="5F1514A5"/>
    <w:rsid w:val="5F2C5541"/>
    <w:rsid w:val="5F373947"/>
    <w:rsid w:val="5F396F19"/>
    <w:rsid w:val="5F3D09FC"/>
    <w:rsid w:val="5F693F19"/>
    <w:rsid w:val="5F6C644B"/>
    <w:rsid w:val="5F8A0A98"/>
    <w:rsid w:val="5FA82319"/>
    <w:rsid w:val="5FB05672"/>
    <w:rsid w:val="5FB40CBE"/>
    <w:rsid w:val="5FB9506D"/>
    <w:rsid w:val="5FBC463D"/>
    <w:rsid w:val="5FC55EAD"/>
    <w:rsid w:val="5FE377F5"/>
    <w:rsid w:val="5FE4471A"/>
    <w:rsid w:val="5FF22FF3"/>
    <w:rsid w:val="60254689"/>
    <w:rsid w:val="603C0CB4"/>
    <w:rsid w:val="603E2C7E"/>
    <w:rsid w:val="604030A0"/>
    <w:rsid w:val="60457B68"/>
    <w:rsid w:val="6057697E"/>
    <w:rsid w:val="605E50CE"/>
    <w:rsid w:val="60761F4E"/>
    <w:rsid w:val="607B41D8"/>
    <w:rsid w:val="60A04417"/>
    <w:rsid w:val="60CD03CC"/>
    <w:rsid w:val="60F000E2"/>
    <w:rsid w:val="60F11A9E"/>
    <w:rsid w:val="60FD6695"/>
    <w:rsid w:val="610C68D8"/>
    <w:rsid w:val="61197839"/>
    <w:rsid w:val="611A43B1"/>
    <w:rsid w:val="61204131"/>
    <w:rsid w:val="612B4288"/>
    <w:rsid w:val="612F7E5E"/>
    <w:rsid w:val="61446072"/>
    <w:rsid w:val="614C3EC9"/>
    <w:rsid w:val="615736B4"/>
    <w:rsid w:val="616E578F"/>
    <w:rsid w:val="61796CB2"/>
    <w:rsid w:val="619F599E"/>
    <w:rsid w:val="61A47B89"/>
    <w:rsid w:val="61C2458D"/>
    <w:rsid w:val="61CF0031"/>
    <w:rsid w:val="61D70C94"/>
    <w:rsid w:val="61E17D65"/>
    <w:rsid w:val="61F74799"/>
    <w:rsid w:val="61F96E5C"/>
    <w:rsid w:val="621409C5"/>
    <w:rsid w:val="621C2B4B"/>
    <w:rsid w:val="62257FFA"/>
    <w:rsid w:val="6244386E"/>
    <w:rsid w:val="625304A7"/>
    <w:rsid w:val="62590E29"/>
    <w:rsid w:val="625C58C6"/>
    <w:rsid w:val="626052F2"/>
    <w:rsid w:val="627A3766"/>
    <w:rsid w:val="628726BA"/>
    <w:rsid w:val="629F6A6C"/>
    <w:rsid w:val="62A96AD4"/>
    <w:rsid w:val="62B81204"/>
    <w:rsid w:val="62C41110"/>
    <w:rsid w:val="62E33669"/>
    <w:rsid w:val="62E54C39"/>
    <w:rsid w:val="62EA49F7"/>
    <w:rsid w:val="630006BE"/>
    <w:rsid w:val="630A21A8"/>
    <w:rsid w:val="632C14B3"/>
    <w:rsid w:val="6333639E"/>
    <w:rsid w:val="63497970"/>
    <w:rsid w:val="6353510B"/>
    <w:rsid w:val="63554905"/>
    <w:rsid w:val="63603041"/>
    <w:rsid w:val="636104DF"/>
    <w:rsid w:val="6370279B"/>
    <w:rsid w:val="63B55005"/>
    <w:rsid w:val="63B84AF5"/>
    <w:rsid w:val="63E636A7"/>
    <w:rsid w:val="63FF1835"/>
    <w:rsid w:val="641B55C8"/>
    <w:rsid w:val="64373621"/>
    <w:rsid w:val="64542A70"/>
    <w:rsid w:val="646A2293"/>
    <w:rsid w:val="64704173"/>
    <w:rsid w:val="647E4241"/>
    <w:rsid w:val="648669A1"/>
    <w:rsid w:val="648E6A56"/>
    <w:rsid w:val="64990483"/>
    <w:rsid w:val="649E1F3D"/>
    <w:rsid w:val="64CE13FE"/>
    <w:rsid w:val="64D63485"/>
    <w:rsid w:val="64FD6C64"/>
    <w:rsid w:val="650B0753"/>
    <w:rsid w:val="652F1BCA"/>
    <w:rsid w:val="653D52B2"/>
    <w:rsid w:val="65530F79"/>
    <w:rsid w:val="655D1190"/>
    <w:rsid w:val="6578453C"/>
    <w:rsid w:val="6585087D"/>
    <w:rsid w:val="6585261B"/>
    <w:rsid w:val="6599745D"/>
    <w:rsid w:val="65AB66C0"/>
    <w:rsid w:val="65B0017A"/>
    <w:rsid w:val="65E10892"/>
    <w:rsid w:val="65E97D44"/>
    <w:rsid w:val="65F362B8"/>
    <w:rsid w:val="65FB7547"/>
    <w:rsid w:val="65FC33BF"/>
    <w:rsid w:val="66067D9A"/>
    <w:rsid w:val="660D707D"/>
    <w:rsid w:val="66171B8A"/>
    <w:rsid w:val="661B7AB4"/>
    <w:rsid w:val="662D17CA"/>
    <w:rsid w:val="66384703"/>
    <w:rsid w:val="663D7E90"/>
    <w:rsid w:val="6646288C"/>
    <w:rsid w:val="666A3B93"/>
    <w:rsid w:val="667B0788"/>
    <w:rsid w:val="66A650D9"/>
    <w:rsid w:val="66A76DC0"/>
    <w:rsid w:val="66DB1226"/>
    <w:rsid w:val="66E92F02"/>
    <w:rsid w:val="66EA3218"/>
    <w:rsid w:val="66ED1A86"/>
    <w:rsid w:val="66ED4AB6"/>
    <w:rsid w:val="67077294"/>
    <w:rsid w:val="671169F6"/>
    <w:rsid w:val="675B2A2A"/>
    <w:rsid w:val="676B07FC"/>
    <w:rsid w:val="67851681"/>
    <w:rsid w:val="67923542"/>
    <w:rsid w:val="67AC5398"/>
    <w:rsid w:val="67BD2A93"/>
    <w:rsid w:val="67D77C40"/>
    <w:rsid w:val="67EB7247"/>
    <w:rsid w:val="67F105D6"/>
    <w:rsid w:val="67F73E3E"/>
    <w:rsid w:val="67FA146A"/>
    <w:rsid w:val="681744E0"/>
    <w:rsid w:val="68185DB0"/>
    <w:rsid w:val="682B5BEC"/>
    <w:rsid w:val="683426D7"/>
    <w:rsid w:val="68531C91"/>
    <w:rsid w:val="686139AD"/>
    <w:rsid w:val="687224DD"/>
    <w:rsid w:val="6881195A"/>
    <w:rsid w:val="68837C80"/>
    <w:rsid w:val="68A613C0"/>
    <w:rsid w:val="68A634BD"/>
    <w:rsid w:val="68C1444C"/>
    <w:rsid w:val="68EB3038"/>
    <w:rsid w:val="68ED6FEF"/>
    <w:rsid w:val="68F95994"/>
    <w:rsid w:val="68FC7232"/>
    <w:rsid w:val="69002B91"/>
    <w:rsid w:val="69026F3E"/>
    <w:rsid w:val="69036813"/>
    <w:rsid w:val="69262337"/>
    <w:rsid w:val="692769A5"/>
    <w:rsid w:val="692D60ED"/>
    <w:rsid w:val="69434E61"/>
    <w:rsid w:val="696073DC"/>
    <w:rsid w:val="6971381F"/>
    <w:rsid w:val="69934A52"/>
    <w:rsid w:val="6994515E"/>
    <w:rsid w:val="69AF17B4"/>
    <w:rsid w:val="69B01F0C"/>
    <w:rsid w:val="69DA7573"/>
    <w:rsid w:val="69F523FA"/>
    <w:rsid w:val="6A464C09"/>
    <w:rsid w:val="6A633A0D"/>
    <w:rsid w:val="6A682DD1"/>
    <w:rsid w:val="6A726503"/>
    <w:rsid w:val="6A8D4E45"/>
    <w:rsid w:val="6A8F6861"/>
    <w:rsid w:val="6AA32DBD"/>
    <w:rsid w:val="6AD3024F"/>
    <w:rsid w:val="6AD846D7"/>
    <w:rsid w:val="6ADB3023"/>
    <w:rsid w:val="6AF61E2F"/>
    <w:rsid w:val="6B0A20DA"/>
    <w:rsid w:val="6B0D6201"/>
    <w:rsid w:val="6B111949"/>
    <w:rsid w:val="6B1B6095"/>
    <w:rsid w:val="6B411367"/>
    <w:rsid w:val="6B4A0729"/>
    <w:rsid w:val="6B6D4569"/>
    <w:rsid w:val="6B79100E"/>
    <w:rsid w:val="6B7F0160"/>
    <w:rsid w:val="6B8A42EC"/>
    <w:rsid w:val="6B8F6D35"/>
    <w:rsid w:val="6B9E2823"/>
    <w:rsid w:val="6BBC4CDE"/>
    <w:rsid w:val="6BCB60D2"/>
    <w:rsid w:val="6BFA1229"/>
    <w:rsid w:val="6C053331"/>
    <w:rsid w:val="6C1E72DF"/>
    <w:rsid w:val="6C2216A6"/>
    <w:rsid w:val="6C245031"/>
    <w:rsid w:val="6C2C42D2"/>
    <w:rsid w:val="6C586B89"/>
    <w:rsid w:val="6C71397E"/>
    <w:rsid w:val="6C7D68DC"/>
    <w:rsid w:val="6C841A18"/>
    <w:rsid w:val="6C9A123C"/>
    <w:rsid w:val="6CA51767"/>
    <w:rsid w:val="6CC30D7F"/>
    <w:rsid w:val="6CCF154B"/>
    <w:rsid w:val="6CD504C6"/>
    <w:rsid w:val="6CE13383"/>
    <w:rsid w:val="6CE54BAD"/>
    <w:rsid w:val="6CEC6744"/>
    <w:rsid w:val="6CF97D09"/>
    <w:rsid w:val="6CFC3CA5"/>
    <w:rsid w:val="6CFE17CB"/>
    <w:rsid w:val="6D205BE5"/>
    <w:rsid w:val="6D27790C"/>
    <w:rsid w:val="6D401DE3"/>
    <w:rsid w:val="6D54588F"/>
    <w:rsid w:val="6D5A00B2"/>
    <w:rsid w:val="6D6A50B2"/>
    <w:rsid w:val="6D804D38"/>
    <w:rsid w:val="6D835DEB"/>
    <w:rsid w:val="6D9E4D5C"/>
    <w:rsid w:val="6DA73C0F"/>
    <w:rsid w:val="6DB81974"/>
    <w:rsid w:val="6DC61CBE"/>
    <w:rsid w:val="6DD27F05"/>
    <w:rsid w:val="6DFC768A"/>
    <w:rsid w:val="6E0732BA"/>
    <w:rsid w:val="6E1312A6"/>
    <w:rsid w:val="6E466A83"/>
    <w:rsid w:val="6E4B6C92"/>
    <w:rsid w:val="6E573473"/>
    <w:rsid w:val="6E7220C5"/>
    <w:rsid w:val="6E731D44"/>
    <w:rsid w:val="6E7527D5"/>
    <w:rsid w:val="6E7D6FD3"/>
    <w:rsid w:val="6EA57C83"/>
    <w:rsid w:val="6EA939B8"/>
    <w:rsid w:val="6EC06EAB"/>
    <w:rsid w:val="6F0F5516"/>
    <w:rsid w:val="6F150D71"/>
    <w:rsid w:val="6F341AC6"/>
    <w:rsid w:val="6F490CF7"/>
    <w:rsid w:val="6F4F22ED"/>
    <w:rsid w:val="6F63625D"/>
    <w:rsid w:val="6F780FE6"/>
    <w:rsid w:val="6F9A6059"/>
    <w:rsid w:val="6FA348AB"/>
    <w:rsid w:val="6FA66085"/>
    <w:rsid w:val="6FA75122"/>
    <w:rsid w:val="6FB66352"/>
    <w:rsid w:val="6FCC5F73"/>
    <w:rsid w:val="6FCD36D6"/>
    <w:rsid w:val="6FD20682"/>
    <w:rsid w:val="6FDE1F43"/>
    <w:rsid w:val="7007308C"/>
    <w:rsid w:val="70292A3B"/>
    <w:rsid w:val="70485B31"/>
    <w:rsid w:val="70542388"/>
    <w:rsid w:val="706B000F"/>
    <w:rsid w:val="70761FC0"/>
    <w:rsid w:val="707B75D6"/>
    <w:rsid w:val="707F2C23"/>
    <w:rsid w:val="708F7F54"/>
    <w:rsid w:val="70A47AAD"/>
    <w:rsid w:val="70CE181E"/>
    <w:rsid w:val="70D07922"/>
    <w:rsid w:val="711F4406"/>
    <w:rsid w:val="712C1BB8"/>
    <w:rsid w:val="71327C95"/>
    <w:rsid w:val="714A0C24"/>
    <w:rsid w:val="71687B5B"/>
    <w:rsid w:val="716F783D"/>
    <w:rsid w:val="717A2FBC"/>
    <w:rsid w:val="71841CC5"/>
    <w:rsid w:val="719B1CDE"/>
    <w:rsid w:val="719C7804"/>
    <w:rsid w:val="71A22E1F"/>
    <w:rsid w:val="71AA0173"/>
    <w:rsid w:val="71C108C5"/>
    <w:rsid w:val="71CA0C1B"/>
    <w:rsid w:val="71CB1E97"/>
    <w:rsid w:val="71FB3C3C"/>
    <w:rsid w:val="72061FA7"/>
    <w:rsid w:val="722C4FDE"/>
    <w:rsid w:val="72621C35"/>
    <w:rsid w:val="72663EBE"/>
    <w:rsid w:val="72BF7C4E"/>
    <w:rsid w:val="72C50044"/>
    <w:rsid w:val="72CB65F3"/>
    <w:rsid w:val="72CE3026"/>
    <w:rsid w:val="73102258"/>
    <w:rsid w:val="73125FD0"/>
    <w:rsid w:val="731E3543"/>
    <w:rsid w:val="733E6DC5"/>
    <w:rsid w:val="734463B8"/>
    <w:rsid w:val="734939BC"/>
    <w:rsid w:val="735238B8"/>
    <w:rsid w:val="735937A8"/>
    <w:rsid w:val="735C2B21"/>
    <w:rsid w:val="736827E7"/>
    <w:rsid w:val="736843EC"/>
    <w:rsid w:val="73684D78"/>
    <w:rsid w:val="737C5B3F"/>
    <w:rsid w:val="737E1108"/>
    <w:rsid w:val="738B5D82"/>
    <w:rsid w:val="738D3673"/>
    <w:rsid w:val="73927111"/>
    <w:rsid w:val="73AE37EF"/>
    <w:rsid w:val="73B10D33"/>
    <w:rsid w:val="73BC418E"/>
    <w:rsid w:val="73BF4107"/>
    <w:rsid w:val="73C17CAD"/>
    <w:rsid w:val="73D70FC8"/>
    <w:rsid w:val="73FE5C0F"/>
    <w:rsid w:val="740578E3"/>
    <w:rsid w:val="740B676D"/>
    <w:rsid w:val="740F0761"/>
    <w:rsid w:val="741C4C2C"/>
    <w:rsid w:val="741D578E"/>
    <w:rsid w:val="744D4DE6"/>
    <w:rsid w:val="7456694C"/>
    <w:rsid w:val="74604B19"/>
    <w:rsid w:val="74624249"/>
    <w:rsid w:val="747B7BA5"/>
    <w:rsid w:val="7493166B"/>
    <w:rsid w:val="74980757"/>
    <w:rsid w:val="74A82F40"/>
    <w:rsid w:val="74BD01BD"/>
    <w:rsid w:val="74BD640F"/>
    <w:rsid w:val="74CC0400"/>
    <w:rsid w:val="74D313DB"/>
    <w:rsid w:val="75095FDC"/>
    <w:rsid w:val="751029E3"/>
    <w:rsid w:val="751853F4"/>
    <w:rsid w:val="75186B30"/>
    <w:rsid w:val="752B3379"/>
    <w:rsid w:val="7576441D"/>
    <w:rsid w:val="757A7E5C"/>
    <w:rsid w:val="757D16FB"/>
    <w:rsid w:val="758B689E"/>
    <w:rsid w:val="75A82C1C"/>
    <w:rsid w:val="75BD0103"/>
    <w:rsid w:val="760D6F22"/>
    <w:rsid w:val="760F67F7"/>
    <w:rsid w:val="76133609"/>
    <w:rsid w:val="762F50EB"/>
    <w:rsid w:val="763F1C89"/>
    <w:rsid w:val="7641097A"/>
    <w:rsid w:val="764853C3"/>
    <w:rsid w:val="764A453B"/>
    <w:rsid w:val="764F3097"/>
    <w:rsid w:val="767147EA"/>
    <w:rsid w:val="768E1E11"/>
    <w:rsid w:val="76937428"/>
    <w:rsid w:val="7695551F"/>
    <w:rsid w:val="76A95873"/>
    <w:rsid w:val="76BD6253"/>
    <w:rsid w:val="76C70E7F"/>
    <w:rsid w:val="76D13197"/>
    <w:rsid w:val="76E23F0B"/>
    <w:rsid w:val="77240332"/>
    <w:rsid w:val="7770799C"/>
    <w:rsid w:val="77BA09E4"/>
    <w:rsid w:val="77BD7F0F"/>
    <w:rsid w:val="77D23F80"/>
    <w:rsid w:val="77F96658"/>
    <w:rsid w:val="78032380"/>
    <w:rsid w:val="780649BD"/>
    <w:rsid w:val="7812649D"/>
    <w:rsid w:val="7826619A"/>
    <w:rsid w:val="78436C2C"/>
    <w:rsid w:val="78494817"/>
    <w:rsid w:val="78745037"/>
    <w:rsid w:val="78791B91"/>
    <w:rsid w:val="788C2381"/>
    <w:rsid w:val="78992CEF"/>
    <w:rsid w:val="78995758"/>
    <w:rsid w:val="78BC253A"/>
    <w:rsid w:val="78CB12BA"/>
    <w:rsid w:val="78CC09CF"/>
    <w:rsid w:val="78E20029"/>
    <w:rsid w:val="78F13B18"/>
    <w:rsid w:val="79052133"/>
    <w:rsid w:val="79066F17"/>
    <w:rsid w:val="79132AA2"/>
    <w:rsid w:val="79256331"/>
    <w:rsid w:val="792A6A82"/>
    <w:rsid w:val="79586E66"/>
    <w:rsid w:val="7967201E"/>
    <w:rsid w:val="798E2128"/>
    <w:rsid w:val="79913601"/>
    <w:rsid w:val="79997202"/>
    <w:rsid w:val="79A631BE"/>
    <w:rsid w:val="79A70AC0"/>
    <w:rsid w:val="79B576B5"/>
    <w:rsid w:val="79C1605A"/>
    <w:rsid w:val="79C35EE4"/>
    <w:rsid w:val="79CE4C1B"/>
    <w:rsid w:val="79E30905"/>
    <w:rsid w:val="79F503F9"/>
    <w:rsid w:val="7A0D62BB"/>
    <w:rsid w:val="7A1563A6"/>
    <w:rsid w:val="7A210B1F"/>
    <w:rsid w:val="7A4773F3"/>
    <w:rsid w:val="7A4867FC"/>
    <w:rsid w:val="7A4B2C36"/>
    <w:rsid w:val="7A514939"/>
    <w:rsid w:val="7A520ED6"/>
    <w:rsid w:val="7A7C4677"/>
    <w:rsid w:val="7A8F7F06"/>
    <w:rsid w:val="7A950461"/>
    <w:rsid w:val="7AA038DE"/>
    <w:rsid w:val="7AA82DC9"/>
    <w:rsid w:val="7AA8546C"/>
    <w:rsid w:val="7AB470B6"/>
    <w:rsid w:val="7AD87AFF"/>
    <w:rsid w:val="7ADE68DB"/>
    <w:rsid w:val="7AEE4412"/>
    <w:rsid w:val="7B09415C"/>
    <w:rsid w:val="7B21693E"/>
    <w:rsid w:val="7B30439D"/>
    <w:rsid w:val="7B7900AD"/>
    <w:rsid w:val="7BB120FE"/>
    <w:rsid w:val="7BE129E3"/>
    <w:rsid w:val="7BF94092"/>
    <w:rsid w:val="7C3E2849"/>
    <w:rsid w:val="7C3F02CE"/>
    <w:rsid w:val="7C407D3A"/>
    <w:rsid w:val="7C4B4301"/>
    <w:rsid w:val="7C623145"/>
    <w:rsid w:val="7C690A14"/>
    <w:rsid w:val="7C8E7766"/>
    <w:rsid w:val="7C9C0693"/>
    <w:rsid w:val="7CA9476E"/>
    <w:rsid w:val="7CB26E8E"/>
    <w:rsid w:val="7CC16371"/>
    <w:rsid w:val="7CD75B94"/>
    <w:rsid w:val="7CE710FA"/>
    <w:rsid w:val="7CE86B63"/>
    <w:rsid w:val="7D0D36D5"/>
    <w:rsid w:val="7D2A660C"/>
    <w:rsid w:val="7D2C0CE2"/>
    <w:rsid w:val="7D2D3A06"/>
    <w:rsid w:val="7D3E79C1"/>
    <w:rsid w:val="7D6E02A7"/>
    <w:rsid w:val="7D6E474B"/>
    <w:rsid w:val="7D6F2271"/>
    <w:rsid w:val="7D7810B5"/>
    <w:rsid w:val="7D8436EA"/>
    <w:rsid w:val="7D8E7D9A"/>
    <w:rsid w:val="7D917A20"/>
    <w:rsid w:val="7DB008BF"/>
    <w:rsid w:val="7DBD122E"/>
    <w:rsid w:val="7DD81BC4"/>
    <w:rsid w:val="7DDD542C"/>
    <w:rsid w:val="7DE07FB2"/>
    <w:rsid w:val="7DEA1D90"/>
    <w:rsid w:val="7DF93D08"/>
    <w:rsid w:val="7E071957"/>
    <w:rsid w:val="7E0724A9"/>
    <w:rsid w:val="7E175980"/>
    <w:rsid w:val="7E257EF5"/>
    <w:rsid w:val="7E6E54AC"/>
    <w:rsid w:val="7E7B36FD"/>
    <w:rsid w:val="7E8345C7"/>
    <w:rsid w:val="7E8D0C00"/>
    <w:rsid w:val="7EAA7A04"/>
    <w:rsid w:val="7EAE0FEB"/>
    <w:rsid w:val="7EBA4486"/>
    <w:rsid w:val="7ED76320"/>
    <w:rsid w:val="7EED169F"/>
    <w:rsid w:val="7EF02F3D"/>
    <w:rsid w:val="7F0A04A3"/>
    <w:rsid w:val="7F170008"/>
    <w:rsid w:val="7F2F688E"/>
    <w:rsid w:val="7F300390"/>
    <w:rsid w:val="7F3B7298"/>
    <w:rsid w:val="7F533BF8"/>
    <w:rsid w:val="7F695428"/>
    <w:rsid w:val="7F6A2CF0"/>
    <w:rsid w:val="7F8302A8"/>
    <w:rsid w:val="7F9562A7"/>
    <w:rsid w:val="7FD36AE7"/>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520" w:lineRule="exact"/>
      <w:ind w:firstLine="472"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6"/>
    <w:autoRedefine/>
    <w:qFormat/>
    <w:uiPriority w:val="0"/>
    <w:pPr>
      <w:keepNext/>
      <w:keepLines/>
      <w:snapToGrid w:val="0"/>
      <w:spacing w:line="360" w:lineRule="auto"/>
      <w:jc w:val="center"/>
      <w:outlineLvl w:val="0"/>
    </w:pPr>
    <w:rPr>
      <w:rFonts w:ascii="宋体" w:hAnsi="宋体" w:cs="宋体"/>
      <w:b/>
      <w:color w:val="FF0000"/>
      <w:kern w:val="44"/>
      <w:sz w:val="28"/>
      <w:szCs w:val="28"/>
    </w:rPr>
  </w:style>
  <w:style w:type="paragraph" w:styleId="3">
    <w:name w:val="heading 2"/>
    <w:basedOn w:val="1"/>
    <w:next w:val="1"/>
    <w:link w:val="45"/>
    <w:autoRedefine/>
    <w:qFormat/>
    <w:uiPriority w:val="0"/>
    <w:pPr>
      <w:keepNext/>
      <w:keepLines/>
      <w:numPr>
        <w:ilvl w:val="1"/>
        <w:numId w:val="1"/>
      </w:numPr>
      <w:spacing w:before="200" w:after="200" w:line="360" w:lineRule="auto"/>
      <w:jc w:val="left"/>
      <w:outlineLvl w:val="1"/>
    </w:pPr>
    <w:rPr>
      <w:rFonts w:ascii="黑体" w:hAnsi="黑体" w:eastAsia="黑体"/>
      <w:bCs/>
      <w:sz w:val="28"/>
      <w:szCs w:val="32"/>
    </w:rPr>
  </w:style>
  <w:style w:type="paragraph" w:styleId="4">
    <w:name w:val="heading 3"/>
    <w:basedOn w:val="1"/>
    <w:next w:val="1"/>
    <w:link w:val="39"/>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5">
    <w:name w:val="Default Paragraph Font"/>
    <w:autoRedefine/>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7">
    <w:name w:val="caption"/>
    <w:basedOn w:val="1"/>
    <w:next w:val="1"/>
    <w:link w:val="37"/>
    <w:autoRedefine/>
    <w:qFormat/>
    <w:uiPriority w:val="0"/>
    <w:pPr>
      <w:keepNext/>
      <w:spacing w:line="500" w:lineRule="exact"/>
      <w:jc w:val="center"/>
    </w:pPr>
    <w:rPr>
      <w:rFonts w:ascii="黑体" w:hAnsi="黑体" w:eastAsia="黑体"/>
      <w:color w:val="FF0000"/>
      <w:sz w:val="21"/>
      <w:szCs w:val="21"/>
    </w:rPr>
  </w:style>
  <w:style w:type="paragraph" w:styleId="8">
    <w:name w:val="annotation text"/>
    <w:basedOn w:val="1"/>
    <w:link w:val="40"/>
    <w:autoRedefine/>
    <w:qFormat/>
    <w:uiPriority w:val="99"/>
    <w:pPr>
      <w:jc w:val="left"/>
    </w:pPr>
  </w:style>
  <w:style w:type="paragraph" w:styleId="9">
    <w:name w:val="Body Text"/>
    <w:autoRedefine/>
    <w:qFormat/>
    <w:uiPriority w:val="99"/>
    <w:pPr>
      <w:widowControl/>
      <w:snapToGrid w:val="0"/>
      <w:spacing w:line="500" w:lineRule="exact"/>
      <w:ind w:firstLine="482" w:firstLineChars="200"/>
      <w:jc w:val="both"/>
    </w:pPr>
    <w:rPr>
      <w:rFonts w:ascii="宋体" w:hAnsi="宋体" w:eastAsia="宋体" w:cs="宋体"/>
      <w:b/>
      <w:bCs/>
      <w:color w:val="ED0000"/>
      <w:kern w:val="0"/>
      <w:sz w:val="24"/>
      <w:szCs w:val="24"/>
      <w:lang w:val="en-US" w:eastAsia="zh-CN" w:bidi="ar-SA"/>
    </w:rPr>
  </w:style>
  <w:style w:type="paragraph" w:styleId="10">
    <w:name w:val="Block Text"/>
    <w:basedOn w:val="1"/>
    <w:next w:val="11"/>
    <w:autoRedefine/>
    <w:qFormat/>
    <w:uiPriority w:val="99"/>
    <w:pPr>
      <w:widowControl w:val="0"/>
      <w:spacing w:line="480" w:lineRule="exact"/>
      <w:ind w:left="-125" w:right="-56" w:firstLine="570"/>
      <w:jc w:val="both"/>
    </w:pPr>
    <w:rPr>
      <w:rFonts w:ascii="Times New Roman" w:hAnsi="Times New Roman" w:eastAsia="宋体" w:cs="Times New Roman"/>
      <w:kern w:val="2"/>
      <w:sz w:val="28"/>
      <w:szCs w:val="24"/>
      <w:lang w:val="en-US" w:eastAsia="zh-CN" w:bidi="ar-SA"/>
    </w:rPr>
  </w:style>
  <w:style w:type="paragraph" w:styleId="11">
    <w:name w:val="toc 9"/>
    <w:basedOn w:val="1"/>
    <w:next w:val="1"/>
    <w:autoRedefine/>
    <w:qFormat/>
    <w:uiPriority w:val="39"/>
    <w:pPr>
      <w:ind w:left="1680"/>
      <w:jc w:val="left"/>
    </w:pPr>
    <w:rPr>
      <w:sz w:val="18"/>
    </w:rPr>
  </w:style>
  <w:style w:type="paragraph" w:styleId="12">
    <w:name w:val="toc 3"/>
    <w:basedOn w:val="1"/>
    <w:next w:val="1"/>
    <w:autoRedefine/>
    <w:qFormat/>
    <w:uiPriority w:val="0"/>
    <w:pPr>
      <w:ind w:left="840" w:leftChars="400"/>
    </w:pPr>
  </w:style>
  <w:style w:type="paragraph" w:styleId="13">
    <w:name w:val="Date"/>
    <w:basedOn w:val="1"/>
    <w:next w:val="1"/>
    <w:autoRedefine/>
    <w:qFormat/>
    <w:uiPriority w:val="0"/>
    <w:rPr>
      <w:rFonts w:ascii="宋体"/>
      <w:kern w:val="0"/>
      <w:sz w:val="20"/>
      <w:szCs w:val="20"/>
    </w:rPr>
  </w:style>
  <w:style w:type="paragraph" w:styleId="14">
    <w:name w:val="footer"/>
    <w:basedOn w:val="1"/>
    <w:link w:val="41"/>
    <w:autoRedefine/>
    <w:qFormat/>
    <w:uiPriority w:val="0"/>
    <w:pPr>
      <w:tabs>
        <w:tab w:val="center" w:pos="4153"/>
        <w:tab w:val="right" w:pos="8306"/>
      </w:tabs>
      <w:snapToGrid w:val="0"/>
      <w:spacing w:line="200" w:lineRule="atLeast"/>
      <w:ind w:firstLine="0" w:firstLineChars="0"/>
      <w:jc w:val="left"/>
    </w:pPr>
    <w:rPr>
      <w:rFonts w:ascii="Times New Roman" w:hAnsi="Times New Roman" w:eastAsia="宋体"/>
      <w:sz w:val="18"/>
      <w:szCs w:val="18"/>
    </w:rPr>
  </w:style>
  <w:style w:type="paragraph" w:styleId="15">
    <w:name w:val="header"/>
    <w:basedOn w:val="1"/>
    <w:link w:val="42"/>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autoRedefine/>
    <w:qFormat/>
    <w:uiPriority w:val="0"/>
  </w:style>
  <w:style w:type="paragraph" w:styleId="17">
    <w:name w:val="index heading"/>
    <w:basedOn w:val="1"/>
    <w:next w:val="18"/>
    <w:autoRedefine/>
    <w:qFormat/>
    <w:uiPriority w:val="0"/>
    <w:rPr>
      <w:rFonts w:hint="eastAsia" w:ascii="Cambria" w:hAnsi="Cambria"/>
      <w:b/>
    </w:rPr>
  </w:style>
  <w:style w:type="paragraph" w:styleId="18">
    <w:name w:val="index 1"/>
    <w:basedOn w:val="1"/>
    <w:next w:val="1"/>
    <w:autoRedefine/>
    <w:qFormat/>
    <w:uiPriority w:val="0"/>
  </w:style>
  <w:style w:type="paragraph" w:styleId="19">
    <w:name w:val="toc 2"/>
    <w:basedOn w:val="1"/>
    <w:next w:val="1"/>
    <w:autoRedefine/>
    <w:unhideWhenUsed/>
    <w:qFormat/>
    <w:uiPriority w:val="39"/>
    <w:pPr>
      <w:spacing w:before="120"/>
      <w:ind w:left="210"/>
      <w:jc w:val="left"/>
    </w:pPr>
    <w:rPr>
      <w:rFonts w:ascii="Calibri" w:hAnsi="Calibri" w:cs="Calibri"/>
      <w:i/>
      <w:iCs/>
      <w:sz w:val="20"/>
    </w:rPr>
  </w:style>
  <w:style w:type="paragraph" w:styleId="20">
    <w:name w:val="Normal (Web)"/>
    <w:basedOn w:val="1"/>
    <w:link w:val="49"/>
    <w:autoRedefine/>
    <w:qFormat/>
    <w:uiPriority w:val="99"/>
    <w:pPr>
      <w:widowControl/>
      <w:spacing w:before="100" w:beforeAutospacing="1" w:after="100" w:afterAutospacing="1"/>
      <w:jc w:val="left"/>
    </w:pPr>
    <w:rPr>
      <w:rFonts w:ascii="宋体" w:hAnsi="宋体"/>
      <w:kern w:val="0"/>
    </w:rPr>
  </w:style>
  <w:style w:type="paragraph" w:styleId="21">
    <w:name w:val="annotation subject"/>
    <w:basedOn w:val="8"/>
    <w:next w:val="1"/>
    <w:link w:val="47"/>
    <w:autoRedefine/>
    <w:qFormat/>
    <w:uiPriority w:val="0"/>
    <w:rPr>
      <w:b/>
      <w:bCs/>
    </w:rPr>
  </w:style>
  <w:style w:type="paragraph" w:styleId="22">
    <w:name w:val="Body Text First Indent"/>
    <w:basedOn w:val="9"/>
    <w:autoRedefine/>
    <w:qFormat/>
    <w:uiPriority w:val="0"/>
    <w:pPr>
      <w:ind w:firstLine="420" w:firstLineChars="100"/>
    </w:pPr>
  </w:style>
  <w:style w:type="table" w:styleId="24">
    <w:name w:val="Table Grid"/>
    <w:basedOn w:val="2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autoRedefine/>
    <w:qFormat/>
    <w:uiPriority w:val="0"/>
  </w:style>
  <w:style w:type="character" w:styleId="27">
    <w:name w:val="FollowedHyperlink"/>
    <w:autoRedefine/>
    <w:qFormat/>
    <w:uiPriority w:val="0"/>
    <w:rPr>
      <w:color w:val="333333"/>
      <w:u w:val="none"/>
    </w:rPr>
  </w:style>
  <w:style w:type="character" w:styleId="28">
    <w:name w:val="Emphasis"/>
    <w:basedOn w:val="25"/>
    <w:autoRedefine/>
    <w:qFormat/>
    <w:uiPriority w:val="0"/>
    <w:rPr>
      <w:i/>
    </w:rPr>
  </w:style>
  <w:style w:type="character" w:styleId="29">
    <w:name w:val="Hyperlink"/>
    <w:autoRedefine/>
    <w:qFormat/>
    <w:uiPriority w:val="0"/>
    <w:rPr>
      <w:color w:val="20528F"/>
      <w:u w:val="none"/>
    </w:rPr>
  </w:style>
  <w:style w:type="character" w:styleId="30">
    <w:name w:val="annotation reference"/>
    <w:basedOn w:val="25"/>
    <w:autoRedefine/>
    <w:qFormat/>
    <w:uiPriority w:val="0"/>
    <w:rPr>
      <w:sz w:val="21"/>
      <w:szCs w:val="21"/>
    </w:rPr>
  </w:style>
  <w:style w:type="paragraph" w:customStyle="1" w:styleId="31">
    <w:name w:val="标题 03"/>
    <w:basedOn w:val="1"/>
    <w:link w:val="58"/>
    <w:autoRedefine/>
    <w:qFormat/>
    <w:uiPriority w:val="0"/>
    <w:pPr>
      <w:numPr>
        <w:ilvl w:val="1"/>
        <w:numId w:val="2"/>
      </w:numPr>
      <w:autoSpaceDE w:val="0"/>
      <w:autoSpaceDN w:val="0"/>
      <w:adjustRightInd w:val="0"/>
      <w:snapToGrid w:val="0"/>
      <w:spacing w:line="500" w:lineRule="exact"/>
      <w:ind w:left="0" w:firstLine="472" w:firstLineChars="200"/>
    </w:pPr>
    <w:rPr>
      <w:rFonts w:hint="eastAsia" w:ascii="Times New Roman" w:hAnsi="Times New Roman" w:eastAsia="宋体"/>
      <w:color w:val="000000" w:themeColor="text1"/>
      <w:lang w:eastAsia="en-US"/>
      <w14:textFill>
        <w14:solidFill>
          <w14:schemeClr w14:val="tx1"/>
        </w14:solidFill>
      </w14:textFill>
    </w:rPr>
  </w:style>
  <w:style w:type="paragraph" w:customStyle="1" w:styleId="32">
    <w:name w:val="标题 02"/>
    <w:basedOn w:val="1"/>
    <w:link w:val="57"/>
    <w:autoRedefine/>
    <w:qFormat/>
    <w:uiPriority w:val="0"/>
    <w:pPr>
      <w:numPr>
        <w:ilvl w:val="0"/>
        <w:numId w:val="2"/>
      </w:numPr>
      <w:adjustRightInd w:val="0"/>
      <w:snapToGrid w:val="0"/>
      <w:spacing w:before="200" w:after="200" w:line="520" w:lineRule="exact"/>
      <w:ind w:left="0" w:firstLine="471" w:firstLineChars="0"/>
    </w:pPr>
    <w:rPr>
      <w:rFonts w:hint="eastAsia" w:ascii="Times New Roman" w:hAnsi="Times New Roman" w:eastAsia="宋体" w:cs="宋体"/>
      <w:b/>
      <w:color w:val="000000" w:themeColor="text1"/>
      <w14:textFill>
        <w14:solidFill>
          <w14:schemeClr w14:val="tx1"/>
        </w14:solidFill>
      </w14:textFill>
    </w:rPr>
  </w:style>
  <w:style w:type="paragraph" w:customStyle="1" w:styleId="33">
    <w:name w:val="表内"/>
    <w:basedOn w:val="1"/>
    <w:link w:val="34"/>
    <w:autoRedefine/>
    <w:qFormat/>
    <w:uiPriority w:val="0"/>
    <w:pPr>
      <w:widowControl/>
      <w:adjustRightInd w:val="0"/>
      <w:snapToGrid w:val="0"/>
      <w:spacing w:line="300" w:lineRule="exact"/>
      <w:ind w:firstLine="0" w:firstLineChars="0"/>
      <w:jc w:val="center"/>
    </w:pPr>
    <w:rPr>
      <w:rFonts w:ascii="Times New Roman" w:hAnsi="Times New Roman" w:eastAsia="宋体" w:cs="Arial"/>
      <w:sz w:val="21"/>
      <w:szCs w:val="21"/>
    </w:rPr>
  </w:style>
  <w:style w:type="character" w:customStyle="1" w:styleId="34">
    <w:name w:val="表字-书 Char"/>
    <w:link w:val="33"/>
    <w:autoRedefine/>
    <w:qFormat/>
    <w:uiPriority w:val="0"/>
    <w:rPr>
      <w:rFonts w:ascii="Times New Roman" w:hAnsi="Times New Roman" w:eastAsia="宋体" w:cs="Arial"/>
      <w:kern w:val="2"/>
      <w:sz w:val="21"/>
      <w:szCs w:val="21"/>
    </w:rPr>
  </w:style>
  <w:style w:type="character" w:customStyle="1" w:styleId="35">
    <w:name w:val="正文(首行缩进) Char Char"/>
    <w:link w:val="36"/>
    <w:autoRedefine/>
    <w:qFormat/>
    <w:locked/>
    <w:uiPriority w:val="99"/>
    <w:rPr>
      <w:rFonts w:ascii="Times New Roman" w:hAnsi="Times New Roman" w:eastAsia="宋体"/>
      <w:spacing w:val="-2"/>
      <w:sz w:val="24"/>
      <w:szCs w:val="24"/>
    </w:rPr>
  </w:style>
  <w:style w:type="paragraph" w:customStyle="1" w:styleId="36">
    <w:name w:val="正文(首行缩进)"/>
    <w:basedOn w:val="1"/>
    <w:link w:val="35"/>
    <w:autoRedefine/>
    <w:qFormat/>
    <w:uiPriority w:val="99"/>
    <w:pPr>
      <w:tabs>
        <w:tab w:val="left" w:pos="4584"/>
      </w:tabs>
      <w:adjustRightInd w:val="0"/>
      <w:snapToGrid w:val="0"/>
      <w:spacing w:line="520" w:lineRule="exact"/>
      <w:ind w:firstLine="472" w:firstLineChars="200"/>
    </w:pPr>
    <w:rPr>
      <w:rFonts w:ascii="Times New Roman" w:hAnsi="Times New Roman" w:eastAsia="宋体"/>
      <w:spacing w:val="-2"/>
      <w:kern w:val="0"/>
    </w:rPr>
  </w:style>
  <w:style w:type="character" w:customStyle="1" w:styleId="37">
    <w:name w:val="题注 字符"/>
    <w:link w:val="7"/>
    <w:autoRedefine/>
    <w:qFormat/>
    <w:uiPriority w:val="0"/>
    <w:rPr>
      <w:rFonts w:ascii="黑体" w:hAnsi="黑体" w:eastAsia="黑体"/>
      <w:color w:val="FF0000"/>
      <w:kern w:val="2"/>
      <w:sz w:val="21"/>
      <w:szCs w:val="21"/>
    </w:rPr>
  </w:style>
  <w:style w:type="character" w:customStyle="1" w:styleId="38">
    <w:name w:val="题注 字符3"/>
    <w:autoRedefine/>
    <w:qFormat/>
    <w:uiPriority w:val="0"/>
    <w:rPr>
      <w:b/>
      <w:kern w:val="2"/>
      <w:sz w:val="21"/>
    </w:rPr>
  </w:style>
  <w:style w:type="character" w:customStyle="1" w:styleId="39">
    <w:name w:val="标题 3 字符"/>
    <w:basedOn w:val="25"/>
    <w:link w:val="4"/>
    <w:autoRedefine/>
    <w:qFormat/>
    <w:uiPriority w:val="9"/>
    <w:rPr>
      <w:b/>
      <w:bCs/>
      <w:kern w:val="2"/>
      <w:sz w:val="32"/>
      <w:szCs w:val="32"/>
    </w:rPr>
  </w:style>
  <w:style w:type="character" w:customStyle="1" w:styleId="40">
    <w:name w:val="批注文字 字符"/>
    <w:link w:val="8"/>
    <w:autoRedefine/>
    <w:qFormat/>
    <w:uiPriority w:val="99"/>
    <w:rPr>
      <w:kern w:val="2"/>
      <w:sz w:val="24"/>
      <w:szCs w:val="24"/>
    </w:rPr>
  </w:style>
  <w:style w:type="character" w:customStyle="1" w:styleId="41">
    <w:name w:val="页脚 字符"/>
    <w:link w:val="14"/>
    <w:autoRedefine/>
    <w:qFormat/>
    <w:uiPriority w:val="0"/>
    <w:rPr>
      <w:rFonts w:ascii="Times New Roman" w:hAnsi="Times New Roman" w:eastAsia="宋体"/>
      <w:kern w:val="2"/>
      <w:sz w:val="18"/>
      <w:szCs w:val="18"/>
    </w:rPr>
  </w:style>
  <w:style w:type="character" w:customStyle="1" w:styleId="42">
    <w:name w:val="页眉 字符"/>
    <w:link w:val="15"/>
    <w:autoRedefine/>
    <w:qFormat/>
    <w:uiPriority w:val="0"/>
    <w:rPr>
      <w:sz w:val="18"/>
      <w:szCs w:val="18"/>
    </w:rPr>
  </w:style>
  <w:style w:type="paragraph" w:customStyle="1" w:styleId="43">
    <w:name w:val="样式 首行缩进:  2 字符1"/>
    <w:basedOn w:val="1"/>
    <w:autoRedefine/>
    <w:qFormat/>
    <w:uiPriority w:val="0"/>
    <w:pPr>
      <w:spacing w:line="400" w:lineRule="exact"/>
    </w:pPr>
    <w:rPr>
      <w:rFonts w:ascii="宋体"/>
      <w:sz w:val="21"/>
      <w:szCs w:val="20"/>
    </w:rPr>
  </w:style>
  <w:style w:type="character" w:customStyle="1" w:styleId="44">
    <w:name w:val="页脚 Char2"/>
    <w:autoRedefine/>
    <w:qFormat/>
    <w:uiPriority w:val="99"/>
    <w:rPr>
      <w:sz w:val="18"/>
      <w:szCs w:val="18"/>
    </w:rPr>
  </w:style>
  <w:style w:type="character" w:customStyle="1" w:styleId="45">
    <w:name w:val="标题 2 字符"/>
    <w:link w:val="3"/>
    <w:autoRedefine/>
    <w:qFormat/>
    <w:uiPriority w:val="0"/>
    <w:rPr>
      <w:rFonts w:ascii="黑体" w:hAnsi="黑体" w:eastAsia="黑体"/>
      <w:bCs/>
      <w:kern w:val="2"/>
      <w:sz w:val="28"/>
      <w:szCs w:val="32"/>
    </w:rPr>
  </w:style>
  <w:style w:type="character" w:customStyle="1" w:styleId="46">
    <w:name w:val="标题 1 字符"/>
    <w:link w:val="2"/>
    <w:autoRedefine/>
    <w:qFormat/>
    <w:uiPriority w:val="0"/>
    <w:rPr>
      <w:rFonts w:ascii="宋体" w:hAnsi="宋体" w:cs="宋体"/>
      <w:b/>
      <w:color w:val="FF0000"/>
      <w:kern w:val="44"/>
      <w:sz w:val="28"/>
      <w:szCs w:val="28"/>
    </w:rPr>
  </w:style>
  <w:style w:type="character" w:customStyle="1" w:styleId="47">
    <w:name w:val="批注主题 字符"/>
    <w:basedOn w:val="40"/>
    <w:link w:val="21"/>
    <w:autoRedefine/>
    <w:qFormat/>
    <w:uiPriority w:val="0"/>
    <w:rPr>
      <w:b/>
      <w:bCs/>
      <w:kern w:val="2"/>
      <w:sz w:val="24"/>
      <w:szCs w:val="24"/>
    </w:rPr>
  </w:style>
  <w:style w:type="table" w:customStyle="1" w:styleId="48">
    <w:name w:val="报告书表格样式1"/>
    <w:basedOn w:val="23"/>
    <w:autoRedefine/>
    <w:qFormat/>
    <w:uiPriority w:val="0"/>
    <w:pPr>
      <w:spacing w:line="300" w:lineRule="exact"/>
      <w:contextualSpacing/>
      <w:jc w:val="center"/>
    </w:pPr>
    <w:rPr>
      <w:rFonts w:ascii="宋体" w:hAnsi="宋体" w:cs="宋体"/>
      <w:szCs w:val="21"/>
    </w:rPr>
    <w:tblPr>
      <w:jc w:val="center"/>
      <w:tblBorders>
        <w:top w:val="single" w:color="auto" w:sz="12" w:space="0"/>
        <w:bottom w:val="single" w:color="auto" w:sz="12" w:space="0"/>
        <w:insideH w:val="single" w:color="auto" w:sz="4" w:space="0"/>
        <w:insideV w:val="single" w:color="auto" w:sz="4" w:space="0"/>
      </w:tblBorders>
      <w:tblCellMar>
        <w:left w:w="28" w:type="dxa"/>
        <w:right w:w="28" w:type="dxa"/>
      </w:tblCellMar>
    </w:tblPr>
    <w:trPr>
      <w:jc w:val="center"/>
    </w:trPr>
    <w:tcPr>
      <w:vAlign w:val="center"/>
    </w:tcPr>
  </w:style>
  <w:style w:type="character" w:customStyle="1" w:styleId="49">
    <w:name w:val="普通(网站) 字符"/>
    <w:link w:val="20"/>
    <w:autoRedefine/>
    <w:qFormat/>
    <w:locked/>
    <w:uiPriority w:val="99"/>
    <w:rPr>
      <w:rFonts w:ascii="宋体" w:hAnsi="宋体"/>
      <w:sz w:val="24"/>
      <w:szCs w:val="24"/>
    </w:rPr>
  </w:style>
  <w:style w:type="table" w:customStyle="1" w:styleId="50">
    <w:name w:val="样式1"/>
    <w:basedOn w:val="23"/>
    <w:autoRedefine/>
    <w:qFormat/>
    <w:uiPriority w:val="99"/>
    <w:tblPr>
      <w:tblBorders>
        <w:top w:val="single" w:color="auto" w:sz="12" w:space="0"/>
        <w:bottom w:val="single" w:color="auto" w:sz="12" w:space="0"/>
        <w:insideH w:val="single" w:color="auto" w:sz="6" w:space="0"/>
        <w:insideV w:val="single" w:color="auto" w:sz="6" w:space="0"/>
      </w:tblBorders>
    </w:tblPr>
  </w:style>
  <w:style w:type="table" w:customStyle="1" w:styleId="51">
    <w:name w:val="报告书表格样式12"/>
    <w:basedOn w:val="23"/>
    <w:autoRedefine/>
    <w:qFormat/>
    <w:uiPriority w:val="0"/>
    <w:pPr>
      <w:jc w:val="center"/>
    </w:pPr>
    <w:tblPr>
      <w:tblBorders>
        <w:top w:val="single" w:color="auto" w:sz="12" w:space="0"/>
        <w:bottom w:val="single" w:color="auto" w:sz="12" w:space="0"/>
        <w:insideH w:val="single" w:color="auto" w:sz="6" w:space="0"/>
        <w:insideV w:val="single" w:color="auto" w:sz="6" w:space="0"/>
      </w:tblBorders>
      <w:tblCellMar>
        <w:left w:w="28" w:type="dxa"/>
        <w:right w:w="28" w:type="dxa"/>
      </w:tblCellMar>
    </w:tblPr>
    <w:tcPr>
      <w:vAlign w:val="center"/>
    </w:tcPr>
  </w:style>
  <w:style w:type="paragraph" w:customStyle="1" w:styleId="52">
    <w:name w:val="表头"/>
    <w:basedOn w:val="1"/>
    <w:autoRedefine/>
    <w:qFormat/>
    <w:uiPriority w:val="0"/>
    <w:pPr>
      <w:snapToGrid w:val="0"/>
      <w:spacing w:line="500" w:lineRule="exact"/>
      <w:ind w:firstLine="0" w:firstLineChars="0"/>
      <w:jc w:val="center"/>
    </w:pPr>
    <w:rPr>
      <w:rFonts w:hint="eastAsia" w:ascii="黑体" w:hAnsi="黑体" w:eastAsia="黑体" w:cs="黑体"/>
      <w:color w:val="000000" w:themeColor="text1"/>
      <w:sz w:val="21"/>
      <w:szCs w:val="21"/>
      <w14:textFill>
        <w14:solidFill>
          <w14:schemeClr w14:val="tx1"/>
        </w14:solidFill>
      </w14:textFill>
    </w:rPr>
  </w:style>
  <w:style w:type="paragraph" w:customStyle="1" w:styleId="53">
    <w:name w:val="正文居中"/>
    <w:basedOn w:val="1"/>
    <w:autoRedefine/>
    <w:qFormat/>
    <w:uiPriority w:val="0"/>
    <w:pPr>
      <w:snapToGrid w:val="0"/>
      <w:ind w:firstLine="0" w:firstLineChars="0"/>
      <w:jc w:val="center"/>
    </w:pPr>
    <w:rPr>
      <w:rFonts w:hint="eastAsia" w:cs="宋体"/>
    </w:rPr>
  </w:style>
  <w:style w:type="paragraph" w:customStyle="1" w:styleId="54">
    <w:name w:val="附图 自动编号"/>
    <w:basedOn w:val="1"/>
    <w:link w:val="55"/>
    <w:autoRedefine/>
    <w:qFormat/>
    <w:uiPriority w:val="0"/>
    <w:pPr>
      <w:numPr>
        <w:ilvl w:val="0"/>
        <w:numId w:val="3"/>
      </w:numPr>
      <w:spacing w:line="360" w:lineRule="auto"/>
      <w:jc w:val="center"/>
      <w:outlineLvl w:val="2"/>
    </w:pPr>
    <w:rPr>
      <w:rFonts w:ascii="Times New Roman" w:hAnsi="Times New Roman" w:eastAsia="黑体"/>
      <w:color w:val="auto"/>
    </w:rPr>
  </w:style>
  <w:style w:type="character" w:customStyle="1" w:styleId="55">
    <w:name w:val="附图 自动编号 Char"/>
    <w:link w:val="54"/>
    <w:autoRedefine/>
    <w:qFormat/>
    <w:uiPriority w:val="0"/>
    <w:rPr>
      <w:rFonts w:ascii="Times New Roman" w:hAnsi="Times New Roman" w:eastAsia="黑体"/>
      <w:color w:val="auto"/>
    </w:rPr>
  </w:style>
  <w:style w:type="paragraph" w:customStyle="1" w:styleId="56">
    <w:name w:val="附件 自动编号"/>
    <w:basedOn w:val="1"/>
    <w:next w:val="1"/>
    <w:autoRedefine/>
    <w:qFormat/>
    <w:uiPriority w:val="0"/>
    <w:pPr>
      <w:keepNext/>
      <w:keepLines/>
      <w:numPr>
        <w:ilvl w:val="0"/>
        <w:numId w:val="4"/>
      </w:numPr>
      <w:adjustRightInd w:val="0"/>
      <w:snapToGrid w:val="0"/>
      <w:spacing w:line="240" w:lineRule="auto"/>
      <w:outlineLvl w:val="2"/>
    </w:pPr>
    <w:rPr>
      <w:rFonts w:ascii="Times New Roman" w:hAnsi="Times New Roman" w:eastAsia="宋体"/>
      <w:b/>
      <w:color w:val="auto"/>
      <w:kern w:val="44"/>
      <w:szCs w:val="28"/>
    </w:rPr>
  </w:style>
  <w:style w:type="character" w:customStyle="1" w:styleId="57">
    <w:name w:val="标题 02 Char"/>
    <w:link w:val="32"/>
    <w:autoRedefine/>
    <w:qFormat/>
    <w:uiPriority w:val="0"/>
    <w:rPr>
      <w:rFonts w:hint="eastAsia" w:ascii="Times New Roman" w:hAnsi="Times New Roman" w:eastAsia="宋体" w:cs="宋体"/>
      <w:b/>
      <w:color w:val="000000" w:themeColor="text1"/>
      <w14:textFill>
        <w14:solidFill>
          <w14:schemeClr w14:val="tx1"/>
        </w14:solidFill>
      </w14:textFill>
    </w:rPr>
  </w:style>
  <w:style w:type="character" w:customStyle="1" w:styleId="58">
    <w:name w:val="标题 03 Char"/>
    <w:link w:val="31"/>
    <w:autoRedefine/>
    <w:qFormat/>
    <w:uiPriority w:val="0"/>
    <w:rPr>
      <w:rFonts w:hint="eastAsia" w:ascii="Times New Roman" w:hAnsi="Times New Roman" w:eastAsia="宋体"/>
      <w:color w:val="000000" w:themeColor="text1"/>
      <w:lang w:eastAsia="en-US"/>
      <w14:textFill>
        <w14:solidFill>
          <w14:schemeClr w14:val="tx1"/>
        </w14:solidFill>
      </w14:textFill>
    </w:rPr>
  </w:style>
  <w:style w:type="paragraph" w:customStyle="1" w:styleId="59">
    <w:name w:val="不缩进正文"/>
    <w:basedOn w:val="1"/>
    <w:autoRedefine/>
    <w:qFormat/>
    <w:uiPriority w:val="0"/>
    <w:pPr>
      <w:tabs>
        <w:tab w:val="left" w:pos="4584"/>
      </w:tabs>
      <w:adjustRightInd w:val="0"/>
      <w:snapToGrid w:val="0"/>
      <w:spacing w:line="520" w:lineRule="exact"/>
      <w:ind w:firstLine="0" w:firstLineChars="0"/>
    </w:pPr>
    <w:rPr>
      <w:rFonts w:ascii="Times New Roman" w:hAnsi="Times New Roman" w:eastAsia="宋体"/>
      <w:spacing w:val="-2"/>
      <w:kern w:val="0"/>
    </w:rPr>
  </w:style>
  <w:style w:type="paragraph" w:styleId="60">
    <w:name w:val="List Paragraph"/>
    <w:autoRedefine/>
    <w:unhideWhenUsed/>
    <w:qFormat/>
    <w:uiPriority w:val="99"/>
    <w:pPr>
      <w:widowControl/>
      <w:spacing w:after="120" w:line="264" w:lineRule="auto"/>
      <w:ind w:firstLine="420" w:firstLineChars="200"/>
      <w:jc w:val="left"/>
    </w:pPr>
    <w:rPr>
      <w:rFonts w:ascii="等线" w:hAnsi="等线" w:eastAsia="等线" w:cs="Times New Roman"/>
      <w:kern w:val="0"/>
      <w:sz w:val="21"/>
      <w:szCs w:val="21"/>
      <w:lang w:val="en-US" w:eastAsia="zh-CN" w:bidi="ar-SA"/>
    </w:rPr>
  </w:style>
  <w:style w:type="paragraph" w:customStyle="1" w:styleId="61">
    <w:name w:val="MEL正文*"/>
    <w:autoRedefine/>
    <w:qFormat/>
    <w:uiPriority w:val="0"/>
    <w:pPr>
      <w:widowControl w:val="0"/>
      <w:spacing w:line="500" w:lineRule="exact"/>
      <w:ind w:firstLine="480" w:firstLineChars="200"/>
      <w:jc w:val="both"/>
    </w:pPr>
    <w:rPr>
      <w:rFonts w:ascii="宋体" w:hAnsi="宋体" w:eastAsia="宋体" w:cs="Times New Roman"/>
      <w:color w:val="FF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rgbClr val="FF0000"/>
          </a:solidFill>
          <a:headEnd type="triangle" w="med" len="med"/>
          <a:tailEnd type="triangle" w="med" len="med"/>
        </a:ln>
      </a:spPr>
      <a:bodyPr/>
      <a:lstStyle/>
      <a:style>
        <a:lnRef idx="2">
          <a:schemeClr val="accent1"/>
        </a:lnRef>
        <a:fillRef idx="0">
          <a:srgbClr val="FFFFFF"/>
        </a:fillRef>
        <a:effectRef idx="0">
          <a:srgbClr val="FFFFFF"/>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12C5B-0C3E-4E59-9DD7-A10267793A29}">
  <ds:schemaRefs/>
</ds:datastoreItem>
</file>

<file path=docProps/app.xml><?xml version="1.0" encoding="utf-8"?>
<Properties xmlns="http://schemas.openxmlformats.org/officeDocument/2006/extended-properties" xmlns:vt="http://schemas.openxmlformats.org/officeDocument/2006/docPropsVTypes">
  <Template>Normal</Template>
  <Pages>108</Pages>
  <Words>47499</Words>
  <Characters>51413</Characters>
  <Lines>307</Lines>
  <Paragraphs>86</Paragraphs>
  <TotalTime>12</TotalTime>
  <ScaleCrop>false</ScaleCrop>
  <LinksUpToDate>false</LinksUpToDate>
  <CharactersWithSpaces>51892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2024-02-29T09:57:00Z</dcterms:created>
  <dc:creator>WPS_pL</dc:creator>
  <cp:lastModifiedBy>CDD</cp:lastModifiedBy>
  <cp:lastPrinted>2024-09-27T05:59:00Z</cp:lastPrinted>
  <dcterms:modified xsi:type="dcterms:W3CDTF">2025-10-09T07:38:58Z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C95751E06FFF4BFF8C373A5181093F15_13</vt:lpwstr>
  </property>
  <property fmtid="{D5CDD505-2E9C-101B-9397-08002B2CF9AE}" pid="4" name="KSOTemplateDocerSaveRecord">
    <vt:lpwstr>eyJoZGlkIjoiYTMxOGY0YzQyODRlMzNiNWE5NTc4NGMxYTkxZjJkMGYiLCJ1c2VySWQiOiIyMjIwNzA2OTAifQ==</vt:lpwstr>
  </property>
</Properties>
</file>