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339622">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9"/>
        <w:rPr>
          <w:rFonts w:ascii="微软雅黑" w:hAnsi="微软雅黑" w:eastAsia="微软雅黑" w:cs="微软雅黑"/>
          <w:color w:val="auto"/>
          <w:sz w:val="30"/>
          <w:szCs w:val="30"/>
          <w:lang w:val="en-US" w:eastAsia="zh-CN" w:bidi="ar-SA"/>
        </w:rPr>
      </w:pPr>
    </w:p>
    <w:p w14:paraId="6597CB8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0"/>
        <w:rPr>
          <w:rFonts w:ascii="微软雅黑" w:hAnsi="微软雅黑" w:eastAsia="微软雅黑" w:cs="微软雅黑"/>
          <w:color w:val="auto"/>
          <w:sz w:val="72"/>
          <w:szCs w:val="72"/>
          <w:lang w:val="en-US" w:eastAsia="zh-CN" w:bidi="ar-SA"/>
        </w:rPr>
      </w:pPr>
      <w:bookmarkStart w:id="0" w:name="_Toc7367"/>
      <w:bookmarkStart w:id="1" w:name="_Toc18017"/>
      <w:bookmarkStart w:id="2" w:name="_Toc26165"/>
      <w:r>
        <w:rPr>
          <w:rFonts w:ascii="微软雅黑" w:hAnsi="微软雅黑" w:eastAsia="微软雅黑" w:cs="微软雅黑"/>
          <w:color w:val="auto"/>
          <w:sz w:val="72"/>
          <w:szCs w:val="72"/>
          <w:lang w:val="en-US" w:eastAsia="zh-CN" w:bidi="ar-SA"/>
        </w:rPr>
        <w:t>建设项目环境影响报告表</w:t>
      </w:r>
      <w:bookmarkEnd w:id="0"/>
      <w:bookmarkEnd w:id="1"/>
      <w:bookmarkEnd w:id="2"/>
    </w:p>
    <w:p w14:paraId="241A2A93">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right="0" w:firstLine="0" w:firstLineChars="0"/>
        <w:jc w:val="center"/>
        <w:textAlignment w:val="auto"/>
        <w:rPr>
          <w:rFonts w:hint="eastAsia" w:ascii="楷体" w:hAnsi="Times New Roman" w:eastAsia="楷体" w:cs="宋体"/>
          <w:color w:val="auto"/>
          <w:sz w:val="48"/>
        </w:rPr>
      </w:pPr>
      <w:r>
        <w:rPr>
          <w:rFonts w:hint="eastAsia" w:ascii="楷体" w:hAnsi="Times New Roman" w:eastAsia="楷体" w:cs="宋体"/>
          <w:color w:val="auto"/>
          <w:sz w:val="48"/>
        </w:rPr>
        <w:t>（</w:t>
      </w:r>
      <w:r>
        <w:rPr>
          <w:rFonts w:hint="eastAsia" w:ascii="楷体" w:eastAsia="楷体" w:cs="宋体"/>
          <w:color w:val="auto"/>
          <w:sz w:val="48"/>
          <w:lang w:val="en-US" w:eastAsia="zh-CN"/>
        </w:rPr>
        <w:t>污染影响类</w:t>
      </w:r>
      <w:r>
        <w:rPr>
          <w:rFonts w:hint="eastAsia" w:ascii="楷体" w:hAnsi="Times New Roman" w:eastAsia="楷体" w:cs="宋体"/>
          <w:color w:val="auto"/>
          <w:sz w:val="48"/>
        </w:rPr>
        <w:t>）</w:t>
      </w:r>
    </w:p>
    <w:p w14:paraId="3F2BC485">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63390E99">
      <w:pPr>
        <w:overflowPunct w:val="0"/>
        <w:autoSpaceDE w:val="0"/>
        <w:autoSpaceDN w:val="0"/>
        <w:adjustRightInd w:val="0"/>
        <w:snapToGrid w:val="0"/>
        <w:spacing w:before="0" w:after="0" w:line="500" w:lineRule="exact"/>
        <w:ind w:left="0" w:leftChars="0" w:right="0" w:firstLine="0" w:firstLineChars="0"/>
        <w:jc w:val="center"/>
        <w:rPr>
          <w:rFonts w:hint="eastAsia" w:ascii="Times New Roman" w:hAnsi="Times New Roman" w:eastAsia="宋体" w:cs="Times New Roman"/>
          <w:b w:val="0"/>
          <w:bCs w:val="0"/>
          <w:color w:val="auto"/>
          <w:spacing w:val="-4"/>
          <w:sz w:val="28"/>
          <w:szCs w:val="28"/>
          <w:u w:val="none"/>
          <w:lang w:val="en-US" w:eastAsia="zh-CN"/>
        </w:rPr>
      </w:pPr>
      <w:r>
        <w:rPr>
          <w:rFonts w:hint="eastAsia" w:ascii="Times New Roman" w:hAnsi="Times New Roman" w:eastAsia="宋体" w:cs="Times New Roman"/>
          <w:b w:val="0"/>
          <w:bCs w:val="0"/>
          <w:color w:val="auto"/>
          <w:spacing w:val="-4"/>
          <w:sz w:val="28"/>
          <w:szCs w:val="28"/>
          <w:u w:val="none"/>
          <w:lang w:val="en-US" w:eastAsia="zh-CN"/>
        </w:rPr>
        <w:t>（</w:t>
      </w:r>
      <w:r>
        <w:rPr>
          <w:rFonts w:hint="eastAsia" w:cs="Times New Roman"/>
          <w:b w:val="0"/>
          <w:bCs w:val="0"/>
          <w:color w:val="auto"/>
          <w:spacing w:val="-4"/>
          <w:sz w:val="28"/>
          <w:szCs w:val="28"/>
          <w:u w:val="none"/>
          <w:lang w:val="en-US" w:eastAsia="zh-CN"/>
        </w:rPr>
        <w:t>公示</w:t>
      </w:r>
      <w:r>
        <w:rPr>
          <w:rFonts w:hint="eastAsia" w:ascii="Times New Roman" w:hAnsi="Times New Roman" w:eastAsia="宋体" w:cs="Times New Roman"/>
          <w:b w:val="0"/>
          <w:bCs w:val="0"/>
          <w:color w:val="auto"/>
          <w:spacing w:val="-4"/>
          <w:sz w:val="28"/>
          <w:szCs w:val="28"/>
          <w:u w:val="none"/>
          <w:lang w:val="en-US" w:eastAsia="zh-CN"/>
        </w:rPr>
        <w:t>稿）</w:t>
      </w:r>
    </w:p>
    <w:p w14:paraId="3FEBC973">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0D263E19">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14D7587F">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2A55E7DB">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6A4D8E98">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1549585E">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354B89AF">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3FD754E3">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513CDBAD">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79" w:leftChars="0" w:right="0" w:firstLine="0" w:firstLineChars="0"/>
        <w:jc w:val="left"/>
        <w:textAlignment w:val="auto"/>
        <w:rPr>
          <w:rFonts w:hint="eastAsia" w:cs="Times New Roman"/>
          <w:b w:val="0"/>
          <w:bCs w:val="0"/>
          <w:color w:val="auto"/>
          <w:spacing w:val="-10"/>
          <w:sz w:val="28"/>
          <w:szCs w:val="28"/>
          <w:u w:val="single"/>
          <w:lang w:val="en-US" w:eastAsia="zh-CN"/>
        </w:rPr>
      </w:pPr>
      <w:r>
        <w:rPr>
          <w:rFonts w:hint="default" w:ascii="Times New Roman" w:hAnsi="Times New Roman" w:eastAsia="宋体" w:cs="Times New Roman"/>
          <w:b w:val="0"/>
          <w:bCs w:val="0"/>
          <w:color w:val="auto"/>
          <w:spacing w:val="-10"/>
          <w:sz w:val="28"/>
          <w:szCs w:val="28"/>
        </w:rPr>
        <w:t>项目名称</w:t>
      </w:r>
      <w:r>
        <w:rPr>
          <w:rFonts w:hint="eastAsia" w:cs="Times New Roman"/>
          <w:b w:val="0"/>
          <w:bCs w:val="0"/>
          <w:color w:val="auto"/>
          <w:spacing w:val="-10"/>
          <w:sz w:val="28"/>
          <w:szCs w:val="28"/>
          <w:lang w:eastAsia="zh-CN"/>
        </w:rPr>
        <w:t>：</w:t>
      </w:r>
      <w:r>
        <w:rPr>
          <w:rFonts w:hint="eastAsia" w:cs="Times New Roman"/>
          <w:b w:val="0"/>
          <w:bCs w:val="0"/>
          <w:color w:val="auto"/>
          <w:spacing w:val="-10"/>
          <w:sz w:val="28"/>
          <w:szCs w:val="28"/>
          <w:u w:val="single"/>
          <w:lang w:val="en-US" w:eastAsia="zh-CN"/>
        </w:rPr>
        <w:t xml:space="preserve">     新疆美邻美佳新型建材有限公司建设年产5万吨腻子粉      </w:t>
      </w:r>
    </w:p>
    <w:p w14:paraId="1AF4810D">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79" w:leftChars="0" w:right="0" w:firstLine="1300" w:firstLineChars="500"/>
        <w:jc w:val="left"/>
        <w:textAlignment w:val="auto"/>
        <w:rPr>
          <w:rFonts w:hint="default" w:cs="Times New Roman"/>
          <w:b w:val="0"/>
          <w:bCs w:val="0"/>
          <w:color w:val="auto"/>
          <w:spacing w:val="-10"/>
          <w:sz w:val="28"/>
          <w:szCs w:val="28"/>
          <w:u w:val="single"/>
          <w:lang w:val="en-US" w:eastAsia="zh-CN"/>
        </w:rPr>
      </w:pPr>
      <w:r>
        <w:rPr>
          <w:rFonts w:hint="eastAsia" w:cs="Times New Roman"/>
          <w:b w:val="0"/>
          <w:bCs w:val="0"/>
          <w:color w:val="auto"/>
          <w:spacing w:val="-10"/>
          <w:sz w:val="28"/>
          <w:szCs w:val="28"/>
          <w:u w:val="single"/>
          <w:lang w:val="en-US" w:eastAsia="zh-CN"/>
        </w:rPr>
        <w:t xml:space="preserve">                10万吨瓷砖胶生产线项目                  </w:t>
      </w:r>
    </w:p>
    <w:p w14:paraId="770C0F70">
      <w:pPr>
        <w:overflowPunct w:val="0"/>
        <w:autoSpaceDE w:val="0"/>
        <w:autoSpaceDN w:val="0"/>
        <w:adjustRightInd w:val="0"/>
        <w:snapToGrid w:val="0"/>
        <w:spacing w:before="0" w:after="0" w:line="500" w:lineRule="exact"/>
        <w:ind w:left="0" w:leftChars="0" w:right="0" w:firstLine="0" w:firstLineChars="0"/>
        <w:jc w:val="left"/>
        <w:rPr>
          <w:rFonts w:hint="default" w:ascii="Times New Roman" w:hAnsi="Times New Roman" w:eastAsia="宋体" w:cs="Times New Roman"/>
          <w:b w:val="0"/>
          <w:bCs w:val="0"/>
          <w:color w:val="auto"/>
          <w:sz w:val="28"/>
          <w:szCs w:val="28"/>
          <w:u w:val="single"/>
        </w:rPr>
      </w:pPr>
      <w:r>
        <w:rPr>
          <w:rFonts w:hint="default" w:ascii="Times New Roman" w:hAnsi="Times New Roman" w:eastAsia="宋体" w:cs="Times New Roman"/>
          <w:b w:val="0"/>
          <w:bCs w:val="0"/>
          <w:color w:val="auto"/>
          <w:spacing w:val="-4"/>
          <w:sz w:val="28"/>
          <w:szCs w:val="28"/>
        </w:rPr>
        <w:t>建设单位（盖章）：</w:t>
      </w:r>
      <w:r>
        <w:rPr>
          <w:rFonts w:hint="eastAsia"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z w:val="28"/>
          <w:szCs w:val="28"/>
          <w:u w:val="single"/>
        </w:rPr>
        <w:t xml:space="preserve"> </w:t>
      </w:r>
      <w:r>
        <w:rPr>
          <w:rFonts w:hint="default" w:ascii="Times New Roman" w:hAnsi="Times New Roman" w:eastAsia="宋体" w:cs="Times New Roman"/>
          <w:b w:val="0"/>
          <w:bCs w:val="0"/>
          <w:color w:val="auto"/>
          <w:sz w:val="28"/>
          <w:szCs w:val="28"/>
          <w:u w:val="single"/>
          <w:lang w:val="en-US" w:eastAsia="zh-CN"/>
        </w:rPr>
        <w:t xml:space="preserve">      </w:t>
      </w:r>
      <w:r>
        <w:rPr>
          <w:rFonts w:hint="default" w:ascii="Times New Roman" w:hAnsi="Times New Roman" w:eastAsia="宋体" w:cs="Times New Roman"/>
          <w:b w:val="0"/>
          <w:bCs w:val="0"/>
          <w:color w:val="auto"/>
          <w:sz w:val="28"/>
          <w:szCs w:val="28"/>
          <w:u w:val="single"/>
        </w:rPr>
        <w:t xml:space="preserve"> </w:t>
      </w:r>
    </w:p>
    <w:p w14:paraId="1E1DA7E0">
      <w:pPr>
        <w:overflowPunct w:val="0"/>
        <w:autoSpaceDE w:val="0"/>
        <w:autoSpaceDN w:val="0"/>
        <w:adjustRightInd w:val="0"/>
        <w:snapToGrid w:val="0"/>
        <w:spacing w:before="0" w:after="0" w:line="500" w:lineRule="exact"/>
        <w:ind w:left="0" w:leftChars="0" w:right="0" w:firstLine="0" w:firstLineChars="0"/>
        <w:jc w:val="left"/>
        <w:rPr>
          <w:rFonts w:hint="default" w:ascii="宋体" w:hAnsi="宋体" w:eastAsia="宋体" w:cs="宋体"/>
          <w:b w:val="0"/>
          <w:bCs w:val="0"/>
          <w:color w:val="auto"/>
          <w:spacing w:val="-4"/>
          <w:sz w:val="28"/>
          <w:szCs w:val="28"/>
          <w:u w:val="single"/>
          <w:lang w:val="en-US" w:eastAsia="zh-CN"/>
        </w:rPr>
      </w:pPr>
      <w:r>
        <w:rPr>
          <w:rFonts w:hint="default" w:ascii="Times New Roman" w:hAnsi="Times New Roman" w:eastAsia="宋体" w:cs="Times New Roman"/>
          <w:b w:val="0"/>
          <w:bCs w:val="0"/>
          <w:color w:val="auto"/>
          <w:spacing w:val="-4"/>
          <w:sz w:val="28"/>
          <w:szCs w:val="28"/>
          <w:lang w:val="en-US" w:eastAsia="zh-CN"/>
        </w:rPr>
        <w:t>编制日期：</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cs="Times New Roman"/>
          <w:b w:val="0"/>
          <w:bCs w:val="0"/>
          <w:color w:val="auto"/>
          <w:spacing w:val="-4"/>
          <w:sz w:val="28"/>
          <w:szCs w:val="28"/>
          <w:u w:val="single"/>
          <w:lang w:val="en-US" w:eastAsia="zh-CN"/>
        </w:rPr>
        <w:t>2025</w:t>
      </w:r>
      <w:r>
        <w:rPr>
          <w:rFonts w:hint="default" w:ascii="Times New Roman" w:hAnsi="Times New Roman" w:eastAsia="宋体" w:cs="Times New Roman"/>
          <w:b w:val="0"/>
          <w:bCs w:val="0"/>
          <w:color w:val="auto"/>
          <w:spacing w:val="-4"/>
          <w:sz w:val="28"/>
          <w:szCs w:val="28"/>
          <w:u w:val="single"/>
        </w:rPr>
        <w:t>年</w:t>
      </w:r>
      <w:r>
        <w:rPr>
          <w:rFonts w:hint="eastAsia" w:cs="Times New Roman"/>
          <w:b w:val="0"/>
          <w:bCs w:val="0"/>
          <w:color w:val="auto"/>
          <w:spacing w:val="-4"/>
          <w:sz w:val="28"/>
          <w:szCs w:val="28"/>
          <w:u w:val="single"/>
          <w:lang w:val="en-US" w:eastAsia="zh-CN"/>
        </w:rPr>
        <w:t>7</w:t>
      </w:r>
      <w:r>
        <w:rPr>
          <w:rFonts w:hint="default" w:ascii="Times New Roman" w:hAnsi="Times New Roman" w:eastAsia="宋体" w:cs="Times New Roman"/>
          <w:b w:val="0"/>
          <w:bCs w:val="0"/>
          <w:color w:val="auto"/>
          <w:spacing w:val="-4"/>
          <w:sz w:val="28"/>
          <w:szCs w:val="28"/>
          <w:u w:val="single"/>
        </w:rPr>
        <w:t>月</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ascii="宋体" w:hAnsi="宋体" w:eastAsia="宋体" w:cs="宋体"/>
          <w:b w:val="0"/>
          <w:bCs w:val="0"/>
          <w:color w:val="auto"/>
          <w:spacing w:val="-4"/>
          <w:sz w:val="28"/>
          <w:szCs w:val="28"/>
          <w:u w:val="single"/>
          <w:lang w:val="en-US" w:eastAsia="zh-CN"/>
        </w:rPr>
        <w:t xml:space="preserve">     </w:t>
      </w:r>
      <w:r>
        <w:rPr>
          <w:rFonts w:hint="eastAsia" w:ascii="宋体" w:hAnsi="宋体" w:cs="宋体"/>
          <w:b w:val="0"/>
          <w:bCs w:val="0"/>
          <w:color w:val="auto"/>
          <w:spacing w:val="-4"/>
          <w:sz w:val="28"/>
          <w:szCs w:val="28"/>
          <w:u w:val="single"/>
          <w:lang w:val="en-US" w:eastAsia="zh-CN"/>
        </w:rPr>
        <w:t xml:space="preserve">                       </w:t>
      </w:r>
      <w:r>
        <w:rPr>
          <w:rFonts w:hint="eastAsia" w:ascii="宋体" w:hAnsi="宋体" w:eastAsia="宋体" w:cs="宋体"/>
          <w:b w:val="0"/>
          <w:bCs w:val="0"/>
          <w:color w:val="auto"/>
          <w:spacing w:val="-4"/>
          <w:sz w:val="28"/>
          <w:szCs w:val="28"/>
          <w:u w:val="single"/>
          <w:lang w:val="en-US" w:eastAsia="zh-CN"/>
        </w:rPr>
        <w:t xml:space="preserve">    </w:t>
      </w:r>
      <w:r>
        <w:rPr>
          <w:rFonts w:hint="eastAsia" w:ascii="宋体" w:hAnsi="宋体" w:cs="宋体"/>
          <w:b w:val="0"/>
          <w:bCs w:val="0"/>
          <w:color w:val="auto"/>
          <w:spacing w:val="-4"/>
          <w:sz w:val="28"/>
          <w:szCs w:val="28"/>
          <w:u w:val="single"/>
          <w:lang w:val="en-US" w:eastAsia="zh-CN"/>
        </w:rPr>
        <w:t xml:space="preserve">                </w:t>
      </w:r>
      <w:r>
        <w:rPr>
          <w:rFonts w:hint="eastAsia" w:ascii="宋体" w:hAnsi="宋体" w:eastAsia="宋体" w:cs="宋体"/>
          <w:b w:val="0"/>
          <w:bCs w:val="0"/>
          <w:color w:val="auto"/>
          <w:spacing w:val="-4"/>
          <w:sz w:val="28"/>
          <w:szCs w:val="28"/>
          <w:u w:val="single"/>
          <w:lang w:val="en-US" w:eastAsia="zh-CN"/>
        </w:rPr>
        <w:t xml:space="preserve">          </w:t>
      </w:r>
    </w:p>
    <w:p w14:paraId="73B26CDC">
      <w:pPr>
        <w:overflowPunct w:val="0"/>
        <w:autoSpaceDE w:val="0"/>
        <w:autoSpaceDN w:val="0"/>
        <w:adjustRightInd w:val="0"/>
        <w:snapToGrid w:val="0"/>
        <w:spacing w:before="0" w:after="0" w:line="360" w:lineRule="auto"/>
        <w:ind w:left="0" w:right="0" w:firstLine="643" w:firstLineChars="200"/>
        <w:jc w:val="left"/>
        <w:rPr>
          <w:rFonts w:hint="default" w:ascii="宋体" w:hAnsi="宋体" w:eastAsia="宋体" w:cs="宋体"/>
          <w:b/>
          <w:bCs/>
          <w:color w:val="auto"/>
          <w:sz w:val="32"/>
          <w:szCs w:val="32"/>
          <w:u w:val="none"/>
          <w:lang w:val="en-US" w:eastAsia="zh-CN"/>
        </w:rPr>
      </w:pPr>
    </w:p>
    <w:p w14:paraId="7ACFA464">
      <w:pPr>
        <w:overflowPunct w:val="0"/>
        <w:autoSpaceDE w:val="0"/>
        <w:autoSpaceDN w:val="0"/>
        <w:adjustRightInd w:val="0"/>
        <w:snapToGrid w:val="0"/>
        <w:spacing w:before="0" w:after="0" w:line="360" w:lineRule="auto"/>
        <w:ind w:left="0" w:right="0" w:firstLine="560" w:firstLineChars="200"/>
        <w:jc w:val="left"/>
        <w:rPr>
          <w:rFonts w:ascii="宋体" w:hAnsi="宋体" w:eastAsia="宋体" w:cs="宋体"/>
          <w:color w:val="auto"/>
          <w:sz w:val="28"/>
        </w:rPr>
      </w:pPr>
    </w:p>
    <w:p w14:paraId="678BFFA9">
      <w:pPr>
        <w:widowControl w:val="0"/>
        <w:overflowPunct w:val="0"/>
        <w:autoSpaceDE w:val="0"/>
        <w:autoSpaceDN w:val="0"/>
        <w:adjustRightInd w:val="0"/>
        <w:snapToGrid w:val="0"/>
        <w:spacing w:before="0" w:after="0" w:line="360" w:lineRule="exact"/>
        <w:ind w:left="0" w:right="0" w:firstLine="560" w:firstLineChars="200"/>
        <w:jc w:val="center"/>
        <w:rPr>
          <w:rFonts w:hint="eastAsia" w:ascii="宋体" w:hAnsi="宋体" w:eastAsia="宋体" w:cs="宋体"/>
          <w:snapToGrid w:val="0"/>
          <w:color w:val="auto"/>
          <w:sz w:val="28"/>
          <w:szCs w:val="21"/>
          <w:lang w:val="en-US" w:eastAsia="zh-CN" w:bidi="ar-SA"/>
        </w:rPr>
      </w:pPr>
      <w:r>
        <w:rPr>
          <w:rFonts w:hint="eastAsia" w:ascii="宋体" w:hAnsi="宋体" w:eastAsia="宋体" w:cs="宋体"/>
          <w:snapToGrid w:val="0"/>
          <w:color w:val="auto"/>
          <w:sz w:val="28"/>
          <w:szCs w:val="21"/>
          <w:lang w:val="en-US" w:eastAsia="zh-CN" w:bidi="ar-SA"/>
        </w:rPr>
        <w:t xml:space="preserve"> </w:t>
      </w:r>
    </w:p>
    <w:p w14:paraId="5A508F1F">
      <w:pPr>
        <w:widowControl w:val="0"/>
        <w:overflowPunct w:val="0"/>
        <w:autoSpaceDE w:val="0"/>
        <w:autoSpaceDN w:val="0"/>
        <w:adjustRightInd w:val="0"/>
        <w:snapToGrid w:val="0"/>
        <w:spacing w:before="0" w:after="0" w:line="360" w:lineRule="exact"/>
        <w:ind w:left="0" w:right="0" w:firstLine="560" w:firstLineChars="200"/>
        <w:jc w:val="center"/>
        <w:rPr>
          <w:rFonts w:hint="eastAsia" w:ascii="宋体" w:hAnsi="宋体" w:eastAsia="宋体" w:cs="宋体"/>
          <w:snapToGrid w:val="0"/>
          <w:color w:val="auto"/>
          <w:sz w:val="28"/>
          <w:szCs w:val="21"/>
          <w:lang w:val="en-US" w:eastAsia="zh-CN" w:bidi="ar-SA"/>
        </w:rPr>
      </w:pPr>
    </w:p>
    <w:p w14:paraId="3F6F4913">
      <w:pPr>
        <w:widowControl w:val="0"/>
        <w:overflowPunct w:val="0"/>
        <w:autoSpaceDE w:val="0"/>
        <w:autoSpaceDN w:val="0"/>
        <w:adjustRightInd w:val="0"/>
        <w:snapToGrid w:val="0"/>
        <w:spacing w:before="0" w:after="0" w:line="360" w:lineRule="exact"/>
        <w:ind w:left="0" w:right="0" w:firstLine="560" w:firstLineChars="200"/>
        <w:jc w:val="center"/>
        <w:rPr>
          <w:rFonts w:ascii="宋体" w:hAnsi="宋体" w:eastAsia="宋体" w:cs="宋体"/>
          <w:snapToGrid w:val="0"/>
          <w:color w:val="auto"/>
          <w:sz w:val="28"/>
          <w:szCs w:val="21"/>
          <w:lang w:val="en-US" w:eastAsia="zh-CN" w:bidi="ar-SA"/>
        </w:rPr>
      </w:pPr>
    </w:p>
    <w:p w14:paraId="0064D291">
      <w:pPr>
        <w:overflowPunct w:val="0"/>
        <w:autoSpaceDE w:val="0"/>
        <w:autoSpaceDN w:val="0"/>
        <w:adjustRightInd w:val="0"/>
        <w:snapToGrid w:val="0"/>
        <w:spacing w:before="50" w:after="0" w:line="500" w:lineRule="exact"/>
        <w:ind w:left="0" w:leftChars="0" w:right="464" w:firstLine="0" w:firstLineChars="0"/>
        <w:jc w:val="center"/>
        <w:rPr>
          <w:rFonts w:hint="eastAsia" w:ascii="楷体" w:hAnsi="Times New Roman" w:eastAsia="楷体" w:cs="宋体"/>
          <w:color w:val="auto"/>
          <w:sz w:val="36"/>
          <w:lang w:val="en-US" w:eastAsia="zh-CN"/>
        </w:rPr>
      </w:pPr>
    </w:p>
    <w:p w14:paraId="0ED23AD3">
      <w:pPr>
        <w:overflowPunct w:val="0"/>
        <w:autoSpaceDE w:val="0"/>
        <w:autoSpaceDN w:val="0"/>
        <w:adjustRightInd w:val="0"/>
        <w:snapToGrid w:val="0"/>
        <w:spacing w:before="50" w:after="0" w:line="500" w:lineRule="exact"/>
        <w:ind w:left="0" w:leftChars="0" w:right="464" w:firstLine="0" w:firstLineChars="0"/>
        <w:jc w:val="center"/>
        <w:rPr>
          <w:rFonts w:hint="eastAsia" w:ascii="楷体" w:hAnsi="Times New Roman" w:eastAsia="楷体" w:cs="宋体"/>
          <w:color w:val="auto"/>
          <w:sz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楷体" w:hAnsi="Times New Roman" w:eastAsia="楷体" w:cs="宋体"/>
          <w:color w:val="auto"/>
          <w:sz w:val="36"/>
          <w:lang w:val="en-US" w:eastAsia="zh-CN"/>
        </w:rPr>
        <w:t>中</w:t>
      </w:r>
      <w:r>
        <w:rPr>
          <w:rFonts w:hint="eastAsia" w:ascii="楷体" w:hAnsi="Times New Roman" w:eastAsia="楷体" w:cs="宋体"/>
          <w:color w:val="auto"/>
          <w:sz w:val="36"/>
        </w:rPr>
        <w:t>华人民共和国生态环境部制</w:t>
      </w:r>
    </w:p>
    <w:tbl>
      <w:tblPr>
        <w:tblStyle w:val="16"/>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162"/>
      </w:tblGrid>
      <w:tr w14:paraId="2CF9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7" w:hRule="atLeast"/>
        </w:trPr>
        <w:tc>
          <w:tcPr>
            <w:tcW w:w="4360" w:type="dxa"/>
            <w:tcBorders>
              <w:tl2br w:val="nil"/>
              <w:tr2bl w:val="nil"/>
            </w:tcBorders>
            <w:vAlign w:val="center"/>
          </w:tcPr>
          <w:p w14:paraId="2AFD6E1A">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
                <w:color w:val="auto"/>
                <w:kern w:val="1"/>
                <w:sz w:val="32"/>
                <w:szCs w:val="32"/>
                <w:lang w:eastAsia="zh-CN"/>
              </w:rPr>
            </w:pPr>
            <w:r>
              <w:rPr>
                <w:rFonts w:hint="default" w:ascii="Times New Roman" w:hAnsi="Times New Roman" w:eastAsia="宋体" w:cs="Times New Roman"/>
                <w:b/>
                <w:color w:val="auto"/>
                <w:kern w:val="1"/>
                <w:sz w:val="32"/>
                <w:szCs w:val="32"/>
                <w:lang w:eastAsia="zh-CN"/>
              </w:rPr>
              <w:drawing>
                <wp:inline distT="0" distB="0" distL="114300" distR="114300">
                  <wp:extent cx="2626360" cy="1969770"/>
                  <wp:effectExtent l="0" t="0" r="2540" b="1905"/>
                  <wp:docPr id="7" name="图片 7" descr="2cc27b387c556cf552447f69a1997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cc27b387c556cf552447f69a199755c"/>
                          <pic:cNvPicPr>
                            <a:picLocks noChangeAspect="1"/>
                          </pic:cNvPicPr>
                        </pic:nvPicPr>
                        <pic:blipFill>
                          <a:blip r:embed="rId28"/>
                          <a:stretch>
                            <a:fillRect/>
                          </a:stretch>
                        </pic:blipFill>
                        <pic:spPr>
                          <a:xfrm>
                            <a:off x="0" y="0"/>
                            <a:ext cx="2626360" cy="1969770"/>
                          </a:xfrm>
                          <a:prstGeom prst="rect">
                            <a:avLst/>
                          </a:prstGeom>
                        </pic:spPr>
                      </pic:pic>
                    </a:graphicData>
                  </a:graphic>
                </wp:inline>
              </w:drawing>
            </w:r>
          </w:p>
        </w:tc>
        <w:tc>
          <w:tcPr>
            <w:tcW w:w="4162" w:type="dxa"/>
            <w:tcBorders>
              <w:tl2br w:val="nil"/>
              <w:tr2bl w:val="nil"/>
            </w:tcBorders>
            <w:vAlign w:val="center"/>
          </w:tcPr>
          <w:p w14:paraId="50164204">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
                <w:color w:val="auto"/>
                <w:kern w:val="1"/>
                <w:sz w:val="32"/>
                <w:szCs w:val="32"/>
                <w:lang w:eastAsia="zh-CN"/>
              </w:rPr>
            </w:pPr>
            <w:r>
              <w:rPr>
                <w:rFonts w:hint="default" w:ascii="Times New Roman" w:hAnsi="Times New Roman" w:eastAsia="宋体" w:cs="Times New Roman"/>
                <w:b/>
                <w:color w:val="auto"/>
                <w:kern w:val="1"/>
                <w:sz w:val="32"/>
                <w:szCs w:val="32"/>
                <w:lang w:eastAsia="zh-CN"/>
              </w:rPr>
              <w:drawing>
                <wp:inline distT="0" distB="0" distL="114300" distR="114300">
                  <wp:extent cx="2503170" cy="1877695"/>
                  <wp:effectExtent l="0" t="0" r="1905" b="8255"/>
                  <wp:docPr id="8" name="图片 8" descr="fc60bfbfa076b7587019b39961b0d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c60bfbfa076b7587019b39961b0df03"/>
                          <pic:cNvPicPr>
                            <a:picLocks noChangeAspect="1"/>
                          </pic:cNvPicPr>
                        </pic:nvPicPr>
                        <pic:blipFill>
                          <a:blip r:embed="rId29"/>
                          <a:stretch>
                            <a:fillRect/>
                          </a:stretch>
                        </pic:blipFill>
                        <pic:spPr>
                          <a:xfrm>
                            <a:off x="0" y="0"/>
                            <a:ext cx="2503170" cy="1877695"/>
                          </a:xfrm>
                          <a:prstGeom prst="rect">
                            <a:avLst/>
                          </a:prstGeom>
                        </pic:spPr>
                      </pic:pic>
                    </a:graphicData>
                  </a:graphic>
                </wp:inline>
              </w:drawing>
            </w:r>
          </w:p>
        </w:tc>
      </w:tr>
      <w:tr w14:paraId="681C1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14:paraId="5F55DE4F">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eastAsia="宋体" w:cs="Times New Roman"/>
                <w:bCs/>
                <w:color w:val="auto"/>
                <w:kern w:val="1"/>
                <w:sz w:val="28"/>
                <w:szCs w:val="28"/>
                <w:lang w:val="en-US" w:eastAsia="zh-CN"/>
              </w:rPr>
              <w:t>东侧</w:t>
            </w:r>
          </w:p>
        </w:tc>
        <w:tc>
          <w:tcPr>
            <w:tcW w:w="4162" w:type="dxa"/>
            <w:tcBorders>
              <w:tl2br w:val="nil"/>
              <w:tr2bl w:val="nil"/>
            </w:tcBorders>
            <w:vAlign w:val="center"/>
          </w:tcPr>
          <w:p w14:paraId="0C14EEFD">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eastAsia="宋体" w:cs="Times New Roman"/>
                <w:bCs/>
                <w:color w:val="auto"/>
                <w:kern w:val="1"/>
                <w:sz w:val="28"/>
                <w:szCs w:val="28"/>
                <w:lang w:val="en-US" w:eastAsia="zh-CN"/>
              </w:rPr>
              <w:t>西侧</w:t>
            </w:r>
          </w:p>
        </w:tc>
      </w:tr>
      <w:tr w14:paraId="15D50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3" w:hRule="atLeast"/>
        </w:trPr>
        <w:tc>
          <w:tcPr>
            <w:tcW w:w="4360" w:type="dxa"/>
            <w:tcBorders>
              <w:tl2br w:val="nil"/>
              <w:tr2bl w:val="nil"/>
            </w:tcBorders>
            <w:vAlign w:val="center"/>
          </w:tcPr>
          <w:p w14:paraId="336272F6">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626360" cy="1969770"/>
                  <wp:effectExtent l="0" t="0" r="2540" b="1905"/>
                  <wp:docPr id="10" name="图片 10" descr="bb9ac10d43565850c6fde9715791f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b9ac10d43565850c6fde9715791fab4"/>
                          <pic:cNvPicPr>
                            <a:picLocks noChangeAspect="1"/>
                          </pic:cNvPicPr>
                        </pic:nvPicPr>
                        <pic:blipFill>
                          <a:blip r:embed="rId30"/>
                          <a:stretch>
                            <a:fillRect/>
                          </a:stretch>
                        </pic:blipFill>
                        <pic:spPr>
                          <a:xfrm>
                            <a:off x="0" y="0"/>
                            <a:ext cx="2626360" cy="1969770"/>
                          </a:xfrm>
                          <a:prstGeom prst="rect">
                            <a:avLst/>
                          </a:prstGeom>
                        </pic:spPr>
                      </pic:pic>
                    </a:graphicData>
                  </a:graphic>
                </wp:inline>
              </w:drawing>
            </w:r>
          </w:p>
        </w:tc>
        <w:tc>
          <w:tcPr>
            <w:tcW w:w="4162" w:type="dxa"/>
            <w:tcBorders>
              <w:tl2br w:val="nil"/>
              <w:tr2bl w:val="nil"/>
            </w:tcBorders>
            <w:vAlign w:val="center"/>
          </w:tcPr>
          <w:p w14:paraId="2D149AAB">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503170" cy="1877695"/>
                  <wp:effectExtent l="0" t="0" r="1905" b="8255"/>
                  <wp:docPr id="12" name="图片 12" descr="1c5f57cef84c6d1182c3312819383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5f57cef84c6d1182c3312819383fde"/>
                          <pic:cNvPicPr>
                            <a:picLocks noChangeAspect="1"/>
                          </pic:cNvPicPr>
                        </pic:nvPicPr>
                        <pic:blipFill>
                          <a:blip r:embed="rId31"/>
                          <a:stretch>
                            <a:fillRect/>
                          </a:stretch>
                        </pic:blipFill>
                        <pic:spPr>
                          <a:xfrm>
                            <a:off x="0" y="0"/>
                            <a:ext cx="2503170" cy="1877695"/>
                          </a:xfrm>
                          <a:prstGeom prst="rect">
                            <a:avLst/>
                          </a:prstGeom>
                        </pic:spPr>
                      </pic:pic>
                    </a:graphicData>
                  </a:graphic>
                </wp:inline>
              </w:drawing>
            </w:r>
          </w:p>
        </w:tc>
      </w:tr>
      <w:tr w14:paraId="60D9F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14:paraId="043203D6">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eastAsia="宋体" w:cs="Times New Roman"/>
                <w:bCs/>
                <w:color w:val="auto"/>
                <w:kern w:val="1"/>
                <w:sz w:val="28"/>
                <w:szCs w:val="28"/>
                <w:lang w:val="en-US" w:eastAsia="zh-CN"/>
              </w:rPr>
              <w:t>南侧</w:t>
            </w:r>
          </w:p>
        </w:tc>
        <w:tc>
          <w:tcPr>
            <w:tcW w:w="4162" w:type="dxa"/>
            <w:tcBorders>
              <w:tl2br w:val="nil"/>
              <w:tr2bl w:val="nil"/>
            </w:tcBorders>
            <w:vAlign w:val="center"/>
          </w:tcPr>
          <w:p w14:paraId="2F648CD8">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eastAsia="宋体" w:cs="Times New Roman"/>
                <w:bCs/>
                <w:color w:val="auto"/>
                <w:kern w:val="1"/>
                <w:sz w:val="28"/>
                <w:szCs w:val="28"/>
                <w:lang w:val="en-US" w:eastAsia="zh-CN"/>
              </w:rPr>
              <w:t>北侧</w:t>
            </w:r>
          </w:p>
        </w:tc>
      </w:tr>
      <w:tr w14:paraId="5F561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3" w:hRule="atLeast"/>
        </w:trPr>
        <w:tc>
          <w:tcPr>
            <w:tcW w:w="4360" w:type="dxa"/>
            <w:tcBorders>
              <w:tl2br w:val="nil"/>
              <w:tr2bl w:val="nil"/>
            </w:tcBorders>
            <w:vAlign w:val="center"/>
          </w:tcPr>
          <w:p w14:paraId="56C84F51">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626360" cy="1969770"/>
                  <wp:effectExtent l="0" t="0" r="2540" b="1905"/>
                  <wp:docPr id="13" name="图片 13" descr="7c240f8549cf4d027d6c5e9fef592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c240f8549cf4d027d6c5e9fef592a95"/>
                          <pic:cNvPicPr>
                            <a:picLocks noChangeAspect="1"/>
                          </pic:cNvPicPr>
                        </pic:nvPicPr>
                        <pic:blipFill>
                          <a:blip r:embed="rId32"/>
                          <a:stretch>
                            <a:fillRect/>
                          </a:stretch>
                        </pic:blipFill>
                        <pic:spPr>
                          <a:xfrm>
                            <a:off x="0" y="0"/>
                            <a:ext cx="2626360" cy="1969770"/>
                          </a:xfrm>
                          <a:prstGeom prst="rect">
                            <a:avLst/>
                          </a:prstGeom>
                        </pic:spPr>
                      </pic:pic>
                    </a:graphicData>
                  </a:graphic>
                </wp:inline>
              </w:drawing>
            </w:r>
          </w:p>
        </w:tc>
        <w:tc>
          <w:tcPr>
            <w:tcW w:w="4162" w:type="dxa"/>
            <w:tcBorders>
              <w:tl2br w:val="nil"/>
              <w:tr2bl w:val="nil"/>
            </w:tcBorders>
            <w:vAlign w:val="center"/>
          </w:tcPr>
          <w:p w14:paraId="0D0B2D2C">
            <w:pPr>
              <w:pStyle w:val="34"/>
              <w:ind w:left="0" w:leftChars="0" w:firstLine="0" w:firstLineChars="0"/>
              <w:jc w:val="center"/>
              <w:textAlignment w:val="baseline"/>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val="en-US" w:eastAsia="zh-CN"/>
              </w:rPr>
              <w:drawing>
                <wp:inline distT="0" distB="0" distL="114300" distR="114300">
                  <wp:extent cx="2499995" cy="1913890"/>
                  <wp:effectExtent l="0" t="0" r="5080" b="635"/>
                  <wp:docPr id="1" name="图片 1" descr="a943bd66c6da154be5ca130159cb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43bd66c6da154be5ca130159cbf20"/>
                          <pic:cNvPicPr>
                            <a:picLocks noChangeAspect="1"/>
                          </pic:cNvPicPr>
                        </pic:nvPicPr>
                        <pic:blipFill>
                          <a:blip r:embed="rId33"/>
                          <a:stretch>
                            <a:fillRect/>
                          </a:stretch>
                        </pic:blipFill>
                        <pic:spPr>
                          <a:xfrm>
                            <a:off x="0" y="0"/>
                            <a:ext cx="2499995" cy="1913890"/>
                          </a:xfrm>
                          <a:prstGeom prst="rect">
                            <a:avLst/>
                          </a:prstGeom>
                        </pic:spPr>
                      </pic:pic>
                    </a:graphicData>
                  </a:graphic>
                </wp:inline>
              </w:drawing>
            </w:r>
          </w:p>
        </w:tc>
      </w:tr>
      <w:tr w14:paraId="4DE69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14:paraId="0EA7C833">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eastAsia" w:cs="Times New Roman"/>
                <w:bCs/>
                <w:color w:val="auto"/>
                <w:kern w:val="1"/>
                <w:sz w:val="28"/>
                <w:szCs w:val="28"/>
                <w:lang w:val="en-US" w:eastAsia="zh-CN"/>
              </w:rPr>
              <w:t>本项目租赁厂房</w:t>
            </w:r>
          </w:p>
        </w:tc>
        <w:tc>
          <w:tcPr>
            <w:tcW w:w="4162" w:type="dxa"/>
            <w:tcBorders>
              <w:tl2br w:val="nil"/>
              <w:tr2bl w:val="nil"/>
            </w:tcBorders>
            <w:vAlign w:val="top"/>
          </w:tcPr>
          <w:p w14:paraId="24EAB701">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eastAsia" w:cs="Times New Roman"/>
                <w:bCs/>
                <w:color w:val="auto"/>
                <w:kern w:val="1"/>
                <w:sz w:val="28"/>
                <w:szCs w:val="28"/>
                <w:lang w:val="en-US" w:eastAsia="zh-CN"/>
              </w:rPr>
              <w:t>依托办公区</w:t>
            </w:r>
          </w:p>
        </w:tc>
      </w:tr>
    </w:tbl>
    <w:p w14:paraId="505A7CE3">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宋体"/>
          <w:color w:val="auto"/>
          <w:sz w:val="21"/>
          <w:szCs w:val="22"/>
          <w:lang w:val="en-US" w:eastAsia="zh-CN" w:bidi="ar-SA"/>
        </w:rPr>
        <w:id w:val="147475736"/>
        <w15:color w:val="DBDBDB"/>
        <w:docPartObj>
          <w:docPartGallery w:val="Table of Contents"/>
          <w:docPartUnique/>
        </w:docPartObj>
      </w:sdtPr>
      <w:sdtEndPr>
        <w:rPr>
          <w:rFonts w:hint="eastAsia" w:ascii="Times New Roman" w:hAnsi="Times New Roman" w:eastAsia="宋体" w:cs="宋体"/>
          <w:color w:val="auto"/>
          <w:sz w:val="24"/>
          <w:szCs w:val="22"/>
          <w:lang w:val="en-US" w:eastAsia="zh-CN" w:bidi="ar-SA"/>
        </w:rPr>
      </w:sdtEndPr>
      <w:sdtContent>
        <w:p w14:paraId="3478FEF0">
          <w:pPr>
            <w:spacing w:before="0" w:beforeLines="0" w:after="0" w:afterLines="0" w:line="240" w:lineRule="auto"/>
            <w:ind w:left="0" w:leftChars="0" w:right="0" w:rightChars="0" w:firstLine="0" w:firstLineChars="0"/>
            <w:jc w:val="center"/>
            <w:rPr>
              <w:color w:val="auto"/>
              <w:sz w:val="28"/>
              <w:szCs w:val="28"/>
            </w:rPr>
          </w:pPr>
          <w:r>
            <w:rPr>
              <w:rFonts w:ascii="宋体" w:hAnsi="宋体" w:eastAsia="宋体"/>
              <w:color w:val="auto"/>
              <w:sz w:val="28"/>
              <w:szCs w:val="28"/>
            </w:rPr>
            <w:t>目录</w:t>
          </w:r>
        </w:p>
        <w:p w14:paraId="7FA650E1">
          <w:pPr>
            <w:pStyle w:val="11"/>
            <w:tabs>
              <w:tab w:val="right" w:leader="dot" w:pos="8306"/>
            </w:tabs>
            <w:rPr>
              <w:color w:val="auto"/>
            </w:rPr>
          </w:pPr>
          <w:r>
            <w:rPr>
              <w:rFonts w:hint="eastAsia" w:ascii="Times New Roman" w:hAnsi="Times New Roman" w:eastAsia="宋体" w:cs="宋体"/>
              <w:color w:val="auto"/>
              <w:sz w:val="24"/>
              <w:szCs w:val="22"/>
              <w:lang w:val="en-US" w:eastAsia="zh-CN" w:bidi="ar-SA"/>
            </w:rPr>
            <w:fldChar w:fldCharType="begin"/>
          </w:r>
          <w:r>
            <w:rPr>
              <w:rFonts w:hint="eastAsia" w:ascii="Times New Roman" w:hAnsi="Times New Roman" w:eastAsia="宋体" w:cs="宋体"/>
              <w:color w:val="auto"/>
              <w:sz w:val="24"/>
              <w:szCs w:val="22"/>
              <w:lang w:val="en-US" w:eastAsia="zh-CN" w:bidi="ar-SA"/>
            </w:rPr>
            <w:instrText xml:space="preserve">TOC \o "1-1" \h \u </w:instrText>
          </w:r>
          <w:r>
            <w:rPr>
              <w:rFonts w:hint="eastAsia" w:ascii="Times New Roman" w:hAnsi="Times New Roman" w:eastAsia="宋体" w:cs="宋体"/>
              <w:color w:val="auto"/>
              <w:sz w:val="24"/>
              <w:szCs w:val="22"/>
              <w:lang w:val="en-US" w:eastAsia="zh-CN" w:bidi="ar-SA"/>
            </w:rPr>
            <w:fldChar w:fldCharType="separate"/>
          </w:r>
        </w:p>
        <w:p w14:paraId="6864FDA2">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_Toc21268 </w:instrText>
          </w:r>
          <w:r>
            <w:rPr>
              <w:rFonts w:hint="eastAsia" w:ascii="Times New Roman" w:hAnsi="Times New Roman" w:eastAsia="宋体" w:cs="宋体"/>
              <w:color w:val="auto"/>
              <w:szCs w:val="22"/>
              <w:lang w:val="en-US" w:eastAsia="zh-CN" w:bidi="ar-SA"/>
            </w:rPr>
            <w:fldChar w:fldCharType="separate"/>
          </w:r>
          <w:r>
            <w:rPr>
              <w:rFonts w:hint="eastAsia" w:ascii="Times New Roman" w:hAnsi="Times New Roman" w:eastAsia="宋体" w:cs="宋体"/>
              <w:color w:val="auto"/>
              <w:kern w:val="44"/>
              <w:szCs w:val="22"/>
              <w:lang w:val="en-US" w:eastAsia="zh-CN" w:bidi="ar-SA"/>
            </w:rPr>
            <w:t>一、</w:t>
          </w:r>
          <w:r>
            <w:rPr>
              <w:rFonts w:ascii="Times New Roman" w:hAnsi="Times New Roman" w:eastAsia="宋体" w:cs="宋体"/>
              <w:color w:val="auto"/>
              <w:kern w:val="44"/>
              <w:szCs w:val="22"/>
              <w:lang w:val="en-US" w:eastAsia="zh-CN" w:bidi="ar-SA"/>
            </w:rPr>
            <w:t>建设项目基本情况</w:t>
          </w:r>
          <w:r>
            <w:rPr>
              <w:color w:val="auto"/>
            </w:rPr>
            <w:tab/>
          </w:r>
          <w:r>
            <w:rPr>
              <w:color w:val="auto"/>
            </w:rPr>
            <w:fldChar w:fldCharType="begin"/>
          </w:r>
          <w:r>
            <w:rPr>
              <w:color w:val="auto"/>
            </w:rPr>
            <w:instrText xml:space="preserve"> PAGEREF _Toc21268 \h </w:instrText>
          </w:r>
          <w:r>
            <w:rPr>
              <w:color w:val="auto"/>
            </w:rPr>
            <w:fldChar w:fldCharType="separate"/>
          </w:r>
          <w:r>
            <w:rPr>
              <w:color w:val="auto"/>
            </w:rPr>
            <w:t>1</w:t>
          </w:r>
          <w:r>
            <w:rPr>
              <w:color w:val="auto"/>
            </w:rPr>
            <w:fldChar w:fldCharType="end"/>
          </w:r>
          <w:r>
            <w:rPr>
              <w:rFonts w:hint="eastAsia" w:ascii="Times New Roman" w:hAnsi="Times New Roman" w:eastAsia="宋体" w:cs="宋体"/>
              <w:color w:val="auto"/>
              <w:szCs w:val="22"/>
              <w:lang w:val="en-US" w:eastAsia="zh-CN" w:bidi="ar-SA"/>
            </w:rPr>
            <w:fldChar w:fldCharType="end"/>
          </w:r>
        </w:p>
        <w:p w14:paraId="3BCD48E1">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_Toc12337 </w:instrText>
          </w:r>
          <w:r>
            <w:rPr>
              <w:rFonts w:hint="eastAsia" w:ascii="Times New Roman" w:hAnsi="Times New Roman" w:eastAsia="宋体" w:cs="宋体"/>
              <w:color w:val="auto"/>
              <w:szCs w:val="22"/>
              <w:lang w:val="en-US" w:eastAsia="zh-CN" w:bidi="ar-SA"/>
            </w:rPr>
            <w:fldChar w:fldCharType="separate"/>
          </w:r>
          <w:r>
            <w:rPr>
              <w:rFonts w:hint="eastAsia" w:ascii="Times New Roman" w:hAnsi="Times New Roman" w:eastAsia="宋体" w:cs="宋体"/>
              <w:color w:val="auto"/>
              <w:kern w:val="44"/>
              <w:szCs w:val="22"/>
              <w:lang w:val="en-US" w:eastAsia="zh-CN" w:bidi="ar-SA"/>
            </w:rPr>
            <w:t>二、 建设项目工程分析</w:t>
          </w:r>
          <w:r>
            <w:rPr>
              <w:color w:val="auto"/>
            </w:rPr>
            <w:tab/>
          </w:r>
          <w:r>
            <w:rPr>
              <w:color w:val="auto"/>
            </w:rPr>
            <w:fldChar w:fldCharType="begin"/>
          </w:r>
          <w:r>
            <w:rPr>
              <w:color w:val="auto"/>
            </w:rPr>
            <w:instrText xml:space="preserve"> PAGEREF _Toc12337 \h </w:instrText>
          </w:r>
          <w:r>
            <w:rPr>
              <w:color w:val="auto"/>
            </w:rPr>
            <w:fldChar w:fldCharType="separate"/>
          </w:r>
          <w:r>
            <w:rPr>
              <w:color w:val="auto"/>
            </w:rPr>
            <w:t>35</w:t>
          </w:r>
          <w:r>
            <w:rPr>
              <w:color w:val="auto"/>
            </w:rPr>
            <w:fldChar w:fldCharType="end"/>
          </w:r>
          <w:r>
            <w:rPr>
              <w:rFonts w:hint="eastAsia" w:ascii="Times New Roman" w:hAnsi="Times New Roman" w:eastAsia="宋体" w:cs="宋体"/>
              <w:color w:val="auto"/>
              <w:szCs w:val="22"/>
              <w:lang w:val="en-US" w:eastAsia="zh-CN" w:bidi="ar-SA"/>
            </w:rPr>
            <w:fldChar w:fldCharType="end"/>
          </w:r>
        </w:p>
        <w:p w14:paraId="69D43EF6">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_Toc853 </w:instrText>
          </w:r>
          <w:r>
            <w:rPr>
              <w:rFonts w:hint="eastAsia" w:ascii="Times New Roman" w:hAnsi="Times New Roman" w:eastAsia="宋体" w:cs="宋体"/>
              <w:color w:val="auto"/>
              <w:szCs w:val="22"/>
              <w:lang w:val="en-US" w:eastAsia="zh-CN" w:bidi="ar-SA"/>
            </w:rPr>
            <w:fldChar w:fldCharType="separate"/>
          </w:r>
          <w:r>
            <w:rPr>
              <w:rFonts w:hint="eastAsia" w:ascii="Times New Roman" w:hAnsi="Times New Roman" w:eastAsia="宋体" w:cs="宋体"/>
              <w:color w:val="auto"/>
              <w:kern w:val="44"/>
            </w:rPr>
            <w:t xml:space="preserve">三、 </w:t>
          </w:r>
          <w:r>
            <w:rPr>
              <w:rFonts w:ascii="Times New Roman" w:hAnsi="Times New Roman" w:eastAsia="宋体" w:cs="宋体"/>
              <w:color w:val="auto"/>
              <w:kern w:val="44"/>
            </w:rPr>
            <w:t>区域环境质量现状、环境保护目标及评价标准</w:t>
          </w:r>
          <w:r>
            <w:rPr>
              <w:color w:val="auto"/>
            </w:rPr>
            <w:tab/>
          </w:r>
          <w:r>
            <w:rPr>
              <w:color w:val="auto"/>
            </w:rPr>
            <w:fldChar w:fldCharType="begin"/>
          </w:r>
          <w:r>
            <w:rPr>
              <w:color w:val="auto"/>
            </w:rPr>
            <w:instrText xml:space="preserve"> PAGEREF _Toc853 \h </w:instrText>
          </w:r>
          <w:r>
            <w:rPr>
              <w:color w:val="auto"/>
            </w:rPr>
            <w:fldChar w:fldCharType="separate"/>
          </w:r>
          <w:r>
            <w:rPr>
              <w:color w:val="auto"/>
            </w:rPr>
            <w:t>53</w:t>
          </w:r>
          <w:r>
            <w:rPr>
              <w:color w:val="auto"/>
            </w:rPr>
            <w:fldChar w:fldCharType="end"/>
          </w:r>
          <w:r>
            <w:rPr>
              <w:rFonts w:hint="eastAsia" w:ascii="Times New Roman" w:hAnsi="Times New Roman" w:eastAsia="宋体" w:cs="宋体"/>
              <w:color w:val="auto"/>
              <w:szCs w:val="22"/>
              <w:lang w:val="en-US" w:eastAsia="zh-CN" w:bidi="ar-SA"/>
            </w:rPr>
            <w:fldChar w:fldCharType="end"/>
          </w:r>
        </w:p>
        <w:p w14:paraId="389D63AC">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_Toc17244 </w:instrText>
          </w:r>
          <w:r>
            <w:rPr>
              <w:rFonts w:hint="eastAsia" w:ascii="Times New Roman" w:hAnsi="Times New Roman" w:eastAsia="宋体" w:cs="宋体"/>
              <w:color w:val="auto"/>
              <w:szCs w:val="22"/>
              <w:lang w:val="en-US" w:eastAsia="zh-CN" w:bidi="ar-SA"/>
            </w:rPr>
            <w:fldChar w:fldCharType="separate"/>
          </w:r>
          <w:r>
            <w:rPr>
              <w:rFonts w:hint="eastAsia" w:ascii="Times New Roman" w:hAnsi="Times New Roman" w:eastAsia="宋体" w:cs="宋体"/>
              <w:color w:val="auto"/>
              <w:kern w:val="44"/>
              <w:szCs w:val="22"/>
              <w:lang w:val="en-US" w:eastAsia="zh-CN" w:bidi="ar-SA"/>
            </w:rPr>
            <w:t>四、 主要环境影响和保护措施</w:t>
          </w:r>
          <w:r>
            <w:rPr>
              <w:color w:val="auto"/>
            </w:rPr>
            <w:tab/>
          </w:r>
          <w:r>
            <w:rPr>
              <w:color w:val="auto"/>
            </w:rPr>
            <w:fldChar w:fldCharType="begin"/>
          </w:r>
          <w:r>
            <w:rPr>
              <w:color w:val="auto"/>
            </w:rPr>
            <w:instrText xml:space="preserve"> PAGEREF _Toc17244 \h </w:instrText>
          </w:r>
          <w:r>
            <w:rPr>
              <w:color w:val="auto"/>
            </w:rPr>
            <w:fldChar w:fldCharType="separate"/>
          </w:r>
          <w:r>
            <w:rPr>
              <w:color w:val="auto"/>
            </w:rPr>
            <w:t>62</w:t>
          </w:r>
          <w:r>
            <w:rPr>
              <w:color w:val="auto"/>
            </w:rPr>
            <w:fldChar w:fldCharType="end"/>
          </w:r>
          <w:r>
            <w:rPr>
              <w:rFonts w:hint="eastAsia" w:ascii="Times New Roman" w:hAnsi="Times New Roman" w:eastAsia="宋体" w:cs="宋体"/>
              <w:color w:val="auto"/>
              <w:szCs w:val="22"/>
              <w:lang w:val="en-US" w:eastAsia="zh-CN" w:bidi="ar-SA"/>
            </w:rPr>
            <w:fldChar w:fldCharType="end"/>
          </w:r>
        </w:p>
        <w:p w14:paraId="7279DA64">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_Toc32340 </w:instrText>
          </w:r>
          <w:r>
            <w:rPr>
              <w:rFonts w:hint="eastAsia" w:ascii="Times New Roman" w:hAnsi="Times New Roman" w:eastAsia="宋体" w:cs="宋体"/>
              <w:color w:val="auto"/>
              <w:szCs w:val="22"/>
              <w:lang w:val="en-US" w:eastAsia="zh-CN" w:bidi="ar-SA"/>
            </w:rPr>
            <w:fldChar w:fldCharType="separate"/>
          </w:r>
          <w:r>
            <w:rPr>
              <w:rFonts w:ascii="Times New Roman" w:hAnsi="Times New Roman" w:eastAsia="宋体" w:cs="宋体"/>
              <w:color w:val="auto"/>
              <w:kern w:val="44"/>
              <w:szCs w:val="22"/>
              <w:lang w:val="en-US" w:eastAsia="zh-CN" w:bidi="ar-SA"/>
            </w:rPr>
            <w:t>五、环境保护措施监督检查清单</w:t>
          </w:r>
          <w:r>
            <w:rPr>
              <w:color w:val="auto"/>
            </w:rPr>
            <w:tab/>
          </w:r>
          <w:r>
            <w:rPr>
              <w:color w:val="auto"/>
            </w:rPr>
            <w:fldChar w:fldCharType="begin"/>
          </w:r>
          <w:r>
            <w:rPr>
              <w:color w:val="auto"/>
            </w:rPr>
            <w:instrText xml:space="preserve"> PAGEREF _Toc32340 \h </w:instrText>
          </w:r>
          <w:r>
            <w:rPr>
              <w:color w:val="auto"/>
            </w:rPr>
            <w:fldChar w:fldCharType="separate"/>
          </w:r>
          <w:r>
            <w:rPr>
              <w:color w:val="auto"/>
            </w:rPr>
            <w:t>110</w:t>
          </w:r>
          <w:r>
            <w:rPr>
              <w:color w:val="auto"/>
            </w:rPr>
            <w:fldChar w:fldCharType="end"/>
          </w:r>
          <w:r>
            <w:rPr>
              <w:rFonts w:hint="eastAsia" w:ascii="Times New Roman" w:hAnsi="Times New Roman" w:eastAsia="宋体" w:cs="宋体"/>
              <w:color w:val="auto"/>
              <w:szCs w:val="22"/>
              <w:lang w:val="en-US" w:eastAsia="zh-CN" w:bidi="ar-SA"/>
            </w:rPr>
            <w:fldChar w:fldCharType="end"/>
          </w:r>
        </w:p>
        <w:p w14:paraId="315D8F26">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_Toc16560 </w:instrText>
          </w:r>
          <w:r>
            <w:rPr>
              <w:rFonts w:hint="eastAsia" w:ascii="Times New Roman" w:hAnsi="Times New Roman" w:eastAsia="宋体" w:cs="宋体"/>
              <w:color w:val="auto"/>
              <w:szCs w:val="22"/>
              <w:lang w:val="en-US" w:eastAsia="zh-CN" w:bidi="ar-SA"/>
            </w:rPr>
            <w:fldChar w:fldCharType="separate"/>
          </w:r>
          <w:r>
            <w:rPr>
              <w:rFonts w:hint="eastAsia" w:ascii="Times New Roman" w:hAnsi="Times New Roman" w:eastAsia="宋体" w:cs="宋体"/>
              <w:color w:val="auto"/>
              <w:kern w:val="44"/>
              <w:szCs w:val="22"/>
              <w:lang w:val="en-US" w:eastAsia="zh-CN" w:bidi="ar-SA"/>
            </w:rPr>
            <w:t>六、结论</w:t>
          </w:r>
          <w:r>
            <w:rPr>
              <w:color w:val="auto"/>
            </w:rPr>
            <w:tab/>
          </w:r>
          <w:r>
            <w:rPr>
              <w:color w:val="auto"/>
            </w:rPr>
            <w:fldChar w:fldCharType="begin"/>
          </w:r>
          <w:r>
            <w:rPr>
              <w:color w:val="auto"/>
            </w:rPr>
            <w:instrText xml:space="preserve"> PAGEREF _Toc16560 \h </w:instrText>
          </w:r>
          <w:r>
            <w:rPr>
              <w:color w:val="auto"/>
            </w:rPr>
            <w:fldChar w:fldCharType="separate"/>
          </w:r>
          <w:r>
            <w:rPr>
              <w:color w:val="auto"/>
            </w:rPr>
            <w:t>114</w:t>
          </w:r>
          <w:r>
            <w:rPr>
              <w:color w:val="auto"/>
            </w:rPr>
            <w:fldChar w:fldCharType="end"/>
          </w:r>
          <w:r>
            <w:rPr>
              <w:rFonts w:hint="eastAsia" w:ascii="Times New Roman" w:hAnsi="Times New Roman" w:eastAsia="宋体" w:cs="宋体"/>
              <w:color w:val="auto"/>
              <w:szCs w:val="22"/>
              <w:lang w:val="en-US" w:eastAsia="zh-CN" w:bidi="ar-SA"/>
            </w:rPr>
            <w:fldChar w:fldCharType="end"/>
          </w:r>
        </w:p>
        <w:p w14:paraId="6897402C">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_Toc12926 </w:instrText>
          </w:r>
          <w:r>
            <w:rPr>
              <w:rFonts w:hint="eastAsia" w:ascii="Times New Roman" w:hAnsi="Times New Roman" w:eastAsia="宋体" w:cs="宋体"/>
              <w:color w:val="auto"/>
              <w:szCs w:val="22"/>
              <w:lang w:val="en-US" w:eastAsia="zh-CN" w:bidi="ar-SA"/>
            </w:rPr>
            <w:fldChar w:fldCharType="separate"/>
          </w:r>
          <w:r>
            <w:rPr>
              <w:rFonts w:hint="eastAsia" w:ascii="Times New Roman" w:hAnsi="Times New Roman" w:eastAsia="黑体" w:cs="Times New Roman"/>
              <w:snapToGrid w:val="0"/>
              <w:color w:val="auto"/>
              <w:kern w:val="0"/>
              <w:szCs w:val="32"/>
              <w:highlight w:val="none"/>
              <w:lang w:val="en-US" w:eastAsia="zh-CN" w:bidi="ar-SA"/>
            </w:rPr>
            <w:t>附表</w:t>
          </w:r>
          <w:r>
            <w:rPr>
              <w:color w:val="auto"/>
            </w:rPr>
            <w:tab/>
          </w:r>
          <w:r>
            <w:rPr>
              <w:color w:val="auto"/>
            </w:rPr>
            <w:fldChar w:fldCharType="begin"/>
          </w:r>
          <w:r>
            <w:rPr>
              <w:color w:val="auto"/>
            </w:rPr>
            <w:instrText xml:space="preserve"> PAGEREF _Toc12926 \h </w:instrText>
          </w:r>
          <w:r>
            <w:rPr>
              <w:color w:val="auto"/>
            </w:rPr>
            <w:fldChar w:fldCharType="separate"/>
          </w:r>
          <w:r>
            <w:rPr>
              <w:color w:val="auto"/>
            </w:rPr>
            <w:t>115</w:t>
          </w:r>
          <w:r>
            <w:rPr>
              <w:color w:val="auto"/>
            </w:rPr>
            <w:fldChar w:fldCharType="end"/>
          </w:r>
          <w:r>
            <w:rPr>
              <w:rFonts w:hint="eastAsia" w:ascii="Times New Roman" w:hAnsi="Times New Roman" w:eastAsia="宋体" w:cs="宋体"/>
              <w:color w:val="auto"/>
              <w:szCs w:val="22"/>
              <w:lang w:val="en-US" w:eastAsia="zh-CN" w:bidi="ar-SA"/>
            </w:rPr>
            <w:fldChar w:fldCharType="end"/>
          </w:r>
        </w:p>
        <w:p w14:paraId="1EA132C8">
          <w:pPr>
            <w:pStyle w:val="11"/>
            <w:tabs>
              <w:tab w:val="right" w:leader="dot" w:pos="8306"/>
            </w:tabs>
            <w:spacing w:line="360" w:lineRule="auto"/>
            <w:rPr>
              <w:color w:val="auto"/>
            </w:rPr>
          </w:pPr>
          <w:r>
            <w:rPr>
              <w:rFonts w:hint="eastAsia" w:ascii="Times New Roman" w:hAnsi="Times New Roman" w:eastAsia="宋体" w:cs="宋体"/>
              <w:color w:val="auto"/>
              <w:szCs w:val="22"/>
              <w:lang w:val="en-US" w:eastAsia="zh-CN" w:bidi="ar-SA"/>
            </w:rPr>
            <w:fldChar w:fldCharType="begin"/>
          </w:r>
          <w:r>
            <w:rPr>
              <w:rFonts w:hint="eastAsia" w:ascii="Times New Roman" w:hAnsi="Times New Roman" w:eastAsia="宋体" w:cs="宋体"/>
              <w:color w:val="auto"/>
              <w:szCs w:val="22"/>
              <w:lang w:val="en-US" w:eastAsia="zh-CN" w:bidi="ar-SA"/>
            </w:rPr>
            <w:instrText xml:space="preserve"> HYPERLINK \l _Toc14946 </w:instrText>
          </w:r>
          <w:r>
            <w:rPr>
              <w:rFonts w:hint="eastAsia" w:ascii="Times New Roman" w:hAnsi="Times New Roman" w:eastAsia="宋体" w:cs="宋体"/>
              <w:color w:val="auto"/>
              <w:szCs w:val="22"/>
              <w:lang w:val="en-US" w:eastAsia="zh-CN" w:bidi="ar-SA"/>
            </w:rPr>
            <w:fldChar w:fldCharType="separate"/>
          </w:r>
          <w:r>
            <w:rPr>
              <w:rFonts w:hint="eastAsia" w:ascii="Times New Roman" w:hAnsi="Times New Roman" w:eastAsia="宋体" w:cs="宋体"/>
              <w:bCs/>
              <w:color w:val="auto"/>
              <w:szCs w:val="28"/>
              <w:lang w:val="en-US" w:eastAsia="zh-CN"/>
            </w:rPr>
            <w:t>建设项目污染物排放量汇总表</w:t>
          </w:r>
          <w:r>
            <w:rPr>
              <w:color w:val="auto"/>
            </w:rPr>
            <w:tab/>
          </w:r>
          <w:r>
            <w:rPr>
              <w:color w:val="auto"/>
            </w:rPr>
            <w:fldChar w:fldCharType="begin"/>
          </w:r>
          <w:r>
            <w:rPr>
              <w:color w:val="auto"/>
            </w:rPr>
            <w:instrText xml:space="preserve"> PAGEREF _Toc14946 \h </w:instrText>
          </w:r>
          <w:r>
            <w:rPr>
              <w:color w:val="auto"/>
            </w:rPr>
            <w:fldChar w:fldCharType="separate"/>
          </w:r>
          <w:r>
            <w:rPr>
              <w:color w:val="auto"/>
            </w:rPr>
            <w:t>115</w:t>
          </w:r>
          <w:r>
            <w:rPr>
              <w:color w:val="auto"/>
            </w:rPr>
            <w:fldChar w:fldCharType="end"/>
          </w:r>
          <w:r>
            <w:rPr>
              <w:rFonts w:hint="eastAsia" w:ascii="Times New Roman" w:hAnsi="Times New Roman" w:eastAsia="宋体" w:cs="宋体"/>
              <w:color w:val="auto"/>
              <w:szCs w:val="22"/>
              <w:lang w:val="en-US" w:eastAsia="zh-CN" w:bidi="ar-SA"/>
            </w:rPr>
            <w:fldChar w:fldCharType="end"/>
          </w:r>
        </w:p>
        <w:p w14:paraId="37DB11B1">
          <w:pPr>
            <w:bidi w:val="0"/>
            <w:spacing w:line="360" w:lineRule="auto"/>
            <w:rPr>
              <w:rFonts w:hint="eastAsia" w:ascii="Times New Roman" w:hAnsi="Times New Roman" w:eastAsia="宋体" w:cs="宋体"/>
              <w:color w:val="auto"/>
              <w:sz w:val="24"/>
              <w:szCs w:val="22"/>
              <w:lang w:val="en-US" w:eastAsia="zh-CN" w:bidi="ar-SA"/>
            </w:rPr>
          </w:pPr>
          <w:r>
            <w:rPr>
              <w:rFonts w:hint="eastAsia" w:ascii="Times New Roman" w:hAnsi="Times New Roman" w:eastAsia="宋体" w:cs="宋体"/>
              <w:color w:val="auto"/>
              <w:szCs w:val="22"/>
              <w:lang w:val="en-US" w:eastAsia="zh-CN" w:bidi="ar-SA"/>
            </w:rPr>
            <w:fldChar w:fldCharType="end"/>
          </w:r>
        </w:p>
      </w:sdtContent>
    </w:sdt>
    <w:p w14:paraId="1B9B3CCC">
      <w:pPr>
        <w:bidi w:val="0"/>
        <w:rPr>
          <w:rFonts w:hint="eastAsia"/>
          <w:color w:val="auto"/>
          <w:lang w:val="en-US" w:eastAsia="zh-CN"/>
        </w:rPr>
      </w:pPr>
    </w:p>
    <w:p w14:paraId="710F2F14">
      <w:pPr>
        <w:bidi w:val="0"/>
        <w:rPr>
          <w:rFonts w:hint="eastAsia"/>
          <w:color w:val="auto"/>
          <w:lang w:val="en-US" w:eastAsia="zh-CN"/>
        </w:rPr>
      </w:pPr>
    </w:p>
    <w:p w14:paraId="1F6BDD02">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B153C1E">
      <w:pPr>
        <w:widowControl w:val="0"/>
        <w:numPr>
          <w:ilvl w:val="0"/>
          <w:numId w:val="0"/>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ascii="Times New Roman" w:hAnsi="Times New Roman" w:eastAsia="宋体" w:cs="宋体"/>
          <w:b/>
          <w:color w:val="auto"/>
          <w:kern w:val="44"/>
          <w:sz w:val="28"/>
          <w:szCs w:val="22"/>
          <w:lang w:val="en-US" w:eastAsia="zh-CN" w:bidi="ar-SA"/>
        </w:rPr>
      </w:pPr>
      <w:bookmarkStart w:id="3" w:name="_Toc21268"/>
      <w:bookmarkStart w:id="4" w:name="_Toc28497"/>
      <w:bookmarkStart w:id="5" w:name="_Toc14616"/>
      <w:r>
        <w:rPr>
          <w:rFonts w:hint="eastAsia" w:ascii="Times New Roman" w:hAnsi="Times New Roman" w:eastAsia="宋体" w:cs="宋体"/>
          <w:b/>
          <w:color w:val="auto"/>
          <w:kern w:val="44"/>
          <w:sz w:val="28"/>
          <w:szCs w:val="22"/>
          <w:lang w:val="en-US" w:eastAsia="zh-CN" w:bidi="ar-SA"/>
        </w:rPr>
        <w:t>一、</w:t>
      </w:r>
      <w:r>
        <w:rPr>
          <w:rFonts w:ascii="Times New Roman" w:hAnsi="Times New Roman" w:eastAsia="宋体" w:cs="宋体"/>
          <w:b/>
          <w:color w:val="auto"/>
          <w:kern w:val="44"/>
          <w:sz w:val="28"/>
          <w:szCs w:val="22"/>
          <w:lang w:val="en-US" w:eastAsia="zh-CN" w:bidi="ar-SA"/>
        </w:rPr>
        <w:t>建设项目基本情况</w:t>
      </w:r>
      <w:bookmarkEnd w:id="3"/>
      <w:bookmarkEnd w:id="4"/>
      <w:bookmarkEnd w:id="5"/>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2196"/>
        <w:gridCol w:w="1683"/>
        <w:gridCol w:w="3296"/>
      </w:tblGrid>
      <w:tr w14:paraId="2ED4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4873545C">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建设项目名称</w:t>
            </w:r>
          </w:p>
        </w:tc>
        <w:tc>
          <w:tcPr>
            <w:tcW w:w="7175" w:type="dxa"/>
            <w:gridSpan w:val="3"/>
            <w:vAlign w:val="center"/>
          </w:tcPr>
          <w:p w14:paraId="324FDEC5">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新疆美邻美佳新型建材有限公司建设年产5万吨腻子粉、10万吨瓷砖胶生产线项目</w:t>
            </w:r>
          </w:p>
        </w:tc>
      </w:tr>
      <w:tr w14:paraId="6067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37EEFAE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项目代码</w:t>
            </w:r>
          </w:p>
        </w:tc>
        <w:tc>
          <w:tcPr>
            <w:tcW w:w="7175" w:type="dxa"/>
            <w:gridSpan w:val="3"/>
            <w:vAlign w:val="center"/>
          </w:tcPr>
          <w:p w14:paraId="3E13339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2508-652302-04-01-665227</w:t>
            </w:r>
          </w:p>
        </w:tc>
      </w:tr>
      <w:tr w14:paraId="34E9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5602A8F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建设单位联系</w:t>
            </w:r>
            <w:r>
              <w:rPr>
                <w:rFonts w:hint="eastAsia" w:cs="Times New Roman"/>
                <w:color w:val="auto"/>
                <w:sz w:val="24"/>
                <w:szCs w:val="24"/>
                <w:lang w:val="en-US" w:eastAsia="zh-CN" w:bidi="ar-SA"/>
              </w:rPr>
              <w:t>人</w:t>
            </w:r>
          </w:p>
        </w:tc>
        <w:tc>
          <w:tcPr>
            <w:tcW w:w="2196" w:type="dxa"/>
            <w:vAlign w:val="center"/>
          </w:tcPr>
          <w:p w14:paraId="15E12E3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highlight w:val="none"/>
                <w:lang w:val="en-US" w:eastAsia="zh-CN" w:bidi="ar-SA"/>
              </w:rPr>
            </w:pPr>
          </w:p>
        </w:tc>
        <w:tc>
          <w:tcPr>
            <w:tcW w:w="1683" w:type="dxa"/>
            <w:vAlign w:val="center"/>
          </w:tcPr>
          <w:p w14:paraId="4A48C8B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联系方式</w:t>
            </w:r>
          </w:p>
        </w:tc>
        <w:tc>
          <w:tcPr>
            <w:tcW w:w="3296" w:type="dxa"/>
            <w:vAlign w:val="center"/>
          </w:tcPr>
          <w:p w14:paraId="071E84A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highlight w:val="none"/>
                <w:lang w:val="en-US" w:eastAsia="zh-CN" w:bidi="ar-SA"/>
              </w:rPr>
            </w:pPr>
          </w:p>
        </w:tc>
      </w:tr>
      <w:tr w14:paraId="12A7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178F74D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建设地点</w:t>
            </w:r>
          </w:p>
        </w:tc>
        <w:tc>
          <w:tcPr>
            <w:tcW w:w="7175" w:type="dxa"/>
            <w:gridSpan w:val="3"/>
            <w:vAlign w:val="center"/>
          </w:tcPr>
          <w:p w14:paraId="6A7099D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p>
        </w:tc>
      </w:tr>
      <w:tr w14:paraId="7AFC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51613A7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地理坐标</w:t>
            </w:r>
          </w:p>
        </w:tc>
        <w:tc>
          <w:tcPr>
            <w:tcW w:w="7175" w:type="dxa"/>
            <w:gridSpan w:val="3"/>
            <w:vAlign w:val="center"/>
          </w:tcPr>
          <w:p w14:paraId="0C1BA46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color w:val="auto"/>
                <w:lang w:val="en-US" w:eastAsia="zh-CN"/>
              </w:rPr>
            </w:pPr>
          </w:p>
        </w:tc>
      </w:tr>
      <w:tr w14:paraId="0DAA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7841884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国民经济行业类别</w:t>
            </w:r>
          </w:p>
        </w:tc>
        <w:tc>
          <w:tcPr>
            <w:tcW w:w="2196" w:type="dxa"/>
            <w:vAlign w:val="center"/>
          </w:tcPr>
          <w:p w14:paraId="4FF6ED10">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auto"/>
                <w:sz w:val="24"/>
                <w:szCs w:val="24"/>
                <w:vertAlign w:val="baseline"/>
                <w:lang w:val="en-US" w:eastAsia="zh-CN" w:bidi="ar-SA"/>
              </w:rPr>
            </w:pPr>
            <w:r>
              <w:rPr>
                <w:rFonts w:hint="eastAsia"/>
                <w:color w:val="auto"/>
                <w:sz w:val="24"/>
              </w:rPr>
              <w:t>C3029其他水泥类似制品制造</w:t>
            </w:r>
          </w:p>
        </w:tc>
        <w:tc>
          <w:tcPr>
            <w:tcW w:w="1683" w:type="dxa"/>
            <w:vAlign w:val="center"/>
          </w:tcPr>
          <w:p w14:paraId="59F2B8B1">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highlight w:val="none"/>
                <w:lang w:val="en-US" w:eastAsia="zh-CN" w:bidi="ar-SA"/>
              </w:rPr>
              <w:t>建设项目行业类别</w:t>
            </w:r>
          </w:p>
        </w:tc>
        <w:tc>
          <w:tcPr>
            <w:tcW w:w="3296" w:type="dxa"/>
            <w:vAlign w:val="center"/>
          </w:tcPr>
          <w:p w14:paraId="2AD3E9E9">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eastAsia"/>
                <w:color w:val="auto"/>
                <w:sz w:val="24"/>
              </w:rPr>
              <w:t>二十七、非金属矿物制造-55</w:t>
            </w:r>
            <w:r>
              <w:rPr>
                <w:rFonts w:hint="eastAsia" w:ascii="宋体" w:hAnsi="宋体" w:cs="宋体"/>
                <w:color w:val="auto"/>
                <w:sz w:val="24"/>
              </w:rPr>
              <w:t>“石膏、水泥制品及类似制品制造</w:t>
            </w:r>
            <w:r>
              <w:rPr>
                <w:color w:val="auto"/>
                <w:sz w:val="24"/>
              </w:rPr>
              <w:t>-</w:t>
            </w:r>
            <w:r>
              <w:rPr>
                <w:rFonts w:hint="eastAsia" w:ascii="宋体" w:hAnsi="宋体" w:cs="宋体"/>
                <w:color w:val="auto"/>
                <w:sz w:val="24"/>
              </w:rPr>
              <w:t>商品混凝土</w:t>
            </w:r>
          </w:p>
        </w:tc>
      </w:tr>
      <w:tr w14:paraId="2576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25950A73">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left"/>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建设性质</w:t>
            </w:r>
          </w:p>
        </w:tc>
        <w:tc>
          <w:tcPr>
            <w:tcW w:w="2196" w:type="dxa"/>
            <w:vAlign w:val="center"/>
          </w:tcPr>
          <w:p w14:paraId="5CFF62E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新建</w:t>
            </w:r>
          </w:p>
          <w:p w14:paraId="316E4287">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改建</w:t>
            </w:r>
          </w:p>
          <w:p w14:paraId="470C41AE">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扩建</w:t>
            </w:r>
          </w:p>
          <w:p w14:paraId="6481A767">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left"/>
              <w:textAlignment w:val="auto"/>
              <w:rPr>
                <w:rFonts w:hint="default" w:ascii="Times New Roman" w:hAnsi="Times New Roman" w:eastAsia="宋体" w:cs="Times New Roman"/>
                <w:color w:val="auto"/>
                <w:sz w:val="24"/>
                <w:szCs w:val="24"/>
                <w:vertAlign w:val="baseline"/>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技术改造</w:t>
            </w:r>
          </w:p>
        </w:tc>
        <w:tc>
          <w:tcPr>
            <w:tcW w:w="1683" w:type="dxa"/>
            <w:vAlign w:val="center"/>
          </w:tcPr>
          <w:p w14:paraId="0A33FA6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left"/>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建设项目申报情形</w:t>
            </w:r>
          </w:p>
        </w:tc>
        <w:tc>
          <w:tcPr>
            <w:tcW w:w="3296" w:type="dxa"/>
            <w:vAlign w:val="center"/>
          </w:tcPr>
          <w:p w14:paraId="77FC949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首次申报项目</w:t>
            </w:r>
          </w:p>
          <w:p w14:paraId="02A72067">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不予批准后再次申报项目</w:t>
            </w:r>
          </w:p>
          <w:p w14:paraId="078E2FC4">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超五年重新审核项目</w:t>
            </w:r>
          </w:p>
          <w:p w14:paraId="7DD3AF88">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left"/>
              <w:textAlignment w:val="auto"/>
              <w:rPr>
                <w:rFonts w:hint="default" w:ascii="Times New Roman" w:hAnsi="Times New Roman" w:eastAsia="宋体" w:cs="Times New Roman"/>
                <w:color w:val="auto"/>
                <w:sz w:val="24"/>
                <w:szCs w:val="24"/>
                <w:vertAlign w:val="baseline"/>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重大变动重新报批项目</w:t>
            </w:r>
          </w:p>
        </w:tc>
      </w:tr>
      <w:tr w14:paraId="20FC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3D57FF7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项目审批（核准/ 备案）部门（选填）</w:t>
            </w:r>
          </w:p>
        </w:tc>
        <w:tc>
          <w:tcPr>
            <w:tcW w:w="2196" w:type="dxa"/>
            <w:vAlign w:val="center"/>
          </w:tcPr>
          <w:p w14:paraId="550D6349">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eastAsia" w:cs="Times New Roman"/>
                <w:color w:val="auto"/>
                <w:sz w:val="24"/>
                <w:szCs w:val="24"/>
                <w:vertAlign w:val="baseline"/>
                <w:lang w:val="en-US" w:eastAsia="zh-CN" w:bidi="ar-SA"/>
              </w:rPr>
              <w:t>阜康市发展和政革委员会</w:t>
            </w:r>
          </w:p>
        </w:tc>
        <w:tc>
          <w:tcPr>
            <w:tcW w:w="1683" w:type="dxa"/>
            <w:vAlign w:val="center"/>
          </w:tcPr>
          <w:p w14:paraId="7AD8CCD6">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项目审批（核准/ 备案）文号（选填）</w:t>
            </w:r>
          </w:p>
        </w:tc>
        <w:tc>
          <w:tcPr>
            <w:tcW w:w="3296" w:type="dxa"/>
            <w:vAlign w:val="center"/>
          </w:tcPr>
          <w:p w14:paraId="7B57D0C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eastAsia" w:cs="Times New Roman"/>
                <w:color w:val="auto"/>
                <w:sz w:val="24"/>
                <w:szCs w:val="24"/>
                <w:vertAlign w:val="baseline"/>
                <w:lang w:val="en-US" w:eastAsia="zh-CN" w:bidi="ar-SA"/>
              </w:rPr>
              <w:t>2508041786652302000016</w:t>
            </w:r>
          </w:p>
        </w:tc>
      </w:tr>
      <w:tr w14:paraId="7349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896" w:type="dxa"/>
            <w:vAlign w:val="center"/>
          </w:tcPr>
          <w:p w14:paraId="5011FC0B">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总投资（万元）</w:t>
            </w:r>
          </w:p>
        </w:tc>
        <w:tc>
          <w:tcPr>
            <w:tcW w:w="2196" w:type="dxa"/>
            <w:vAlign w:val="center"/>
          </w:tcPr>
          <w:p w14:paraId="739321FC">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1200</w:t>
            </w:r>
          </w:p>
        </w:tc>
        <w:tc>
          <w:tcPr>
            <w:tcW w:w="1683" w:type="dxa"/>
            <w:vAlign w:val="center"/>
          </w:tcPr>
          <w:p w14:paraId="494499B1">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环保投资（万元）</w:t>
            </w:r>
          </w:p>
        </w:tc>
        <w:tc>
          <w:tcPr>
            <w:tcW w:w="3296" w:type="dxa"/>
            <w:vAlign w:val="center"/>
          </w:tcPr>
          <w:p w14:paraId="1DD0C1EB">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25.5</w:t>
            </w:r>
          </w:p>
        </w:tc>
      </w:tr>
      <w:tr w14:paraId="7ED3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641A2873">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环保投资占比（%）</w:t>
            </w:r>
          </w:p>
        </w:tc>
        <w:tc>
          <w:tcPr>
            <w:tcW w:w="2196" w:type="dxa"/>
            <w:vAlign w:val="center"/>
          </w:tcPr>
          <w:p w14:paraId="539A6AA3">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2.13</w:t>
            </w:r>
          </w:p>
        </w:tc>
        <w:tc>
          <w:tcPr>
            <w:tcW w:w="1683" w:type="dxa"/>
            <w:vAlign w:val="center"/>
          </w:tcPr>
          <w:p w14:paraId="3E9CB17A">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施工工期</w:t>
            </w:r>
          </w:p>
        </w:tc>
        <w:tc>
          <w:tcPr>
            <w:tcW w:w="3296" w:type="dxa"/>
            <w:vAlign w:val="center"/>
          </w:tcPr>
          <w:p w14:paraId="11C3CAC1">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2个月</w:t>
            </w:r>
          </w:p>
        </w:tc>
      </w:tr>
      <w:tr w14:paraId="7C4F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3886CAF6">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是否开工建设</w:t>
            </w:r>
          </w:p>
        </w:tc>
        <w:tc>
          <w:tcPr>
            <w:tcW w:w="2196" w:type="dxa"/>
            <w:vAlign w:val="center"/>
          </w:tcPr>
          <w:p w14:paraId="3938AEB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 xml:space="preserve">否 </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是</w:t>
            </w:r>
          </w:p>
        </w:tc>
        <w:tc>
          <w:tcPr>
            <w:tcW w:w="1683" w:type="dxa"/>
            <w:vAlign w:val="center"/>
          </w:tcPr>
          <w:p w14:paraId="2F7A5440">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用地（用海）面积（</w:t>
            </w:r>
            <w:r>
              <w:rPr>
                <w:rFonts w:hint="eastAsia" w:ascii="Times New Roman" w:hAnsi="Times New Roman" w:eastAsia="宋体" w:cs="Times New Roman"/>
                <w:color w:val="auto"/>
                <w:sz w:val="24"/>
                <w:szCs w:val="24"/>
                <w:lang w:val="en-US" w:eastAsia="zh-CN" w:bidi="ar-SA"/>
              </w:rPr>
              <w:t>m</w:t>
            </w:r>
            <w:r>
              <w:rPr>
                <w:rFonts w:hint="eastAsia"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w:t>
            </w:r>
          </w:p>
        </w:tc>
        <w:tc>
          <w:tcPr>
            <w:tcW w:w="3296" w:type="dxa"/>
            <w:vAlign w:val="center"/>
          </w:tcPr>
          <w:p w14:paraId="05B790E7">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3900</w:t>
            </w:r>
          </w:p>
        </w:tc>
      </w:tr>
      <w:tr w14:paraId="179F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896" w:type="dxa"/>
            <w:vAlign w:val="center"/>
          </w:tcPr>
          <w:p w14:paraId="5D45A83B">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专项评价设置情况</w:t>
            </w:r>
          </w:p>
        </w:tc>
        <w:tc>
          <w:tcPr>
            <w:tcW w:w="7175" w:type="dxa"/>
            <w:gridSpan w:val="3"/>
            <w:vAlign w:val="center"/>
          </w:tcPr>
          <w:p w14:paraId="43D1D51E">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无</w:t>
            </w:r>
          </w:p>
        </w:tc>
      </w:tr>
      <w:tr w14:paraId="2755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28F5B928">
            <w:pPr>
              <w:overflowPunct w:val="0"/>
              <w:autoSpaceDE w:val="0"/>
              <w:autoSpaceDN w:val="0"/>
              <w:adjustRightInd w:val="0"/>
              <w:snapToGrid w:val="0"/>
              <w:jc w:val="center"/>
              <w:rPr>
                <w:rFonts w:hint="eastAsia" w:ascii="宋体" w:hAnsi="宋体" w:eastAsia="宋体" w:cs="宋体"/>
                <w:color w:val="auto"/>
                <w:sz w:val="24"/>
                <w:szCs w:val="24"/>
                <w:lang w:val="en-US" w:eastAsia="zh-CN" w:bidi="ar-SA"/>
              </w:rPr>
            </w:pPr>
            <w:r>
              <w:rPr>
                <w:rFonts w:hint="eastAsia" w:ascii="宋体" w:hAnsi="宋体"/>
                <w:color w:val="auto"/>
                <w:szCs w:val="24"/>
              </w:rPr>
              <w:t>规划情况</w:t>
            </w:r>
          </w:p>
        </w:tc>
        <w:tc>
          <w:tcPr>
            <w:tcW w:w="7175" w:type="dxa"/>
            <w:gridSpan w:val="3"/>
            <w:vAlign w:val="center"/>
          </w:tcPr>
          <w:p w14:paraId="25AD0C5D">
            <w:pPr>
              <w:spacing w:line="360" w:lineRule="auto"/>
              <w:rPr>
                <w:color w:val="auto"/>
              </w:rPr>
            </w:pPr>
            <w:r>
              <w:rPr>
                <w:rFonts w:hint="eastAsia"/>
                <w:color w:val="auto"/>
              </w:rPr>
              <w:t>（1）规划</w:t>
            </w:r>
            <w:r>
              <w:rPr>
                <w:rFonts w:hint="eastAsia" w:ascii="Times New Roman" w:eastAsia="宋体"/>
                <w:color w:val="auto"/>
                <w:lang w:val="en-US" w:eastAsia="zh-CN"/>
              </w:rPr>
              <w:t>名称</w:t>
            </w:r>
            <w:r>
              <w:rPr>
                <w:rFonts w:hint="eastAsia"/>
                <w:color w:val="auto"/>
              </w:rPr>
              <w:t>：《甘泉堡工业园区总体规划（2016-2030）》；</w:t>
            </w:r>
          </w:p>
          <w:p w14:paraId="02A5BD5B">
            <w:pPr>
              <w:spacing w:line="360" w:lineRule="auto"/>
              <w:rPr>
                <w:color w:val="auto"/>
              </w:rPr>
            </w:pPr>
            <w:r>
              <w:rPr>
                <w:rFonts w:hint="eastAsia"/>
                <w:color w:val="auto"/>
              </w:rPr>
              <w:t>（2）审批</w:t>
            </w:r>
            <w:r>
              <w:rPr>
                <w:rFonts w:hint="eastAsia" w:ascii="Times New Roman" w:eastAsia="宋体"/>
                <w:color w:val="auto"/>
                <w:lang w:val="en-US" w:eastAsia="zh-CN"/>
              </w:rPr>
              <w:t>单位</w:t>
            </w:r>
            <w:r>
              <w:rPr>
                <w:rFonts w:hint="eastAsia"/>
                <w:color w:val="auto"/>
              </w:rPr>
              <w:t>：新疆维吾尔自治区人民政府；</w:t>
            </w:r>
          </w:p>
          <w:p w14:paraId="45E18691">
            <w:pPr>
              <w:spacing w:line="360" w:lineRule="auto"/>
              <w:rPr>
                <w:rFonts w:hint="eastAsia"/>
                <w:color w:val="auto"/>
                <w:lang w:val="en-US" w:eastAsia="zh-CN"/>
              </w:rPr>
            </w:pPr>
            <w:r>
              <w:rPr>
                <w:rFonts w:hint="eastAsia"/>
                <w:color w:val="auto"/>
              </w:rPr>
              <w:t>（3）</w:t>
            </w:r>
            <w:r>
              <w:rPr>
                <w:rFonts w:hint="eastAsia" w:ascii="Times New Roman" w:hAnsi="Times New Roman" w:eastAsia="宋体" w:cs="Times New Roman"/>
                <w:color w:val="auto"/>
                <w:sz w:val="24"/>
                <w:szCs w:val="24"/>
                <w:lang w:val="en-US" w:eastAsia="zh-CN" w:bidi="ar-SA"/>
              </w:rPr>
              <w:t>审批文件及文号</w:t>
            </w:r>
            <w:r>
              <w:rPr>
                <w:rFonts w:hint="eastAsia"/>
                <w:color w:val="auto"/>
              </w:rPr>
              <w:t>：关于《甘泉堡工业园总体规划（2016</w:t>
            </w:r>
            <w:r>
              <w:rPr>
                <w:rFonts w:hint="eastAsia"/>
                <w:color w:val="auto"/>
                <w:lang w:eastAsia="zh-CN"/>
              </w:rPr>
              <w:t>—</w:t>
            </w:r>
            <w:r>
              <w:rPr>
                <w:rFonts w:hint="eastAsia"/>
                <w:color w:val="auto"/>
              </w:rPr>
              <w:t>2030年）》的批复，新政函</w:t>
            </w:r>
            <w:r>
              <w:rPr>
                <w:rFonts w:hint="eastAsia"/>
                <w:color w:val="auto"/>
                <w:lang w:eastAsia="zh-CN"/>
              </w:rPr>
              <w:t>〔2017〕42号</w:t>
            </w:r>
            <w:r>
              <w:rPr>
                <w:rFonts w:hint="eastAsia"/>
                <w:color w:val="auto"/>
              </w:rPr>
              <w:t>。</w:t>
            </w:r>
          </w:p>
        </w:tc>
      </w:tr>
      <w:tr w14:paraId="58D2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1D51B929">
            <w:pPr>
              <w:overflowPunct w:val="0"/>
              <w:autoSpaceDE w:val="0"/>
              <w:autoSpaceDN w:val="0"/>
              <w:adjustRightInd w:val="0"/>
              <w:snapToGrid w:val="0"/>
              <w:jc w:val="center"/>
              <w:rPr>
                <w:rFonts w:hint="eastAsia" w:ascii="宋体" w:hAnsi="宋体" w:eastAsia="宋体" w:cs="宋体"/>
                <w:color w:val="auto"/>
                <w:sz w:val="24"/>
                <w:szCs w:val="24"/>
                <w:lang w:val="en-US" w:eastAsia="zh-CN" w:bidi="ar-SA"/>
              </w:rPr>
            </w:pPr>
            <w:r>
              <w:rPr>
                <w:rFonts w:hint="eastAsia" w:ascii="宋体" w:hAnsi="宋体"/>
                <w:color w:val="auto"/>
                <w:szCs w:val="24"/>
              </w:rPr>
              <w:t>规划环境影响评价情况</w:t>
            </w:r>
          </w:p>
        </w:tc>
        <w:tc>
          <w:tcPr>
            <w:tcW w:w="7175" w:type="dxa"/>
            <w:gridSpan w:val="3"/>
            <w:vAlign w:val="center"/>
          </w:tcPr>
          <w:p w14:paraId="3E6B3AC2">
            <w:pPr>
              <w:spacing w:line="360" w:lineRule="auto"/>
              <w:rPr>
                <w:color w:val="auto"/>
              </w:rPr>
            </w:pPr>
            <w:r>
              <w:rPr>
                <w:rFonts w:hint="eastAsia"/>
                <w:color w:val="auto"/>
              </w:rPr>
              <w:t>（1）规划环评</w:t>
            </w:r>
            <w:r>
              <w:rPr>
                <w:rFonts w:hint="eastAsia" w:ascii="Times New Roman" w:eastAsia="宋体"/>
                <w:color w:val="auto"/>
                <w:lang w:val="en-US" w:eastAsia="zh-CN"/>
              </w:rPr>
              <w:t>名称</w:t>
            </w:r>
            <w:r>
              <w:rPr>
                <w:rFonts w:hint="eastAsia"/>
                <w:color w:val="auto"/>
              </w:rPr>
              <w:t>：《甘泉堡工业园区总体规划（2016-2030）环境影响报告书》；</w:t>
            </w:r>
          </w:p>
          <w:p w14:paraId="0959D150">
            <w:pPr>
              <w:spacing w:line="360" w:lineRule="auto"/>
              <w:rPr>
                <w:color w:val="auto"/>
              </w:rPr>
            </w:pPr>
            <w:r>
              <w:rPr>
                <w:rFonts w:hint="eastAsia"/>
                <w:color w:val="auto"/>
              </w:rPr>
              <w:t>（2）审批</w:t>
            </w:r>
            <w:r>
              <w:rPr>
                <w:rFonts w:hint="eastAsia" w:ascii="Times New Roman" w:eastAsia="宋体"/>
                <w:color w:val="auto"/>
                <w:lang w:val="en-US" w:eastAsia="zh-CN"/>
              </w:rPr>
              <w:t>单位</w:t>
            </w:r>
            <w:r>
              <w:rPr>
                <w:rFonts w:hint="eastAsia" w:eastAsia="宋体"/>
                <w:color w:val="auto"/>
                <w:lang w:eastAsia="zh-CN"/>
              </w:rPr>
              <w:t>：</w:t>
            </w:r>
            <w:r>
              <w:rPr>
                <w:rFonts w:hint="eastAsia" w:ascii="Times New Roman" w:eastAsia="宋体"/>
                <w:color w:val="auto"/>
                <w:lang w:val="en-US" w:eastAsia="zh-CN"/>
              </w:rPr>
              <w:t>原</w:t>
            </w:r>
            <w:r>
              <w:rPr>
                <w:rFonts w:hint="eastAsia"/>
                <w:color w:val="auto"/>
              </w:rPr>
              <w:t>新疆维吾尔自治区环境保护厅；</w:t>
            </w:r>
          </w:p>
          <w:p w14:paraId="1D856218">
            <w:pPr>
              <w:spacing w:line="360" w:lineRule="auto"/>
              <w:rPr>
                <w:rFonts w:hint="default" w:ascii="Times New Roman" w:hAnsi="Times New Roman" w:eastAsia="宋体" w:cs="Times New Roman"/>
                <w:color w:val="auto"/>
                <w:sz w:val="24"/>
                <w:szCs w:val="24"/>
                <w:lang w:val="en-US" w:eastAsia="zh-CN" w:bidi="ar-SA"/>
              </w:rPr>
            </w:pPr>
            <w:r>
              <w:rPr>
                <w:rFonts w:hint="eastAsia"/>
                <w:color w:val="auto"/>
              </w:rPr>
              <w:t>（3）</w:t>
            </w:r>
            <w:r>
              <w:rPr>
                <w:rFonts w:hint="eastAsia" w:ascii="Times New Roman" w:hAnsi="Times New Roman" w:eastAsia="宋体" w:cs="Times New Roman"/>
                <w:color w:val="auto"/>
                <w:sz w:val="24"/>
                <w:szCs w:val="24"/>
                <w:lang w:val="en-US" w:eastAsia="zh-CN" w:bidi="ar-SA"/>
              </w:rPr>
              <w:t>审批文件及文号</w:t>
            </w:r>
            <w:r>
              <w:rPr>
                <w:rFonts w:hint="eastAsia"/>
                <w:color w:val="auto"/>
              </w:rPr>
              <w:t>：《关于甘泉堡工业园总体规划（2016</w:t>
            </w:r>
            <w:r>
              <w:rPr>
                <w:rFonts w:hint="eastAsia"/>
                <w:color w:val="auto"/>
                <w:lang w:eastAsia="zh-CN"/>
              </w:rPr>
              <w:t>—</w:t>
            </w:r>
            <w:r>
              <w:rPr>
                <w:rFonts w:hint="eastAsia"/>
                <w:color w:val="auto"/>
              </w:rPr>
              <w:t>2030年）环境影响报告书的审查意见》，新环函</w:t>
            </w:r>
            <w:r>
              <w:rPr>
                <w:rFonts w:hint="eastAsia"/>
                <w:color w:val="auto"/>
                <w:lang w:eastAsia="zh-CN"/>
              </w:rPr>
              <w:t>〔2018〕368号</w:t>
            </w:r>
            <w:r>
              <w:rPr>
                <w:rFonts w:hint="eastAsia"/>
                <w:color w:val="auto"/>
              </w:rPr>
              <w:t>。</w:t>
            </w:r>
          </w:p>
        </w:tc>
      </w:tr>
      <w:tr w14:paraId="4C3B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96" w:type="dxa"/>
            <w:vAlign w:val="center"/>
          </w:tcPr>
          <w:p w14:paraId="002F3E7B">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规划及规划环境影响评价符合性分析</w:t>
            </w:r>
          </w:p>
        </w:tc>
        <w:tc>
          <w:tcPr>
            <w:tcW w:w="7175" w:type="dxa"/>
            <w:gridSpan w:val="3"/>
            <w:vAlign w:val="center"/>
          </w:tcPr>
          <w:p w14:paraId="40B63C04">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default"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1、</w:t>
            </w:r>
            <w:r>
              <w:rPr>
                <w:rFonts w:hint="default" w:ascii="Times New Roman" w:hAnsi="Times New Roman" w:eastAsia="宋体" w:cs="黑体"/>
                <w:b/>
                <w:color w:val="auto"/>
                <w:sz w:val="28"/>
                <w:szCs w:val="30"/>
                <w:lang w:val="en-US" w:eastAsia="zh-CN" w:bidi="ar-SA"/>
              </w:rPr>
              <w:t>与甘泉堡工业园总体规划及规划环评符合性分析</w:t>
            </w:r>
          </w:p>
          <w:p w14:paraId="0149BDED">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甘泉堡工业园地处乌鲁木齐市与昌吉州的交界地带，东接准东石油基地，南临小黄山铁路和216国道，西接乌鲁木齐米东区，北至兵团农六师102团（五家渠）。区域中心距乌鲁木齐市中心区45公里，米东新区中心区20</w:t>
            </w:r>
            <w:r>
              <w:rPr>
                <w:rFonts w:hint="eastAsia" w:cs="Times New Roman"/>
                <w:color w:val="auto"/>
                <w:sz w:val="24"/>
                <w:szCs w:val="24"/>
                <w:lang w:val="en-US" w:eastAsia="zh-CN"/>
              </w:rPr>
              <w:t>公里</w:t>
            </w:r>
            <w:r>
              <w:rPr>
                <w:rFonts w:hint="eastAsia" w:ascii="Times New Roman" w:hAnsi="Times New Roman" w:eastAsia="宋体" w:cs="Times New Roman"/>
                <w:color w:val="auto"/>
                <w:sz w:val="24"/>
                <w:szCs w:val="24"/>
                <w:lang w:val="en-US" w:eastAsia="zh-CN"/>
              </w:rPr>
              <w:t xml:space="preserve">，阜康市中心15公里，准东石油基地5公里。东西跨长约21公里，南北约23公里，周围被五家渠、昌吉、乌鲁木齐、阜康等城市和准东石油基地、农六师102团包围。 </w:t>
            </w:r>
          </w:p>
          <w:p w14:paraId="6B5174D9">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lang w:val="en-US" w:eastAsia="zh-CN"/>
              </w:rPr>
              <w:t>甘泉堡工业园</w:t>
            </w:r>
            <w:r>
              <w:rPr>
                <w:rFonts w:hint="eastAsia" w:ascii="Times New Roman" w:hAnsi="Times New Roman" w:eastAsia="宋体" w:cs="Times New Roman"/>
                <w:color w:val="auto"/>
                <w:sz w:val="24"/>
                <w:szCs w:val="24"/>
                <w:lang w:eastAsia="zh-CN"/>
              </w:rPr>
              <w:t>（2012年9月国务院批复了《国务院办公厅关于设立新疆乌鲁木齐甘泉堡经济技术开发区的复函》国办函</w:t>
            </w:r>
            <w:r>
              <w:rPr>
                <w:rFonts w:hint="eastAsia" w:cs="Times New Roman"/>
                <w:color w:val="auto"/>
                <w:sz w:val="24"/>
                <w:szCs w:val="24"/>
                <w:lang w:eastAsia="zh-CN"/>
              </w:rPr>
              <w:t>〔2012〕163号</w:t>
            </w:r>
            <w:r>
              <w:rPr>
                <w:rFonts w:hint="eastAsia" w:ascii="Times New Roman" w:hAnsi="Times New Roman" w:eastAsia="宋体" w:cs="Times New Roman"/>
                <w:color w:val="auto"/>
                <w:sz w:val="24"/>
                <w:szCs w:val="24"/>
                <w:lang w:eastAsia="zh-CN"/>
              </w:rPr>
              <w:t>），同意乌鲁木齐甘泉堡工业区更名为甘泉堡经济技术开发区，</w:t>
            </w:r>
            <w:r>
              <w:rPr>
                <w:rFonts w:hint="eastAsia" w:ascii="Times New Roman" w:hAnsi="Times New Roman" w:eastAsia="宋体" w:cs="Times New Roman"/>
                <w:color w:val="auto"/>
                <w:sz w:val="24"/>
                <w:szCs w:val="24"/>
                <w:lang w:val="en-US" w:eastAsia="zh-CN"/>
              </w:rPr>
              <w:t>以下简称</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甘泉堡工业园</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bidi="ar-SA"/>
              </w:rPr>
              <w:t>的工业用地</w:t>
            </w:r>
            <w:r>
              <w:rPr>
                <w:rFonts w:hint="default" w:ascii="Times New Roman" w:hAnsi="Times New Roman" w:eastAsia="宋体" w:cs="Times New Roman"/>
                <w:color w:val="auto"/>
                <w:sz w:val="24"/>
                <w:szCs w:val="24"/>
                <w:highlight w:val="none"/>
                <w:shd w:val="clear" w:color="auto" w:fill="FFFFFF"/>
                <w:lang w:val="en-US" w:eastAsia="zh-CN" w:bidi="ar-SA"/>
              </w:rPr>
              <w:t>；</w:t>
            </w:r>
            <w:r>
              <w:rPr>
                <w:rFonts w:hint="eastAsia" w:ascii="Times New Roman" w:hAnsi="Times New Roman" w:eastAsia="宋体" w:cs="Times New Roman"/>
                <w:color w:val="auto"/>
                <w:sz w:val="24"/>
                <w:szCs w:val="24"/>
                <w:highlight w:val="none"/>
                <w:shd w:val="clear" w:color="auto" w:fill="FFFFFF"/>
                <w:lang w:val="en-US" w:eastAsia="zh-CN" w:bidi="ar-SA"/>
              </w:rPr>
              <w:t>根据《甘泉堡工业园总体规划（2016</w:t>
            </w:r>
            <w:r>
              <w:rPr>
                <w:rFonts w:hint="eastAsia" w:cs="Times New Roman"/>
                <w:color w:val="auto"/>
                <w:sz w:val="24"/>
                <w:szCs w:val="24"/>
                <w:highlight w:val="none"/>
                <w:shd w:val="clear" w:color="auto" w:fill="FFFFFF"/>
                <w:lang w:val="en-US" w:eastAsia="zh-CN" w:bidi="ar-SA"/>
              </w:rPr>
              <w:t>—</w:t>
            </w:r>
            <w:r>
              <w:rPr>
                <w:rFonts w:hint="eastAsia" w:ascii="Times New Roman" w:hAnsi="Times New Roman" w:eastAsia="宋体" w:cs="Times New Roman"/>
                <w:color w:val="auto"/>
                <w:sz w:val="24"/>
                <w:szCs w:val="24"/>
                <w:highlight w:val="none"/>
                <w:shd w:val="clear" w:color="auto" w:fill="FFFFFF"/>
                <w:lang w:val="en-US" w:eastAsia="zh-CN" w:bidi="ar-SA"/>
              </w:rPr>
              <w:t xml:space="preserve">2030年）》，乌昌地区未来以实施优势资源转化战略为基础，以高新技术创新研发为先导的新兴战略产业基地，以新能源和优势资源深度开发利用为主，具有循环经济特色，面向中亚和东欧市场的出口加工基地，形成重点发展产业、补充发展产业和配套发展产业“7+3+2”的产业体系。 </w:t>
            </w:r>
          </w:p>
          <w:p w14:paraId="2806599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（1）重点发展产业：确保现有煤电煤化工产业和精细化工业有序建设，重点发展新能源与新材料工业、先进装备制造业和机电工业（主要是电气设备和通讯设备），积极开拓生物医药、电子信息产业。</w:t>
            </w:r>
          </w:p>
          <w:p w14:paraId="20478D48">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（2）补充发展产业：合理发展新型建材业和有色金属加工业， 鼓励发展众创众筹等小微产业。</w:t>
            </w:r>
          </w:p>
          <w:p w14:paraId="2F16F478">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（3）配套发展产业：</w:t>
            </w:r>
            <w:r>
              <w:rPr>
                <w:rFonts w:hint="eastAsia" w:cs="Times New Roman"/>
                <w:color w:val="auto"/>
                <w:sz w:val="24"/>
                <w:szCs w:val="24"/>
                <w:highlight w:val="none"/>
                <w:shd w:val="clear" w:color="auto" w:fill="FFFFFF"/>
                <w:lang w:val="en-US" w:eastAsia="zh-CN" w:bidi="ar-SA"/>
              </w:rPr>
              <w:t>包括</w:t>
            </w:r>
            <w:r>
              <w:rPr>
                <w:rFonts w:hint="eastAsia" w:ascii="Times New Roman" w:hAnsi="Times New Roman" w:eastAsia="宋体" w:cs="Times New Roman"/>
                <w:color w:val="auto"/>
                <w:sz w:val="24"/>
                <w:szCs w:val="24"/>
                <w:highlight w:val="none"/>
                <w:shd w:val="clear" w:color="auto" w:fill="FFFFFF"/>
                <w:lang w:val="en-US" w:eastAsia="zh-CN" w:bidi="ar-SA"/>
              </w:rPr>
              <w:t xml:space="preserve">生产性服务业和消费性服务业。其中，生产性服务业指以铁路、高速公路为主动脉的物流运输产业，金融服务、信息技术、咨询、教育、产业研发、会展业等；生活性服务业指商业、文化、休闲、居住等。 </w:t>
            </w:r>
          </w:p>
          <w:p w14:paraId="59D28C9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根据《甘泉堡工业园总体规划（2016</w:t>
            </w:r>
            <w:r>
              <w:rPr>
                <w:rFonts w:hint="eastAsia" w:cs="Times New Roman"/>
                <w:color w:val="auto"/>
                <w:sz w:val="24"/>
                <w:szCs w:val="24"/>
                <w:highlight w:val="none"/>
                <w:shd w:val="clear" w:color="auto" w:fill="FFFFFF"/>
                <w:lang w:val="en-US" w:eastAsia="zh-CN" w:bidi="ar-SA"/>
              </w:rPr>
              <w:t>—</w:t>
            </w:r>
            <w:r>
              <w:rPr>
                <w:rFonts w:hint="eastAsia" w:ascii="Times New Roman" w:hAnsi="Times New Roman" w:eastAsia="宋体" w:cs="Times New Roman"/>
                <w:color w:val="auto"/>
                <w:sz w:val="24"/>
                <w:szCs w:val="24"/>
                <w:highlight w:val="none"/>
                <w:shd w:val="clear" w:color="auto" w:fill="FFFFFF"/>
                <w:lang w:val="en-US" w:eastAsia="zh-CN" w:bidi="ar-SA"/>
              </w:rPr>
              <w:t>2030年）》</w:t>
            </w:r>
            <w:r>
              <w:rPr>
                <w:rFonts w:hint="eastAsia" w:cs="Times New Roman"/>
                <w:color w:val="auto"/>
                <w:sz w:val="24"/>
                <w:szCs w:val="24"/>
                <w:highlight w:val="none"/>
                <w:shd w:val="clear" w:color="auto" w:fill="FFFFFF"/>
                <w:lang w:val="en-US" w:eastAsia="zh-CN" w:bidi="ar-SA"/>
              </w:rPr>
              <w:t>，</w:t>
            </w:r>
            <w:r>
              <w:rPr>
                <w:rFonts w:hint="eastAsia" w:ascii="Times New Roman" w:hAnsi="Times New Roman" w:eastAsia="宋体" w:cs="Times New Roman"/>
                <w:color w:val="auto"/>
                <w:sz w:val="24"/>
                <w:szCs w:val="24"/>
                <w:lang w:val="en-US" w:eastAsia="zh-CN"/>
              </w:rPr>
              <w:t>甘泉堡工业园</w:t>
            </w:r>
            <w:r>
              <w:rPr>
                <w:rFonts w:hint="eastAsia" w:ascii="Times New Roman" w:hAnsi="Times New Roman" w:eastAsia="宋体" w:cs="Times New Roman"/>
                <w:color w:val="auto"/>
                <w:sz w:val="24"/>
                <w:szCs w:val="24"/>
                <w:highlight w:val="none"/>
                <w:shd w:val="clear" w:color="auto" w:fill="FFFFFF"/>
                <w:lang w:val="en-US" w:eastAsia="zh-CN" w:bidi="ar-SA"/>
              </w:rPr>
              <w:t>划分为十个功能区，即优势资源转化区、经济合作与产业孵化区、新能源工业区、高新技术产业区、科教综合服务新区、物流仓储区、小微企业创新区、商贸物流区、生态保育区和协调发展区。</w:t>
            </w:r>
            <w:r>
              <w:rPr>
                <w:rFonts w:hint="eastAsia" w:ascii="Times New Roman" w:hAnsi="Times New Roman" w:eastAsia="宋体" w:cs="宋体"/>
                <w:color w:val="auto"/>
                <w:lang w:val="en-US" w:eastAsia="zh-CN"/>
              </w:rPr>
              <w:t>根据图1.1-1园区功能区划图，</w:t>
            </w:r>
            <w:r>
              <w:rPr>
                <w:rFonts w:hint="eastAsia" w:ascii="Times New Roman" w:hAnsi="Times New Roman" w:eastAsia="宋体" w:cs="Times New Roman"/>
                <w:color w:val="auto"/>
                <w:sz w:val="24"/>
                <w:szCs w:val="24"/>
                <w:highlight w:val="none"/>
                <w:shd w:val="clear" w:color="auto" w:fill="FFFFFF"/>
                <w:lang w:val="en-US" w:eastAsia="zh-CN" w:bidi="ar-SA"/>
              </w:rPr>
              <w:t>本项目位于甘泉堡工业园中小微企业创新区。</w:t>
            </w:r>
          </w:p>
          <w:p w14:paraId="333302F4">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color w:val="auto"/>
                <w:lang w:val="en-US" w:eastAsia="zh-CN"/>
              </w:rPr>
            </w:pPr>
            <w:r>
              <w:rPr>
                <w:rFonts w:hint="eastAsia" w:ascii="Times New Roman" w:hAnsi="Times New Roman" w:eastAsia="宋体" w:cs="Times New Roman"/>
                <w:color w:val="auto"/>
                <w:sz w:val="24"/>
                <w:szCs w:val="24"/>
                <w:highlight w:val="none"/>
                <w:shd w:val="clear" w:color="auto" w:fill="FFFFFF"/>
                <w:lang w:val="en-US" w:eastAsia="zh-CN" w:bidi="ar-SA"/>
              </w:rPr>
              <w:t>小微创新区属于阜康市城市总体规划中的阜西工业园区，阜西工业园区总体规划内容包含于《甘泉堡工业园区总体规划（2016- 2030年）》中。小微企业创新区</w:t>
            </w:r>
            <w:r>
              <w:rPr>
                <w:rFonts w:hint="eastAsia" w:cs="Times New Roman"/>
                <w:color w:val="auto"/>
                <w:sz w:val="24"/>
                <w:szCs w:val="24"/>
                <w:highlight w:val="none"/>
                <w:shd w:val="clear" w:color="auto" w:fill="FFFFFF"/>
                <w:lang w:val="en-US" w:eastAsia="zh-CN" w:bidi="ar-SA"/>
              </w:rPr>
              <w:t>是以</w:t>
            </w:r>
            <w:r>
              <w:rPr>
                <w:rFonts w:hint="eastAsia" w:ascii="Times New Roman" w:hAnsi="Times New Roman" w:eastAsia="宋体" w:cs="Times New Roman"/>
                <w:color w:val="auto"/>
                <w:sz w:val="24"/>
                <w:szCs w:val="24"/>
                <w:highlight w:val="none"/>
                <w:shd w:val="clear" w:color="auto" w:fill="FFFFFF"/>
                <w:lang w:val="en-US" w:eastAsia="zh-CN" w:bidi="ar-SA"/>
              </w:rPr>
              <w:t>新型建材产业为主导的集研发孵化、生产加工、商贸交易、物流配送为一体的小微新兴产业企业园。</w:t>
            </w:r>
            <w:r>
              <w:rPr>
                <w:rFonts w:hint="eastAsia" w:ascii="Times New Roman" w:hAnsi="Times New Roman" w:eastAsia="宋体" w:cs="宋体"/>
                <w:color w:val="auto"/>
                <w:lang w:val="en-US" w:eastAsia="zh-CN"/>
              </w:rPr>
              <w:t>本项目位于小微企业创新区，本项目属于</w:t>
            </w:r>
            <w:r>
              <w:rPr>
                <w:rFonts w:hint="eastAsia" w:cs="宋体"/>
                <w:color w:val="auto"/>
                <w:lang w:val="en-US" w:eastAsia="zh-CN"/>
              </w:rPr>
              <w:t>建材生产项目</w:t>
            </w:r>
            <w:r>
              <w:rPr>
                <w:rFonts w:hint="eastAsia" w:ascii="Times New Roman" w:hAnsi="Times New Roman" w:eastAsia="宋体" w:cs="宋体"/>
                <w:color w:val="auto"/>
                <w:lang w:val="en-US" w:eastAsia="zh-CN"/>
              </w:rPr>
              <w:t>，属于小微产业，与园区产业布局相符。</w:t>
            </w:r>
          </w:p>
          <w:p w14:paraId="2FB52962">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shd w:val="clear" w:color="auto" w:fill="FFFFFF"/>
                <w:lang w:val="en-US" w:eastAsia="zh-CN" w:bidi="ar-SA"/>
              </w:rPr>
            </w:pPr>
            <w:r>
              <w:rPr>
                <w:rFonts w:hint="eastAsia" w:cs="宋体"/>
                <w:color w:val="auto"/>
                <w:lang w:val="en-US" w:eastAsia="zh-CN"/>
              </w:rPr>
              <w:t>同时</w:t>
            </w:r>
            <w:r>
              <w:rPr>
                <w:rFonts w:hint="eastAsia" w:ascii="Times New Roman" w:hAnsi="Times New Roman" w:eastAsia="宋体" w:cs="宋体"/>
                <w:color w:val="auto"/>
                <w:lang w:val="en-US" w:eastAsia="zh-CN"/>
              </w:rPr>
              <w:t>根据</w:t>
            </w:r>
            <w:r>
              <w:rPr>
                <w:rFonts w:hint="eastAsia" w:ascii="Times New Roman" w:hAnsi="Times New Roman" w:eastAsia="宋体" w:cs="Times New Roman"/>
                <w:color w:val="auto"/>
                <w:kern w:val="2"/>
                <w:sz w:val="24"/>
                <w:szCs w:val="24"/>
                <w:lang w:val="en-US" w:eastAsia="zh-CN" w:bidi="ar-SA"/>
              </w:rPr>
              <w:t>《阜康阜西工业区规划设计》以阜西工业园重点产业，化工、传统建材、塑料制品为主导，优化升级产业结构，逐步向以新材料、新能源、绿色有机食品加工、精细化工及新型建材方向转化。同时以科教、旅游、会展、现代服务为辅助，以副产品交换为中心建立产业共生网络，构建产业生态系统雏形。本项目</w:t>
            </w:r>
            <w:r>
              <w:rPr>
                <w:rFonts w:hint="eastAsia"/>
                <w:color w:val="auto"/>
              </w:rPr>
              <w:t>属于</w:t>
            </w:r>
            <w:r>
              <w:rPr>
                <w:rFonts w:hint="eastAsia" w:ascii="Times New Roman" w:eastAsia="宋体"/>
                <w:color w:val="auto"/>
                <w:lang w:val="en-US" w:eastAsia="zh-CN"/>
              </w:rPr>
              <w:t>生产加工小微</w:t>
            </w:r>
            <w:r>
              <w:rPr>
                <w:rFonts w:hint="eastAsia"/>
                <w:color w:val="auto"/>
              </w:rPr>
              <w:t>企业，</w:t>
            </w:r>
            <w:r>
              <w:rPr>
                <w:rFonts w:hint="eastAsia" w:ascii="Times New Roman" w:hAnsi="Times New Roman" w:eastAsia="宋体" w:cs="宋体"/>
                <w:color w:val="auto"/>
                <w:lang w:val="en-US" w:eastAsia="zh-CN"/>
              </w:rPr>
              <w:t>属于</w:t>
            </w:r>
            <w:r>
              <w:rPr>
                <w:rFonts w:hint="eastAsia" w:cs="宋体"/>
                <w:color w:val="auto"/>
                <w:lang w:val="en-US" w:eastAsia="zh-CN"/>
              </w:rPr>
              <w:t>建材生产项目</w:t>
            </w:r>
            <w:r>
              <w:rPr>
                <w:rFonts w:hint="eastAsia" w:ascii="Times New Roman" w:eastAsia="宋体"/>
                <w:color w:val="auto"/>
                <w:lang w:val="en-US" w:eastAsia="zh-CN"/>
              </w:rPr>
              <w:t>，为园区的优化升级产业结构提供支持</w:t>
            </w:r>
            <w:r>
              <w:rPr>
                <w:rFonts w:hint="eastAsia" w:ascii="Times New Roman" w:hAnsi="Times New Roman" w:eastAsia="宋体" w:cs="Times New Roman"/>
                <w:color w:val="auto"/>
                <w:kern w:val="2"/>
                <w:sz w:val="24"/>
                <w:szCs w:val="24"/>
                <w:lang w:val="en-US" w:eastAsia="zh-CN" w:bidi="ar-SA"/>
              </w:rPr>
              <w:t>，因此符合园区产业布局。</w:t>
            </w:r>
          </w:p>
          <w:p w14:paraId="663649E1">
            <w:pPr>
              <w:widowControl w:val="0"/>
              <w:numPr>
                <w:ilvl w:val="0"/>
                <w:numId w:val="0"/>
              </w:numPr>
              <w:spacing w:line="360" w:lineRule="auto"/>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Times New Roman"/>
                <w:color w:val="auto"/>
                <w:sz w:val="24"/>
                <w:szCs w:val="24"/>
                <w:highlight w:val="none"/>
                <w:shd w:val="clear" w:color="auto" w:fill="FFFFFF"/>
                <w:lang w:val="en-US" w:eastAsia="zh-CN" w:bidi="ar-SA"/>
              </w:rPr>
              <w:t>根据《关于甘泉堡工业园总体规划（2016</w:t>
            </w:r>
            <w:r>
              <w:rPr>
                <w:rFonts w:hint="eastAsia" w:cs="Times New Roman"/>
                <w:color w:val="auto"/>
                <w:sz w:val="24"/>
                <w:szCs w:val="24"/>
                <w:highlight w:val="none"/>
                <w:shd w:val="clear" w:color="auto" w:fill="FFFFFF"/>
                <w:lang w:val="en-US" w:eastAsia="zh-CN" w:bidi="ar-SA"/>
              </w:rPr>
              <w:t>—</w:t>
            </w:r>
            <w:r>
              <w:rPr>
                <w:rFonts w:hint="eastAsia" w:ascii="Times New Roman" w:hAnsi="Times New Roman" w:eastAsia="宋体" w:cs="Times New Roman"/>
                <w:color w:val="auto"/>
                <w:sz w:val="24"/>
                <w:szCs w:val="24"/>
                <w:highlight w:val="none"/>
                <w:shd w:val="clear" w:color="auto" w:fill="FFFFFF"/>
                <w:lang w:val="en-US" w:eastAsia="zh-CN" w:bidi="ar-SA"/>
              </w:rPr>
              <w:t>2030年）环境影响报告书的审查意见》（新环函</w:t>
            </w:r>
            <w:r>
              <w:rPr>
                <w:rFonts w:hint="eastAsia" w:cs="Times New Roman"/>
                <w:color w:val="auto"/>
                <w:sz w:val="24"/>
                <w:szCs w:val="24"/>
                <w:highlight w:val="none"/>
                <w:shd w:val="clear" w:color="auto" w:fill="FFFFFF"/>
                <w:lang w:val="en-US" w:eastAsia="zh-CN" w:bidi="ar-SA"/>
              </w:rPr>
              <w:t>〔2018〕368号</w:t>
            </w:r>
            <w:r>
              <w:rPr>
                <w:rFonts w:hint="eastAsia" w:ascii="Times New Roman" w:hAnsi="Times New Roman" w:eastAsia="宋体" w:cs="Times New Roman"/>
                <w:color w:val="auto"/>
                <w:sz w:val="24"/>
                <w:szCs w:val="24"/>
                <w:highlight w:val="none"/>
                <w:shd w:val="clear" w:color="auto" w:fill="FFFFFF"/>
                <w:lang w:val="en-US" w:eastAsia="zh-CN" w:bidi="ar-SA"/>
              </w:rPr>
              <w:t>）：“园区位于乌鲁木齐、昌吉、石河子、五家渠区域环境同防同治区的重点区域，不宜布局建设煤化工、电解铝、燃煤纯发电机组、金属硅、碳化硅、聚氯乙烯（电石法）、焦炭（含半焦）等行业的新增产能项目，加快钢铁、水泥、焦炭、玻璃、煤炭等行业落后产能淘汰力度”，本项目为</w:t>
            </w:r>
            <w:r>
              <w:rPr>
                <w:rFonts w:hint="eastAsia" w:cs="Times New Roman"/>
                <w:color w:val="auto"/>
                <w:sz w:val="24"/>
                <w:szCs w:val="24"/>
                <w:highlight w:val="none"/>
                <w:shd w:val="clear" w:color="auto" w:fill="FFFFFF"/>
                <w:lang w:val="en-US" w:eastAsia="zh-CN" w:bidi="ar-SA"/>
              </w:rPr>
              <w:t>建材生产</w:t>
            </w:r>
            <w:r>
              <w:rPr>
                <w:rFonts w:hint="eastAsia" w:ascii="Times New Roman" w:hAnsi="Times New Roman" w:eastAsia="宋体" w:cs="Times New Roman"/>
                <w:color w:val="auto"/>
                <w:sz w:val="24"/>
                <w:szCs w:val="24"/>
                <w:highlight w:val="none"/>
                <w:shd w:val="clear" w:color="auto" w:fill="FFFFFF"/>
                <w:lang w:val="en-US" w:eastAsia="zh-CN" w:bidi="ar-SA"/>
              </w:rPr>
              <w:t>，不属于钢铁、水泥、焦炭、玻璃、煤炭等行业落后产能，</w:t>
            </w:r>
            <w:r>
              <w:rPr>
                <w:rFonts w:hint="default" w:ascii="Times New Roman" w:hAnsi="Times New Roman" w:eastAsia="宋体" w:cs="Times New Roman"/>
                <w:color w:val="auto"/>
                <w:sz w:val="24"/>
                <w:szCs w:val="24"/>
                <w:highlight w:val="none"/>
                <w:shd w:val="clear" w:color="auto" w:fill="FFFFFF"/>
                <w:lang w:val="en-US" w:eastAsia="zh-CN" w:bidi="ar-SA"/>
              </w:rPr>
              <w:t>符合产业政策、相关规划、规划环境影响评价结论及审查意见要求。</w:t>
            </w:r>
          </w:p>
          <w:p w14:paraId="6CA168F0">
            <w:pPr>
              <w:widowControl w:val="0"/>
              <w:autoSpaceDE w:val="0"/>
              <w:autoSpaceDN w:val="0"/>
              <w:adjustRightInd w:val="0"/>
              <w:spacing w:line="360" w:lineRule="auto"/>
              <w:ind w:firstLine="480" w:firstLineChars="200"/>
              <w:rPr>
                <w:rFonts w:hint="default" w:ascii="Times New Roman" w:hAnsi="Times New Roman" w:eastAsia="宋体" w:cs="宋体"/>
                <w:color w:val="auto"/>
                <w:highlight w:val="yellow"/>
                <w:lang w:val="en-US" w:eastAsia="zh-CN"/>
              </w:rPr>
            </w:pPr>
            <w:r>
              <w:rPr>
                <w:rFonts w:hint="eastAsia" w:ascii="Times New Roman" w:hAnsi="Times New Roman" w:eastAsia="宋体" w:cs="宋体"/>
                <w:color w:val="auto"/>
                <w:lang w:val="en-US" w:eastAsia="zh-CN"/>
              </w:rPr>
              <w:t>《关于甘泉堡工业园总体规划（2016</w:t>
            </w:r>
            <w:r>
              <w:rPr>
                <w:rFonts w:hint="eastAsia" w:cs="宋体"/>
                <w:color w:val="auto"/>
                <w:lang w:val="en-US" w:eastAsia="zh-CN"/>
              </w:rPr>
              <w:t>—</w:t>
            </w:r>
            <w:r>
              <w:rPr>
                <w:rFonts w:hint="eastAsia" w:ascii="Times New Roman" w:hAnsi="Times New Roman" w:eastAsia="宋体" w:cs="宋体"/>
                <w:color w:val="auto"/>
                <w:lang w:val="en-US" w:eastAsia="zh-CN"/>
              </w:rPr>
              <w:t>2030年）环境影响报告书的审查意见》（新环函</w:t>
            </w:r>
            <w:r>
              <w:rPr>
                <w:rFonts w:hint="eastAsia" w:cs="宋体"/>
                <w:color w:val="auto"/>
                <w:lang w:val="en-US" w:eastAsia="zh-CN"/>
              </w:rPr>
              <w:t>〔2018〕368号</w:t>
            </w:r>
            <w:r>
              <w:rPr>
                <w:rFonts w:hint="eastAsia" w:ascii="Times New Roman" w:hAnsi="Times New Roman" w:eastAsia="宋体" w:cs="宋体"/>
                <w:color w:val="auto"/>
                <w:lang w:val="en-US" w:eastAsia="zh-CN"/>
              </w:rPr>
              <w:t>）提出“严守生态保护红线，优化园区产业结构、空间布局，促进园区产业集约与绿色发展。规划空间管制区划定的禁建区和500水库坝外延1500米范围，以及规划范围内西延干渠两侧250米范围内划定为生态保护红线，禁止开发。结合区域发展方向、人口分布及环境保护等要求，按照《报告书》提出的空间管控距离控制园区和功能分区规划边界．制定并落实园区内现有不符合园区规划功能布局的企业搬迁、关停或转型改造计划。</w:t>
            </w:r>
            <w:r>
              <w:rPr>
                <w:rFonts w:hint="eastAsia" w:cs="宋体"/>
                <w:color w:val="auto"/>
                <w:lang w:val="en-US" w:eastAsia="zh-CN"/>
              </w:rPr>
              <w:t>”</w:t>
            </w:r>
            <w:r>
              <w:rPr>
                <w:rFonts w:hint="eastAsia" w:ascii="Times New Roman" w:hAnsi="Times New Roman" w:eastAsia="宋体" w:cs="宋体"/>
                <w:color w:val="auto"/>
                <w:highlight w:val="none"/>
                <w:lang w:val="en-US" w:eastAsia="zh-CN"/>
              </w:rPr>
              <w:t>本项目距离500水库</w:t>
            </w:r>
            <w:r>
              <w:rPr>
                <w:rFonts w:hint="eastAsia" w:cs="宋体"/>
                <w:color w:val="auto"/>
                <w:highlight w:val="none"/>
                <w:lang w:val="en-US" w:eastAsia="zh-CN"/>
              </w:rPr>
              <w:t>2842</w:t>
            </w:r>
            <w:r>
              <w:rPr>
                <w:rFonts w:hint="eastAsia" w:ascii="Times New Roman" w:hAnsi="Times New Roman" w:eastAsia="宋体" w:cs="宋体"/>
                <w:color w:val="auto"/>
                <w:highlight w:val="none"/>
                <w:lang w:val="en-US" w:eastAsia="zh-CN"/>
              </w:rPr>
              <w:t>米，距离西延干渠</w:t>
            </w:r>
            <w:r>
              <w:rPr>
                <w:rFonts w:hint="eastAsia" w:cs="宋体"/>
                <w:color w:val="auto"/>
                <w:highlight w:val="none"/>
                <w:lang w:val="en-US" w:eastAsia="zh-CN"/>
              </w:rPr>
              <w:t>2706</w:t>
            </w:r>
            <w:r>
              <w:rPr>
                <w:rFonts w:hint="eastAsia" w:ascii="Times New Roman" w:hAnsi="Times New Roman" w:eastAsia="宋体" w:cs="宋体"/>
                <w:color w:val="auto"/>
                <w:highlight w:val="none"/>
                <w:lang w:val="en-US" w:eastAsia="zh-CN"/>
              </w:rPr>
              <w:t>米，不位于生态红线范围内。</w:t>
            </w:r>
          </w:p>
          <w:p w14:paraId="15C1A8F4">
            <w:pPr>
              <w:overflowPunct w:val="0"/>
              <w:autoSpaceDE w:val="0"/>
              <w:autoSpaceDN w:val="0"/>
              <w:bidi w:val="0"/>
              <w:adjustRightInd w:val="0"/>
              <w:snapToGrid w:val="0"/>
              <w:spacing w:before="0" w:after="0" w:line="360" w:lineRule="auto"/>
              <w:ind w:left="0" w:right="0" w:firstLine="480" w:firstLineChars="200"/>
              <w:jc w:val="both"/>
              <w:rPr>
                <w:rFonts w:hint="eastAsia" w:ascii="Times New Roman" w:hAnsi="Times New Roman" w:eastAsia="宋体" w:cs="宋体"/>
                <w:b w:val="0"/>
                <w:color w:val="auto"/>
                <w:highlight w:val="none"/>
                <w:lang w:val="en-US" w:eastAsia="zh-CN"/>
              </w:rPr>
            </w:pPr>
            <w:r>
              <w:rPr>
                <w:rFonts w:hint="eastAsia" w:ascii="Times New Roman" w:hAnsi="Times New Roman" w:eastAsia="宋体" w:cs="宋体"/>
                <w:color w:val="auto"/>
                <w:lang w:val="en-US" w:eastAsia="zh-CN"/>
              </w:rPr>
              <w:t>《关于甘泉堡工业园总体规划（2016</w:t>
            </w:r>
            <w:r>
              <w:rPr>
                <w:rFonts w:hint="eastAsia" w:cs="宋体"/>
                <w:color w:val="auto"/>
                <w:lang w:val="en-US" w:eastAsia="zh-CN"/>
              </w:rPr>
              <w:t>—</w:t>
            </w:r>
            <w:r>
              <w:rPr>
                <w:rFonts w:hint="eastAsia" w:ascii="Times New Roman" w:hAnsi="Times New Roman" w:eastAsia="宋体" w:cs="宋体"/>
                <w:color w:val="auto"/>
                <w:lang w:val="en-US" w:eastAsia="zh-CN"/>
              </w:rPr>
              <w:t>2030年）环境影响报告书的审查意见》（新环函</w:t>
            </w:r>
            <w:r>
              <w:rPr>
                <w:rFonts w:hint="eastAsia" w:cs="宋体"/>
                <w:color w:val="auto"/>
                <w:lang w:val="en-US" w:eastAsia="zh-CN"/>
              </w:rPr>
              <w:t>〔2018〕368号</w:t>
            </w:r>
            <w:r>
              <w:rPr>
                <w:rFonts w:hint="eastAsia" w:ascii="Times New Roman" w:hAnsi="Times New Roman" w:eastAsia="宋体" w:cs="宋体"/>
                <w:color w:val="auto"/>
                <w:lang w:val="en-US" w:eastAsia="zh-CN"/>
              </w:rPr>
              <w:t>）提出“坚守环境质量底线，</w:t>
            </w:r>
            <w:r>
              <w:rPr>
                <w:rFonts w:hint="eastAsia" w:cs="宋体"/>
                <w:color w:val="auto"/>
                <w:lang w:val="en-US" w:eastAsia="zh-CN"/>
              </w:rPr>
              <w:t>严格</w:t>
            </w:r>
            <w:r>
              <w:rPr>
                <w:rFonts w:hint="eastAsia" w:ascii="Times New Roman" w:hAnsi="Times New Roman" w:eastAsia="宋体" w:cs="宋体"/>
                <w:color w:val="auto"/>
                <w:lang w:val="en-US" w:eastAsia="zh-CN"/>
              </w:rPr>
              <w:t>污染物总量管控。根据规划区域及周边环境质量现状和目标，确定区域污染物排放总量上限，落实园区煤炭及其他颗粒状物料储运全封闭防尘措施，采取有效措施减少二氧化硫、氮氧化物、挥发性有机物、颗粒物、化学需氧量、氨氮、重金属等污染物的排放量，落实国家和自治区重点区域污染物特别排放限值。</w:t>
            </w:r>
            <w:r>
              <w:rPr>
                <w:rFonts w:hint="eastAsia" w:cs="宋体"/>
                <w:color w:val="auto"/>
                <w:lang w:val="en-US" w:eastAsia="zh-CN"/>
              </w:rPr>
              <w:t>”</w:t>
            </w:r>
            <w:r>
              <w:rPr>
                <w:rFonts w:hint="eastAsia" w:ascii="Times New Roman" w:hAnsi="Times New Roman" w:eastAsia="宋体" w:cs="宋体"/>
                <w:color w:val="auto"/>
                <w:lang w:val="en-US" w:eastAsia="zh-CN"/>
              </w:rPr>
              <w:t>本项目生产均在封闭厂房内进行，</w:t>
            </w:r>
            <w:r>
              <w:rPr>
                <w:rFonts w:hint="eastAsia" w:cs="宋体"/>
                <w:color w:val="auto"/>
                <w:lang w:val="en-US" w:eastAsia="zh-CN"/>
              </w:rPr>
              <w:t>投料、混料、包装产生的颗粒物设置集气罩集中收集后，通过</w:t>
            </w:r>
            <w:r>
              <w:rPr>
                <w:rFonts w:hint="eastAsia" w:ascii="Times New Roman" w:hAnsi="Times New Roman" w:eastAsia="宋体" w:cs="宋体"/>
                <w:color w:val="auto"/>
                <w:highlight w:val="none"/>
                <w:lang w:val="en-US" w:eastAsia="zh-CN"/>
              </w:rPr>
              <w:t>“</w:t>
            </w:r>
            <w:r>
              <w:rPr>
                <w:rFonts w:hint="eastAsia" w:cs="宋体"/>
                <w:color w:val="auto"/>
                <w:highlight w:val="none"/>
                <w:lang w:val="en-US" w:eastAsia="zh-CN"/>
              </w:rPr>
              <w:t>布袋除尘器+</w:t>
            </w:r>
            <w:r>
              <w:rPr>
                <w:rFonts w:hint="eastAsia" w:ascii="Times New Roman" w:hAnsi="Times New Roman" w:eastAsia="宋体" w:cs="宋体"/>
                <w:color w:val="auto"/>
                <w:highlight w:val="none"/>
                <w:lang w:val="en-US" w:eastAsia="zh-CN"/>
              </w:rPr>
              <w:t>15m高排气筒”废气收集处理系统处理后排放处理后满足</w:t>
            </w:r>
            <w:r>
              <w:rPr>
                <w:rFonts w:hint="eastAsia" w:cs="宋体"/>
                <w:color w:val="auto"/>
                <w:highlight w:val="none"/>
                <w:lang w:val="en-US" w:eastAsia="zh-CN"/>
              </w:rPr>
              <w:t>《水泥工业大气污染物排放标准》(GB 4915-2013 ）表2 大气污染物特别排放限值。</w:t>
            </w:r>
            <w:r>
              <w:rPr>
                <w:rFonts w:hint="eastAsia" w:ascii="Times New Roman" w:hAnsi="Times New Roman" w:eastAsia="宋体" w:cs="宋体"/>
                <w:b w:val="0"/>
                <w:color w:val="auto"/>
                <w:highlight w:val="none"/>
                <w:lang w:val="en-US" w:eastAsia="zh-CN"/>
              </w:rPr>
              <w:t>厂界无组织排放的</w:t>
            </w:r>
            <w:r>
              <w:rPr>
                <w:rFonts w:hint="eastAsia" w:cs="宋体"/>
                <w:b w:val="0"/>
                <w:color w:val="auto"/>
                <w:highlight w:val="none"/>
                <w:lang w:val="en-US" w:eastAsia="zh-CN"/>
              </w:rPr>
              <w:t>颗粒物满足</w:t>
            </w:r>
            <w:r>
              <w:rPr>
                <w:rFonts w:hint="eastAsia" w:cs="宋体"/>
                <w:color w:val="auto"/>
                <w:highlight w:val="none"/>
                <w:lang w:val="en-US" w:eastAsia="zh-CN"/>
              </w:rPr>
              <w:t>《水泥工业大气污染物排放标准》(GB 4915-2013 ）表3 大气污染物无组织排放限值</w:t>
            </w:r>
            <w:r>
              <w:rPr>
                <w:rFonts w:hint="eastAsia" w:ascii="Times New Roman" w:hAnsi="Times New Roman" w:eastAsia="宋体" w:cs="宋体"/>
                <w:b w:val="0"/>
                <w:color w:val="auto"/>
                <w:highlight w:val="none"/>
                <w:lang w:val="en-US" w:eastAsia="zh-CN"/>
              </w:rPr>
              <w:t>。</w:t>
            </w:r>
          </w:p>
          <w:p w14:paraId="6A2351F4">
            <w:pPr>
              <w:widowControl w:val="0"/>
              <w:autoSpaceDE w:val="0"/>
              <w:autoSpaceDN w:val="0"/>
              <w:adjustRightInd w:val="0"/>
              <w:spacing w:line="360" w:lineRule="auto"/>
              <w:ind w:firstLine="480" w:firstLineChars="20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w:t>
            </w:r>
            <w:r>
              <w:rPr>
                <w:rFonts w:hint="eastAsia" w:cs="宋体"/>
                <w:color w:val="auto"/>
                <w:lang w:val="en-US" w:eastAsia="zh-CN"/>
              </w:rPr>
              <w:t>生产不涉及用水，仅员工生活用水</w:t>
            </w:r>
            <w:r>
              <w:rPr>
                <w:rFonts w:hint="eastAsia" w:ascii="Times New Roman" w:hAnsi="Times New Roman" w:eastAsia="宋体" w:cs="宋体"/>
                <w:color w:val="auto"/>
                <w:lang w:val="en-US" w:eastAsia="zh-CN"/>
              </w:rPr>
              <w:t>，符合《关于甘泉堡工业园总体规划（2016</w:t>
            </w:r>
            <w:r>
              <w:rPr>
                <w:rFonts w:hint="eastAsia" w:cs="宋体"/>
                <w:color w:val="auto"/>
                <w:lang w:val="en-US" w:eastAsia="zh-CN"/>
              </w:rPr>
              <w:t>—</w:t>
            </w:r>
            <w:r>
              <w:rPr>
                <w:rFonts w:hint="eastAsia" w:ascii="Times New Roman" w:hAnsi="Times New Roman" w:eastAsia="宋体" w:cs="宋体"/>
                <w:color w:val="auto"/>
                <w:lang w:val="en-US" w:eastAsia="zh-CN"/>
              </w:rPr>
              <w:t>2030年）环境影响报告书的审查意见》（新环函</w:t>
            </w:r>
            <w:r>
              <w:rPr>
                <w:rFonts w:hint="eastAsia" w:cs="宋体"/>
                <w:color w:val="auto"/>
                <w:lang w:val="en-US" w:eastAsia="zh-CN"/>
              </w:rPr>
              <w:t>〔2018〕368号</w:t>
            </w:r>
            <w:r>
              <w:rPr>
                <w:rFonts w:hint="eastAsia" w:ascii="Times New Roman" w:hAnsi="Times New Roman" w:eastAsia="宋体" w:cs="宋体"/>
                <w:color w:val="auto"/>
                <w:lang w:val="en-US" w:eastAsia="zh-CN"/>
              </w:rPr>
              <w:t>）提出“严格控制用水总量，提高用水效率，合理控制排污，严守水资源‘三条红线’”等要求。</w:t>
            </w:r>
          </w:p>
          <w:p w14:paraId="4379119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default"/>
                <w:color w:val="auto"/>
                <w:lang w:val="en-US" w:eastAsia="zh-CN"/>
              </w:rPr>
            </w:pPr>
            <w:r>
              <w:rPr>
                <w:rFonts w:hint="eastAsia" w:ascii="Times New Roman" w:hAnsi="Times New Roman" w:eastAsia="宋体" w:cs="宋体"/>
                <w:color w:val="auto"/>
                <w:lang w:val="en-US" w:eastAsia="zh-CN"/>
              </w:rPr>
              <w:t>因此，本项目符合甘泉堡工业园产业布局、园区规划以及规划环评审查意见。</w:t>
            </w:r>
          </w:p>
        </w:tc>
      </w:tr>
    </w:tbl>
    <w:p w14:paraId="06B01CD5">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宋体" w:hAnsi="宋体" w:eastAsia="宋体" w:cs="宋体"/>
          <w:color w:val="auto"/>
          <w:sz w:val="24"/>
          <w:szCs w:val="24"/>
          <w:lang w:val="en-US" w:eastAsia="zh-Hans" w:bidi="ar-S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3239D83">
      <w:pPr>
        <w:widowControl w:val="0"/>
        <w:overflowPunct w:val="0"/>
        <w:autoSpaceDE w:val="0"/>
        <w:autoSpaceDN w:val="0"/>
        <w:bidi w:val="0"/>
        <w:adjustRightInd w:val="0"/>
        <w:snapToGrid w:val="0"/>
        <w:spacing w:line="360" w:lineRule="auto"/>
        <w:ind w:firstLine="0" w:firstLineChars="0"/>
        <w:jc w:val="center"/>
        <w:rPr>
          <w:rFonts w:hint="eastAsia" w:ascii="Times New Roman" w:hAnsi="Times New Roman" w:eastAsia="宋体" w:cs="宋体"/>
          <w:b/>
          <w:color w:val="auto"/>
          <w:sz w:val="24"/>
          <w:szCs w:val="24"/>
          <w:lang w:val="en-US" w:eastAsia="zh-CN" w:bidi="ar-SA"/>
        </w:rPr>
      </w:pPr>
      <w:r>
        <w:rPr>
          <w:rFonts w:hint="eastAsia" w:ascii="Times New Roman" w:hAnsi="Times New Roman" w:eastAsia="宋体" w:cs="宋体"/>
          <w:b/>
          <w:color w:val="auto"/>
          <w:sz w:val="24"/>
          <w:szCs w:val="24"/>
          <w:lang w:val="en-US" w:eastAsia="zh-CN" w:bidi="ar-SA"/>
        </w:rPr>
        <w:t>表1-4</w:t>
      </w:r>
      <w:r>
        <w:rPr>
          <w:rFonts w:hint="eastAsia" w:cs="宋体"/>
          <w:b/>
          <w:color w:val="auto"/>
          <w:sz w:val="24"/>
          <w:szCs w:val="24"/>
          <w:lang w:val="en-US" w:eastAsia="zh-CN" w:bidi="ar-SA"/>
        </w:rPr>
        <w:t xml:space="preserve">  </w:t>
      </w:r>
      <w:r>
        <w:rPr>
          <w:rFonts w:hint="eastAsia" w:ascii="Times New Roman" w:hAnsi="Times New Roman" w:eastAsia="宋体" w:cs="宋体"/>
          <w:b/>
          <w:color w:val="auto"/>
          <w:sz w:val="24"/>
          <w:szCs w:val="24"/>
          <w:lang w:val="en-US" w:eastAsia="zh-CN" w:bidi="ar-SA"/>
        </w:rPr>
        <w:t>与《新疆维吾尔自治区生态环境分区管控动态更新成果》符合性分析</w:t>
      </w:r>
    </w:p>
    <w:tbl>
      <w:tblPr>
        <w:tblStyle w:val="15"/>
        <w:tblW w:w="141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21"/>
        <w:gridCol w:w="11226"/>
        <w:gridCol w:w="1809"/>
        <w:gridCol w:w="717"/>
      </w:tblGrid>
      <w:tr w14:paraId="60CB07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4108" w:type="pct"/>
            <w:gridSpan w:val="2"/>
            <w:tcBorders>
              <w:tl2br w:val="nil"/>
              <w:tr2bl w:val="nil"/>
            </w:tcBorders>
            <w:shd w:val="clear" w:color="auto" w:fill="auto"/>
            <w:vAlign w:val="center"/>
          </w:tcPr>
          <w:p w14:paraId="13FA1E97">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b w:val="0"/>
                <w:bCs w:val="0"/>
                <w:color w:val="auto"/>
                <w:sz w:val="21"/>
                <w:szCs w:val="24"/>
                <w:lang w:val="en-US" w:eastAsia="zh-CN" w:bidi="ar-SA"/>
              </w:rPr>
            </w:pPr>
            <w:r>
              <w:rPr>
                <w:rFonts w:hint="eastAsia" w:ascii="Times New Roman" w:hAnsi="Times New Roman" w:eastAsia="宋体" w:cs="宋体"/>
                <w:b w:val="0"/>
                <w:bCs w:val="0"/>
                <w:color w:val="auto"/>
                <w:sz w:val="21"/>
                <w:szCs w:val="24"/>
                <w:lang w:val="en-US" w:eastAsia="zh-CN" w:bidi="ar-SA"/>
              </w:rPr>
              <w:t>管控要求</w:t>
            </w:r>
          </w:p>
        </w:tc>
        <w:tc>
          <w:tcPr>
            <w:tcW w:w="638" w:type="pct"/>
            <w:tcBorders>
              <w:tl2br w:val="nil"/>
              <w:tr2bl w:val="nil"/>
            </w:tcBorders>
            <w:shd w:val="clear" w:color="auto" w:fill="auto"/>
            <w:vAlign w:val="center"/>
          </w:tcPr>
          <w:p w14:paraId="3568AD9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b w:val="0"/>
                <w:bCs w:val="0"/>
                <w:color w:val="auto"/>
                <w:sz w:val="21"/>
                <w:szCs w:val="24"/>
                <w:lang w:val="en-US" w:eastAsia="zh-CN" w:bidi="ar-SA"/>
              </w:rPr>
            </w:pPr>
            <w:r>
              <w:rPr>
                <w:rFonts w:hint="eastAsia" w:ascii="Times New Roman" w:hAnsi="Times New Roman" w:eastAsia="宋体" w:cs="宋体"/>
                <w:b w:val="0"/>
                <w:bCs w:val="0"/>
                <w:color w:val="auto"/>
                <w:sz w:val="21"/>
                <w:szCs w:val="24"/>
                <w:lang w:val="en-US" w:eastAsia="zh-CN" w:bidi="ar-SA"/>
              </w:rPr>
              <w:t>项目建设内容</w:t>
            </w:r>
          </w:p>
        </w:tc>
        <w:tc>
          <w:tcPr>
            <w:tcW w:w="252" w:type="pct"/>
            <w:tcBorders>
              <w:tl2br w:val="nil"/>
              <w:tr2bl w:val="nil"/>
            </w:tcBorders>
            <w:shd w:val="clear" w:color="auto" w:fill="auto"/>
            <w:vAlign w:val="center"/>
          </w:tcPr>
          <w:p w14:paraId="281322E4">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b w:val="0"/>
                <w:bCs w:val="0"/>
                <w:color w:val="auto"/>
                <w:sz w:val="21"/>
                <w:szCs w:val="24"/>
                <w:lang w:val="en-US" w:eastAsia="zh-CN" w:bidi="ar-SA"/>
              </w:rPr>
            </w:pPr>
            <w:r>
              <w:rPr>
                <w:rFonts w:hint="eastAsia" w:ascii="Times New Roman" w:hAnsi="Times New Roman" w:eastAsia="宋体" w:cs="宋体"/>
                <w:b w:val="0"/>
                <w:bCs w:val="0"/>
                <w:color w:val="auto"/>
                <w:sz w:val="21"/>
                <w:szCs w:val="24"/>
                <w:lang w:val="en-US" w:eastAsia="zh-CN" w:bidi="ar-SA"/>
              </w:rPr>
              <w:t>符合性</w:t>
            </w:r>
          </w:p>
        </w:tc>
      </w:tr>
      <w:tr w14:paraId="68607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4" w:hRule="atLeast"/>
          <w:jc w:val="center"/>
        </w:trPr>
        <w:tc>
          <w:tcPr>
            <w:tcW w:w="148" w:type="pct"/>
            <w:tcBorders>
              <w:tl2br w:val="nil"/>
              <w:tr2bl w:val="nil"/>
            </w:tcBorders>
            <w:shd w:val="clear" w:color="auto" w:fill="auto"/>
            <w:vAlign w:val="center"/>
          </w:tcPr>
          <w:p w14:paraId="668AF7A4">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空间布局约束</w:t>
            </w:r>
          </w:p>
        </w:tc>
        <w:tc>
          <w:tcPr>
            <w:tcW w:w="3960" w:type="pct"/>
            <w:tcBorders>
              <w:tl2br w:val="nil"/>
              <w:tr2bl w:val="nil"/>
            </w:tcBorders>
            <w:shd w:val="clear" w:color="auto" w:fill="auto"/>
            <w:vAlign w:val="center"/>
          </w:tcPr>
          <w:p w14:paraId="34430A6C">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〔A1.1-1〕禁止新建、扩建《产业结构调整指导目录（2024年本）》中淘汰类项目。禁止引入《市场准入负面清单（2022年版）》禁止准入类事项。</w:t>
            </w:r>
          </w:p>
          <w:p w14:paraId="018CD7F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〔A1.1-2〕禁止建设不符合国家和自治区环境保护标准的项目。</w:t>
            </w:r>
          </w:p>
          <w:p w14:paraId="7BB64823">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〔A1.1-3〕禁止在饮用水水源保护区、风景名胜区、自然保护区的核心区和缓冲区、城镇居民区、文化教育科学研究区等人口集中区域以及</w:t>
            </w:r>
            <w:r>
              <w:rPr>
                <w:rFonts w:hint="eastAsia" w:cs="宋体"/>
                <w:color w:val="auto"/>
                <w:sz w:val="21"/>
                <w:szCs w:val="24"/>
                <w:lang w:val="en-US" w:eastAsia="zh-CN" w:bidi="ar-SA"/>
              </w:rPr>
              <w:t>法律法规</w:t>
            </w:r>
            <w:r>
              <w:rPr>
                <w:rFonts w:hint="eastAsia" w:ascii="Times New Roman" w:hAnsi="Times New Roman" w:eastAsia="宋体" w:cs="宋体"/>
                <w:color w:val="auto"/>
                <w:sz w:val="21"/>
                <w:szCs w:val="24"/>
                <w:lang w:val="en-US" w:eastAsia="zh-CN" w:bidi="ar-SA"/>
              </w:rPr>
              <w:t>规定的其他禁止养殖区域建设畜禽养殖场、养殖小区。</w:t>
            </w:r>
          </w:p>
          <w:p w14:paraId="6471B7EC">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〔A1.1-4〕禁止在水源涵养区、地下水源、饮用水源、自然保护区、风景名胜区、森林公园、重要湿地及人群密集区等生态敏感区域内进行煤炭、石油、天然气开发。</w:t>
            </w:r>
          </w:p>
          <w:p w14:paraId="3E4EB91C">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〔A1.1-5〕禁止下列破坏湿地及其生态功能的行为：</w:t>
            </w:r>
          </w:p>
          <w:p w14:paraId="75E50251">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p w14:paraId="5F509C47">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-6〕禁止在自治区行政区域内引进能（水）耗不符合相关国家标准中准入值要求且污染物排放和环境风险防控不符合国家（地方）标准及有关产业准入条件的高污染（排放）、高能（水）耗、高环境风险的工业项目。</w:t>
            </w:r>
          </w:p>
          <w:p w14:paraId="5C7A2774">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一厂一策</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p w14:paraId="54184A30">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〔A1.1-8〕严格执行危险化学品</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禁限控</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目录，新建危险化学品生产项目必须进入一般或较低安全风险的化工园区（与其他行业生产装置配套建设的项目除外），引导其他石化化工项目在化工园区发展。</w:t>
            </w:r>
          </w:p>
          <w:p w14:paraId="007D90F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〔A1.1-9〕严禁新建自治区《禁止、控制和限制危险化学品目录》中淘汰类、禁止类危险化学品化工项目。严格执行生态保护红线、永久基本农田管控要求，禁止新 （改、扩） 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p w14:paraId="5E56F73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-10〕推动涉重金属产业集中优化发展，禁止新建用汞的电石法（聚）氯乙烯生产工艺，新建、扩建的重有色金属冶炼、电镀、制革企业优先选择布设在依法合规设立并依法开展规划环境影响评价的产业园区。</w:t>
            </w:r>
          </w:p>
          <w:p w14:paraId="554D4039">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p w14:paraId="3F9B44E5">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〔A1.2-1〕严格控制缺水地区、水污染严重区域和敏感区域高耗水、高污染行业发展。</w:t>
            </w:r>
          </w:p>
          <w:p w14:paraId="2F42ABE2">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p w14:paraId="06101F4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〔A1.2-3〕以用途变更为住宅、公共管理与公共服务用地的地块为重点，严格建设用地准入管理和风险管控，未依法完成土壤污染状况调查或风险评估的地块，不得开工建设与风险管控和修复无关的项目。</w:t>
            </w:r>
          </w:p>
          <w:p w14:paraId="3E2021FE">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〔A1.2-4〕严格控制建设项目占用湿地。因国家和自治区重点建设工程、基础设施建设，以及重点公益性项目建设，确需占用湿地的，应当按照有关</w:t>
            </w:r>
            <w:r>
              <w:rPr>
                <w:rFonts w:hint="eastAsia" w:cs="宋体"/>
                <w:color w:val="auto"/>
                <w:sz w:val="21"/>
                <w:szCs w:val="24"/>
                <w:lang w:val="en-US" w:eastAsia="zh-CN" w:bidi="ar-SA"/>
              </w:rPr>
              <w:t>法律法规</w:t>
            </w:r>
            <w:r>
              <w:rPr>
                <w:rFonts w:hint="eastAsia" w:ascii="Times New Roman" w:hAnsi="Times New Roman" w:eastAsia="宋体" w:cs="宋体"/>
                <w:color w:val="auto"/>
                <w:sz w:val="21"/>
                <w:szCs w:val="24"/>
                <w:lang w:val="en-US" w:eastAsia="zh-CN" w:bidi="ar-SA"/>
              </w:rPr>
              <w:t>规定的权限和程序办理批准手续。</w:t>
            </w:r>
          </w:p>
          <w:p w14:paraId="7AEFFB64">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〔A1.2-5〕严格管控自然保护地范围内非生态活动，稳妥推进核心区内居民、耕地有序退出，矿权依法依规退出。</w:t>
            </w:r>
          </w:p>
          <w:p w14:paraId="46F80AB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〔A1.3-1〕任何单位和个人不得在水源涵养区、饮用水水源保护区内和河流、湖泊、水库周围建设重化工、涉重金属等工业污染项目；对已建成的工业污染项目，当地人民政府应当组织限期搬迁。</w:t>
            </w:r>
          </w:p>
          <w:p w14:paraId="3D97CE59">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〔A1.3-2〕对不符合国家产业政策、严重污染水环境的生产项目全部予以取缔。</w:t>
            </w:r>
          </w:p>
          <w:p w14:paraId="72E3611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〔A1.3-3〕根据《产业结构调整指导目录》《限期淘汰产生严重污染环境的工业固体废物的落后生产工艺设备名录》等要求，配合有关部门依法淘汰烧结</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鼓风炉5炼铅工艺炼铅等涉重金属落后产能和化解过剩产能。严格执行生态环境保护等相关法规标准，推动经整改仍达不到要求的产能依法依规关闭退出。</w:t>
            </w:r>
          </w:p>
          <w:p w14:paraId="0662209C">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〔A1.3-4〕城市建成区、重点流域内已建成投产化工企业和危险化学品生产企业应加快退城入园，搬入化工园区前企业不应实施改扩建工程扩大生产规模。</w:t>
            </w:r>
          </w:p>
          <w:p w14:paraId="143D694D">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p w14:paraId="37FF23BC">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〔A1.4-2〕新建、扩建石化、化工、焦化、有色金属冶炼、平板玻璃项目应布设在依法合规设立并经规划环评的产业园区。</w:t>
            </w:r>
          </w:p>
          <w:p w14:paraId="012FFC92">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638" w:type="pct"/>
            <w:tcBorders>
              <w:tl2br w:val="nil"/>
              <w:tr2bl w:val="nil"/>
            </w:tcBorders>
            <w:shd w:val="clear" w:color="auto" w:fill="auto"/>
            <w:vAlign w:val="center"/>
          </w:tcPr>
          <w:p w14:paraId="3E6F818D">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本项目</w:t>
            </w:r>
            <w:r>
              <w:rPr>
                <w:rFonts w:hint="eastAsia"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建材制造项目</w:t>
            </w:r>
            <w:r>
              <w:rPr>
                <w:rFonts w:hint="eastAsia" w:ascii="Times New Roman" w:hAnsi="Times New Roman" w:eastAsia="宋体" w:cs="宋体"/>
                <w:color w:val="auto"/>
                <w:sz w:val="21"/>
                <w:szCs w:val="24"/>
                <w:lang w:val="en-US" w:eastAsia="zh-CN" w:bidi="ar-SA"/>
              </w:rPr>
              <w:t>，符合国家产业政策，不属于《产业结构调整指导目录（2024年本）》中淘汰类项目以及《市场准入负面清单（2022年版）》禁止准入类事项；</w:t>
            </w:r>
            <w:r>
              <w:rPr>
                <w:rFonts w:hint="eastAsia" w:ascii="Times New Roman" w:hAnsi="Times New Roman" w:eastAsia="宋体" w:cs="宋体"/>
                <w:color w:val="auto"/>
                <w:sz w:val="21"/>
                <w:szCs w:val="24"/>
                <w:highlight w:val="none"/>
                <w:lang w:val="en-US" w:eastAsia="zh-CN" w:bidi="ar-SA"/>
              </w:rPr>
              <w:t>本项目各类污染物均符合</w:t>
            </w:r>
            <w:r>
              <w:rPr>
                <w:rFonts w:hint="eastAsia" w:ascii="Times New Roman" w:hAnsi="Times New Roman" w:eastAsia="宋体" w:cs="宋体"/>
                <w:color w:val="auto"/>
                <w:sz w:val="21"/>
                <w:szCs w:val="24"/>
                <w:lang w:val="en-US" w:eastAsia="zh-CN" w:bidi="ar-SA"/>
              </w:rPr>
              <w:t>国家和自治区环境保护标准。本项目不涉及水源涵养区、地下水源、饮用水源、自然保护区、风景名胜区、森林公园、重要湿地及人群密集区等生态敏感区域。本项目不涉及破坏湿地及其生态功能的行为，不属于高污染、高能耗、高风险项目，不属于危险化学品生产项目、重金属产业，不涉及冰川冻土，项目用地不占用永久基本农田、湿地、自然保护地、水源涵养区、饮用水水源保护区，不涉及土地用途变更。</w:t>
            </w:r>
          </w:p>
          <w:p w14:paraId="23DCDB75">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项目未引进国家和自治区明令禁止或淘汰的产业及工艺；已采用符合国家产业政策和清洁生产要求的、先进生产工艺和设备的、自动化程度高的、具有可靠先进的污染治理技术。</w:t>
            </w:r>
          </w:p>
        </w:tc>
        <w:tc>
          <w:tcPr>
            <w:tcW w:w="252" w:type="pct"/>
            <w:tcBorders>
              <w:tl2br w:val="nil"/>
              <w:tr2bl w:val="nil"/>
            </w:tcBorders>
            <w:shd w:val="clear" w:color="auto" w:fill="auto"/>
            <w:vAlign w:val="center"/>
          </w:tcPr>
          <w:p w14:paraId="30BE5D6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符合</w:t>
            </w:r>
          </w:p>
        </w:tc>
      </w:tr>
      <w:tr w14:paraId="5BCE85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8" w:type="pct"/>
            <w:tcBorders>
              <w:tl2br w:val="nil"/>
              <w:tr2bl w:val="nil"/>
            </w:tcBorders>
            <w:shd w:val="clear" w:color="auto" w:fill="auto"/>
            <w:vAlign w:val="center"/>
          </w:tcPr>
          <w:p w14:paraId="6483CA66">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污染物排放管控</w:t>
            </w:r>
          </w:p>
        </w:tc>
        <w:tc>
          <w:tcPr>
            <w:tcW w:w="3960" w:type="pct"/>
            <w:tcBorders>
              <w:tl2br w:val="nil"/>
              <w:tr2bl w:val="nil"/>
            </w:tcBorders>
            <w:shd w:val="clear" w:color="auto" w:fill="auto"/>
            <w:vAlign w:val="center"/>
          </w:tcPr>
          <w:p w14:paraId="7EBA9951">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〔A2.1-1〕新、改、扩建重点行业建设项目应符合</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三线一单</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、产业政策、区域环评、规划环评和行业环境准入管控要求。重点区域的新、改、扩建重点行业建设项目应遵循重点重金属污染物排放</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减量替代</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原则。</w:t>
            </w:r>
          </w:p>
          <w:p w14:paraId="2D712F87">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〔A2.1-2〕以石化、化工、涂装、医药、包装印刷、油品储运销等行业领域为重点，安全高效推进挥发性有机物综合治理，实施原辅材料和产品源头替代工程。</w:t>
            </w:r>
          </w:p>
          <w:p w14:paraId="171530EF">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p w14:paraId="289B38D0">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绿岛</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项目，统筹规划建设一批集中涂装中心、活性炭集中处理中心、溶剂回收中心等，实现VOCs集中高效处理。</w:t>
            </w:r>
          </w:p>
          <w:p w14:paraId="3182A93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p w14:paraId="23EF7CF7">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p w14:paraId="60EEC96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公转铁</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）、柴油货车治理、锅炉炉窑综合治理等工程项目。全面推行绿色施工，持续推动城市建成区重污染企业搬迁或关闭退出。</w:t>
            </w:r>
          </w:p>
          <w:p w14:paraId="2DBCEBF6">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〔A2.2-4〕强化用水定额管理。推进地下水超采综合治理。开展河湖生态流量（水量）确定工作，强化生态用水保障。</w:t>
            </w:r>
          </w:p>
          <w:p w14:paraId="36B67A4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p w14:paraId="526774C0">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p w14:paraId="026E077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-7〕强化重点区域地下水环境风险管控，对化学品生产企业、工业集聚区、尾矿库、矿山开采区、危险废物处置场、垃圾填埋场等地下水污染源及周边区域，逐步开展地下水环境状况调查评估，加强风险管控。</w:t>
            </w:r>
          </w:p>
          <w:p w14:paraId="032DE172">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〔A2.2-8〕严控土壤重金属污染，加强油（气）田开发土壤污染防治，以历史遗留工业企业污染场地为重点，开展土壤污染风险管控与修复工程。</w:t>
            </w:r>
          </w:p>
          <w:p w14:paraId="5FE42F0D">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638" w:type="pct"/>
            <w:tcBorders>
              <w:tl2br w:val="nil"/>
              <w:tr2bl w:val="nil"/>
            </w:tcBorders>
            <w:shd w:val="clear" w:color="auto" w:fill="auto"/>
            <w:vAlign w:val="center"/>
          </w:tcPr>
          <w:p w14:paraId="6E52E54A">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本项目符合</w:t>
            </w:r>
            <w:r>
              <w:rPr>
                <w:rFonts w:hint="eastAsia" w:cs="宋体"/>
                <w:color w:val="auto"/>
                <w:sz w:val="21"/>
                <w:szCs w:val="24"/>
                <w:lang w:val="en-US" w:eastAsia="zh-CN" w:bidi="ar-SA"/>
              </w:rPr>
              <w:t>生态环境分区管控要求</w:t>
            </w:r>
            <w:r>
              <w:rPr>
                <w:rFonts w:hint="eastAsia" w:ascii="Times New Roman" w:hAnsi="Times New Roman" w:eastAsia="宋体" w:cs="宋体"/>
                <w:color w:val="auto"/>
                <w:sz w:val="21"/>
                <w:szCs w:val="24"/>
                <w:lang w:val="en-US" w:eastAsia="zh-CN" w:bidi="ar-SA"/>
              </w:rPr>
              <w:t>、产业政策、行业环境准入管控要求。本项目</w:t>
            </w:r>
            <w:r>
              <w:rPr>
                <w:rFonts w:hint="eastAsia" w:cs="宋体"/>
                <w:color w:val="auto"/>
                <w:sz w:val="21"/>
                <w:szCs w:val="24"/>
                <w:lang w:val="en-US" w:eastAsia="zh-CN" w:bidi="ar-SA"/>
              </w:rPr>
              <w:t>污染物</w:t>
            </w:r>
            <w:r>
              <w:rPr>
                <w:rFonts w:hint="eastAsia" w:ascii="Times New Roman" w:hAnsi="Times New Roman" w:eastAsia="宋体" w:cs="宋体"/>
                <w:color w:val="auto"/>
                <w:sz w:val="21"/>
                <w:szCs w:val="24"/>
                <w:lang w:val="en-US" w:eastAsia="zh-CN" w:bidi="ar-SA"/>
              </w:rPr>
              <w:t>采取污染物治理措施后，可减少污染物排放。</w:t>
            </w:r>
            <w:r>
              <w:rPr>
                <w:rFonts w:hint="eastAsia" w:cs="宋体"/>
                <w:color w:val="auto"/>
                <w:sz w:val="21"/>
                <w:szCs w:val="24"/>
                <w:lang w:val="en-US" w:eastAsia="zh-CN" w:bidi="ar-SA"/>
              </w:rPr>
              <w:t>本项目</w:t>
            </w:r>
            <w:r>
              <w:rPr>
                <w:rFonts w:hint="eastAsia" w:ascii="Times New Roman" w:hAnsi="Times New Roman" w:eastAsia="宋体" w:cs="宋体"/>
                <w:color w:val="auto"/>
                <w:sz w:val="21"/>
                <w:szCs w:val="24"/>
                <w:lang w:val="en-US" w:eastAsia="zh-CN" w:bidi="ar-SA"/>
              </w:rPr>
              <w:t>生产过程中仅产生少量生活污水；在采取分区防渗措施后，可加强土壤和地下水污染防治。本项目不属于涉重金属、油（气）田开发、不涉及种植业</w:t>
            </w:r>
            <w:r>
              <w:rPr>
                <w:rFonts w:hint="eastAsia" w:cs="宋体"/>
                <w:color w:val="auto"/>
                <w:sz w:val="21"/>
                <w:szCs w:val="24"/>
                <w:lang w:val="en-US" w:eastAsia="zh-CN" w:bidi="ar-SA"/>
              </w:rPr>
              <w:t>，本项目采取分区防渗并加强管理，采取以上措施后项目</w:t>
            </w:r>
            <w:r>
              <w:rPr>
                <w:rFonts w:hint="eastAsia" w:ascii="Times New Roman" w:hAnsi="Times New Roman" w:eastAsia="宋体" w:cs="宋体"/>
                <w:color w:val="auto"/>
                <w:sz w:val="21"/>
                <w:szCs w:val="24"/>
                <w:lang w:val="en-US" w:eastAsia="zh-CN" w:bidi="ar-SA"/>
              </w:rPr>
              <w:t>污染土壤可能性很小。</w:t>
            </w:r>
          </w:p>
        </w:tc>
        <w:tc>
          <w:tcPr>
            <w:tcW w:w="252" w:type="pct"/>
            <w:tcBorders>
              <w:tl2br w:val="nil"/>
              <w:tr2bl w:val="nil"/>
            </w:tcBorders>
            <w:shd w:val="clear" w:color="auto" w:fill="auto"/>
            <w:vAlign w:val="center"/>
          </w:tcPr>
          <w:p w14:paraId="268E8B2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符合</w:t>
            </w:r>
          </w:p>
        </w:tc>
      </w:tr>
      <w:tr w14:paraId="3D77E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04" w:hRule="atLeast"/>
          <w:jc w:val="center"/>
        </w:trPr>
        <w:tc>
          <w:tcPr>
            <w:tcW w:w="148" w:type="pct"/>
            <w:tcBorders>
              <w:tl2br w:val="nil"/>
              <w:tr2bl w:val="nil"/>
            </w:tcBorders>
            <w:shd w:val="clear" w:color="auto" w:fill="auto"/>
            <w:vAlign w:val="center"/>
          </w:tcPr>
          <w:p w14:paraId="063CDFF2">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环境风险防控</w:t>
            </w:r>
          </w:p>
        </w:tc>
        <w:tc>
          <w:tcPr>
            <w:tcW w:w="3960" w:type="pct"/>
            <w:tcBorders>
              <w:tl2br w:val="nil"/>
              <w:tr2bl w:val="nil"/>
            </w:tcBorders>
            <w:shd w:val="clear" w:color="auto" w:fill="auto"/>
            <w:vAlign w:val="center"/>
          </w:tcPr>
          <w:p w14:paraId="23785C9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〔A3.1-1〕建立和完善重污染天气兵地联合应急预案、预报预警应急机制和会商联动机制。</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乌—昌—石</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区域内可能影响相邻行政区域大气环境的项目，兵地间、城市间必须相互征求意见。</w:t>
            </w:r>
          </w:p>
          <w:p w14:paraId="77A52C76">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〔A3.1-2〕对跨国境河流、涉及县级及以上集中式饮用水水源地的河流、其他重要环境敏感目标的河流，建立健全流域上下游突发水污染事件</w:t>
            </w:r>
            <w:r>
              <w:rPr>
                <w:rFonts w:hint="eastAsia" w:cs="宋体"/>
                <w:color w:val="auto"/>
                <w:sz w:val="21"/>
                <w:szCs w:val="24"/>
                <w:lang w:val="en-US" w:eastAsia="zh-CN" w:bidi="ar-SA"/>
              </w:rPr>
              <w:t>联防联控机制</w:t>
            </w:r>
            <w:r>
              <w:rPr>
                <w:rFonts w:hint="eastAsia" w:ascii="Times New Roman" w:hAnsi="Times New Roman" w:eastAsia="宋体" w:cs="宋体"/>
                <w:color w:val="auto"/>
                <w:sz w:val="21"/>
                <w:szCs w:val="24"/>
                <w:lang w:val="en-US" w:eastAsia="zh-CN" w:bidi="ar-SA"/>
              </w:rPr>
              <w:t>，建立流域环境应急基础信息动态更新长效机制，绘制全流域</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一河一策一图</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。建立健全跨部门、跨区域的环境应急协调联动处置机制，强化流域上下游、兵地各部门协调，实施联合监测、联合执法、应急联动、信息共享，形成</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政府引导、多元联动、社会参与、专业救援</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p w14:paraId="12FBDD8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〔A3.1-3〕强化重污染天气监测预报预警能力，建立和完善重污染天气兵地联合应急预案、预警应急机制和会商联动机制，加强轻、中度污染天气管控。</w:t>
            </w:r>
          </w:p>
          <w:p w14:paraId="5492133D">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〔A3.2-1〕提升饮用水安全保障水平。以县级及以上集中式饮用水水源地为重点，推进饮用水水源保护区规范化建设，统筹推进备用水源或应急水源建设。单一水源供水的重点城市于 2025 年底前基本完成备用水源或应急水源建设，有条件的地区开展兵地互为备用水源建设。梯次推进农村集中式饮用水水源保护区划定，到 2025年，完成乡镇级集中式饮用水水源保护区划定与勘界立标。开展</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千吨万人</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p w14:paraId="276ED162">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〔A3.2-2〕依法推行农用地分类管理制度，强化受污染耕地安全利用和风险管控。因地制宜制定实施安全利用方案，鼓励采取种植结构调整等措施，确保受污染耕地全部实现安全利用。</w:t>
            </w:r>
          </w:p>
          <w:p w14:paraId="6162A37E">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p w14:paraId="43BDCCD5">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p w14:paraId="31DDFB2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p w14:paraId="44F850CC">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638" w:type="pct"/>
            <w:tcBorders>
              <w:tl2br w:val="nil"/>
              <w:tr2bl w:val="nil"/>
            </w:tcBorders>
            <w:shd w:val="clear" w:color="auto" w:fill="auto"/>
            <w:vAlign w:val="center"/>
          </w:tcPr>
          <w:p w14:paraId="0B553B9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项目取得批复后应及时组织开展突发环境事件应急预案</w:t>
            </w:r>
            <w:r>
              <w:rPr>
                <w:rFonts w:hint="eastAsia" w:cs="宋体"/>
                <w:color w:val="auto"/>
                <w:sz w:val="21"/>
                <w:szCs w:val="24"/>
                <w:lang w:val="en-US" w:eastAsia="zh-CN" w:bidi="ar-SA"/>
              </w:rPr>
              <w:t>编制</w:t>
            </w:r>
            <w:r>
              <w:rPr>
                <w:rFonts w:hint="eastAsia" w:ascii="Times New Roman" w:hAnsi="Times New Roman" w:eastAsia="宋体" w:cs="宋体"/>
                <w:color w:val="auto"/>
                <w:sz w:val="21"/>
                <w:szCs w:val="24"/>
                <w:lang w:val="en-US" w:eastAsia="zh-CN" w:bidi="ar-SA"/>
              </w:rPr>
              <w:t>工作并在</w:t>
            </w:r>
            <w:r>
              <w:rPr>
                <w:rFonts w:hint="eastAsia" w:cs="宋体"/>
                <w:color w:val="auto"/>
                <w:sz w:val="21"/>
                <w:szCs w:val="24"/>
                <w:lang w:val="en-US" w:eastAsia="zh-CN" w:bidi="ar-SA"/>
              </w:rPr>
              <w:t>昌吉州生态环境局阜康市分局进行备案</w:t>
            </w:r>
            <w:r>
              <w:rPr>
                <w:rFonts w:hint="eastAsia" w:ascii="Times New Roman" w:hAnsi="Times New Roman" w:eastAsia="宋体" w:cs="宋体"/>
                <w:color w:val="auto"/>
                <w:sz w:val="21"/>
                <w:szCs w:val="24"/>
                <w:lang w:val="en-US" w:eastAsia="zh-CN" w:bidi="ar-SA"/>
              </w:rPr>
              <w:t>，定期演练，加强风险防控体系建设。</w:t>
            </w:r>
          </w:p>
        </w:tc>
        <w:tc>
          <w:tcPr>
            <w:tcW w:w="252" w:type="pct"/>
            <w:tcBorders>
              <w:tl2br w:val="nil"/>
              <w:tr2bl w:val="nil"/>
            </w:tcBorders>
            <w:shd w:val="clear" w:color="auto" w:fill="auto"/>
            <w:vAlign w:val="center"/>
          </w:tcPr>
          <w:p w14:paraId="3FF0BFED">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符合</w:t>
            </w:r>
          </w:p>
        </w:tc>
      </w:tr>
      <w:tr w14:paraId="4E0EA9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8" w:type="pct"/>
            <w:tcBorders>
              <w:tl2br w:val="nil"/>
              <w:tr2bl w:val="nil"/>
            </w:tcBorders>
            <w:shd w:val="clear" w:color="auto" w:fill="auto"/>
            <w:vAlign w:val="center"/>
          </w:tcPr>
          <w:p w14:paraId="5D0E3406">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资源利用要求</w:t>
            </w:r>
          </w:p>
        </w:tc>
        <w:tc>
          <w:tcPr>
            <w:tcW w:w="3960" w:type="pct"/>
            <w:tcBorders>
              <w:tl2br w:val="nil"/>
              <w:tr2bl w:val="nil"/>
            </w:tcBorders>
            <w:shd w:val="clear" w:color="auto" w:fill="auto"/>
            <w:vAlign w:val="center"/>
          </w:tcPr>
          <w:p w14:paraId="685CAA9D">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〔A4.1-1〕自治区用水总量2025年、2030年控制在国家下达的指标内。</w:t>
            </w:r>
          </w:p>
          <w:p w14:paraId="22EF8117">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〔A4.1-2〕加大城镇污水再生利用工程建设力度，推进区域再生水循环利用，到2025年，城市生活污水再生利用率力争达到60%。</w:t>
            </w:r>
          </w:p>
          <w:p w14:paraId="7ACAB9C7">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〔A4.1-3〕加强农村水利基础设施建设，推进农村供水保障工程，农村自来水普及率、集中供水率分别达到99.3%、99.7%。</w:t>
            </w:r>
          </w:p>
          <w:p w14:paraId="40D6A411">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〔A4.1-4〕地下水资源利用实行总量控制和水位控制。取用地下水资源，应当按照国家和自治区有关规定申请取水许可。地下水利用应当以浅层地下水为主。</w:t>
            </w:r>
          </w:p>
          <w:p w14:paraId="2C1FB65A">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〔A4.2-1〕土地资源上线指标控制在最终批复的国土空间规划控制指标内。</w:t>
            </w:r>
          </w:p>
          <w:p w14:paraId="1F831B4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〔A4.3-1〕单位地区生产总值二氧化碳排放降低水平完成国家下达指标。</w:t>
            </w:r>
          </w:p>
          <w:p w14:paraId="30E90372">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〔A4.3-2〕到2025年，自治区万元国内生产总值能耗比2020年下降14.5%。</w:t>
            </w:r>
          </w:p>
          <w:p w14:paraId="6B83D399">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〔A4.3-3〕到2025年，非化石能源占一次能源消费比重达18%以上。</w:t>
            </w:r>
          </w:p>
          <w:p w14:paraId="713E1FD3">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〔A4.3-4〕鼓励使用清洁能源或电厂热力、工业余热等替代锅炉、炉窑燃料用煤。</w:t>
            </w:r>
          </w:p>
          <w:p w14:paraId="79167EDB">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〔A4.3-5〕以碳达峰碳中和工作为引领，着力提高能源资源利用效率。引导重点行业深入实施清洁生产改造，钢铁、建材、石油化工等重点行业以及其他行业重点用能单位持续开展节能降耗。</w:t>
            </w:r>
          </w:p>
          <w:p w14:paraId="45B12AE5">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〔A4.3-6〕深入推进碳达峰碳中和行动。推动能源清洁低碳转型，加强能耗</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双控</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管理，优化能源消费结构。新增原料用能不纳入能源消费总量控制。持续推进散煤整治。</w:t>
            </w:r>
          </w:p>
          <w:p w14:paraId="218EA21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〔A4.4-1〕在禁燃区内，禁止销售、燃用高污染燃料；禁止新建、扩建燃用高污染燃料的设施。已建成的，应当在规定期限内改用清洁能源。</w:t>
            </w:r>
          </w:p>
          <w:p w14:paraId="058E0EE0">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逆向回收</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p w14:paraId="5573D00F">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p w14:paraId="2C12A89D">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〔A4.5-3〕结合工业领域减污降碳要求，加快探索钢铁、有色、化工、建材等重点行业工业固体废物减量化路径，全面推行清洁生产。全面推进绿色矿山、</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无废</w:t>
            </w:r>
            <w:r>
              <w:rPr>
                <w:rFonts w:hint="eastAsia" w:cs="宋体"/>
                <w:color w:val="auto"/>
                <w:sz w:val="21"/>
                <w:szCs w:val="24"/>
                <w:lang w:val="en-US" w:eastAsia="zh-CN" w:bidi="ar-SA"/>
              </w:rPr>
              <w:t>”</w:t>
            </w:r>
            <w:r>
              <w:rPr>
                <w:rFonts w:hint="eastAsia" w:ascii="Times New Roman" w:hAnsi="Times New Roman" w:eastAsia="宋体" w:cs="宋体"/>
                <w:color w:val="auto"/>
                <w:sz w:val="21"/>
                <w:szCs w:val="24"/>
                <w:lang w:val="en-US" w:eastAsia="zh-CN" w:bidi="ar-SA"/>
              </w:rPr>
              <w:t>矿区建设，推广尾矿等大宗工业固体废物环境友好型井下充填回填，减少尾矿库贮存量。推动大宗工业固体废物在提取有价组分、生产建材、筑路、生态修复、土壤治理等领域的规模化利用。</w:t>
            </w:r>
          </w:p>
          <w:p w14:paraId="539DB790">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638" w:type="pct"/>
            <w:tcBorders>
              <w:tl2br w:val="nil"/>
              <w:tr2bl w:val="nil"/>
            </w:tcBorders>
            <w:shd w:val="clear" w:color="auto" w:fill="auto"/>
            <w:vAlign w:val="center"/>
          </w:tcPr>
          <w:p w14:paraId="029C3A30">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项目生产</w:t>
            </w:r>
            <w:r>
              <w:rPr>
                <w:rFonts w:hint="eastAsia" w:cs="宋体"/>
                <w:color w:val="auto"/>
                <w:sz w:val="21"/>
                <w:szCs w:val="24"/>
                <w:lang w:val="en-US" w:eastAsia="zh-CN" w:bidi="ar-SA"/>
              </w:rPr>
              <w:t>不涉及用水，仅员工生活用水</w:t>
            </w:r>
            <w:r>
              <w:rPr>
                <w:rFonts w:hint="eastAsia" w:ascii="Times New Roman" w:hAnsi="Times New Roman" w:eastAsia="宋体" w:cs="宋体"/>
                <w:color w:val="auto"/>
                <w:sz w:val="21"/>
                <w:szCs w:val="24"/>
                <w:lang w:val="en-US" w:eastAsia="zh-CN" w:bidi="ar-SA"/>
              </w:rPr>
              <w:t>，</w:t>
            </w:r>
            <w:r>
              <w:rPr>
                <w:rFonts w:hint="eastAsia" w:cs="宋体"/>
                <w:color w:val="auto"/>
                <w:sz w:val="21"/>
                <w:szCs w:val="24"/>
                <w:lang w:val="en-US" w:eastAsia="zh-CN" w:bidi="ar-SA"/>
              </w:rPr>
              <w:t>对区域水资源影响较小</w:t>
            </w:r>
            <w:r>
              <w:rPr>
                <w:rFonts w:hint="eastAsia" w:ascii="Times New Roman" w:hAnsi="Times New Roman" w:eastAsia="宋体" w:cs="宋体"/>
                <w:color w:val="auto"/>
                <w:sz w:val="21"/>
                <w:szCs w:val="24"/>
                <w:lang w:val="en-US" w:eastAsia="zh-CN" w:bidi="ar-SA"/>
              </w:rPr>
              <w:t>，符合资源利用要求。</w:t>
            </w:r>
            <w:r>
              <w:rPr>
                <w:rFonts w:hint="default" w:ascii="Times New Roman" w:hAnsi="Times New Roman" w:eastAsia="宋体" w:cs="Times New Roman"/>
                <w:color w:val="auto"/>
                <w:kern w:val="0"/>
                <w:sz w:val="21"/>
                <w:szCs w:val="24"/>
                <w:highlight w:val="none"/>
                <w:lang w:val="en-US" w:eastAsia="zh-CN" w:bidi="ar-SA"/>
              </w:rPr>
              <w:t>一般工业废物全部合理处置，生活垃圾</w:t>
            </w:r>
            <w:r>
              <w:rPr>
                <w:rFonts w:hint="eastAsia" w:ascii="Times New Roman" w:hAnsi="Times New Roman" w:eastAsia="宋体" w:cs="Times New Roman"/>
                <w:color w:val="auto"/>
                <w:kern w:val="0"/>
                <w:sz w:val="21"/>
                <w:szCs w:val="24"/>
                <w:highlight w:val="none"/>
                <w:lang w:val="en-US" w:eastAsia="zh-CN" w:bidi="ar-SA"/>
              </w:rPr>
              <w:t>集中收集后委托环卫部门定期清运，危险废物</w:t>
            </w:r>
            <w:r>
              <w:rPr>
                <w:rFonts w:hint="eastAsia" w:cs="Times New Roman"/>
                <w:color w:val="auto"/>
                <w:kern w:val="0"/>
                <w:sz w:val="21"/>
                <w:szCs w:val="24"/>
                <w:highlight w:val="none"/>
                <w:lang w:val="en-US" w:eastAsia="zh-CN" w:bidi="ar-SA"/>
              </w:rPr>
              <w:t>新增5</w:t>
            </w:r>
            <w:r>
              <w:rPr>
                <w:rFonts w:hint="eastAsia" w:ascii="Times New Roman" w:hAnsi="Times New Roman" w:eastAsia="宋体" w:cs="Times New Roman"/>
                <w:color w:val="auto"/>
                <w:kern w:val="0"/>
                <w:sz w:val="21"/>
                <w:szCs w:val="24"/>
                <w:highlight w:val="none"/>
                <w:lang w:val="en-US" w:eastAsia="zh-CN" w:bidi="ar-SA"/>
              </w:rPr>
              <w:t>m</w:t>
            </w:r>
            <w:r>
              <w:rPr>
                <w:rFonts w:hint="eastAsia" w:ascii="Times New Roman" w:hAnsi="Times New Roman" w:eastAsia="宋体" w:cs="Times New Roman"/>
                <w:color w:val="auto"/>
                <w:kern w:val="0"/>
                <w:sz w:val="21"/>
                <w:szCs w:val="24"/>
                <w:highlight w:val="none"/>
                <w:vertAlign w:val="superscript"/>
                <w:lang w:val="en-US" w:eastAsia="zh-CN" w:bidi="ar-SA"/>
              </w:rPr>
              <w:t>2</w:t>
            </w:r>
            <w:r>
              <w:rPr>
                <w:rFonts w:hint="eastAsia" w:cs="Times New Roman"/>
                <w:color w:val="auto"/>
                <w:kern w:val="0"/>
                <w:sz w:val="21"/>
                <w:szCs w:val="24"/>
                <w:highlight w:val="none"/>
                <w:lang w:val="en-US" w:eastAsia="zh-CN" w:bidi="ar-SA"/>
              </w:rPr>
              <w:t>危废库暂存并</w:t>
            </w:r>
            <w:r>
              <w:rPr>
                <w:rFonts w:hint="eastAsia" w:ascii="Times New Roman" w:hAnsi="Times New Roman" w:eastAsia="宋体" w:cs="Times New Roman"/>
                <w:color w:val="auto"/>
                <w:kern w:val="0"/>
                <w:sz w:val="21"/>
                <w:szCs w:val="24"/>
                <w:highlight w:val="none"/>
                <w:lang w:val="en-US" w:eastAsia="zh-CN" w:bidi="ar-SA"/>
              </w:rPr>
              <w:t>委托有资质单位处置。</w:t>
            </w:r>
            <w:r>
              <w:rPr>
                <w:rFonts w:hint="eastAsia" w:ascii="Times New Roman" w:hAnsi="Times New Roman" w:eastAsia="宋体" w:cs="宋体"/>
                <w:color w:val="auto"/>
                <w:sz w:val="21"/>
                <w:szCs w:val="24"/>
                <w:lang w:val="en-US" w:eastAsia="zh-CN" w:bidi="ar-SA"/>
              </w:rPr>
              <w:t>固体废物无害化处置率达到100%。</w:t>
            </w:r>
          </w:p>
        </w:tc>
        <w:tc>
          <w:tcPr>
            <w:tcW w:w="252" w:type="pct"/>
            <w:tcBorders>
              <w:tl2br w:val="nil"/>
              <w:tr2bl w:val="nil"/>
            </w:tcBorders>
            <w:shd w:val="clear" w:color="auto" w:fill="auto"/>
            <w:vAlign w:val="center"/>
          </w:tcPr>
          <w:p w14:paraId="07173078">
            <w:pPr>
              <w:keepNext w:val="0"/>
              <w:keepLines w:val="0"/>
              <w:widowControl w:val="0"/>
              <w:suppressLineNumbers w:val="0"/>
              <w:overflowPunct w:val="0"/>
              <w:autoSpaceDE w:val="0"/>
              <w:autoSpaceDN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auto"/>
                <w:sz w:val="21"/>
                <w:szCs w:val="24"/>
                <w:lang w:val="en-US" w:eastAsia="zh-CN" w:bidi="ar-SA"/>
              </w:rPr>
            </w:pPr>
            <w:r>
              <w:rPr>
                <w:rFonts w:hint="eastAsia" w:ascii="Times New Roman" w:hAnsi="Times New Roman" w:eastAsia="宋体" w:cs="宋体"/>
                <w:color w:val="auto"/>
                <w:sz w:val="21"/>
                <w:szCs w:val="24"/>
                <w:lang w:val="en-US" w:eastAsia="zh-CN" w:bidi="ar-SA"/>
              </w:rPr>
              <w:t>符合</w:t>
            </w:r>
          </w:p>
        </w:tc>
      </w:tr>
    </w:tbl>
    <w:p w14:paraId="3F917F95">
      <w:pPr>
        <w:keepNext w:val="0"/>
        <w:keepLines w:val="0"/>
        <w:widowControl w:val="0"/>
        <w:suppressLineNumbers w:val="0"/>
        <w:overflowPunct w:val="0"/>
        <w:autoSpaceDE w:val="0"/>
        <w:autoSpaceDN w:val="0"/>
        <w:bidi w:val="0"/>
        <w:adjustRightInd w:val="0"/>
        <w:snapToGrid w:val="0"/>
        <w:spacing w:before="0" w:beforeAutospacing="0" w:after="0" w:afterAutospacing="0" w:line="400" w:lineRule="exact"/>
        <w:ind w:left="0" w:leftChars="0" w:right="0" w:rightChars="0" w:firstLine="0" w:firstLineChars="0"/>
        <w:jc w:val="center"/>
        <w:rPr>
          <w:rFonts w:hint="eastAsia" w:ascii="宋体" w:hAnsi="宋体" w:eastAsia="宋体" w:cs="宋体"/>
          <w:color w:val="auto"/>
          <w:sz w:val="24"/>
          <w:szCs w:val="24"/>
          <w:highlight w:val="none"/>
          <w:lang w:val="en-US" w:eastAsia="zh-Hans"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7175"/>
      </w:tblGrid>
      <w:tr w14:paraId="63FA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7" w:hRule="atLeast"/>
          <w:jc w:val="center"/>
        </w:trPr>
        <w:tc>
          <w:tcPr>
            <w:tcW w:w="1896" w:type="dxa"/>
            <w:vAlign w:val="center"/>
          </w:tcPr>
          <w:p w14:paraId="18DDF5EA">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Hans" w:bidi="ar-SA"/>
              </w:rPr>
              <w:t>其他符合性分析</w:t>
            </w:r>
          </w:p>
        </w:tc>
        <w:tc>
          <w:tcPr>
            <w:tcW w:w="7175" w:type="dxa"/>
            <w:vAlign w:val="center"/>
          </w:tcPr>
          <w:p w14:paraId="1C8D1EF4">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1、</w:t>
            </w:r>
            <w:r>
              <w:rPr>
                <w:rFonts w:hint="eastAsia" w:ascii="Times New Roman" w:hAnsi="Times New Roman" w:eastAsia="宋体" w:cs="黑体"/>
                <w:b/>
                <w:color w:val="auto"/>
                <w:sz w:val="28"/>
                <w:szCs w:val="30"/>
                <w:lang w:val="en-US" w:eastAsia="zh-CN" w:bidi="ar-SA"/>
              </w:rPr>
              <w:t>产业政策相符性分析</w:t>
            </w:r>
          </w:p>
          <w:p w14:paraId="37A8362A">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color w:val="auto"/>
                <w:lang w:val="en-US"/>
              </w:rPr>
            </w:pPr>
            <w:r>
              <w:rPr>
                <w:rFonts w:hint="eastAsia" w:ascii="Times New Roman" w:hAnsi="Times New Roman" w:eastAsia="宋体" w:cs="宋体"/>
                <w:color w:val="auto"/>
                <w:highlight w:val="none"/>
                <w:lang w:val="en-US" w:eastAsia="zh-CN"/>
              </w:rPr>
              <w:t>根据</w:t>
            </w:r>
            <w:r>
              <w:rPr>
                <w:rFonts w:hint="eastAsia" w:ascii="Times New Roman" w:eastAsia="宋体" w:cs="宋体"/>
                <w:color w:val="auto"/>
                <w:highlight w:val="none"/>
                <w:lang w:val="en-US" w:eastAsia="zh-CN"/>
              </w:rPr>
              <w:t>《产业结构调整指导目录（</w:t>
            </w:r>
            <w:r>
              <w:rPr>
                <w:rFonts w:hint="eastAsia" w:cs="宋体"/>
                <w:color w:val="auto"/>
                <w:highlight w:val="none"/>
                <w:lang w:val="en-US" w:eastAsia="zh-CN"/>
              </w:rPr>
              <w:t>2024</w:t>
            </w:r>
            <w:r>
              <w:rPr>
                <w:rFonts w:hint="eastAsia" w:ascii="Times New Roman" w:eastAsia="宋体" w:cs="宋体"/>
                <w:color w:val="auto"/>
                <w:highlight w:val="none"/>
                <w:lang w:val="en-US" w:eastAsia="zh-CN"/>
              </w:rPr>
              <w:t>年本）》</w:t>
            </w:r>
            <w:r>
              <w:rPr>
                <w:rFonts w:hint="eastAsia" w:ascii="Times New Roman" w:hAnsi="Times New Roman" w:eastAsia="宋体" w:cs="宋体"/>
                <w:color w:val="auto"/>
                <w:highlight w:val="none"/>
                <w:lang w:val="en-US" w:eastAsia="zh-CN"/>
              </w:rPr>
              <w:t>，</w:t>
            </w:r>
            <w:r>
              <w:rPr>
                <w:rFonts w:hint="eastAsia" w:ascii="Times New Roman" w:hAnsi="Times New Roman" w:eastAsia="宋体" w:cs="Times New Roman"/>
                <w:color w:val="auto"/>
                <w:lang w:val="en-US" w:eastAsia="zh-CN"/>
              </w:rPr>
              <w:t>本项目生产规模、生产工艺、装备和产品等均不在“限制类”和“淘汰类”之列，为允许类项目，符合国家产业政策。本项目也不属于禁止准入类，不在该负面清单中。</w:t>
            </w:r>
            <w:r>
              <w:rPr>
                <w:rFonts w:hint="eastAsia" w:cs="宋体"/>
                <w:color w:val="auto"/>
                <w:lang w:val="en-US" w:eastAsia="zh-CN"/>
              </w:rPr>
              <w:t>因此本项目符合国家产业政策。</w:t>
            </w:r>
          </w:p>
          <w:p w14:paraId="5CA12352">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2、</w:t>
            </w:r>
            <w:r>
              <w:rPr>
                <w:rFonts w:hint="eastAsia" w:ascii="Times New Roman" w:hAnsi="Times New Roman" w:eastAsia="宋体" w:cs="黑体"/>
                <w:b/>
                <w:color w:val="auto"/>
                <w:sz w:val="28"/>
                <w:szCs w:val="30"/>
                <w:lang w:val="en-US" w:eastAsia="zh-CN" w:bidi="ar-SA"/>
              </w:rPr>
              <w:t>“三线一单”控制要求的相符性</w:t>
            </w:r>
          </w:p>
          <w:p w14:paraId="7AB4A362">
            <w:pPr>
              <w:widowControl/>
              <w:overflowPunct w:val="0"/>
              <w:autoSpaceDE w:val="0"/>
              <w:autoSpaceDN w:val="0"/>
              <w:bidi w:val="0"/>
              <w:adjustRightInd w:val="0"/>
              <w:snapToGrid w:val="0"/>
              <w:spacing w:after="0" w:line="360" w:lineRule="auto"/>
              <w:ind w:firstLine="480" w:firstLineChars="200"/>
              <w:jc w:val="both"/>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宋体"/>
                <w:color w:val="auto"/>
                <w:lang w:val="en-US" w:eastAsia="zh-CN"/>
              </w:rPr>
              <w:t>（1）《新疆维吾尔自治区生态环境分区管控动态更新成果》</w:t>
            </w:r>
            <w:r>
              <w:rPr>
                <w:rFonts w:hint="default" w:ascii="Times New Roman" w:hAnsi="Times New Roman" w:eastAsia="宋体" w:cs="Times New Roman"/>
                <w:color w:val="auto"/>
                <w:kern w:val="0"/>
                <w:sz w:val="24"/>
                <w:szCs w:val="24"/>
                <w:lang w:val="en-US" w:eastAsia="zh-CN" w:bidi="en-US"/>
              </w:rPr>
              <w:t>符合性分析</w:t>
            </w:r>
          </w:p>
          <w:p w14:paraId="46F3B5D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本项目与</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新疆维吾尔自治区生态环境分区管控动态更新成果</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符合性分析见表1-4，</w:t>
            </w:r>
            <w:r>
              <w:rPr>
                <w:rFonts w:hint="default" w:ascii="Times New Roman" w:hAnsi="Times New Roman" w:eastAsia="宋体" w:cs="Times New Roman"/>
                <w:color w:val="auto"/>
                <w:kern w:val="2"/>
                <w:sz w:val="24"/>
                <w:szCs w:val="24"/>
                <w:lang w:val="en-US" w:eastAsia="zh-CN" w:bidi="ar-SA"/>
              </w:rPr>
              <w:t>本项目在新疆维吾尔自治区生态环境分区管控位置见</w:t>
            </w:r>
            <w:r>
              <w:rPr>
                <w:rFonts w:hint="eastAsia" w:cs="Times New Roman"/>
                <w:color w:val="auto"/>
                <w:kern w:val="2"/>
                <w:sz w:val="24"/>
                <w:szCs w:val="24"/>
                <w:lang w:val="en-US" w:eastAsia="zh-CN" w:bidi="ar-SA"/>
              </w:rPr>
              <w:t>附图1.3-1</w:t>
            </w:r>
            <w:r>
              <w:rPr>
                <w:rFonts w:hint="eastAsia" w:ascii="Times New Roman" w:hAnsi="Times New Roman" w:eastAsia="宋体" w:cs="Times New Roman"/>
                <w:color w:val="auto"/>
                <w:sz w:val="24"/>
                <w:lang w:val="en-US" w:eastAsia="zh-CN"/>
              </w:rPr>
              <w:t>。</w:t>
            </w:r>
          </w:p>
          <w:p w14:paraId="409BA04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综上所述，本项目符合《新疆维吾尔自治区生态环境分区管控动态更新成果》。</w:t>
            </w:r>
          </w:p>
          <w:p w14:paraId="09E192EA">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（2）《关于发布昌吉回族自治州生态环境分区管控动态更新成果的公告》</w:t>
            </w:r>
            <w:r>
              <w:rPr>
                <w:rFonts w:hint="eastAsia" w:cs="宋体"/>
                <w:color w:val="auto"/>
                <w:lang w:val="en-US" w:eastAsia="zh-CN"/>
              </w:rPr>
              <w:t>符合性分析</w:t>
            </w:r>
          </w:p>
          <w:p w14:paraId="68D86CA6">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按照《生态环境部关于印发〈生态环境分区管控管理暂行规定〉的通知》《生态环境部关于实施</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三线一单</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生态环境分区管控的指导意见（试行）》《2023年自治区</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三线一单</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生态环境分区管控成果动态更新工作方案》等文件要求，结合昌吉州</w:t>
            </w:r>
            <w:r>
              <w:rPr>
                <w:rFonts w:hint="eastAsia" w:cs="Times New Roman"/>
                <w:color w:val="auto"/>
                <w:kern w:val="2"/>
                <w:sz w:val="24"/>
                <w:szCs w:val="24"/>
                <w:highlight w:val="none"/>
                <w:lang w:val="en-US" w:eastAsia="zh-CN" w:bidi="ar-SA"/>
              </w:rPr>
              <w:t>“十四五”</w:t>
            </w:r>
            <w:r>
              <w:rPr>
                <w:rFonts w:hint="default" w:ascii="Times New Roman" w:hAnsi="Times New Roman" w:eastAsia="宋体" w:cs="Times New Roman"/>
                <w:color w:val="auto"/>
                <w:kern w:val="2"/>
                <w:sz w:val="24"/>
                <w:szCs w:val="24"/>
                <w:highlight w:val="none"/>
                <w:lang w:val="en-US" w:eastAsia="zh-CN" w:bidi="ar-SA"/>
              </w:rPr>
              <w:t>国土空间规划成果、产业园区调整等开展了生态环境分区管控动态更新工作，昌吉州生态环境分区管控动态更新成果经昌吉州人民政府研究同意，现予以公布。</w:t>
            </w:r>
          </w:p>
          <w:p w14:paraId="08B6DEC4">
            <w:pPr>
              <w:widowControl w:val="0"/>
              <w:overflowPunct w:val="0"/>
              <w:autoSpaceDE w:val="0"/>
              <w:autoSpaceDN w:val="0"/>
              <w:adjustRightInd w:val="0"/>
              <w:snapToGrid w:val="0"/>
              <w:spacing w:before="0" w:after="0"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shd w:val="clear" w:color="auto" w:fill="FFFFFF"/>
                <w:lang w:val="en-US" w:eastAsia="zh-CN" w:bidi="ar-SA"/>
              </w:rPr>
              <w:t>本项目位于</w:t>
            </w:r>
            <w:r>
              <w:rPr>
                <w:rFonts w:hint="default" w:ascii="Times New Roman" w:hAnsi="Times New Roman" w:eastAsia="宋体" w:cs="Times New Roman"/>
                <w:color w:val="auto"/>
                <w:sz w:val="24"/>
                <w:szCs w:val="24"/>
                <w:lang w:val="en-US" w:eastAsia="zh-CN" w:bidi="ar-SA"/>
              </w:rPr>
              <w:t>苏通小微创业园</w:t>
            </w:r>
            <w:r>
              <w:rPr>
                <w:rFonts w:hint="eastAsia" w:ascii="Times New Roman" w:hAnsi="Times New Roman" w:eastAsia="宋体" w:cs="Times New Roman"/>
                <w:b w:val="0"/>
                <w:bCs w:val="0"/>
                <w:color w:val="auto"/>
                <w:kern w:val="2"/>
                <w:sz w:val="24"/>
                <w:szCs w:val="24"/>
                <w:shd w:val="clear" w:color="auto" w:fill="FFFFFF"/>
                <w:lang w:val="en-US" w:eastAsia="zh-CN" w:bidi="ar-SA"/>
              </w:rPr>
              <w:t>，属于阜康市划定的重点管控单元内，位于阜康高新技术产业开发区重点管控单元，环境管控单元编码为ZH65230220002，</w:t>
            </w:r>
            <w:r>
              <w:rPr>
                <w:rFonts w:hint="eastAsia" w:ascii="Times New Roman" w:hAnsi="Times New Roman" w:eastAsia="宋体" w:cs="Times New Roman"/>
                <w:bCs/>
                <w:color w:val="auto"/>
                <w:sz w:val="24"/>
                <w:lang w:val="en-US" w:eastAsia="zh-CN"/>
              </w:rPr>
              <w:t>不涉及生态保护红线，项目所在区域不存在自然保护区、风景名胜区、饮用水水源保护区等需要特别保护的区域，不属于禁止建设开发区和限制建设开发区，符合生态保护红线的要求</w:t>
            </w:r>
            <w:r>
              <w:rPr>
                <w:rFonts w:hint="eastAsia" w:ascii="Times New Roman" w:hAnsi="Times New Roman" w:eastAsia="宋体" w:cs="Times New Roman"/>
                <w:color w:val="auto"/>
                <w:kern w:val="2"/>
                <w:sz w:val="24"/>
                <w:szCs w:val="24"/>
                <w:shd w:val="clear" w:color="auto" w:fill="FFFFFF"/>
                <w:lang w:val="en-US" w:eastAsia="zh-CN" w:bidi="ar-SA"/>
              </w:rPr>
              <w:t>，</w:t>
            </w:r>
            <w:r>
              <w:rPr>
                <w:rFonts w:ascii="Times New Roman" w:hAnsi="Times New Roman" w:eastAsia="宋体" w:cs="宋体"/>
                <w:color w:val="auto"/>
              </w:rPr>
              <w:t>不会影响所在区域内生态功能</w:t>
            </w:r>
            <w:r>
              <w:rPr>
                <w:rFonts w:hint="eastAsia" w:ascii="Times New Roman" w:hAnsi="Times New Roman" w:eastAsia="宋体" w:cs="宋体"/>
                <w:color w:val="auto"/>
                <w:lang w:val="en-US" w:eastAsia="zh-CN"/>
              </w:rPr>
              <w:t>和性质</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符合《昌吉回族自治州区域空间生态环境评价暨“三线一单”生态环境准入清单》阜康市重点管控单元空间布局约束，不属于新、改、扩建“两高”（高污染、高耗能）行业项目，符合园区产业发展定位，执行自治区、乌昌石片区总体准入要求中关于重点管控单元空间布局约束的准入要求。</w:t>
            </w:r>
          </w:p>
          <w:p w14:paraId="4B43961A">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本项目与阜康高新技术产业开发区管控单元要求符合性见表1.3-</w:t>
            </w:r>
            <w:r>
              <w:rPr>
                <w:rFonts w:hint="eastAsia" w:cs="宋体"/>
                <w:color w:val="auto"/>
                <w:lang w:val="en-US" w:eastAsia="zh-CN"/>
              </w:rPr>
              <w:t>2</w:t>
            </w:r>
            <w:r>
              <w:rPr>
                <w:rFonts w:hint="eastAsia" w:ascii="Times New Roman" w:hAnsi="Times New Roman" w:eastAsia="宋体" w:cs="宋体"/>
                <w:color w:val="auto"/>
                <w:lang w:val="en-US" w:eastAsia="zh-CN"/>
              </w:rPr>
              <w:t>。本项目环境单元分区图见图1.3-</w:t>
            </w:r>
            <w:r>
              <w:rPr>
                <w:rFonts w:hint="eastAsia" w:cs="宋体"/>
                <w:color w:val="auto"/>
                <w:lang w:val="en-US" w:eastAsia="zh-CN"/>
              </w:rPr>
              <w:t>2</w:t>
            </w:r>
            <w:r>
              <w:rPr>
                <w:rFonts w:hint="eastAsia" w:ascii="Times New Roman" w:hAnsi="Times New Roman" w:eastAsia="宋体" w:cs="宋体"/>
                <w:color w:val="auto"/>
                <w:lang w:val="en-US" w:eastAsia="zh-CN"/>
              </w:rPr>
              <w:t>。</w:t>
            </w:r>
          </w:p>
          <w:p w14:paraId="06700730">
            <w:pPr>
              <w:overflowPunct w:val="0"/>
              <w:autoSpaceDE w:val="0"/>
              <w:autoSpaceDN w:val="0"/>
              <w:adjustRightInd w:val="0"/>
              <w:snapToGrid w:val="0"/>
              <w:spacing w:before="0" w:after="0" w:line="360" w:lineRule="auto"/>
              <w:ind w:right="0"/>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表1.3-</w:t>
            </w:r>
            <w:r>
              <w:rPr>
                <w:rFonts w:hint="eastAsia" w:cs="宋体"/>
                <w:b/>
                <w:bCs/>
                <w:color w:val="auto"/>
                <w:lang w:val="en-US" w:eastAsia="zh-CN"/>
              </w:rPr>
              <w:t>2</w:t>
            </w:r>
            <w:r>
              <w:rPr>
                <w:rFonts w:hint="eastAsia" w:ascii="Times New Roman" w:hAnsi="Times New Roman" w:eastAsia="宋体" w:cs="宋体"/>
                <w:b/>
                <w:bCs/>
                <w:color w:val="auto"/>
                <w:lang w:val="en-US" w:eastAsia="zh-CN"/>
              </w:rPr>
              <w:t xml:space="preserve"> 本项目与阜康高新技术产业开发区重点管控单元要求符合性分析表</w:t>
            </w:r>
          </w:p>
          <w:tbl>
            <w:tblPr>
              <w:tblStyle w:val="16"/>
              <w:tblW w:w="71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540"/>
              <w:gridCol w:w="855"/>
              <w:gridCol w:w="2745"/>
              <w:gridCol w:w="2488"/>
            </w:tblGrid>
            <w:tr w14:paraId="33E99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tcBorders>
                    <w:tl2br w:val="nil"/>
                    <w:tr2bl w:val="nil"/>
                  </w:tcBorders>
                  <w:vAlign w:val="center"/>
                </w:tcPr>
                <w:p w14:paraId="270357A5">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环境管控单元编码</w:t>
                  </w:r>
                </w:p>
              </w:tc>
              <w:tc>
                <w:tcPr>
                  <w:tcW w:w="540" w:type="dxa"/>
                  <w:tcBorders>
                    <w:tl2br w:val="nil"/>
                    <w:tr2bl w:val="nil"/>
                  </w:tcBorders>
                  <w:vAlign w:val="center"/>
                </w:tcPr>
                <w:p w14:paraId="5E19CCFA">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环境管控单元名称</w:t>
                  </w:r>
                </w:p>
              </w:tc>
              <w:tc>
                <w:tcPr>
                  <w:tcW w:w="3600" w:type="dxa"/>
                  <w:gridSpan w:val="2"/>
                  <w:tcBorders>
                    <w:tl2br w:val="nil"/>
                    <w:tr2bl w:val="nil"/>
                  </w:tcBorders>
                  <w:vAlign w:val="center"/>
                </w:tcPr>
                <w:p w14:paraId="5C1C41B9">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管控要求</w:t>
                  </w:r>
                </w:p>
              </w:tc>
              <w:tc>
                <w:tcPr>
                  <w:tcW w:w="2488" w:type="dxa"/>
                  <w:tcBorders>
                    <w:tl2br w:val="nil"/>
                    <w:tr2bl w:val="nil"/>
                  </w:tcBorders>
                  <w:vAlign w:val="center"/>
                </w:tcPr>
                <w:p w14:paraId="64C5C292">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本项目符合性</w:t>
                  </w:r>
                </w:p>
              </w:tc>
            </w:tr>
            <w:tr w14:paraId="5F088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restart"/>
                  <w:tcBorders>
                    <w:tl2br w:val="nil"/>
                    <w:tr2bl w:val="nil"/>
                  </w:tcBorders>
                  <w:vAlign w:val="center"/>
                </w:tcPr>
                <w:p w14:paraId="13B566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eastAsia" w:ascii="Times New Roman" w:hAnsi="Times New Roman" w:eastAsia="宋体" w:cs="宋体"/>
                      <w:color w:val="auto"/>
                      <w:kern w:val="0"/>
                      <w:sz w:val="21"/>
                      <w:szCs w:val="21"/>
                      <w:lang w:val="en-US" w:eastAsia="zh-CN" w:bidi="en-US"/>
                    </w:rPr>
                    <w:t>ZH65230220002</w:t>
                  </w:r>
                </w:p>
              </w:tc>
              <w:tc>
                <w:tcPr>
                  <w:tcW w:w="540" w:type="dxa"/>
                  <w:vMerge w:val="restart"/>
                  <w:tcBorders>
                    <w:tl2br w:val="nil"/>
                    <w:tr2bl w:val="nil"/>
                  </w:tcBorders>
                  <w:vAlign w:val="center"/>
                </w:tcPr>
                <w:p w14:paraId="2E28FF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阜</w:t>
                  </w:r>
                </w:p>
                <w:p w14:paraId="00ADD9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康</w:t>
                  </w:r>
                </w:p>
                <w:p w14:paraId="11480D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高</w:t>
                  </w:r>
                </w:p>
                <w:p w14:paraId="0504FA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新</w:t>
                  </w:r>
                </w:p>
                <w:p w14:paraId="77D206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技</w:t>
                  </w:r>
                </w:p>
                <w:p w14:paraId="3399EB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术</w:t>
                  </w:r>
                </w:p>
                <w:p w14:paraId="74738D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产</w:t>
                  </w:r>
                </w:p>
                <w:p w14:paraId="758BB9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业</w:t>
                  </w:r>
                </w:p>
                <w:p w14:paraId="38CD2A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开</w:t>
                  </w:r>
                </w:p>
                <w:p w14:paraId="55EB70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0"/>
                      <w:sz w:val="21"/>
                      <w:szCs w:val="21"/>
                      <w:lang w:val="en-US" w:eastAsia="en-US" w:bidi="en-US"/>
                    </w:rPr>
                  </w:pPr>
                  <w:r>
                    <w:rPr>
                      <w:rFonts w:hint="default" w:ascii="Times New Roman" w:hAnsi="Times New Roman" w:eastAsia="宋体" w:cs="宋体"/>
                      <w:color w:val="auto"/>
                      <w:kern w:val="0"/>
                      <w:sz w:val="21"/>
                      <w:szCs w:val="21"/>
                      <w:lang w:val="en-US" w:eastAsia="en-US" w:bidi="en-US"/>
                    </w:rPr>
                    <w:t>发</w:t>
                  </w:r>
                </w:p>
                <w:p w14:paraId="291AFD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1"/>
                      <w:szCs w:val="21"/>
                      <w:lang w:val="en-US" w:eastAsia="zh-CN" w:bidi="en-US"/>
                    </w:rPr>
                  </w:pPr>
                  <w:r>
                    <w:rPr>
                      <w:rFonts w:hint="default" w:ascii="Times New Roman" w:hAnsi="Times New Roman" w:eastAsia="宋体" w:cs="宋体"/>
                      <w:color w:val="auto"/>
                      <w:kern w:val="0"/>
                      <w:sz w:val="21"/>
                      <w:szCs w:val="21"/>
                      <w:lang w:val="en-US" w:eastAsia="en-US" w:bidi="en-US"/>
                    </w:rPr>
                    <w:t>区</w:t>
                  </w:r>
                </w:p>
              </w:tc>
              <w:tc>
                <w:tcPr>
                  <w:tcW w:w="855" w:type="dxa"/>
                  <w:tcBorders>
                    <w:tl2br w:val="nil"/>
                    <w:tr2bl w:val="nil"/>
                  </w:tcBorders>
                  <w:vAlign w:val="center"/>
                </w:tcPr>
                <w:p w14:paraId="419EBF3D">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空间布局约束</w:t>
                  </w:r>
                </w:p>
              </w:tc>
              <w:tc>
                <w:tcPr>
                  <w:tcW w:w="2745" w:type="dxa"/>
                  <w:tcBorders>
                    <w:tl2br w:val="nil"/>
                    <w:tr2bl w:val="nil"/>
                  </w:tcBorders>
                  <w:vAlign w:val="center"/>
                </w:tcPr>
                <w:p w14:paraId="065502A4">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1、入园企业须符合园区产业发展定位、产业发展布局规划。</w:t>
                  </w:r>
                </w:p>
                <w:p w14:paraId="79FEE7A5">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2、入园企业须符合国土空间规划的布局及土地利用等相关要求。</w:t>
                  </w:r>
                </w:p>
                <w:p w14:paraId="681D8BB2">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3、园区入驻项目须严格执行园区规划及规划环评相关要求。</w:t>
                  </w:r>
                </w:p>
                <w:p w14:paraId="78555273">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4、园区入驻项目须满足《新疆维吾尔自治区重点行业生态环境准入条件（2024年）》相关要求。</w:t>
                  </w:r>
                </w:p>
                <w:p w14:paraId="60D848E8">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5、除国家规定新增原料用能不纳入能源消费总量控制的项目和列入国家规划的项目外，</w:t>
                  </w:r>
                  <w:r>
                    <w:rPr>
                      <w:rFonts w:hint="eastAsia" w:eastAsia="宋体"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乌-昌-石</w:t>
                  </w:r>
                  <w:r>
                    <w:rPr>
                      <w:rFonts w:hint="eastAsia" w:eastAsia="宋体"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等重点区域原则不再新建、扩建使用燃料用煤项目。</w:t>
                  </w:r>
                </w:p>
              </w:tc>
              <w:tc>
                <w:tcPr>
                  <w:tcW w:w="2488" w:type="dxa"/>
                  <w:tcBorders>
                    <w:tl2br w:val="nil"/>
                    <w:tr2bl w:val="nil"/>
                  </w:tcBorders>
                  <w:vAlign w:val="center"/>
                </w:tcPr>
                <w:p w14:paraId="5C3D76FA">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本项目位于新疆昌吉回族自治州阜康市，为小微企业，</w:t>
                  </w:r>
                  <w:r>
                    <w:rPr>
                      <w:rFonts w:hint="eastAsia" w:eastAsia="宋体" w:cs="Times New Roman"/>
                      <w:color w:val="auto"/>
                      <w:kern w:val="2"/>
                      <w:sz w:val="21"/>
                      <w:szCs w:val="24"/>
                      <w:vertAlign w:val="baseline"/>
                      <w:lang w:val="en-US" w:eastAsia="zh-CN" w:bidi="ar-SA"/>
                    </w:rPr>
                    <w:t>为</w:t>
                  </w:r>
                  <w:r>
                    <w:rPr>
                      <w:rFonts w:hint="eastAsia" w:cs="Times New Roman"/>
                      <w:color w:val="auto"/>
                      <w:kern w:val="2"/>
                      <w:sz w:val="21"/>
                      <w:szCs w:val="24"/>
                      <w:vertAlign w:val="baseline"/>
                      <w:lang w:val="en-US" w:eastAsia="zh-CN" w:bidi="ar-SA"/>
                    </w:rPr>
                    <w:t>建材生产项目</w:t>
                  </w:r>
                  <w:r>
                    <w:rPr>
                      <w:rFonts w:hint="eastAsia" w:ascii="Times New Roman" w:hAnsi="Times New Roman" w:eastAsia="宋体" w:cs="Times New Roman"/>
                      <w:color w:val="auto"/>
                      <w:kern w:val="2"/>
                      <w:sz w:val="21"/>
                      <w:szCs w:val="24"/>
                      <w:vertAlign w:val="baseline"/>
                      <w:lang w:val="en-US" w:eastAsia="zh-CN" w:bidi="ar-SA"/>
                    </w:rPr>
                    <w:t>，符合产业政策以及园区产业要求，</w:t>
                  </w:r>
                  <w:r>
                    <w:rPr>
                      <w:rFonts w:hint="eastAsia" w:eastAsia="宋体" w:cs="Times New Roman"/>
                      <w:color w:val="auto"/>
                      <w:kern w:val="2"/>
                      <w:sz w:val="21"/>
                      <w:szCs w:val="24"/>
                      <w:vertAlign w:val="baseline"/>
                      <w:lang w:val="en-US" w:eastAsia="zh-CN" w:bidi="ar-SA"/>
                    </w:rPr>
                    <w:t>用地为工业用地，符合国土空间规划要求</w:t>
                  </w:r>
                  <w:r>
                    <w:rPr>
                      <w:rFonts w:hint="eastAsia" w:ascii="Times New Roman" w:hAnsi="Times New Roman" w:eastAsia="宋体" w:cs="Times New Roman"/>
                      <w:color w:val="auto"/>
                      <w:kern w:val="2"/>
                      <w:sz w:val="21"/>
                      <w:szCs w:val="24"/>
                      <w:vertAlign w:val="baseline"/>
                      <w:lang w:val="en-US" w:eastAsia="zh-CN" w:bidi="ar-SA"/>
                    </w:rPr>
                    <w:t>。</w:t>
                  </w:r>
                  <w:r>
                    <w:rPr>
                      <w:rFonts w:hint="eastAsia" w:eastAsia="宋体" w:cs="Times New Roman"/>
                      <w:color w:val="auto"/>
                      <w:kern w:val="2"/>
                      <w:sz w:val="21"/>
                      <w:szCs w:val="24"/>
                      <w:vertAlign w:val="baseline"/>
                      <w:lang w:val="en-US" w:eastAsia="zh-CN" w:bidi="ar-SA"/>
                    </w:rPr>
                    <w:t>项目符合园区规划及规划环评要求，符合</w:t>
                  </w:r>
                  <w:r>
                    <w:rPr>
                      <w:rFonts w:hint="default" w:ascii="Times New Roman" w:hAnsi="Times New Roman" w:eastAsia="宋体" w:cs="Times New Roman"/>
                      <w:color w:val="auto"/>
                      <w:kern w:val="2"/>
                      <w:sz w:val="21"/>
                      <w:szCs w:val="24"/>
                      <w:vertAlign w:val="baseline"/>
                      <w:lang w:val="en-US" w:eastAsia="zh-CN" w:bidi="ar-SA"/>
                    </w:rPr>
                    <w:t>《新疆维吾尔自治区重点行业生态环境准入条件（2024年）》</w:t>
                  </w:r>
                  <w:r>
                    <w:rPr>
                      <w:rFonts w:hint="eastAsia" w:eastAsia="宋体" w:cs="Times New Roman"/>
                      <w:color w:val="auto"/>
                      <w:kern w:val="2"/>
                      <w:sz w:val="21"/>
                      <w:szCs w:val="24"/>
                      <w:vertAlign w:val="baseline"/>
                      <w:lang w:val="en-US" w:eastAsia="zh-CN" w:bidi="ar-SA"/>
                    </w:rPr>
                    <w:t>相关要求</w:t>
                  </w:r>
                  <w:r>
                    <w:rPr>
                      <w:rFonts w:hint="eastAsia" w:cs="Times New Roman"/>
                      <w:color w:val="auto"/>
                      <w:kern w:val="2"/>
                      <w:sz w:val="21"/>
                      <w:szCs w:val="24"/>
                      <w:vertAlign w:val="baseline"/>
                      <w:lang w:val="en-US" w:eastAsia="zh-CN" w:bidi="ar-SA"/>
                    </w:rPr>
                    <w:t>，</w:t>
                  </w:r>
                  <w:r>
                    <w:rPr>
                      <w:rFonts w:hint="eastAsia" w:ascii="Times New Roman" w:hAnsi="Times New Roman" w:eastAsia="宋体" w:cs="Times New Roman"/>
                      <w:color w:val="auto"/>
                      <w:kern w:val="2"/>
                      <w:sz w:val="21"/>
                      <w:szCs w:val="24"/>
                      <w:vertAlign w:val="baseline"/>
                      <w:lang w:val="en-US" w:eastAsia="zh-CN" w:bidi="ar-SA"/>
                    </w:rPr>
                    <w:t>本项目</w:t>
                  </w:r>
                  <w:r>
                    <w:rPr>
                      <w:rFonts w:hint="eastAsia" w:eastAsia="宋体" w:cs="Times New Roman"/>
                      <w:color w:val="auto"/>
                      <w:kern w:val="2"/>
                      <w:sz w:val="21"/>
                      <w:szCs w:val="24"/>
                      <w:vertAlign w:val="baseline"/>
                      <w:lang w:val="en-US" w:eastAsia="zh-CN" w:bidi="ar-SA"/>
                    </w:rPr>
                    <w:t>生产不使用燃煤等化石燃料</w:t>
                  </w:r>
                  <w:r>
                    <w:rPr>
                      <w:rFonts w:hint="eastAsia" w:ascii="Times New Roman" w:hAnsi="Times New Roman" w:eastAsia="宋体" w:cs="Times New Roman"/>
                      <w:color w:val="auto"/>
                      <w:kern w:val="2"/>
                      <w:sz w:val="21"/>
                      <w:szCs w:val="24"/>
                      <w:vertAlign w:val="baseline"/>
                      <w:lang w:val="en-US" w:eastAsia="zh-CN" w:bidi="ar-SA"/>
                    </w:rPr>
                    <w:t>。</w:t>
                  </w:r>
                </w:p>
              </w:tc>
            </w:tr>
            <w:tr w14:paraId="5EB0E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tcBorders>
                    <w:tl2br w:val="nil"/>
                    <w:tr2bl w:val="nil"/>
                  </w:tcBorders>
                  <w:vAlign w:val="center"/>
                </w:tcPr>
                <w:p w14:paraId="751F0D5B">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540" w:type="dxa"/>
                  <w:vMerge w:val="continue"/>
                  <w:tcBorders>
                    <w:tl2br w:val="nil"/>
                    <w:tr2bl w:val="nil"/>
                  </w:tcBorders>
                  <w:vAlign w:val="center"/>
                </w:tcPr>
                <w:p w14:paraId="018BF430">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855" w:type="dxa"/>
                  <w:tcBorders>
                    <w:tl2br w:val="nil"/>
                    <w:tr2bl w:val="nil"/>
                  </w:tcBorders>
                  <w:vAlign w:val="center"/>
                </w:tcPr>
                <w:p w14:paraId="115F0B4C">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污染物排放管控</w:t>
                  </w:r>
                </w:p>
              </w:tc>
              <w:tc>
                <w:tcPr>
                  <w:tcW w:w="2745" w:type="dxa"/>
                  <w:tcBorders>
                    <w:tl2br w:val="nil"/>
                    <w:tr2bl w:val="nil"/>
                  </w:tcBorders>
                  <w:vAlign w:val="center"/>
                </w:tcPr>
                <w:p w14:paraId="0EEBD5B9">
                  <w:pPr>
                    <w:widowControl w:val="0"/>
                    <w:numPr>
                      <w:ilvl w:val="0"/>
                      <w:numId w:val="1"/>
                    </w:numPr>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聚焦采暖期重污染天气治理，加大重点区域、重点行业结构调整和污染治理力度。</w:t>
                  </w:r>
                </w:p>
                <w:p w14:paraId="2F8903C7">
                  <w:pPr>
                    <w:widowControl w:val="0"/>
                    <w:numPr>
                      <w:ilvl w:val="0"/>
                      <w:numId w:val="1"/>
                    </w:numPr>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新（改、扩）建项目应执行最严格的大气污染物排放标准。</w:t>
                  </w:r>
                </w:p>
                <w:p w14:paraId="5C1461A6">
                  <w:pPr>
                    <w:widowControl w:val="0"/>
                    <w:numPr>
                      <w:ilvl w:val="0"/>
                      <w:numId w:val="1"/>
                    </w:numPr>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乌-昌-石</w:t>
                  </w:r>
                  <w:r>
                    <w:rPr>
                      <w:rFonts w:hint="eastAsia"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区域内，已实施超低排放的涉气排污单位， 其实施超低排放改造的污染因子执行超低排放限值，其他污染因子执行特别排放限值和特别控制要求。 4、推动园区企业绿色发展，严格落实水污染物排放标准。</w:t>
                  </w:r>
                </w:p>
                <w:p w14:paraId="65805283">
                  <w:pPr>
                    <w:widowControl w:val="0"/>
                    <w:numPr>
                      <w:ilvl w:val="0"/>
                      <w:numId w:val="0"/>
                    </w:numPr>
                    <w:overflowPunct w:val="0"/>
                    <w:autoSpaceDE w:val="0"/>
                    <w:autoSpaceDN w:val="0"/>
                    <w:adjustRightInd w:val="0"/>
                    <w:snapToGrid w:val="0"/>
                    <w:spacing w:line="360" w:lineRule="atLeast"/>
                    <w:ind w:left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5、严格实施污染物排放总量控制要求；全面深化面源污染治理，积极推进绿色施工。</w:t>
                  </w:r>
                </w:p>
              </w:tc>
              <w:tc>
                <w:tcPr>
                  <w:tcW w:w="2488" w:type="dxa"/>
                  <w:tcBorders>
                    <w:tl2br w:val="nil"/>
                    <w:tr2bl w:val="nil"/>
                  </w:tcBorders>
                  <w:vAlign w:val="center"/>
                </w:tcPr>
                <w:p w14:paraId="3F732CEB">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w:t>
                  </w:r>
                  <w:r>
                    <w:rPr>
                      <w:rFonts w:hint="eastAsia" w:cs="Times New Roman"/>
                      <w:color w:val="auto"/>
                      <w:kern w:val="2"/>
                      <w:sz w:val="21"/>
                      <w:szCs w:val="24"/>
                      <w:vertAlign w:val="baseline"/>
                      <w:lang w:val="en-US" w:eastAsia="zh-CN" w:bidi="ar-SA"/>
                    </w:rPr>
                    <w:t>生产无需供暖，不属于重点行业，因此对采暖期重污染天气无影响。本项目有组织</w:t>
                  </w:r>
                  <w:r>
                    <w:rPr>
                      <w:rFonts w:hint="eastAsia" w:ascii="Times New Roman" w:hAnsi="Times New Roman" w:eastAsia="宋体" w:cs="Times New Roman"/>
                      <w:color w:val="auto"/>
                      <w:kern w:val="2"/>
                      <w:sz w:val="21"/>
                      <w:szCs w:val="24"/>
                      <w:vertAlign w:val="baseline"/>
                      <w:lang w:val="en-US" w:eastAsia="zh-CN" w:bidi="ar-SA"/>
                    </w:rPr>
                    <w:t>废气</w:t>
                  </w:r>
                  <w:r>
                    <w:rPr>
                      <w:rFonts w:hint="eastAsia" w:cs="Times New Roman"/>
                      <w:color w:val="auto"/>
                      <w:kern w:val="2"/>
                      <w:sz w:val="21"/>
                      <w:szCs w:val="24"/>
                      <w:vertAlign w:val="baseline"/>
                      <w:lang w:val="en-US" w:eastAsia="zh-CN" w:bidi="ar-SA"/>
                    </w:rPr>
                    <w:t>污染</w:t>
                  </w:r>
                  <w:r>
                    <w:rPr>
                      <w:rFonts w:hint="eastAsia" w:cs="Times New Roman"/>
                      <w:color w:val="auto"/>
                      <w:kern w:val="2"/>
                      <w:sz w:val="21"/>
                      <w:szCs w:val="24"/>
                      <w:highlight w:val="none"/>
                      <w:vertAlign w:val="baseline"/>
                      <w:lang w:val="en-US" w:eastAsia="zh-CN" w:bidi="ar-SA"/>
                    </w:rPr>
                    <w:t>物颗粒物均满足《水泥工业大气污染物排放标准》(GB 4915-2013 ）表2 大气污染物特别排放限值，无组织颗粒物通过加强封闭式作业进行控制，厂界颗粒物满足《水泥工业大气污染物排放标准》(GB 4915-2013 ）表3 大气污染物无组织排放限值，均落实最严格排放标准限值要求</w:t>
                  </w:r>
                  <w:r>
                    <w:rPr>
                      <w:rFonts w:hint="eastAsia" w:ascii="Times New Roman" w:hAnsi="Times New Roman" w:eastAsia="宋体" w:cs="Times New Roman"/>
                      <w:color w:val="auto"/>
                      <w:kern w:val="2"/>
                      <w:sz w:val="21"/>
                      <w:szCs w:val="24"/>
                      <w:highlight w:val="none"/>
                      <w:vertAlign w:val="baseline"/>
                      <w:lang w:val="en-US" w:eastAsia="zh-CN" w:bidi="ar-SA"/>
                    </w:rPr>
                    <w:t>。</w:t>
                  </w:r>
                  <w:r>
                    <w:rPr>
                      <w:rFonts w:hint="eastAsia" w:cs="Times New Roman"/>
                      <w:color w:val="auto"/>
                      <w:kern w:val="2"/>
                      <w:sz w:val="21"/>
                      <w:szCs w:val="24"/>
                      <w:highlight w:val="none"/>
                      <w:vertAlign w:val="baseline"/>
                      <w:lang w:val="en-US" w:eastAsia="zh-CN" w:bidi="ar-SA"/>
                    </w:rPr>
                    <w:t>本项目不属于超低排放企业，</w:t>
                  </w:r>
                  <w:r>
                    <w:rPr>
                      <w:rFonts w:hint="eastAsia" w:cs="Times New Roman"/>
                      <w:color w:val="auto"/>
                      <w:kern w:val="2"/>
                      <w:sz w:val="21"/>
                      <w:szCs w:val="24"/>
                      <w:vertAlign w:val="baseline"/>
                      <w:lang w:val="en-US" w:eastAsia="zh-CN" w:bidi="ar-SA"/>
                    </w:rPr>
                    <w:t>本项目产生的生活污水排入园区管网。本项目施工期能够做到施工现场扬尘防治做到工地周边围挡、物料堆放覆盖、土方开挖湿法作业、路面硬化、出入车辆清洗、渣土车辆密闭运输“六个百分百”，落实绿色施工。</w:t>
                  </w:r>
                </w:p>
              </w:tc>
            </w:tr>
            <w:tr w14:paraId="5BBFE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tcBorders>
                    <w:tl2br w:val="nil"/>
                    <w:tr2bl w:val="nil"/>
                  </w:tcBorders>
                  <w:vAlign w:val="center"/>
                </w:tcPr>
                <w:p w14:paraId="75EF2A84">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540" w:type="dxa"/>
                  <w:vMerge w:val="continue"/>
                  <w:tcBorders>
                    <w:tl2br w:val="nil"/>
                    <w:tr2bl w:val="nil"/>
                  </w:tcBorders>
                  <w:vAlign w:val="center"/>
                </w:tcPr>
                <w:p w14:paraId="5013FCC6">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855" w:type="dxa"/>
                  <w:tcBorders>
                    <w:tl2br w:val="nil"/>
                    <w:tr2bl w:val="nil"/>
                  </w:tcBorders>
                  <w:vAlign w:val="center"/>
                </w:tcPr>
                <w:p w14:paraId="7553BEA3">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环境风险防控</w:t>
                  </w:r>
                </w:p>
              </w:tc>
              <w:tc>
                <w:tcPr>
                  <w:tcW w:w="2745" w:type="dxa"/>
                  <w:tcBorders>
                    <w:tl2br w:val="nil"/>
                    <w:tr2bl w:val="nil"/>
                  </w:tcBorders>
                  <w:vAlign w:val="center"/>
                </w:tcPr>
                <w:p w14:paraId="358B56C9">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1、园区应设立环境应急管理机构，建立环境风险监管制度、环境风险预警制度、突发环境事件应急预案、环境风险应急保障制度等环境风险防控体系，并具备环境风险应急救援能力。</w:t>
                  </w:r>
                </w:p>
              </w:tc>
              <w:tc>
                <w:tcPr>
                  <w:tcW w:w="2488" w:type="dxa"/>
                  <w:tcBorders>
                    <w:tl2br w:val="nil"/>
                    <w:tr2bl w:val="nil"/>
                  </w:tcBorders>
                  <w:vAlign w:val="center"/>
                </w:tcPr>
                <w:p w14:paraId="56644E52">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w:t>
                  </w:r>
                  <w:r>
                    <w:rPr>
                      <w:rFonts w:hint="eastAsia" w:cs="Times New Roman"/>
                      <w:color w:val="auto"/>
                      <w:kern w:val="2"/>
                      <w:sz w:val="21"/>
                      <w:szCs w:val="24"/>
                      <w:vertAlign w:val="baseline"/>
                      <w:lang w:val="en-US" w:eastAsia="zh-CN" w:bidi="ar-SA"/>
                    </w:rPr>
                    <w:t>建设完成</w:t>
                  </w:r>
                  <w:r>
                    <w:rPr>
                      <w:rFonts w:hint="eastAsia" w:ascii="Times New Roman" w:hAnsi="Times New Roman" w:eastAsia="宋体" w:cs="Times New Roman"/>
                      <w:color w:val="auto"/>
                      <w:kern w:val="2"/>
                      <w:sz w:val="21"/>
                      <w:szCs w:val="24"/>
                      <w:vertAlign w:val="baseline"/>
                      <w:lang w:val="en-US" w:eastAsia="zh-CN" w:bidi="ar-SA"/>
                    </w:rPr>
                    <w:t>后应及时</w:t>
                  </w:r>
                  <w:r>
                    <w:rPr>
                      <w:rFonts w:hint="eastAsia" w:cs="Times New Roman"/>
                      <w:color w:val="auto"/>
                      <w:kern w:val="2"/>
                      <w:sz w:val="21"/>
                      <w:szCs w:val="24"/>
                      <w:vertAlign w:val="baseline"/>
                      <w:lang w:val="en-US" w:eastAsia="zh-CN" w:bidi="ar-SA"/>
                    </w:rPr>
                    <w:t>编制</w:t>
                  </w:r>
                  <w:r>
                    <w:rPr>
                      <w:rFonts w:hint="default" w:ascii="Times New Roman" w:hAnsi="Times New Roman" w:eastAsia="宋体" w:cs="Times New Roman"/>
                      <w:color w:val="auto"/>
                      <w:kern w:val="2"/>
                      <w:sz w:val="21"/>
                      <w:szCs w:val="24"/>
                      <w:vertAlign w:val="baseline"/>
                      <w:lang w:val="en-US" w:eastAsia="zh-CN" w:bidi="ar-SA"/>
                    </w:rPr>
                    <w:t>突发事件环境应急预案并定期演练</w:t>
                  </w:r>
                  <w:r>
                    <w:rPr>
                      <w:rFonts w:hint="eastAsia" w:cs="Times New Roman"/>
                      <w:color w:val="auto"/>
                      <w:kern w:val="2"/>
                      <w:sz w:val="21"/>
                      <w:szCs w:val="24"/>
                      <w:vertAlign w:val="baseline"/>
                      <w:lang w:val="en-US" w:eastAsia="zh-CN" w:bidi="ar-SA"/>
                    </w:rPr>
                    <w:t>。</w:t>
                  </w:r>
                </w:p>
              </w:tc>
            </w:tr>
            <w:tr w14:paraId="28101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tcBorders>
                    <w:tl2br w:val="nil"/>
                    <w:tr2bl w:val="nil"/>
                  </w:tcBorders>
                  <w:vAlign w:val="center"/>
                </w:tcPr>
                <w:p w14:paraId="09A41F63">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540" w:type="dxa"/>
                  <w:vMerge w:val="continue"/>
                  <w:tcBorders>
                    <w:tl2br w:val="nil"/>
                    <w:tr2bl w:val="nil"/>
                  </w:tcBorders>
                  <w:vAlign w:val="center"/>
                </w:tcPr>
                <w:p w14:paraId="559D8DEB">
                  <w:pPr>
                    <w:widowControl w:val="0"/>
                    <w:overflowPunct w:val="0"/>
                    <w:autoSpaceDE w:val="0"/>
                    <w:autoSpaceDN w:val="0"/>
                    <w:adjustRightInd w:val="0"/>
                    <w:snapToGrid w:val="0"/>
                    <w:spacing w:line="360" w:lineRule="atLeast"/>
                    <w:ind w:left="0" w:firstLine="0" w:firstLineChars="0"/>
                    <w:jc w:val="center"/>
                    <w:rPr>
                      <w:rFonts w:hint="eastAsia" w:ascii="Times New Roman" w:hAnsi="Times New Roman" w:eastAsia="宋体" w:cs="Times New Roman"/>
                      <w:color w:val="auto"/>
                      <w:kern w:val="2"/>
                      <w:sz w:val="21"/>
                      <w:szCs w:val="24"/>
                      <w:vertAlign w:val="baseline"/>
                      <w:lang w:val="en-US" w:eastAsia="zh-CN" w:bidi="ar-SA"/>
                    </w:rPr>
                  </w:pPr>
                </w:p>
              </w:tc>
              <w:tc>
                <w:tcPr>
                  <w:tcW w:w="855" w:type="dxa"/>
                  <w:tcBorders>
                    <w:tl2br w:val="nil"/>
                    <w:tr2bl w:val="nil"/>
                  </w:tcBorders>
                  <w:vAlign w:val="center"/>
                </w:tcPr>
                <w:p w14:paraId="56B0E03A">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资源利用效率</w:t>
                  </w:r>
                </w:p>
              </w:tc>
              <w:tc>
                <w:tcPr>
                  <w:tcW w:w="2745" w:type="dxa"/>
                  <w:tcBorders>
                    <w:tl2br w:val="nil"/>
                    <w:tr2bl w:val="nil"/>
                  </w:tcBorders>
                  <w:vAlign w:val="center"/>
                </w:tcPr>
                <w:p w14:paraId="0AA41C0E">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1、严守水资源开发利用控制、用水效率控制和水功能区限制纳污</w:t>
                  </w:r>
                  <w:r>
                    <w:rPr>
                      <w:rFonts w:hint="eastAsia"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三条红线</w:t>
                  </w:r>
                  <w:r>
                    <w:rPr>
                      <w:rFonts w:hint="eastAsia"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，严格实行区域用水总量和强度控制，强化用水定额管理。</w:t>
                  </w:r>
                </w:p>
                <w:p w14:paraId="23A2163B">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2、推行清洁生产、降低生产水耗、从源头上控制污染物的产生。</w:t>
                  </w:r>
                </w:p>
                <w:p w14:paraId="69564F62">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t>3、加强能耗</w:t>
                  </w:r>
                  <w:r>
                    <w:rPr>
                      <w:rFonts w:hint="eastAsia"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双控</w:t>
                  </w:r>
                  <w:r>
                    <w:rPr>
                      <w:rFonts w:hint="eastAsia" w:cs="Times New Roman"/>
                      <w:color w:val="auto"/>
                      <w:kern w:val="2"/>
                      <w:sz w:val="21"/>
                      <w:szCs w:val="24"/>
                      <w:vertAlign w:val="baseline"/>
                      <w:lang w:val="en-US" w:eastAsia="zh-CN" w:bidi="ar-SA"/>
                    </w:rPr>
                    <w:t>”</w:t>
                  </w:r>
                  <w:r>
                    <w:rPr>
                      <w:rFonts w:hint="default" w:ascii="Times New Roman" w:hAnsi="Times New Roman" w:eastAsia="宋体" w:cs="Times New Roman"/>
                      <w:color w:val="auto"/>
                      <w:kern w:val="2"/>
                      <w:sz w:val="21"/>
                      <w:szCs w:val="24"/>
                      <w:vertAlign w:val="baseline"/>
                      <w:lang w:val="en-US" w:eastAsia="zh-CN" w:bidi="ar-SA"/>
                    </w:rPr>
                    <w:t>管理，优化能源消费结构。严格合理控制煤炭消费增长，精准测算原料煤、动力煤，新增原料用能不纳入能源消费总量控制。</w:t>
                  </w:r>
                </w:p>
              </w:tc>
              <w:tc>
                <w:tcPr>
                  <w:tcW w:w="2488" w:type="dxa"/>
                  <w:tcBorders>
                    <w:tl2br w:val="nil"/>
                    <w:tr2bl w:val="nil"/>
                  </w:tcBorders>
                  <w:vAlign w:val="center"/>
                </w:tcPr>
                <w:p w14:paraId="79235234">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本项目落实</w:t>
                  </w:r>
                  <w:r>
                    <w:rPr>
                      <w:rFonts w:hint="default" w:ascii="Times New Roman" w:hAnsi="Times New Roman" w:eastAsia="宋体" w:cs="Times New Roman"/>
                      <w:color w:val="auto"/>
                      <w:kern w:val="2"/>
                      <w:sz w:val="21"/>
                      <w:szCs w:val="24"/>
                      <w:vertAlign w:val="baseline"/>
                      <w:lang w:val="en-US" w:eastAsia="zh-CN" w:bidi="ar-SA"/>
                    </w:rPr>
                    <w:t>自治区、乌昌石片区总体准入要求中关于重点管控单元资源利用效率的准入要求</w:t>
                  </w:r>
                  <w:r>
                    <w:rPr>
                      <w:rFonts w:hint="eastAsia" w:ascii="Times New Roman" w:hAnsi="Times New Roman" w:eastAsia="宋体" w:cs="Times New Roman"/>
                      <w:color w:val="auto"/>
                      <w:kern w:val="2"/>
                      <w:sz w:val="21"/>
                      <w:szCs w:val="24"/>
                      <w:vertAlign w:val="baseline"/>
                      <w:lang w:val="en-US" w:eastAsia="zh-CN" w:bidi="ar-SA"/>
                    </w:rPr>
                    <w:t>，本项目</w:t>
                  </w:r>
                  <w:r>
                    <w:rPr>
                      <w:rFonts w:hint="eastAsia" w:cs="Times New Roman"/>
                      <w:color w:val="auto"/>
                      <w:kern w:val="2"/>
                      <w:sz w:val="21"/>
                      <w:szCs w:val="24"/>
                      <w:vertAlign w:val="baseline"/>
                      <w:lang w:val="en-US" w:eastAsia="zh-CN" w:bidi="ar-SA"/>
                    </w:rPr>
                    <w:t>生产不涉及用水，不会突破水资源上限。本项目</w:t>
                  </w:r>
                  <w:r>
                    <w:rPr>
                      <w:rFonts w:hint="eastAsia" w:ascii="Times New Roman" w:hAnsi="Times New Roman" w:eastAsia="宋体" w:cs="Times New Roman"/>
                      <w:color w:val="auto"/>
                      <w:kern w:val="2"/>
                      <w:sz w:val="21"/>
                      <w:szCs w:val="24"/>
                      <w:vertAlign w:val="baseline"/>
                      <w:lang w:val="en-US" w:eastAsia="zh-CN" w:bidi="ar-SA"/>
                    </w:rPr>
                    <w:t>生产不使用化石燃料。</w:t>
                  </w:r>
                </w:p>
              </w:tc>
            </w:tr>
          </w:tbl>
          <w:p w14:paraId="3DC6E837">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由上述分析结果可知，本项目符合《关于发布昌吉回族自治州生态环境分区管控动态更新成果的公告》的要求。</w:t>
            </w:r>
          </w:p>
          <w:p w14:paraId="27D3008F">
            <w:pPr>
              <w:overflowPunct w:val="0"/>
              <w:autoSpaceDE w:val="0"/>
              <w:autoSpaceDN w:val="0"/>
              <w:adjustRightInd w:val="0"/>
              <w:snapToGrid w:val="0"/>
              <w:spacing w:before="0" w:after="0" w:line="360" w:lineRule="auto"/>
              <w:ind w:left="0" w:right="0" w:firstLine="480" w:firstLineChars="200"/>
              <w:jc w:val="left"/>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（3）《新疆维吾尔自治区七大片区“三线一单”生态环境分区管控要求》（2021年版）符合性分析</w:t>
            </w:r>
          </w:p>
          <w:p w14:paraId="043404A7">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eastAsia" w:eastAsia="宋体" w:cs="宋体"/>
                <w:color w:val="auto"/>
                <w:lang w:val="en-US" w:eastAsia="zh-CN"/>
              </w:rPr>
            </w:pPr>
            <w:r>
              <w:rPr>
                <w:rFonts w:hint="eastAsia" w:eastAsia="宋体" w:cs="宋体"/>
                <w:color w:val="auto"/>
                <w:lang w:val="en-US" w:eastAsia="zh-CN"/>
              </w:rPr>
              <w:t>按照《新疆维吾尔自治区“三线一单”生态环境分区管控方案》，全区划分为七大片区，包括北疆北部（塔城地区、阿勒泰地区）、伊犁河谷、克奎</w:t>
            </w:r>
            <w:r>
              <w:rPr>
                <w:rFonts w:hint="eastAsia" w:cs="宋体"/>
                <w:color w:val="auto"/>
                <w:lang w:val="en-US" w:eastAsia="zh-CN"/>
              </w:rPr>
              <w:t>乌</w:t>
            </w:r>
            <w:r>
              <w:rPr>
                <w:rFonts w:hint="eastAsia" w:eastAsia="宋体" w:cs="宋体"/>
                <w:color w:val="auto"/>
                <w:lang w:val="en-US" w:eastAsia="zh-CN"/>
              </w:rPr>
              <w:t>-博州、乌昌石、吐哈、天山南坡（巴州、阿克苏地区）和南疆三地州片区，新疆维吾尔自治区生态环境厅制定《新疆维吾尔自治区七大片区“三线一单”生态环境分区管控要求》。本项目位于乌昌石片区，本项目在七大片区范围图位置见图1.</w:t>
            </w:r>
            <w:r>
              <w:rPr>
                <w:rFonts w:hint="eastAsia" w:cs="宋体"/>
                <w:color w:val="auto"/>
                <w:lang w:val="en-US" w:eastAsia="zh-CN"/>
              </w:rPr>
              <w:t>3</w:t>
            </w:r>
            <w:r>
              <w:rPr>
                <w:rFonts w:hint="eastAsia" w:eastAsia="宋体" w:cs="宋体"/>
                <w:color w:val="auto"/>
                <w:lang w:val="en-US" w:eastAsia="zh-CN"/>
              </w:rPr>
              <w:t>-</w:t>
            </w:r>
            <w:r>
              <w:rPr>
                <w:rFonts w:hint="eastAsia" w:cs="宋体"/>
                <w:color w:val="auto"/>
                <w:lang w:val="en-US" w:eastAsia="zh-CN"/>
              </w:rPr>
              <w:t>3</w:t>
            </w:r>
            <w:r>
              <w:rPr>
                <w:rFonts w:hint="eastAsia" w:eastAsia="宋体" w:cs="宋体"/>
                <w:color w:val="auto"/>
                <w:lang w:val="en-US" w:eastAsia="zh-CN"/>
              </w:rPr>
              <w:t>。</w:t>
            </w:r>
          </w:p>
          <w:p w14:paraId="07BC341A">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color w:val="auto"/>
                <w:lang w:val="en-US" w:eastAsia="zh-CN"/>
              </w:rPr>
            </w:pPr>
            <w:r>
              <w:rPr>
                <w:rFonts w:hint="default" w:eastAsia="宋体" w:cs="宋体"/>
                <w:color w:val="auto"/>
                <w:lang w:val="en-US" w:eastAsia="zh-CN"/>
              </w:rPr>
              <w:t>乌昌石片区包括乌鲁木齐市、昌吉回族自治州和沙湾市。除国家规划项目外，乌鲁木齐市七区一县、昌吉市、阜康市、玛纳斯县、呼图壁县、沙湾市建成区及周边敏感区域内不再布局建设煤化工、电解铝、燃煤纯发电机组、金属硅、碳化硅、聚氯乙烯（电石法</w:t>
            </w:r>
            <w:r>
              <w:rPr>
                <w:rFonts w:hint="eastAsia" w:eastAsia="宋体" w:cs="宋体"/>
                <w:color w:val="auto"/>
                <w:lang w:val="en-US" w:eastAsia="zh-CN"/>
              </w:rPr>
              <w:t>）</w:t>
            </w:r>
            <w:r>
              <w:rPr>
                <w:rFonts w:hint="default" w:eastAsia="宋体" w:cs="宋体"/>
                <w:color w:val="auto"/>
                <w:lang w:val="en-US" w:eastAsia="zh-CN"/>
              </w:rPr>
              <w:t>、焦炭（含半焦）等新增产能项目。具备风光电清洁供暖建设条件的区域原则上不新批热电联产项目。坚持属地负责与区域大气污染联防联控相结合，以明显降低细颗粒物浓度为重点，协同推进</w:t>
            </w:r>
            <w:r>
              <w:rPr>
                <w:rFonts w:hint="eastAsia" w:eastAsia="宋体" w:cs="宋体"/>
                <w:color w:val="auto"/>
                <w:lang w:val="en-US" w:eastAsia="zh-CN"/>
              </w:rPr>
              <w:t>“乌</w:t>
            </w:r>
            <w:r>
              <w:rPr>
                <w:rFonts w:hint="default" w:eastAsia="宋体" w:cs="宋体"/>
                <w:color w:val="auto"/>
                <w:lang w:val="en-US" w:eastAsia="zh-CN"/>
              </w:rPr>
              <w:t>-昌-石</w:t>
            </w:r>
            <w:r>
              <w:rPr>
                <w:rFonts w:hint="eastAsia" w:eastAsia="宋体" w:cs="宋体"/>
                <w:color w:val="auto"/>
                <w:lang w:val="en-US" w:eastAsia="zh-CN"/>
              </w:rPr>
              <w:t>”</w:t>
            </w:r>
            <w:r>
              <w:rPr>
                <w:rFonts w:hint="default" w:eastAsia="宋体" w:cs="宋体"/>
                <w:color w:val="auto"/>
                <w:lang w:val="en-US" w:eastAsia="zh-CN"/>
              </w:rPr>
              <w:t>同防同治区域大气环境治理。强化与生产建设兵团第六师、第八师、第十一师、第十二师的同防同治，所有新建、改建、扩建工业项目执行最严格的大气污染物排放标准</w:t>
            </w:r>
            <w:r>
              <w:rPr>
                <w:rFonts w:hint="eastAsia" w:eastAsia="宋体" w:cs="宋体"/>
                <w:color w:val="auto"/>
                <w:lang w:val="en-US" w:eastAsia="zh-CN"/>
              </w:rPr>
              <w:t>，</w:t>
            </w:r>
            <w:r>
              <w:rPr>
                <w:rFonts w:hint="default" w:eastAsia="宋体" w:cs="宋体"/>
                <w:color w:val="auto"/>
                <w:lang w:val="en-US" w:eastAsia="zh-CN"/>
              </w:rPr>
              <w:t>强化氮氧化物深度治理</w:t>
            </w:r>
            <w:r>
              <w:rPr>
                <w:rFonts w:hint="eastAsia" w:eastAsia="宋体" w:cs="宋体"/>
                <w:color w:val="auto"/>
                <w:lang w:val="en-US" w:eastAsia="zh-CN"/>
              </w:rPr>
              <w:t>，</w:t>
            </w:r>
            <w:r>
              <w:rPr>
                <w:rFonts w:hint="default" w:eastAsia="宋体" w:cs="宋体"/>
                <w:color w:val="auto"/>
                <w:lang w:val="en-US" w:eastAsia="zh-CN"/>
              </w:rPr>
              <w:t>确保区域环境空气质量持续改善。</w:t>
            </w:r>
          </w:p>
          <w:p w14:paraId="3E689840">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color w:val="auto"/>
                <w:lang w:val="en-US" w:eastAsia="zh-CN"/>
              </w:rPr>
            </w:pPr>
            <w:r>
              <w:rPr>
                <w:rFonts w:hint="default" w:eastAsia="宋体" w:cs="宋体"/>
                <w:color w:val="auto"/>
                <w:lang w:val="en-US" w:eastAsia="zh-CN"/>
              </w:rPr>
              <w:t>强化挥发性有机物污染防治措施。推广使用低挥发性有机物原辅料，推动有条件的园区（工业集聚区）建设集中喷涂工程中心，配备高效治污设施，替代企业独立喷涂工序。</w:t>
            </w:r>
          </w:p>
          <w:p w14:paraId="2E2FBFD8">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color w:val="auto"/>
                <w:lang w:val="en-US" w:eastAsia="zh-CN"/>
              </w:rPr>
            </w:pPr>
            <w:r>
              <w:rPr>
                <w:rFonts w:hint="default" w:eastAsia="宋体" w:cs="宋体"/>
                <w:color w:val="auto"/>
                <w:lang w:val="en-US" w:eastAsia="zh-CN"/>
              </w:rPr>
              <w:t>强化企业清洁生产改造，推进节水型企业、节水型工业园区建设，提高资源集约节约利用水平。积极推进地下水超采治理，逐步压减地下水超采量，实现地下水采补平衡。</w:t>
            </w:r>
          </w:p>
          <w:p w14:paraId="68E5C7A7">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color w:val="auto"/>
                <w:lang w:val="en-US" w:eastAsia="zh-CN"/>
              </w:rPr>
            </w:pPr>
            <w:r>
              <w:rPr>
                <w:rFonts w:hint="default" w:eastAsia="宋体" w:cs="宋体"/>
                <w:color w:val="auto"/>
                <w:lang w:val="en-US" w:eastAsia="zh-CN"/>
              </w:rPr>
              <w:t>强化油（气）资源开发区土壤环境污染综合整治。加强涉重金属行业污染防控与工业废物处理处置。</w:t>
            </w:r>
          </w:p>
          <w:p w14:paraId="1ACE0BC1">
            <w:pPr>
              <w:keepNext w:val="0"/>
              <w:keepLines w:val="0"/>
              <w:pageBreakBefore w:val="0"/>
              <w:widowControl w:val="0"/>
              <w:kinsoku/>
              <w:wordWrap/>
              <w:overflowPunct/>
              <w:topLinePunct w:val="0"/>
              <w:autoSpaceDE/>
              <w:autoSpaceDN/>
              <w:bidi w:val="0"/>
              <w:adjustRightInd/>
              <w:snapToGrid/>
              <w:spacing w:line="360" w:lineRule="auto"/>
              <w:ind w:firstLine="510"/>
              <w:jc w:val="left"/>
              <w:textAlignment w:val="auto"/>
              <w:rPr>
                <w:rFonts w:hint="default" w:eastAsia="宋体" w:cs="宋体"/>
                <w:color w:val="auto"/>
                <w:lang w:val="en-US" w:eastAsia="zh-CN"/>
              </w:rPr>
            </w:pPr>
            <w:r>
              <w:rPr>
                <w:rFonts w:hint="default" w:eastAsia="宋体" w:cs="宋体"/>
                <w:color w:val="auto"/>
                <w:lang w:val="en-US" w:eastAsia="zh-CN"/>
              </w:rPr>
              <w:t>煤炭、石油、天然气开发单位应当制定生态保护和恢复治理方案，并予以实施。生态保护和恢复治理方案内容应当向社会公布，接受社会监督。</w:t>
            </w:r>
          </w:p>
          <w:p w14:paraId="2CCBEF01">
            <w:pPr>
              <w:keepNext w:val="0"/>
              <w:keepLines w:val="0"/>
              <w:pageBreakBefore w:val="0"/>
              <w:widowControl w:val="0"/>
              <w:kinsoku/>
              <w:wordWrap/>
              <w:overflowPunct/>
              <w:topLinePunct w:val="0"/>
              <w:autoSpaceDE/>
              <w:autoSpaceDN/>
              <w:bidi w:val="0"/>
              <w:adjustRightInd/>
              <w:snapToGrid/>
              <w:spacing w:line="360" w:lineRule="auto"/>
              <w:ind w:firstLine="510"/>
              <w:jc w:val="both"/>
              <w:textAlignment w:val="auto"/>
              <w:rPr>
                <w:rFonts w:hint="default" w:ascii="Times New Roman" w:hAnsi="Times New Roman" w:eastAsia="宋体" w:cs="宋体"/>
                <w:color w:val="auto"/>
                <w:highlight w:val="none"/>
                <w:lang w:val="en-US" w:eastAsia="zh-CN"/>
              </w:rPr>
            </w:pPr>
            <w:r>
              <w:rPr>
                <w:rFonts w:hint="eastAsia" w:eastAsia="宋体" w:cs="宋体"/>
                <w:color w:val="auto"/>
                <w:lang w:val="en-US" w:eastAsia="zh-CN"/>
              </w:rPr>
              <w:t>本项目位于苏通小微创业园</w:t>
            </w:r>
            <w:r>
              <w:rPr>
                <w:rFonts w:hint="eastAsia" w:cs="宋体"/>
                <w:color w:val="auto"/>
                <w:lang w:val="en-US" w:eastAsia="zh-CN"/>
              </w:rPr>
              <w:t>，</w:t>
            </w:r>
            <w:r>
              <w:rPr>
                <w:rFonts w:hint="eastAsia" w:eastAsia="宋体" w:cs="宋体"/>
                <w:color w:val="auto"/>
                <w:lang w:val="en-US" w:eastAsia="zh-CN"/>
              </w:rPr>
              <w:t>属于“乌-昌-石”联防联控区，本项目</w:t>
            </w:r>
            <w:r>
              <w:rPr>
                <w:rFonts w:hint="eastAsia" w:cs="宋体"/>
                <w:color w:val="auto"/>
                <w:lang w:val="en-US" w:eastAsia="zh-CN"/>
              </w:rPr>
              <w:t>生产</w:t>
            </w:r>
            <w:r>
              <w:rPr>
                <w:rFonts w:hint="eastAsia" w:eastAsia="宋体" w:cs="宋体"/>
                <w:color w:val="auto"/>
                <w:lang w:val="en-US" w:eastAsia="zh-CN"/>
              </w:rPr>
              <w:t>不涉及地下水</w:t>
            </w:r>
            <w:r>
              <w:rPr>
                <w:rFonts w:hint="eastAsia" w:cs="宋体"/>
                <w:color w:val="auto"/>
                <w:lang w:val="en-US" w:eastAsia="zh-CN"/>
              </w:rPr>
              <w:t>开采</w:t>
            </w:r>
            <w:r>
              <w:rPr>
                <w:rFonts w:hint="eastAsia" w:eastAsia="宋体" w:cs="宋体"/>
                <w:color w:val="auto"/>
                <w:lang w:val="en-US" w:eastAsia="zh-CN"/>
              </w:rPr>
              <w:t>，</w:t>
            </w:r>
            <w:r>
              <w:rPr>
                <w:rFonts w:hint="eastAsia" w:eastAsia="宋体" w:cs="宋体"/>
                <w:color w:val="auto"/>
                <w:highlight w:val="none"/>
                <w:lang w:val="en-US" w:eastAsia="zh-CN"/>
              </w:rPr>
              <w:t>项目用水</w:t>
            </w:r>
            <w:r>
              <w:rPr>
                <w:rFonts w:hint="eastAsia" w:cs="宋体"/>
                <w:color w:val="auto"/>
                <w:highlight w:val="none"/>
                <w:lang w:val="en-US" w:eastAsia="zh-CN"/>
              </w:rPr>
              <w:t>均</w:t>
            </w:r>
            <w:r>
              <w:rPr>
                <w:rFonts w:hint="eastAsia" w:eastAsia="宋体" w:cs="宋体"/>
                <w:color w:val="auto"/>
                <w:highlight w:val="none"/>
                <w:lang w:val="en-US" w:eastAsia="zh-CN"/>
              </w:rPr>
              <w:t>由</w:t>
            </w:r>
            <w:r>
              <w:rPr>
                <w:rFonts w:hint="eastAsia" w:cs="宋体"/>
                <w:color w:val="auto"/>
                <w:highlight w:val="none"/>
                <w:lang w:val="en-US" w:eastAsia="zh-CN"/>
              </w:rPr>
              <w:t>园区供水管网</w:t>
            </w:r>
            <w:r>
              <w:rPr>
                <w:rFonts w:hint="eastAsia" w:eastAsia="宋体" w:cs="宋体"/>
                <w:color w:val="auto"/>
                <w:highlight w:val="none"/>
                <w:lang w:val="en-US" w:eastAsia="zh-CN"/>
              </w:rPr>
              <w:t>提供</w:t>
            </w:r>
            <w:r>
              <w:rPr>
                <w:rFonts w:hint="eastAsia" w:cs="宋体"/>
                <w:color w:val="auto"/>
                <w:highlight w:val="none"/>
                <w:lang w:val="en-US" w:eastAsia="zh-CN"/>
              </w:rPr>
              <w:t>；本项目</w:t>
            </w:r>
            <w:r>
              <w:rPr>
                <w:rFonts w:hint="eastAsia" w:cs="宋体"/>
                <w:color w:val="auto"/>
                <w:lang w:val="en-US" w:eastAsia="zh-CN"/>
              </w:rPr>
              <w:t>不属于</w:t>
            </w:r>
            <w:r>
              <w:rPr>
                <w:rFonts w:hint="default" w:eastAsia="宋体" w:cs="宋体"/>
                <w:color w:val="auto"/>
                <w:lang w:val="en-US" w:eastAsia="zh-CN"/>
              </w:rPr>
              <w:t>煤化工、电解铝、燃煤纯发电机组、金属硅、碳化硅、聚氯乙烯（电石法</w:t>
            </w:r>
            <w:r>
              <w:rPr>
                <w:rFonts w:hint="eastAsia" w:eastAsia="宋体" w:cs="宋体"/>
                <w:color w:val="auto"/>
                <w:lang w:val="en-US" w:eastAsia="zh-CN"/>
              </w:rPr>
              <w:t>）</w:t>
            </w:r>
            <w:r>
              <w:rPr>
                <w:rFonts w:hint="default" w:eastAsia="宋体" w:cs="宋体"/>
                <w:color w:val="auto"/>
                <w:lang w:val="en-US" w:eastAsia="zh-CN"/>
              </w:rPr>
              <w:t>、焦炭（含半焦）等新增产能项目</w:t>
            </w:r>
            <w:r>
              <w:rPr>
                <w:rFonts w:hint="eastAsia" w:eastAsia="宋体" w:cs="宋体"/>
                <w:color w:val="auto"/>
                <w:lang w:val="en-US" w:eastAsia="zh-CN"/>
              </w:rPr>
              <w:t>，不属于油气资源开发项目，</w:t>
            </w:r>
            <w:r>
              <w:rPr>
                <w:rFonts w:hint="eastAsia" w:eastAsia="宋体" w:cs="宋体"/>
                <w:color w:val="auto"/>
                <w:highlight w:val="none"/>
                <w:lang w:val="en-US" w:eastAsia="zh-CN"/>
              </w:rPr>
              <w:t>本项目</w:t>
            </w:r>
            <w:r>
              <w:rPr>
                <w:rFonts w:hint="eastAsia" w:ascii="Times New Roman" w:hAnsi="Times New Roman" w:eastAsia="宋体" w:cs="宋体"/>
                <w:color w:val="auto"/>
                <w:highlight w:val="none"/>
              </w:rPr>
              <w:t>运营期</w:t>
            </w:r>
            <w:r>
              <w:rPr>
                <w:rFonts w:hint="eastAsia" w:cs="宋体"/>
                <w:color w:val="auto"/>
                <w:highlight w:val="none"/>
                <w:lang w:val="en-US" w:eastAsia="zh-CN"/>
              </w:rPr>
              <w:t>产生的颗粒物</w:t>
            </w:r>
            <w:r>
              <w:rPr>
                <w:rFonts w:hint="eastAsia" w:ascii="Times New Roman" w:hAnsi="Times New Roman" w:eastAsia="宋体" w:cs="宋体"/>
                <w:color w:val="auto"/>
                <w:highlight w:val="none"/>
                <w:lang w:val="en-US" w:eastAsia="zh-CN"/>
              </w:rPr>
              <w:t>设置集气罩收集后</w:t>
            </w:r>
            <w:r>
              <w:rPr>
                <w:rFonts w:hint="eastAsia" w:eastAsia="宋体" w:cs="宋体"/>
                <w:color w:val="auto"/>
                <w:highlight w:val="none"/>
                <w:lang w:val="en-US" w:eastAsia="zh-CN"/>
              </w:rPr>
              <w:t>，</w:t>
            </w:r>
            <w:r>
              <w:rPr>
                <w:rFonts w:hint="eastAsia" w:cs="宋体"/>
                <w:color w:val="auto"/>
                <w:highlight w:val="none"/>
                <w:lang w:val="en-US" w:eastAsia="zh-CN"/>
              </w:rPr>
              <w:t>经</w:t>
            </w:r>
            <w:r>
              <w:rPr>
                <w:rFonts w:hint="eastAsia" w:eastAsia="宋体" w:cs="宋体"/>
                <w:color w:val="auto"/>
                <w:highlight w:val="none"/>
                <w:lang w:val="en-US" w:eastAsia="zh-CN"/>
              </w:rPr>
              <w:t>“</w:t>
            </w:r>
            <w:r>
              <w:rPr>
                <w:rFonts w:hint="eastAsia" w:cs="宋体"/>
                <w:color w:val="auto"/>
                <w:highlight w:val="none"/>
                <w:lang w:val="en-US" w:eastAsia="zh-CN"/>
              </w:rPr>
              <w:t>布袋除尘器</w:t>
            </w:r>
            <w:r>
              <w:rPr>
                <w:rFonts w:hint="eastAsia" w:eastAsia="宋体" w:cs="宋体"/>
                <w:color w:val="auto"/>
                <w:highlight w:val="none"/>
                <w:lang w:val="en-US" w:eastAsia="zh-CN"/>
              </w:rPr>
              <w:t>+15m高排气筒”</w:t>
            </w:r>
            <w:r>
              <w:rPr>
                <w:rFonts w:hint="eastAsia" w:cs="宋体"/>
                <w:color w:val="auto"/>
                <w:highlight w:val="none"/>
                <w:lang w:val="en-US" w:eastAsia="zh-CN"/>
              </w:rPr>
              <w:t>处理</w:t>
            </w:r>
            <w:r>
              <w:rPr>
                <w:rFonts w:hint="eastAsia" w:cs="宋体"/>
                <w:color w:val="auto"/>
                <w:highlight w:val="none"/>
                <w:lang w:eastAsia="zh-CN"/>
              </w:rPr>
              <w:t>；</w:t>
            </w:r>
            <w:r>
              <w:rPr>
                <w:rFonts w:hint="eastAsia" w:cs="宋体"/>
                <w:color w:val="auto"/>
                <w:highlight w:val="none"/>
                <w:lang w:val="en-US" w:eastAsia="zh-CN"/>
              </w:rPr>
              <w:t>少量无组织废气通过加强封闭式作业控制</w:t>
            </w:r>
            <w:r>
              <w:rPr>
                <w:rFonts w:hint="eastAsia" w:ascii="Times New Roman" w:hAnsi="Times New Roman" w:eastAsia="宋体" w:cs="宋体"/>
                <w:color w:val="auto"/>
                <w:highlight w:val="none"/>
                <w:lang w:eastAsia="zh-CN"/>
              </w:rPr>
              <w:t>，</w:t>
            </w:r>
            <w:r>
              <w:rPr>
                <w:rFonts w:hint="eastAsia" w:cs="宋体"/>
                <w:snapToGrid w:val="0"/>
                <w:color w:val="auto"/>
                <w:sz w:val="24"/>
                <w:szCs w:val="21"/>
                <w:highlight w:val="none"/>
                <w:lang w:val="en-US" w:eastAsia="zh-CN" w:bidi="ar-SA"/>
              </w:rPr>
              <w:t>有组织</w:t>
            </w:r>
            <w:r>
              <w:rPr>
                <w:rFonts w:hint="eastAsia" w:cs="宋体"/>
                <w:color w:val="auto"/>
                <w:highlight w:val="none"/>
                <w:lang w:val="en-US" w:eastAsia="zh-CN"/>
              </w:rPr>
              <w:t>颗粒物</w:t>
            </w:r>
            <w:r>
              <w:rPr>
                <w:rFonts w:hint="eastAsia" w:cs="宋体"/>
                <w:snapToGrid w:val="0"/>
                <w:color w:val="auto"/>
                <w:sz w:val="24"/>
                <w:szCs w:val="21"/>
                <w:highlight w:val="none"/>
                <w:lang w:val="en-US" w:eastAsia="zh-CN" w:bidi="ar-SA"/>
              </w:rPr>
              <w:t>以及厂界无组织</w:t>
            </w:r>
            <w:r>
              <w:rPr>
                <w:rFonts w:hint="eastAsia" w:cs="宋体"/>
                <w:color w:val="auto"/>
                <w:highlight w:val="none"/>
                <w:lang w:val="en-US" w:eastAsia="zh-CN"/>
              </w:rPr>
              <w:t>颗粒物</w:t>
            </w:r>
            <w:r>
              <w:rPr>
                <w:rFonts w:hint="eastAsia" w:ascii="Times New Roman" w:hAnsi="Times New Roman" w:eastAsia="宋体" w:cs="宋体"/>
                <w:color w:val="auto"/>
                <w:highlight w:val="none"/>
                <w:lang w:val="en-US" w:eastAsia="zh-CN"/>
              </w:rPr>
              <w:t>均</w:t>
            </w:r>
            <w:r>
              <w:rPr>
                <w:rFonts w:hint="eastAsia" w:cs="宋体"/>
                <w:color w:val="auto"/>
                <w:highlight w:val="none"/>
                <w:lang w:val="en-US" w:eastAsia="zh-CN"/>
              </w:rPr>
              <w:t>满足《水泥工业大气污染物排放标准》(GB 4915-2013 ）标准限值。</w:t>
            </w:r>
            <w:r>
              <w:rPr>
                <w:rFonts w:hint="eastAsia" w:eastAsia="宋体" w:cs="宋体"/>
                <w:color w:val="auto"/>
                <w:highlight w:val="none"/>
                <w:lang w:val="en-US" w:eastAsia="zh-CN"/>
              </w:rPr>
              <w:t>因此本项目符合《新疆维吾尔自治区七大片区“三线一单”生态环境分区管控要求》（2021年版）乌昌石片区管控要求</w:t>
            </w:r>
            <w:r>
              <w:rPr>
                <w:rFonts w:hint="eastAsia" w:ascii="Times New Roman" w:hAnsi="Times New Roman" w:eastAsia="宋体" w:cs="宋体"/>
                <w:color w:val="auto"/>
                <w:highlight w:val="none"/>
                <w:lang w:val="en-US" w:eastAsia="zh-CN"/>
              </w:rPr>
              <w:t>。</w:t>
            </w:r>
          </w:p>
          <w:p w14:paraId="64C79A89">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3、</w:t>
            </w:r>
            <w:r>
              <w:rPr>
                <w:rFonts w:hint="eastAsia" w:ascii="Times New Roman" w:hAnsi="Times New Roman" w:eastAsia="宋体" w:cs="黑体"/>
                <w:b/>
                <w:color w:val="auto"/>
                <w:sz w:val="28"/>
                <w:szCs w:val="30"/>
                <w:lang w:val="en-US" w:eastAsia="zh-CN" w:bidi="ar-SA"/>
              </w:rPr>
              <w:t>选址符合性</w:t>
            </w:r>
          </w:p>
          <w:p w14:paraId="70C4161C">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（1）选址合理性</w:t>
            </w:r>
          </w:p>
          <w:p w14:paraId="0EE59D3A">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宋体"/>
                <w:color w:val="auto"/>
                <w:lang w:val="en-US" w:eastAsia="zh-CN"/>
              </w:rPr>
              <w:t>本项目选址位于</w:t>
            </w:r>
            <w:r>
              <w:rPr>
                <w:rFonts w:hint="eastAsia"/>
                <w:color w:val="auto"/>
                <w:sz w:val="24"/>
                <w:szCs w:val="24"/>
                <w:lang w:eastAsia="zh-CN"/>
              </w:rPr>
              <w:t>苏通小微创业园</w:t>
            </w:r>
            <w:r>
              <w:rPr>
                <w:rFonts w:hint="eastAsia"/>
                <w:color w:val="auto"/>
                <w:sz w:val="24"/>
                <w:szCs w:val="24"/>
                <w:lang w:val="en-US" w:eastAsia="zh-CN"/>
              </w:rPr>
              <w:t>新疆东方启辰工贸有限公司院内</w:t>
            </w:r>
            <w:r>
              <w:rPr>
                <w:rFonts w:hint="eastAsia" w:cs="Times New Roman"/>
                <w:color w:val="auto"/>
                <w:sz w:val="24"/>
                <w:szCs w:val="24"/>
                <w:lang w:val="en-US" w:eastAsia="zh-CN" w:bidi="ar-SA"/>
              </w:rPr>
              <w:t>现有车间</w:t>
            </w:r>
            <w:r>
              <w:rPr>
                <w:rFonts w:hint="eastAsia" w:ascii="Times New Roman" w:hAnsi="Times New Roman" w:eastAsia="宋体" w:cs="Times New Roman"/>
                <w:color w:val="auto"/>
                <w:sz w:val="24"/>
                <w:szCs w:val="24"/>
                <w:lang w:val="en-US" w:eastAsia="zh-CN" w:bidi="ar-SA"/>
              </w:rPr>
              <w:t>，</w:t>
            </w:r>
            <w:r>
              <w:rPr>
                <w:rFonts w:hint="eastAsia" w:cs="Times New Roman"/>
                <w:color w:val="auto"/>
                <w:sz w:val="24"/>
                <w:szCs w:val="24"/>
                <w:lang w:val="en-US" w:eastAsia="zh-CN" w:bidi="ar-SA"/>
              </w:rPr>
              <w:t>车间占地</w:t>
            </w:r>
            <w:r>
              <w:rPr>
                <w:rFonts w:hint="eastAsia" w:ascii="Times New Roman" w:hAnsi="Times New Roman" w:eastAsia="宋体" w:cs="宋体"/>
                <w:color w:val="auto"/>
                <w:highlight w:val="none"/>
                <w:lang w:val="en-US" w:eastAsia="zh-CN"/>
              </w:rPr>
              <w:t>面积为</w:t>
            </w:r>
            <w:r>
              <w:rPr>
                <w:rFonts w:hint="eastAsia" w:cs="宋体"/>
                <w:color w:val="auto"/>
                <w:highlight w:val="none"/>
                <w:lang w:val="en-US" w:eastAsia="zh-CN"/>
              </w:rPr>
              <w:t>3900</w:t>
            </w:r>
            <w:r>
              <w:rPr>
                <w:rFonts w:hint="eastAsia" w:ascii="Times New Roman" w:hAnsi="Times New Roman" w:eastAsia="宋体" w:cs="宋体"/>
                <w:color w:val="auto"/>
                <w:highlight w:val="none"/>
                <w:lang w:val="en-US" w:eastAsia="zh-CN"/>
              </w:rPr>
              <w:t>m</w:t>
            </w:r>
            <w:r>
              <w:rPr>
                <w:rFonts w:hint="eastAsia" w:ascii="Times New Roman" w:hAnsi="Times New Roman" w:eastAsia="宋体" w:cs="宋体"/>
                <w:color w:val="auto"/>
                <w:highlight w:val="none"/>
                <w:vertAlign w:val="superscript"/>
                <w:lang w:val="en-US" w:eastAsia="zh-CN"/>
              </w:rPr>
              <w:t>2</w:t>
            </w:r>
            <w:r>
              <w:rPr>
                <w:rFonts w:hint="eastAsia" w:ascii="Times New Roman" w:hAnsi="Times New Roman" w:eastAsia="宋体" w:cs="宋体"/>
                <w:color w:val="auto"/>
                <w:highlight w:val="none"/>
                <w:lang w:val="en-US" w:eastAsia="zh-CN"/>
              </w:rPr>
              <w:t>。</w:t>
            </w:r>
            <w:r>
              <w:rPr>
                <w:rFonts w:hint="eastAsia" w:ascii="Times New Roman" w:hAnsi="Times New Roman" w:eastAsia="宋体" w:cs="Times New Roman"/>
                <w:color w:val="auto"/>
                <w:sz w:val="24"/>
                <w:szCs w:val="24"/>
                <w:highlight w:val="none"/>
                <w:shd w:val="clear" w:color="auto" w:fill="FFFFFF"/>
                <w:lang w:val="en-US" w:eastAsia="zh-CN" w:bidi="ar-SA"/>
              </w:rPr>
              <w:t>根据《甘泉堡工业园总体规划（2016</w:t>
            </w:r>
            <w:r>
              <w:rPr>
                <w:rFonts w:hint="eastAsia" w:cs="Times New Roman"/>
                <w:color w:val="auto"/>
                <w:sz w:val="24"/>
                <w:szCs w:val="24"/>
                <w:highlight w:val="none"/>
                <w:shd w:val="clear" w:color="auto" w:fill="FFFFFF"/>
                <w:lang w:val="en-US" w:eastAsia="zh-CN" w:bidi="ar-SA"/>
              </w:rPr>
              <w:t>—</w:t>
            </w:r>
            <w:r>
              <w:rPr>
                <w:rFonts w:hint="eastAsia" w:ascii="Times New Roman" w:hAnsi="Times New Roman" w:eastAsia="宋体" w:cs="Times New Roman"/>
                <w:color w:val="auto"/>
                <w:sz w:val="24"/>
                <w:szCs w:val="24"/>
                <w:highlight w:val="none"/>
                <w:shd w:val="clear" w:color="auto" w:fill="FFFFFF"/>
                <w:lang w:val="en-US" w:eastAsia="zh-CN" w:bidi="ar-SA"/>
              </w:rPr>
              <w:t>2030年）》，</w:t>
            </w:r>
            <w:r>
              <w:rPr>
                <w:rFonts w:hint="eastAsia" w:ascii="Times New Roman" w:hAnsi="Times New Roman" w:eastAsia="宋体" w:cs="Times New Roman"/>
                <w:color w:val="auto"/>
                <w:sz w:val="24"/>
                <w:szCs w:val="24"/>
                <w:lang w:val="en-US" w:eastAsia="zh-CN"/>
              </w:rPr>
              <w:t>甘泉堡工业园</w:t>
            </w:r>
            <w:r>
              <w:rPr>
                <w:rFonts w:hint="eastAsia" w:ascii="Times New Roman" w:hAnsi="Times New Roman" w:eastAsia="宋体" w:cs="Times New Roman"/>
                <w:color w:val="auto"/>
                <w:sz w:val="24"/>
                <w:szCs w:val="24"/>
                <w:highlight w:val="none"/>
                <w:shd w:val="clear" w:color="auto" w:fill="FFFFFF"/>
                <w:lang w:val="en-US" w:eastAsia="zh-CN" w:bidi="ar-SA"/>
              </w:rPr>
              <w:t>划分为十个功能区，即优势资源转化区、经济合作与产业孵化区、新能源工业区、高新技术产业区、科教综合服务新区、物流仓储区、小微企业创新区、商贸物流区、生态保育区和协调发展区。</w:t>
            </w:r>
            <w:r>
              <w:rPr>
                <w:rFonts w:hint="eastAsia" w:ascii="Times New Roman" w:hAnsi="Times New Roman" w:eastAsia="宋体" w:cs="宋体"/>
                <w:color w:val="auto"/>
                <w:lang w:val="en-US" w:eastAsia="zh-CN"/>
              </w:rPr>
              <w:t>苏通小微创业园</w:t>
            </w:r>
            <w:r>
              <w:rPr>
                <w:rFonts w:hint="eastAsia" w:ascii="Times New Roman" w:hAnsi="Times New Roman" w:eastAsia="宋体" w:cs="Times New Roman"/>
                <w:color w:val="auto"/>
                <w:sz w:val="24"/>
                <w:szCs w:val="24"/>
                <w:highlight w:val="none"/>
                <w:shd w:val="clear" w:color="auto" w:fill="FFFFFF"/>
                <w:lang w:val="en-US" w:eastAsia="zh-CN" w:bidi="ar-SA"/>
              </w:rPr>
              <w:t>位于甘泉堡工业园小微企业创新区。</w:t>
            </w:r>
          </w:p>
          <w:p w14:paraId="5A8EDF1D">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color w:val="auto"/>
                <w:lang w:val="en-US" w:eastAsia="zh-CN"/>
              </w:rPr>
            </w:pPr>
            <w:r>
              <w:rPr>
                <w:rFonts w:hint="eastAsia" w:ascii="Times New Roman" w:hAnsi="Times New Roman" w:eastAsia="宋体" w:cs="Times New Roman"/>
                <w:color w:val="auto"/>
                <w:sz w:val="24"/>
                <w:szCs w:val="24"/>
                <w:highlight w:val="none"/>
                <w:shd w:val="clear" w:color="auto" w:fill="FFFFFF"/>
                <w:lang w:val="en-US" w:eastAsia="zh-CN" w:bidi="ar-SA"/>
              </w:rPr>
              <w:t>小微创新区同时属于阜康市城市总体规划中的阜西工业园区，阜西工业园区总体规划内容包含于《甘泉堡工业园区总体规划（2016- 2030年）》中。小微企业创新区以新型建材产业为主导的集研发孵化、生产加工、商贸交易、物流配送为一体的小微新兴产业企业园。</w:t>
            </w:r>
            <w:r>
              <w:rPr>
                <w:rFonts w:hint="eastAsia" w:ascii="Times New Roman" w:hAnsi="Times New Roman" w:eastAsia="宋体" w:cs="宋体"/>
                <w:color w:val="auto"/>
                <w:lang w:val="en-US" w:eastAsia="zh-CN"/>
              </w:rPr>
              <w:t>本项目位于小微企业创新区，本项目属于</w:t>
            </w:r>
            <w:r>
              <w:rPr>
                <w:rFonts w:hint="eastAsia" w:cs="宋体"/>
                <w:color w:val="auto"/>
                <w:lang w:val="en-US" w:eastAsia="zh-CN"/>
              </w:rPr>
              <w:t>建材生产项目</w:t>
            </w:r>
            <w:r>
              <w:rPr>
                <w:rFonts w:hint="eastAsia" w:ascii="Times New Roman" w:hAnsi="Times New Roman" w:eastAsia="宋体" w:cs="宋体"/>
                <w:color w:val="auto"/>
                <w:lang w:val="en-US" w:eastAsia="zh-CN"/>
              </w:rPr>
              <w:t>，属于小微产业，因此选址与园区产业布局相符。</w:t>
            </w:r>
          </w:p>
          <w:p w14:paraId="064A23F6">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宋体" w:cs="宋体"/>
                <w:color w:val="auto"/>
                <w:lang w:val="en-US" w:eastAsia="zh-CN"/>
              </w:rPr>
            </w:pPr>
            <w:r>
              <w:rPr>
                <w:rFonts w:hint="eastAsia" w:cs="宋体"/>
                <w:color w:val="auto"/>
                <w:lang w:val="en-US" w:eastAsia="zh-CN"/>
              </w:rPr>
              <w:t>根据</w:t>
            </w:r>
            <w:r>
              <w:rPr>
                <w:rFonts w:hint="eastAsia" w:cs="宋体"/>
                <w:color w:val="auto"/>
                <w:lang w:val="en-US" w:eastAsia="zh-CN"/>
              </w:rPr>
              <w:fldChar w:fldCharType="begin"/>
            </w:r>
            <w:r>
              <w:rPr>
                <w:rFonts w:hint="eastAsia" w:cs="宋体"/>
                <w:color w:val="auto"/>
                <w:lang w:val="en-US" w:eastAsia="zh-CN"/>
              </w:rPr>
              <w:instrText xml:space="preserve"> HYPERLINK "http://www.fk.gov.cn/gk/cdjc/899930.htm" \t "https://www.fk.gov.cn/search/_blank" </w:instrText>
            </w:r>
            <w:r>
              <w:rPr>
                <w:rFonts w:hint="eastAsia" w:cs="宋体"/>
                <w:color w:val="auto"/>
                <w:lang w:val="en-US" w:eastAsia="zh-CN"/>
              </w:rPr>
              <w:fldChar w:fldCharType="separate"/>
            </w:r>
            <w:r>
              <w:rPr>
                <w:rFonts w:hint="eastAsia" w:cs="宋体"/>
                <w:color w:val="auto"/>
                <w:lang w:val="en-US" w:eastAsia="zh-CN"/>
              </w:rPr>
              <w:t>《阜康市国土空间总体规划（2021—2035年）》</w:t>
            </w:r>
            <w:r>
              <w:rPr>
                <w:rFonts w:hint="eastAsia" w:cs="宋体"/>
                <w:color w:val="auto"/>
                <w:lang w:val="en-US" w:eastAsia="zh-CN"/>
              </w:rPr>
              <w:fldChar w:fldCharType="end"/>
            </w:r>
            <w:r>
              <w:rPr>
                <w:rFonts w:hint="eastAsia" w:cs="宋体"/>
                <w:color w:val="auto"/>
                <w:lang w:val="en-US" w:eastAsia="zh-CN"/>
              </w:rPr>
              <w:t>，本项目位于城市集聚发展轴，用地为工业用地，不涉及永久基本农田以及生态保护红线。用地</w:t>
            </w:r>
            <w:r>
              <w:rPr>
                <w:rFonts w:hint="eastAsia" w:ascii="Times New Roman" w:hAnsi="Times New Roman" w:eastAsia="宋体" w:cs="宋体"/>
                <w:color w:val="auto"/>
                <w:lang w:val="en-US" w:eastAsia="zh-CN"/>
              </w:rPr>
              <w:t>符合国土空间规划和用途管制要求。本项目在</w:t>
            </w:r>
            <w:r>
              <w:rPr>
                <w:rFonts w:hint="eastAsia" w:cs="宋体"/>
                <w:color w:val="auto"/>
                <w:lang w:val="en-US" w:eastAsia="zh-CN"/>
              </w:rPr>
              <w:t>阜康市</w:t>
            </w:r>
            <w:r>
              <w:rPr>
                <w:rFonts w:hint="eastAsia" w:ascii="Times New Roman" w:hAnsi="Times New Roman" w:eastAsia="宋体" w:cs="宋体"/>
                <w:color w:val="auto"/>
                <w:lang w:val="en-US" w:eastAsia="zh-CN"/>
              </w:rPr>
              <w:t>国土空间总体规划位置图见图1.</w:t>
            </w:r>
            <w:r>
              <w:rPr>
                <w:rFonts w:hint="eastAsia" w:cs="宋体"/>
                <w:color w:val="auto"/>
                <w:lang w:val="en-US" w:eastAsia="zh-CN"/>
              </w:rPr>
              <w:t>4</w:t>
            </w:r>
            <w:r>
              <w:rPr>
                <w:rFonts w:hint="eastAsia" w:ascii="Times New Roman" w:hAnsi="Times New Roman" w:eastAsia="宋体" w:cs="宋体"/>
                <w:color w:val="auto"/>
                <w:lang w:val="en-US" w:eastAsia="zh-CN"/>
              </w:rPr>
              <w:t>-1。</w:t>
            </w:r>
          </w:p>
          <w:p w14:paraId="73630CDA">
            <w:pPr>
              <w:overflowPunct w:val="0"/>
              <w:autoSpaceDE w:val="0"/>
              <w:autoSpaceDN w:val="0"/>
              <w:adjustRightInd w:val="0"/>
              <w:snapToGrid w:val="0"/>
              <w:spacing w:before="0" w:after="0" w:line="360" w:lineRule="auto"/>
              <w:ind w:left="0" w:right="0" w:firstLine="480" w:firstLineChars="200"/>
              <w:jc w:val="left"/>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厂区北侧为新疆鑫古龙建材有限责任公司、西侧为新疆德晟景丰纸制品有限公司，东侧为园区</w:t>
            </w:r>
            <w:r>
              <w:rPr>
                <w:rFonts w:hint="eastAsia" w:cs="宋体"/>
                <w:color w:val="auto"/>
                <w:highlight w:val="none"/>
                <w:lang w:val="en-US" w:eastAsia="zh-CN"/>
              </w:rPr>
              <w:t>道路</w:t>
            </w:r>
            <w:r>
              <w:rPr>
                <w:rFonts w:hint="eastAsia" w:ascii="Times New Roman" w:hAnsi="Times New Roman" w:eastAsia="宋体" w:cs="宋体"/>
                <w:color w:val="auto"/>
                <w:highlight w:val="none"/>
                <w:lang w:val="en-US" w:eastAsia="zh-CN"/>
              </w:rPr>
              <w:t>、南侧为新疆佳诚佳和商用设备有限公司。</w:t>
            </w:r>
          </w:p>
          <w:p w14:paraId="759DD866">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不在自然保护区、饮用水源保护区和其他需要特殊保护的区域，本项目所产生的污染物经相关措施处理后均能达标排放，不会对周边环境产生较大影响。野生动物数量较少且种类单一，无国家和自治区级珍稀濒危保护动植物，项目区及所在区域环境质量现状较好。区域内无珍稀动植物、敏感目标，项目营运期的生产对生态环境不会产生明显影响。本项目没有明显的外环境制约因素，且与区域环境具有相容性。因此，本项目选址基本可行。</w:t>
            </w:r>
          </w:p>
          <w:p w14:paraId="21FD0E1D">
            <w:pPr>
              <w:overflowPunct w:val="0"/>
              <w:autoSpaceDE w:val="0"/>
              <w:autoSpaceDN w:val="0"/>
              <w:adjustRightInd w:val="0"/>
              <w:snapToGrid w:val="0"/>
              <w:spacing w:before="0" w:after="0" w:line="360" w:lineRule="auto"/>
              <w:ind w:left="0" w:right="0" w:firstLine="480" w:firstLineChars="200"/>
              <w:jc w:val="left"/>
              <w:rPr>
                <w:rFonts w:hint="default" w:ascii="Times New Roman" w:hAnsi="Times New Roman" w:eastAsia="宋体" w:cs="Times New Roman"/>
                <w:color w:val="auto"/>
                <w:sz w:val="24"/>
                <w:szCs w:val="24"/>
                <w:highlight w:val="none"/>
                <w:shd w:val="clear" w:color="auto" w:fill="FFFFFF"/>
                <w:lang w:val="en-US" w:eastAsia="zh-CN" w:bidi="ar-SA"/>
              </w:rPr>
            </w:pPr>
            <w:r>
              <w:rPr>
                <w:rFonts w:hint="default" w:ascii="Times New Roman" w:hAnsi="Times New Roman" w:eastAsia="宋体" w:cs="Times New Roman"/>
                <w:color w:val="auto"/>
                <w:sz w:val="24"/>
                <w:szCs w:val="24"/>
                <w:highlight w:val="none"/>
                <w:shd w:val="clear" w:color="auto" w:fill="FFFFFF"/>
                <w:lang w:val="en-US" w:eastAsia="zh-CN" w:bidi="ar-SA"/>
              </w:rPr>
              <w:t>（2）环境容量</w:t>
            </w:r>
          </w:p>
          <w:p w14:paraId="706AA41E">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default" w:ascii="Times New Roman" w:hAnsi="Times New Roman" w:eastAsia="宋体" w:cs="Times New Roman"/>
                <w:color w:val="auto"/>
                <w:sz w:val="24"/>
                <w:szCs w:val="24"/>
                <w:highlight w:val="none"/>
                <w:shd w:val="clear" w:color="auto" w:fill="FFFFFF"/>
                <w:lang w:val="en-US" w:eastAsia="zh-CN" w:bidi="ar-SA"/>
              </w:rPr>
              <w:t>项目评价区内现状环境空气评价因子年评价指标</w:t>
            </w:r>
            <w:r>
              <w:rPr>
                <w:rFonts w:hint="eastAsia" w:ascii="Times New Roman" w:hAnsi="Times New Roman" w:eastAsia="宋体" w:cs="Times New Roman"/>
                <w:color w:val="auto"/>
                <w:kern w:val="2"/>
                <w:szCs w:val="24"/>
              </w:rPr>
              <w:t>PM</w:t>
            </w:r>
            <w:r>
              <w:rPr>
                <w:rFonts w:hint="eastAsia" w:ascii="Times New Roman" w:hAnsi="Times New Roman" w:eastAsia="宋体" w:cs="Times New Roman"/>
                <w:color w:val="auto"/>
                <w:kern w:val="2"/>
                <w:szCs w:val="24"/>
                <w:vertAlign w:val="subscript"/>
              </w:rPr>
              <w:t>2.5</w:t>
            </w:r>
            <w:r>
              <w:rPr>
                <w:rFonts w:hint="eastAsia" w:ascii="Times New Roman" w:hAnsi="Times New Roman" w:eastAsia="宋体" w:cs="Times New Roman"/>
                <w:color w:val="auto"/>
                <w:kern w:val="2"/>
                <w:szCs w:val="24"/>
              </w:rPr>
              <w:t>超标</w:t>
            </w:r>
            <w:r>
              <w:rPr>
                <w:rFonts w:hint="default" w:ascii="Times New Roman" w:hAnsi="Times New Roman" w:eastAsia="宋体" w:cs="Times New Roman"/>
                <w:color w:val="auto"/>
                <w:sz w:val="24"/>
                <w:szCs w:val="24"/>
                <w:highlight w:val="none"/>
                <w:shd w:val="clear" w:color="auto" w:fill="FFFFFF"/>
                <w:lang w:val="en-US" w:eastAsia="zh-CN" w:bidi="ar-SA"/>
              </w:rPr>
              <w:t>，为</w:t>
            </w:r>
            <w:r>
              <w:rPr>
                <w:rFonts w:hint="eastAsia" w:eastAsia="宋体" w:cs="Times New Roman"/>
                <w:color w:val="auto"/>
                <w:sz w:val="24"/>
                <w:szCs w:val="24"/>
                <w:highlight w:val="none"/>
                <w:shd w:val="clear" w:color="auto" w:fill="FFFFFF"/>
                <w:lang w:val="en-US" w:eastAsia="zh-CN" w:bidi="ar-SA"/>
              </w:rPr>
              <w:t>非</w:t>
            </w:r>
            <w:r>
              <w:rPr>
                <w:rFonts w:hint="default" w:ascii="Times New Roman" w:hAnsi="Times New Roman" w:eastAsia="宋体" w:cs="Times New Roman"/>
                <w:color w:val="auto"/>
                <w:sz w:val="24"/>
                <w:szCs w:val="24"/>
                <w:highlight w:val="none"/>
                <w:shd w:val="clear" w:color="auto" w:fill="FFFFFF"/>
                <w:lang w:val="en-US" w:eastAsia="zh-CN" w:bidi="ar-SA"/>
              </w:rPr>
              <w:t>达标区；</w:t>
            </w:r>
            <w:r>
              <w:rPr>
                <w:rFonts w:hint="eastAsia" w:ascii="Times New Roman" w:hAnsi="Times New Roman" w:eastAsia="宋体" w:cs="宋体"/>
                <w:color w:val="auto"/>
                <w:lang w:val="en-US" w:eastAsia="zh-CN"/>
              </w:rPr>
              <w:t>本项目</w:t>
            </w:r>
            <w:r>
              <w:rPr>
                <w:rFonts w:hint="eastAsia" w:cs="宋体"/>
                <w:color w:val="auto"/>
                <w:lang w:val="en-US" w:eastAsia="zh-CN"/>
              </w:rPr>
              <w:t>无生产废水</w:t>
            </w:r>
            <w:r>
              <w:rPr>
                <w:rFonts w:hint="eastAsia" w:ascii="Times New Roman" w:hAnsi="Times New Roman" w:eastAsia="宋体" w:cs="宋体"/>
                <w:color w:val="auto"/>
                <w:lang w:val="en-US" w:eastAsia="zh-CN"/>
              </w:rPr>
              <w:t>，与周围地表水体无直接水力联系，本项目的建设不会对区域地表水环境产生影响；在采取声环境治理措施情况下，对周边声环境保护目标影响较小；</w:t>
            </w:r>
            <w:r>
              <w:rPr>
                <w:rFonts w:hint="eastAsia"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sz w:val="24"/>
                <w:szCs w:val="24"/>
                <w:lang w:val="en-US" w:eastAsia="zh-CN" w:bidi="ar-SA"/>
              </w:rPr>
              <w:t>采取严格的分区防渗，对周边地下水、土壤环境影响较小。</w:t>
            </w:r>
          </w:p>
          <w:p w14:paraId="3A7DEABF">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宋体"/>
                <w:color w:val="auto"/>
                <w:sz w:val="24"/>
                <w:szCs w:val="24"/>
                <w:highlight w:val="none"/>
              </w:rPr>
              <w:t>本项目投产后，</w:t>
            </w:r>
            <w:r>
              <w:rPr>
                <w:rFonts w:hint="eastAsia" w:ascii="Times New Roman" w:hAnsi="Times New Roman" w:eastAsia="宋体" w:cs="宋体"/>
                <w:color w:val="auto"/>
                <w:sz w:val="24"/>
                <w:szCs w:val="24"/>
                <w:highlight w:val="none"/>
                <w:lang w:val="en-US" w:eastAsia="zh-CN"/>
              </w:rPr>
              <w:t>能够保持</w:t>
            </w:r>
            <w:r>
              <w:rPr>
                <w:rFonts w:hint="eastAsia" w:ascii="Times New Roman" w:hAnsi="Times New Roman" w:eastAsia="宋体" w:cs="宋体"/>
                <w:color w:val="auto"/>
                <w:sz w:val="24"/>
                <w:szCs w:val="24"/>
                <w:highlight w:val="none"/>
              </w:rPr>
              <w:t>水、气、声</w:t>
            </w: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lang w:val="en-US" w:eastAsia="zh-CN"/>
              </w:rPr>
              <w:t>土壤等</w:t>
            </w:r>
            <w:r>
              <w:rPr>
                <w:rFonts w:hint="eastAsia" w:ascii="Times New Roman" w:hAnsi="Times New Roman" w:eastAsia="宋体" w:cs="宋体"/>
                <w:color w:val="auto"/>
                <w:sz w:val="24"/>
                <w:szCs w:val="24"/>
                <w:highlight w:val="none"/>
              </w:rPr>
              <w:t>环境质量现状</w:t>
            </w:r>
            <w:r>
              <w:rPr>
                <w:rFonts w:hint="eastAsia" w:ascii="Times New Roman" w:hAnsi="Times New Roman" w:eastAsia="宋体" w:cs="宋体"/>
                <w:color w:val="auto"/>
                <w:sz w:val="24"/>
                <w:szCs w:val="24"/>
                <w:highlight w:val="none"/>
                <w:lang w:val="en-US" w:eastAsia="zh-CN"/>
              </w:rPr>
              <w:t>不降低</w:t>
            </w:r>
            <w:r>
              <w:rPr>
                <w:rFonts w:hint="eastAsia" w:ascii="Times New Roman" w:hAnsi="Times New Roman" w:eastAsia="宋体" w:cs="宋体"/>
                <w:color w:val="auto"/>
                <w:sz w:val="24"/>
                <w:szCs w:val="24"/>
                <w:highlight w:val="none"/>
              </w:rPr>
              <w:t>，污染物达标排放，对区域环境影响不大，区域环境仍可保持现有功能水平。因此，项目选址从环境容量角度分析是可行的</w:t>
            </w:r>
            <w:r>
              <w:rPr>
                <w:rFonts w:hint="eastAsia" w:ascii="Times New Roman" w:hAnsi="Times New Roman" w:eastAsia="宋体" w:cs="宋体"/>
                <w:color w:val="auto"/>
                <w:sz w:val="24"/>
                <w:szCs w:val="24"/>
                <w:highlight w:val="none"/>
                <w:lang w:eastAsia="zh-CN"/>
              </w:rPr>
              <w:t>。</w:t>
            </w:r>
          </w:p>
          <w:p w14:paraId="4EA8A68F">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（3）区域主导风向</w:t>
            </w:r>
          </w:p>
          <w:p w14:paraId="2761D32C">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区域年主导风向为</w:t>
            </w:r>
            <w:r>
              <w:rPr>
                <w:rFonts w:hint="eastAsia" w:cs="Times New Roman"/>
                <w:color w:val="auto"/>
                <w:sz w:val="24"/>
                <w:szCs w:val="24"/>
                <w:highlight w:val="none"/>
                <w:shd w:val="clear" w:color="auto" w:fill="FFFFFF"/>
                <w:lang w:val="en-US" w:eastAsia="zh-CN" w:bidi="ar-SA"/>
              </w:rPr>
              <w:t>东</w:t>
            </w:r>
            <w:r>
              <w:rPr>
                <w:rFonts w:hint="eastAsia" w:ascii="Times New Roman" w:hAnsi="Times New Roman" w:eastAsia="宋体" w:cs="Times New Roman"/>
                <w:color w:val="auto"/>
                <w:sz w:val="24"/>
                <w:szCs w:val="24"/>
                <w:highlight w:val="none"/>
                <w:shd w:val="clear" w:color="auto" w:fill="FFFFFF"/>
                <w:lang w:val="en-US" w:eastAsia="zh-CN" w:bidi="ar-SA"/>
              </w:rPr>
              <w:t>北风，500m范围内无大气环境敏感目标，根据估算结果，</w:t>
            </w:r>
            <w:r>
              <w:rPr>
                <w:rFonts w:hint="eastAsia" w:cs="Times New Roman"/>
                <w:color w:val="auto"/>
                <w:sz w:val="24"/>
                <w:szCs w:val="24"/>
                <w:highlight w:val="none"/>
                <w:shd w:val="clear" w:color="auto" w:fill="FFFFFF"/>
                <w:lang w:val="en-US" w:eastAsia="zh-CN" w:bidi="ar-SA"/>
              </w:rPr>
              <w:t>厂界无组织</w:t>
            </w:r>
            <w:r>
              <w:rPr>
                <w:rFonts w:hint="eastAsia" w:ascii="Times New Roman" w:hAnsi="Times New Roman" w:eastAsia="宋体" w:cs="Times New Roman"/>
                <w:color w:val="auto"/>
                <w:sz w:val="24"/>
                <w:szCs w:val="24"/>
                <w:highlight w:val="none"/>
                <w:shd w:val="clear" w:color="auto" w:fill="FFFFFF"/>
                <w:lang w:val="en-US" w:eastAsia="zh-CN" w:bidi="ar-SA"/>
              </w:rPr>
              <w:t>污染物最大浓度落地距离为</w:t>
            </w:r>
            <w:r>
              <w:rPr>
                <w:rFonts w:hint="eastAsia" w:cs="Times New Roman"/>
                <w:color w:val="auto"/>
                <w:sz w:val="24"/>
                <w:szCs w:val="24"/>
                <w:highlight w:val="none"/>
                <w:shd w:val="clear" w:color="auto" w:fill="FFFFFF"/>
                <w:lang w:val="en-US" w:eastAsia="zh-CN" w:bidi="ar-SA"/>
              </w:rPr>
              <w:t>61</w:t>
            </w:r>
            <w:r>
              <w:rPr>
                <w:rFonts w:hint="eastAsia" w:ascii="Times New Roman" w:hAnsi="Times New Roman" w:eastAsia="宋体" w:cs="Times New Roman"/>
                <w:color w:val="auto"/>
                <w:sz w:val="24"/>
                <w:szCs w:val="24"/>
                <w:highlight w:val="none"/>
                <w:shd w:val="clear" w:color="auto" w:fill="FFFFFF"/>
                <w:lang w:val="en-US" w:eastAsia="zh-CN" w:bidi="ar-SA"/>
              </w:rPr>
              <w:t>m，对区域大气环境影响较小。</w:t>
            </w:r>
          </w:p>
          <w:p w14:paraId="4CB2E915">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（4）防护距离</w:t>
            </w:r>
          </w:p>
          <w:p w14:paraId="49D05971">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根据《环境影响评价技术导则 大气环境》（HJ2.2-2018）中的大气环境防护距离的要求，本项目厂界浓度满足大气污染物厂界浓度限值，因此本项目不设置大气环境防护距离。</w:t>
            </w:r>
          </w:p>
          <w:p w14:paraId="185A311F">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（5）环境敏感性分析</w:t>
            </w:r>
          </w:p>
          <w:p w14:paraId="0E1A8616">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sz w:val="24"/>
                <w:szCs w:val="24"/>
                <w:highlight w:val="none"/>
                <w:shd w:val="clear" w:color="auto" w:fill="FFFFFF"/>
                <w:lang w:val="en-US" w:eastAsia="zh-CN" w:bidi="ar-SA"/>
              </w:rPr>
            </w:pPr>
            <w:r>
              <w:rPr>
                <w:rFonts w:hint="eastAsia" w:ascii="Times New Roman" w:hAnsi="Times New Roman" w:eastAsia="宋体" w:cs="Times New Roman"/>
                <w:color w:val="auto"/>
                <w:sz w:val="24"/>
                <w:szCs w:val="24"/>
                <w:highlight w:val="none"/>
                <w:shd w:val="clear" w:color="auto" w:fill="FFFFFF"/>
                <w:lang w:val="en-US" w:eastAsia="zh-CN" w:bidi="ar-SA"/>
              </w:rPr>
              <w:t>从环境敏感性看，评价区无风景名胜、历史遗迹等保护区；无饮用水水源保护区；厂区内无特殊自然观赏价值较高的景观。</w:t>
            </w:r>
          </w:p>
          <w:p w14:paraId="274503C0">
            <w:pPr>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Times New Roman"/>
                <w:color w:val="auto"/>
                <w:sz w:val="24"/>
                <w:szCs w:val="24"/>
                <w:highlight w:val="none"/>
                <w:shd w:val="clear" w:color="auto" w:fill="FFFFFF"/>
                <w:lang w:val="en-US" w:eastAsia="zh-CN" w:bidi="ar-SA"/>
              </w:rPr>
              <w:t>综上所述，本项目选址地区不属于特殊保护地区、社会关注区和特殊地貌景观区，也无重点保护生态品种及濒危生物物种，文物古迹等，区域环境敏感因素较少，因此选址可行。</w:t>
            </w:r>
          </w:p>
          <w:p w14:paraId="2DCADB22">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ascii="Times New Roman" w:hAnsi="Times New Roman" w:eastAsia="宋体" w:cs="黑体"/>
                <w:b/>
                <w:color w:val="auto"/>
                <w:sz w:val="28"/>
                <w:szCs w:val="30"/>
                <w:highlight w:val="yellow"/>
                <w:lang w:val="en-US" w:eastAsia="zh-CN" w:bidi="ar-SA"/>
              </w:rPr>
            </w:pPr>
            <w:r>
              <w:rPr>
                <w:rFonts w:hint="eastAsia" w:cs="黑体"/>
                <w:b/>
                <w:color w:val="auto"/>
                <w:sz w:val="28"/>
                <w:szCs w:val="30"/>
                <w:highlight w:val="none"/>
                <w:lang w:val="en-US" w:eastAsia="zh-CN" w:bidi="ar-SA"/>
              </w:rPr>
              <w:t>4、</w:t>
            </w:r>
            <w:r>
              <w:rPr>
                <w:rFonts w:hint="eastAsia" w:ascii="Times New Roman" w:hAnsi="Times New Roman" w:eastAsia="宋体" w:cs="黑体"/>
                <w:b/>
                <w:color w:val="auto"/>
                <w:sz w:val="28"/>
                <w:szCs w:val="30"/>
                <w:highlight w:val="none"/>
                <w:lang w:val="en-US" w:eastAsia="zh-CN" w:bidi="ar-SA"/>
              </w:rPr>
              <w:t>《新疆生态环境保护“十四五”规划》符合性分析</w:t>
            </w:r>
          </w:p>
          <w:p w14:paraId="792D1A71">
            <w:pPr>
              <w:widowControl w:val="0"/>
              <w:spacing w:line="360" w:lineRule="auto"/>
              <w:ind w:firstLine="480" w:firstLineChars="200"/>
              <w:jc w:val="both"/>
              <w:rPr>
                <w:rFonts w:hint="eastAsia" w:ascii="Times New Roman" w:hAnsi="Times New Roman" w:eastAsia="宋体" w:cs="宋体"/>
                <w:snapToGrid w:val="0"/>
                <w:color w:val="auto"/>
                <w:sz w:val="24"/>
                <w:szCs w:val="21"/>
                <w:lang w:val="en-US" w:eastAsia="zh-CN" w:bidi="ar-SA"/>
              </w:rPr>
            </w:pPr>
            <w:r>
              <w:rPr>
                <w:rFonts w:hint="eastAsia" w:ascii="Times New Roman" w:hAnsi="Times New Roman" w:eastAsia="宋体" w:cs="宋体"/>
                <w:snapToGrid w:val="0"/>
                <w:color w:val="auto"/>
                <w:sz w:val="24"/>
                <w:szCs w:val="21"/>
                <w:lang w:val="en-US" w:eastAsia="zh-CN" w:bidi="ar-SA"/>
              </w:rPr>
              <w:t>协同开展PM</w:t>
            </w:r>
            <w:r>
              <w:rPr>
                <w:rFonts w:hint="eastAsia" w:ascii="Times New Roman" w:hAnsi="Times New Roman" w:eastAsia="宋体" w:cs="宋体"/>
                <w:snapToGrid w:val="0"/>
                <w:color w:val="auto"/>
                <w:sz w:val="24"/>
                <w:szCs w:val="21"/>
                <w:vertAlign w:val="subscript"/>
                <w:lang w:val="en-US" w:eastAsia="zh-CN" w:bidi="ar-SA"/>
              </w:rPr>
              <w:t>2.5</w:t>
            </w:r>
            <w:r>
              <w:rPr>
                <w:rFonts w:hint="eastAsia" w:ascii="Times New Roman" w:hAnsi="Times New Roman" w:eastAsia="宋体" w:cs="宋体"/>
                <w:snapToGrid w:val="0"/>
                <w:color w:val="auto"/>
                <w:sz w:val="24"/>
                <w:szCs w:val="21"/>
                <w:lang w:val="en-US" w:eastAsia="zh-CN" w:bidi="ar-SA"/>
              </w:rPr>
              <w:t>和臭氧（以下简称“O</w:t>
            </w:r>
            <w:r>
              <w:rPr>
                <w:rFonts w:hint="eastAsia" w:ascii="Times New Roman" w:hAnsi="Times New Roman" w:eastAsia="宋体" w:cs="宋体"/>
                <w:snapToGrid w:val="0"/>
                <w:color w:val="auto"/>
                <w:sz w:val="24"/>
                <w:szCs w:val="21"/>
                <w:vertAlign w:val="subscript"/>
                <w:lang w:val="en-US" w:eastAsia="zh-CN" w:bidi="ar-SA"/>
              </w:rPr>
              <w:t>3</w:t>
            </w:r>
            <w:r>
              <w:rPr>
                <w:rFonts w:hint="eastAsia" w:ascii="Times New Roman" w:hAnsi="Times New Roman" w:eastAsia="宋体" w:cs="宋体"/>
                <w:snapToGrid w:val="0"/>
                <w:color w:val="auto"/>
                <w:sz w:val="24"/>
                <w:szCs w:val="21"/>
                <w:lang w:val="en-US" w:eastAsia="zh-CN" w:bidi="ar-SA"/>
              </w:rPr>
              <w:t>”）污染防治。推动城市PM</w:t>
            </w:r>
            <w:r>
              <w:rPr>
                <w:rFonts w:hint="eastAsia" w:ascii="Times New Roman" w:hAnsi="Times New Roman" w:eastAsia="宋体" w:cs="宋体"/>
                <w:snapToGrid w:val="0"/>
                <w:color w:val="auto"/>
                <w:sz w:val="24"/>
                <w:szCs w:val="21"/>
                <w:vertAlign w:val="subscript"/>
                <w:lang w:val="en-US" w:eastAsia="zh-CN" w:bidi="ar-SA"/>
              </w:rPr>
              <w:t>2.5</w:t>
            </w:r>
            <w:r>
              <w:rPr>
                <w:rFonts w:hint="eastAsia" w:ascii="Times New Roman" w:hAnsi="Times New Roman" w:eastAsia="宋体" w:cs="宋体"/>
                <w:snapToGrid w:val="0"/>
                <w:color w:val="auto"/>
                <w:sz w:val="24"/>
                <w:szCs w:val="21"/>
                <w:lang w:val="en-US" w:eastAsia="zh-CN" w:bidi="ar-SA"/>
              </w:rPr>
              <w:t>浓度持续下降，有效遏制O</w:t>
            </w:r>
            <w:r>
              <w:rPr>
                <w:rFonts w:hint="eastAsia" w:ascii="Times New Roman" w:hAnsi="Times New Roman" w:eastAsia="宋体" w:cs="宋体"/>
                <w:snapToGrid w:val="0"/>
                <w:color w:val="auto"/>
                <w:sz w:val="24"/>
                <w:szCs w:val="21"/>
                <w:vertAlign w:val="subscript"/>
                <w:lang w:val="en-US" w:eastAsia="zh-CN" w:bidi="ar-SA"/>
              </w:rPr>
              <w:t>3</w:t>
            </w:r>
            <w:r>
              <w:rPr>
                <w:rFonts w:hint="eastAsia" w:ascii="Times New Roman" w:hAnsi="Times New Roman" w:eastAsia="宋体" w:cs="宋体"/>
                <w:snapToGrid w:val="0"/>
                <w:color w:val="auto"/>
                <w:sz w:val="24"/>
                <w:szCs w:val="21"/>
                <w:lang w:val="en-US" w:eastAsia="zh-CN" w:bidi="ar-SA"/>
              </w:rPr>
              <w:t>浓度增长趋势。探索开展PM</w:t>
            </w:r>
            <w:r>
              <w:rPr>
                <w:rFonts w:hint="eastAsia" w:ascii="Times New Roman" w:hAnsi="Times New Roman" w:eastAsia="宋体" w:cs="宋体"/>
                <w:snapToGrid w:val="0"/>
                <w:color w:val="auto"/>
                <w:sz w:val="24"/>
                <w:szCs w:val="21"/>
                <w:vertAlign w:val="subscript"/>
                <w:lang w:val="en-US" w:eastAsia="zh-CN" w:bidi="ar-SA"/>
              </w:rPr>
              <w:t>2.5</w:t>
            </w:r>
            <w:r>
              <w:rPr>
                <w:rFonts w:hint="eastAsia" w:ascii="Times New Roman" w:hAnsi="Times New Roman" w:eastAsia="宋体" w:cs="宋体"/>
                <w:snapToGrid w:val="0"/>
                <w:color w:val="auto"/>
                <w:sz w:val="24"/>
                <w:szCs w:val="21"/>
                <w:lang w:val="en-US" w:eastAsia="zh-CN" w:bidi="ar-SA"/>
              </w:rPr>
              <w:t>和O</w:t>
            </w:r>
            <w:r>
              <w:rPr>
                <w:rFonts w:hint="eastAsia" w:ascii="Times New Roman" w:hAnsi="Times New Roman" w:eastAsia="宋体" w:cs="宋体"/>
                <w:snapToGrid w:val="0"/>
                <w:color w:val="auto"/>
                <w:sz w:val="24"/>
                <w:szCs w:val="21"/>
                <w:vertAlign w:val="subscript"/>
                <w:lang w:val="en-US" w:eastAsia="zh-CN" w:bidi="ar-SA"/>
              </w:rPr>
              <w:t>3</w:t>
            </w:r>
            <w:r>
              <w:rPr>
                <w:rFonts w:hint="eastAsia" w:ascii="Times New Roman" w:hAnsi="Times New Roman" w:eastAsia="宋体" w:cs="宋体"/>
                <w:snapToGrid w:val="0"/>
                <w:color w:val="auto"/>
                <w:sz w:val="24"/>
                <w:szCs w:val="21"/>
                <w:lang w:val="en-US" w:eastAsia="zh-CN" w:bidi="ar-SA"/>
              </w:rPr>
              <w:t>污染区域传输规律和特征研究，加强重点区域、重点领域、重点行业治理，强化差异化精细化协同管控。</w:t>
            </w:r>
          </w:p>
          <w:p w14:paraId="515DF3EA">
            <w:pPr>
              <w:widowControl w:val="0"/>
              <w:spacing w:line="360" w:lineRule="auto"/>
              <w:ind w:firstLine="480" w:firstLineChars="200"/>
              <w:jc w:val="both"/>
              <w:rPr>
                <w:rFonts w:hint="eastAsia" w:ascii="Times New Roman" w:hAnsi="Times New Roman" w:eastAsia="宋体" w:cs="宋体"/>
                <w:snapToGrid w:val="0"/>
                <w:color w:val="auto"/>
                <w:sz w:val="24"/>
                <w:szCs w:val="21"/>
                <w:lang w:val="en-US" w:eastAsia="zh-CN" w:bidi="ar-SA"/>
              </w:rPr>
            </w:pPr>
            <w:r>
              <w:rPr>
                <w:rFonts w:hint="eastAsia" w:ascii="Times New Roman" w:hAnsi="Times New Roman" w:eastAsia="宋体" w:cs="宋体"/>
                <w:snapToGrid w:val="0"/>
                <w:color w:val="auto"/>
                <w:sz w:val="24"/>
                <w:szCs w:val="21"/>
                <w:lang w:val="en-US" w:eastAsia="zh-CN" w:bidi="ar-SA"/>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p w14:paraId="36F4A3F3">
            <w:pPr>
              <w:widowControl w:val="0"/>
              <w:spacing w:line="360" w:lineRule="auto"/>
              <w:ind w:firstLine="480" w:firstLineChars="200"/>
              <w:jc w:val="both"/>
              <w:rPr>
                <w:rFonts w:hint="eastAsia" w:ascii="Times New Roman" w:hAnsi="Times New Roman" w:eastAsia="宋体" w:cs="宋体"/>
                <w:snapToGrid w:val="0"/>
                <w:color w:val="auto"/>
                <w:sz w:val="24"/>
                <w:szCs w:val="21"/>
                <w:highlight w:val="none"/>
                <w:lang w:val="en-US" w:eastAsia="zh-CN" w:bidi="ar-SA"/>
              </w:rPr>
            </w:pPr>
            <w:r>
              <w:rPr>
                <w:rFonts w:hint="eastAsia" w:ascii="Times New Roman" w:hAnsi="Times New Roman" w:eastAsia="宋体" w:cs="宋体"/>
                <w:snapToGrid w:val="0"/>
                <w:color w:val="auto"/>
                <w:sz w:val="24"/>
                <w:szCs w:val="21"/>
                <w:highlight w:val="none"/>
                <w:lang w:val="en-US" w:eastAsia="zh-CN" w:bidi="ar-SA"/>
              </w:rPr>
              <w:t>加强环境噪声污染防控。加强噪声污染源监管，继续强化和深入推进交通运输噪声、建筑施工噪声、社会生活噪声、工业企业、机场周边噪声污染防治，推进工业企业噪声纳入排污许可管理。优化重点区域声环境质量监测点位，加强城市环境噪声、道路交通噪声、功能区噪声例行监测与评价，推动功能区声环境质量自动监测，强化声环境功能区管理，适时调整完善声环境功能区。继续强化噪声信访处置，畅通噪声污染投诉渠道，完善生态环境与相关部门的噪声污染投诉信息共享处理机制。</w:t>
            </w:r>
          </w:p>
          <w:p w14:paraId="4C06B60D">
            <w:pPr>
              <w:widowControl w:val="0"/>
              <w:spacing w:line="360" w:lineRule="auto"/>
              <w:ind w:firstLine="480" w:firstLineChars="200"/>
              <w:jc w:val="both"/>
              <w:rPr>
                <w:rFonts w:hint="default" w:ascii="Times New Roman" w:hAnsi="Times New Roman" w:eastAsia="宋体" w:cs="宋体"/>
                <w:snapToGrid w:val="0"/>
                <w:color w:val="auto"/>
                <w:sz w:val="24"/>
                <w:szCs w:val="21"/>
                <w:highlight w:val="none"/>
                <w:lang w:val="en-US" w:eastAsia="zh-CN" w:bidi="ar-SA"/>
              </w:rPr>
            </w:pPr>
            <w:r>
              <w:rPr>
                <w:rFonts w:hint="eastAsia" w:ascii="Times New Roman" w:hAnsi="Times New Roman" w:eastAsia="宋体" w:cs="宋体"/>
                <w:snapToGrid w:val="0"/>
                <w:color w:val="auto"/>
                <w:sz w:val="24"/>
                <w:szCs w:val="21"/>
                <w:highlight w:val="none"/>
                <w:lang w:val="en-US" w:eastAsia="zh-CN" w:bidi="ar-SA"/>
              </w:rPr>
              <w:t>本项目生活采用电加热，不消耗</w:t>
            </w:r>
            <w:r>
              <w:rPr>
                <w:rFonts w:hint="eastAsia" w:cs="宋体"/>
                <w:snapToGrid w:val="0"/>
                <w:color w:val="auto"/>
                <w:sz w:val="24"/>
                <w:szCs w:val="21"/>
                <w:highlight w:val="none"/>
                <w:lang w:val="en-US" w:eastAsia="zh-CN" w:bidi="ar-SA"/>
              </w:rPr>
              <w:t>煤炭</w:t>
            </w:r>
            <w:r>
              <w:rPr>
                <w:rFonts w:hint="eastAsia" w:ascii="Times New Roman" w:hAnsi="Times New Roman" w:eastAsia="宋体" w:cs="宋体"/>
                <w:snapToGrid w:val="0"/>
                <w:color w:val="auto"/>
                <w:sz w:val="24"/>
                <w:szCs w:val="21"/>
                <w:highlight w:val="none"/>
                <w:lang w:val="en-US" w:eastAsia="zh-CN" w:bidi="ar-SA"/>
              </w:rPr>
              <w:t>等资源。本项目属于</w:t>
            </w:r>
            <w:r>
              <w:rPr>
                <w:rFonts w:hint="eastAsia" w:cs="宋体"/>
                <w:snapToGrid w:val="0"/>
                <w:color w:val="auto"/>
                <w:sz w:val="24"/>
                <w:szCs w:val="21"/>
                <w:highlight w:val="none"/>
                <w:lang w:val="en-US" w:eastAsia="zh-CN" w:bidi="ar-SA"/>
              </w:rPr>
              <w:t>建材</w:t>
            </w:r>
            <w:r>
              <w:rPr>
                <w:rFonts w:hint="eastAsia" w:ascii="Times New Roman" w:hAnsi="Times New Roman" w:eastAsia="宋体" w:cs="宋体"/>
                <w:snapToGrid w:val="0"/>
                <w:color w:val="auto"/>
                <w:sz w:val="24"/>
                <w:szCs w:val="21"/>
                <w:highlight w:val="none"/>
                <w:lang w:val="en-US" w:eastAsia="zh-CN" w:bidi="ar-SA"/>
              </w:rPr>
              <w:t>制造，不属于钢铁、水泥、焦化重点行业，本项目</w:t>
            </w:r>
            <w:r>
              <w:rPr>
                <w:rFonts w:hint="eastAsia" w:cs="宋体"/>
                <w:snapToGrid w:val="0"/>
                <w:color w:val="auto"/>
                <w:sz w:val="24"/>
                <w:szCs w:val="21"/>
                <w:highlight w:val="none"/>
                <w:lang w:val="en-US" w:eastAsia="zh-CN" w:bidi="ar-SA"/>
              </w:rPr>
              <w:t>投料、搅拌过程</w:t>
            </w:r>
            <w:r>
              <w:rPr>
                <w:rFonts w:hint="eastAsia" w:ascii="Times New Roman" w:hAnsi="Times New Roman" w:eastAsia="宋体" w:cs="宋体"/>
                <w:snapToGrid w:val="0"/>
                <w:color w:val="auto"/>
                <w:sz w:val="24"/>
                <w:szCs w:val="21"/>
                <w:highlight w:val="none"/>
                <w:lang w:val="en-US" w:eastAsia="zh-CN" w:bidi="ar-SA"/>
              </w:rPr>
              <w:t>产生</w:t>
            </w:r>
            <w:r>
              <w:rPr>
                <w:rFonts w:hint="eastAsia" w:cs="宋体"/>
                <w:snapToGrid w:val="0"/>
                <w:color w:val="auto"/>
                <w:sz w:val="24"/>
                <w:szCs w:val="21"/>
                <w:highlight w:val="none"/>
                <w:lang w:val="en-US" w:eastAsia="zh-CN" w:bidi="ar-SA"/>
              </w:rPr>
              <w:t>颗粒物</w:t>
            </w:r>
            <w:r>
              <w:rPr>
                <w:rFonts w:hint="eastAsia" w:ascii="Times New Roman" w:hAnsi="Times New Roman" w:eastAsia="宋体" w:cs="宋体"/>
                <w:snapToGrid w:val="0"/>
                <w:color w:val="auto"/>
                <w:sz w:val="24"/>
                <w:szCs w:val="21"/>
                <w:highlight w:val="none"/>
                <w:lang w:val="en-US" w:eastAsia="zh-CN" w:bidi="ar-SA"/>
              </w:rPr>
              <w:t>的环节设置集气罩收集后</w:t>
            </w:r>
            <w:r>
              <w:rPr>
                <w:rFonts w:hint="eastAsia" w:cs="宋体"/>
                <w:color w:val="auto"/>
                <w:highlight w:val="none"/>
                <w:lang w:val="en-US" w:eastAsia="zh-CN"/>
              </w:rPr>
              <w:t>通过</w:t>
            </w:r>
            <w:r>
              <w:rPr>
                <w:rFonts w:hint="eastAsia" w:eastAsia="宋体" w:cs="宋体"/>
                <w:color w:val="auto"/>
                <w:highlight w:val="none"/>
                <w:lang w:val="en-US" w:eastAsia="zh-CN"/>
              </w:rPr>
              <w:t>“</w:t>
            </w:r>
            <w:r>
              <w:rPr>
                <w:rFonts w:hint="eastAsia" w:cs="宋体"/>
                <w:color w:val="auto"/>
                <w:highlight w:val="none"/>
                <w:lang w:val="en-US" w:eastAsia="zh-CN"/>
              </w:rPr>
              <w:t>布袋除尘器</w:t>
            </w:r>
            <w:r>
              <w:rPr>
                <w:rFonts w:hint="eastAsia" w:eastAsia="宋体" w:cs="宋体"/>
                <w:color w:val="auto"/>
                <w:highlight w:val="none"/>
                <w:lang w:val="en-US" w:eastAsia="zh-CN"/>
              </w:rPr>
              <w:t>+15m高排气筒”</w:t>
            </w:r>
            <w:r>
              <w:rPr>
                <w:rFonts w:hint="eastAsia" w:cs="宋体"/>
                <w:color w:val="auto"/>
                <w:highlight w:val="none"/>
                <w:lang w:val="en-US" w:eastAsia="zh-CN"/>
              </w:rPr>
              <w:t>处理</w:t>
            </w:r>
            <w:r>
              <w:rPr>
                <w:rFonts w:hint="eastAsia" w:cs="宋体"/>
                <w:snapToGrid w:val="0"/>
                <w:color w:val="auto"/>
                <w:sz w:val="24"/>
                <w:szCs w:val="21"/>
                <w:highlight w:val="none"/>
                <w:lang w:val="en-US" w:eastAsia="zh-CN" w:bidi="ar-SA"/>
              </w:rPr>
              <w:t>；少量颗粒物通过加强封闭式作业控制，有组织以及厂界无组织颗粒物均能</w:t>
            </w:r>
            <w:r>
              <w:rPr>
                <w:rFonts w:hint="eastAsia" w:cs="宋体"/>
                <w:color w:val="auto"/>
                <w:highlight w:val="none"/>
                <w:lang w:val="en-US" w:eastAsia="zh-CN"/>
              </w:rPr>
              <w:t>满足《水泥工业大气污染物排放标准》(GB 4915-2013 ），</w:t>
            </w: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噪声采取源头控制、消声减振等措施处理后，运营期定期监测，对周边敏感目标影响较小</w:t>
            </w:r>
            <w:r>
              <w:rPr>
                <w:rFonts w:hint="eastAsia" w:ascii="Times New Roman" w:hAnsi="Times New Roman" w:eastAsia="宋体" w:cs="宋体"/>
                <w:snapToGrid w:val="0"/>
                <w:color w:val="auto"/>
                <w:sz w:val="24"/>
                <w:szCs w:val="21"/>
                <w:highlight w:val="none"/>
                <w:lang w:val="en-US" w:eastAsia="zh-CN" w:bidi="ar-SA"/>
              </w:rPr>
              <w:t>；因此本项目符合《新疆生态环境保护“十四五”规划》。</w:t>
            </w:r>
          </w:p>
          <w:p w14:paraId="0EC3E5F5">
            <w:pPr>
              <w:numPr>
                <w:ilvl w:val="0"/>
                <w:numId w:val="0"/>
              </w:numPr>
              <w:overflowPunct w:val="0"/>
              <w:autoSpaceDE w:val="0"/>
              <w:autoSpaceDN w:val="0"/>
              <w:adjustRightInd w:val="0"/>
              <w:snapToGrid w:val="0"/>
              <w:spacing w:before="0" w:after="0" w:line="360" w:lineRule="auto"/>
              <w:ind w:right="0" w:rightChars="0"/>
              <w:jc w:val="both"/>
              <w:rPr>
                <w:rFonts w:hint="eastAsia" w:ascii="Times New Roman" w:hAnsi="Times New Roman" w:eastAsia="宋体" w:cs="黑体"/>
                <w:b/>
                <w:color w:val="auto"/>
                <w:sz w:val="28"/>
                <w:szCs w:val="30"/>
                <w:highlight w:val="none"/>
                <w:lang w:val="en-US" w:eastAsia="zh-CN" w:bidi="ar-SA"/>
              </w:rPr>
            </w:pPr>
            <w:r>
              <w:rPr>
                <w:rFonts w:hint="eastAsia" w:cs="黑体"/>
                <w:b/>
                <w:color w:val="auto"/>
                <w:sz w:val="28"/>
                <w:szCs w:val="30"/>
                <w:highlight w:val="none"/>
                <w:lang w:val="en-US" w:eastAsia="zh-CN" w:bidi="ar-SA"/>
              </w:rPr>
              <w:t>5、</w:t>
            </w:r>
            <w:r>
              <w:rPr>
                <w:rFonts w:hint="eastAsia" w:ascii="Times New Roman" w:hAnsi="Times New Roman" w:eastAsia="宋体" w:cs="黑体"/>
                <w:b/>
                <w:color w:val="auto"/>
                <w:sz w:val="28"/>
                <w:szCs w:val="30"/>
                <w:highlight w:val="none"/>
                <w:lang w:val="en-US" w:eastAsia="zh-CN" w:bidi="ar-SA"/>
              </w:rPr>
              <w:t>《关于开展自治区2022年度夏秋季大气污染防治“冬病夏治”工作的通知》（新环大气发</w:t>
            </w:r>
            <w:r>
              <w:rPr>
                <w:rFonts w:hint="eastAsia" w:cs="黑体"/>
                <w:b/>
                <w:color w:val="auto"/>
                <w:sz w:val="28"/>
                <w:szCs w:val="30"/>
                <w:highlight w:val="none"/>
                <w:lang w:val="en-US" w:eastAsia="zh-CN" w:bidi="ar-SA"/>
              </w:rPr>
              <w:t>〔2022〕483号</w:t>
            </w:r>
            <w:r>
              <w:rPr>
                <w:rFonts w:hint="eastAsia" w:ascii="Times New Roman" w:hAnsi="Times New Roman" w:eastAsia="宋体" w:cs="黑体"/>
                <w:b/>
                <w:color w:val="auto"/>
                <w:sz w:val="28"/>
                <w:szCs w:val="30"/>
                <w:highlight w:val="none"/>
                <w:lang w:val="en-US" w:eastAsia="zh-CN" w:bidi="ar-SA"/>
              </w:rPr>
              <w:t>）符合性分析</w:t>
            </w:r>
          </w:p>
          <w:p w14:paraId="573400D0">
            <w:pPr>
              <w:keepNext w:val="0"/>
              <w:keepLines w:val="0"/>
              <w:pageBreakBefore w:val="0"/>
              <w:widowControl w:val="0"/>
              <w:kinsoku/>
              <w:wordWrap/>
              <w:overflowPunct/>
              <w:topLinePunct w:val="0"/>
              <w:autoSpaceDE/>
              <w:autoSpaceDN/>
              <w:bidi w:val="0"/>
              <w:adjustRightInd/>
              <w:snapToGrid/>
              <w:spacing w:after="120" w:line="360" w:lineRule="auto"/>
              <w:ind w:left="0" w:leftChars="0" w:firstLine="480" w:firstLineChars="200"/>
              <w:jc w:val="both"/>
              <w:textAlignment w:val="auto"/>
              <w:rPr>
                <w:rFonts w:hint="eastAsia" w:ascii="Times New Roman" w:hAnsi="Times New Roman" w:eastAsia="宋体" w:cs="宋体"/>
                <w:color w:val="auto"/>
                <w:kern w:val="0"/>
                <w:sz w:val="24"/>
                <w:szCs w:val="22"/>
                <w:highlight w:val="none"/>
                <w:lang w:val="en-US" w:eastAsia="zh-CN" w:bidi="ar-SA"/>
              </w:rPr>
            </w:pPr>
            <w:r>
              <w:rPr>
                <w:rFonts w:hint="eastAsia" w:ascii="Times New Roman" w:hAnsi="Times New Roman" w:eastAsia="宋体" w:cs="宋体"/>
                <w:color w:val="auto"/>
                <w:kern w:val="0"/>
                <w:sz w:val="24"/>
                <w:szCs w:val="22"/>
                <w:highlight w:val="none"/>
                <w:lang w:val="en-US" w:eastAsia="zh-CN" w:bidi="ar-SA"/>
              </w:rPr>
              <w:t>有序推动水泥、焦化行业超低排放改造，推进燃煤自备电厂、平板玻璃、耐火材料、金属冶炼、砖瓦窑、陶瓷、碳素、石灰等行业全面稳定达标排放。针对铸造、铁合金、焦化、水泥、砖瓦、石灰、耐火材料、金属冶炼以及煤化工、石油化工等行业，严格控制物料储存、输送及生产工艺过程无组织排放。</w:t>
            </w:r>
          </w:p>
          <w:p w14:paraId="0BF183C4">
            <w:pPr>
              <w:widowControl w:val="0"/>
              <w:autoSpaceDE/>
              <w:autoSpaceDN/>
              <w:adjustRightInd/>
              <w:spacing w:after="120" w:line="360" w:lineRule="auto"/>
              <w:ind w:left="0" w:leftChars="0" w:firstLine="480" w:firstLineChars="200"/>
              <w:jc w:val="both"/>
              <w:textAlignment w:val="auto"/>
              <w:rPr>
                <w:rFonts w:hint="eastAsia" w:ascii="Times New Roman" w:hAnsi="Times New Roman" w:eastAsia="宋体" w:cs="宋体"/>
                <w:color w:val="auto"/>
                <w:kern w:val="0"/>
                <w:sz w:val="24"/>
                <w:szCs w:val="22"/>
                <w:highlight w:val="none"/>
                <w:lang w:val="en-US" w:eastAsia="zh-CN" w:bidi="ar-SA"/>
              </w:rPr>
            </w:pPr>
            <w:r>
              <w:rPr>
                <w:rFonts w:hint="eastAsia" w:ascii="Times New Roman" w:hAnsi="Times New Roman" w:eastAsia="宋体" w:cs="宋体"/>
                <w:color w:val="auto"/>
                <w:kern w:val="0"/>
                <w:sz w:val="24"/>
                <w:szCs w:val="22"/>
                <w:highlight w:val="none"/>
                <w:lang w:val="en-US" w:eastAsia="zh-CN" w:bidi="ar-SA"/>
              </w:rPr>
              <w:t>开展大气污染物排放标准实施情况排查，重点区域全面实施大气污染物特别排放限值，已完成超低排放改造的应达到超低排放限值要求。</w:t>
            </w:r>
          </w:p>
          <w:p w14:paraId="18A4268D">
            <w:pPr>
              <w:widowControl w:val="0"/>
              <w:spacing w:line="360" w:lineRule="auto"/>
              <w:ind w:left="0" w:leftChars="0" w:firstLine="480" w:firstLineChars="0"/>
              <w:jc w:val="both"/>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本项目位于苏通小微创业园，</w:t>
            </w:r>
            <w:r>
              <w:rPr>
                <w:rFonts w:hint="default" w:ascii="Times New Roman" w:hAnsi="Times New Roman" w:eastAsia="宋体" w:cs="Times New Roman"/>
                <w:color w:val="auto"/>
                <w:sz w:val="24"/>
                <w:szCs w:val="24"/>
                <w:highlight w:val="none"/>
                <w:lang w:val="en-US" w:eastAsia="zh-CN" w:bidi="ar-SA"/>
              </w:rPr>
              <w:t>属于重点控制区域，本项目属于</w:t>
            </w:r>
            <w:r>
              <w:rPr>
                <w:rFonts w:hint="eastAsia" w:cs="Times New Roman"/>
                <w:color w:val="auto"/>
                <w:sz w:val="24"/>
                <w:szCs w:val="24"/>
                <w:highlight w:val="none"/>
                <w:lang w:val="en-US" w:eastAsia="zh-CN" w:bidi="ar-SA"/>
              </w:rPr>
              <w:t>建材生产项目</w:t>
            </w:r>
            <w:r>
              <w:rPr>
                <w:rFonts w:hint="default" w:ascii="Times New Roman" w:hAnsi="Times New Roman" w:eastAsia="宋体" w:cs="Times New Roman"/>
                <w:color w:val="auto"/>
                <w:sz w:val="24"/>
                <w:szCs w:val="24"/>
                <w:highlight w:val="none"/>
                <w:lang w:val="en-US" w:eastAsia="zh-CN" w:bidi="ar-SA"/>
              </w:rPr>
              <w:t>，不属于</w:t>
            </w:r>
            <w:r>
              <w:rPr>
                <w:rFonts w:hint="default" w:ascii="Times New Roman" w:hAnsi="Times New Roman" w:eastAsia="宋体" w:cs="Times New Roman"/>
                <w:color w:val="auto"/>
                <w:kern w:val="0"/>
                <w:sz w:val="24"/>
                <w:szCs w:val="22"/>
                <w:highlight w:val="none"/>
                <w:lang w:val="en-US" w:eastAsia="zh-CN" w:bidi="ar-SA"/>
              </w:rPr>
              <w:t>钢铁、有色金属、化工等重点行业。</w:t>
            </w: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投料、搅拌过程</w:t>
            </w:r>
            <w:r>
              <w:rPr>
                <w:rFonts w:hint="eastAsia" w:ascii="Times New Roman" w:hAnsi="Times New Roman" w:eastAsia="宋体" w:cs="宋体"/>
                <w:snapToGrid w:val="0"/>
                <w:color w:val="auto"/>
                <w:sz w:val="24"/>
                <w:szCs w:val="21"/>
                <w:highlight w:val="none"/>
                <w:lang w:val="en-US" w:eastAsia="zh-CN" w:bidi="ar-SA"/>
              </w:rPr>
              <w:t>产生</w:t>
            </w:r>
            <w:r>
              <w:rPr>
                <w:rFonts w:hint="eastAsia" w:cs="宋体"/>
                <w:snapToGrid w:val="0"/>
                <w:color w:val="auto"/>
                <w:sz w:val="24"/>
                <w:szCs w:val="21"/>
                <w:highlight w:val="none"/>
                <w:lang w:val="en-US" w:eastAsia="zh-CN" w:bidi="ar-SA"/>
              </w:rPr>
              <w:t>颗粒物</w:t>
            </w:r>
            <w:r>
              <w:rPr>
                <w:rFonts w:hint="eastAsia" w:ascii="Times New Roman" w:hAnsi="Times New Roman" w:eastAsia="宋体" w:cs="宋体"/>
                <w:snapToGrid w:val="0"/>
                <w:color w:val="auto"/>
                <w:sz w:val="24"/>
                <w:szCs w:val="21"/>
                <w:highlight w:val="none"/>
                <w:lang w:val="en-US" w:eastAsia="zh-CN" w:bidi="ar-SA"/>
              </w:rPr>
              <w:t>的环节设置集气罩收集后</w:t>
            </w:r>
            <w:r>
              <w:rPr>
                <w:rFonts w:hint="eastAsia" w:cs="宋体"/>
                <w:color w:val="auto"/>
                <w:highlight w:val="none"/>
                <w:lang w:val="en-US" w:eastAsia="zh-CN"/>
              </w:rPr>
              <w:t>通过</w:t>
            </w:r>
            <w:r>
              <w:rPr>
                <w:rFonts w:hint="eastAsia" w:eastAsia="宋体" w:cs="宋体"/>
                <w:color w:val="auto"/>
                <w:highlight w:val="none"/>
                <w:lang w:val="en-US" w:eastAsia="zh-CN"/>
              </w:rPr>
              <w:t>“</w:t>
            </w:r>
            <w:r>
              <w:rPr>
                <w:rFonts w:hint="eastAsia" w:cs="宋体"/>
                <w:color w:val="auto"/>
                <w:highlight w:val="none"/>
                <w:lang w:val="en-US" w:eastAsia="zh-CN"/>
              </w:rPr>
              <w:t>布袋除尘器</w:t>
            </w:r>
            <w:r>
              <w:rPr>
                <w:rFonts w:hint="eastAsia" w:eastAsia="宋体" w:cs="宋体"/>
                <w:color w:val="auto"/>
                <w:highlight w:val="none"/>
                <w:lang w:val="en-US" w:eastAsia="zh-CN"/>
              </w:rPr>
              <w:t>+15m高排气筒”</w:t>
            </w:r>
            <w:r>
              <w:rPr>
                <w:rFonts w:hint="eastAsia" w:cs="宋体"/>
                <w:color w:val="auto"/>
                <w:highlight w:val="none"/>
                <w:lang w:val="en-US" w:eastAsia="zh-CN"/>
              </w:rPr>
              <w:t>处理</w:t>
            </w:r>
            <w:r>
              <w:rPr>
                <w:rFonts w:hint="eastAsia" w:cs="宋体"/>
                <w:snapToGrid w:val="0"/>
                <w:color w:val="auto"/>
                <w:sz w:val="24"/>
                <w:szCs w:val="21"/>
                <w:highlight w:val="none"/>
                <w:lang w:val="en-US" w:eastAsia="zh-CN" w:bidi="ar-SA"/>
              </w:rPr>
              <w:t>；少量颗粒物通过加强封闭式作业控制，有组织以及厂界无组织颗粒物均能</w:t>
            </w:r>
            <w:r>
              <w:rPr>
                <w:rFonts w:hint="eastAsia" w:cs="宋体"/>
                <w:color w:val="auto"/>
                <w:highlight w:val="none"/>
                <w:lang w:val="en-US" w:eastAsia="zh-CN"/>
              </w:rPr>
              <w:t>满足《水泥工业大气污染物排放标准》(GB 4915-2013 ），落实</w:t>
            </w:r>
            <w:r>
              <w:rPr>
                <w:rFonts w:hint="eastAsia" w:ascii="Times New Roman" w:hAnsi="Times New Roman" w:eastAsia="宋体" w:cs="宋体"/>
                <w:color w:val="auto"/>
                <w:kern w:val="0"/>
                <w:sz w:val="24"/>
                <w:szCs w:val="22"/>
                <w:highlight w:val="none"/>
                <w:lang w:val="en-US" w:eastAsia="zh-CN" w:bidi="ar-SA"/>
              </w:rPr>
              <w:t>大气污染物特别排放限值</w:t>
            </w:r>
            <w:r>
              <w:rPr>
                <w:rFonts w:hint="eastAsia" w:cs="宋体"/>
                <w:color w:val="auto"/>
                <w:highlight w:val="none"/>
                <w:lang w:val="en-US" w:eastAsia="zh-CN"/>
              </w:rPr>
              <w:t>，</w:t>
            </w:r>
            <w:r>
              <w:rPr>
                <w:rFonts w:hint="default" w:ascii="Times New Roman" w:hAnsi="Times New Roman" w:eastAsia="宋体" w:cs="Times New Roman"/>
                <w:color w:val="auto"/>
                <w:sz w:val="24"/>
                <w:szCs w:val="24"/>
                <w:highlight w:val="none"/>
                <w:lang w:val="en-US" w:eastAsia="zh-CN" w:bidi="ar-SA"/>
              </w:rPr>
              <w:t>对周边大气环境影响较小。</w:t>
            </w:r>
            <w:r>
              <w:rPr>
                <w:rFonts w:hint="default" w:ascii="Times New Roman" w:hAnsi="Times New Roman" w:eastAsia="宋体" w:cs="Times New Roman"/>
                <w:color w:val="auto"/>
                <w:kern w:val="0"/>
                <w:sz w:val="24"/>
                <w:szCs w:val="22"/>
                <w:highlight w:val="none"/>
                <w:lang w:val="en-US" w:eastAsia="zh-CN" w:bidi="ar-SA"/>
              </w:rPr>
              <w:t>因此本项目满足《关于开展自治区2022年度夏秋季大气污染防治</w:t>
            </w:r>
            <w:r>
              <w:rPr>
                <w:rFonts w:hint="eastAsia" w:ascii="Times New Roman" w:hAnsi="Times New Roman" w:eastAsia="宋体" w:cs="Times New Roman"/>
                <w:color w:val="auto"/>
                <w:kern w:val="0"/>
                <w:sz w:val="24"/>
                <w:szCs w:val="22"/>
                <w:highlight w:val="none"/>
                <w:lang w:val="en-US" w:eastAsia="zh-CN" w:bidi="ar-SA"/>
              </w:rPr>
              <w:t>“</w:t>
            </w:r>
            <w:r>
              <w:rPr>
                <w:rFonts w:hint="default" w:ascii="Times New Roman" w:hAnsi="Times New Roman" w:eastAsia="宋体" w:cs="Times New Roman"/>
                <w:color w:val="auto"/>
                <w:kern w:val="0"/>
                <w:sz w:val="24"/>
                <w:szCs w:val="22"/>
                <w:highlight w:val="none"/>
                <w:lang w:val="en-US" w:eastAsia="zh-CN" w:bidi="ar-SA"/>
              </w:rPr>
              <w:t>冬病夏治</w:t>
            </w:r>
            <w:r>
              <w:rPr>
                <w:rFonts w:hint="eastAsia" w:ascii="Times New Roman" w:hAnsi="Times New Roman" w:eastAsia="宋体" w:cs="Times New Roman"/>
                <w:color w:val="auto"/>
                <w:kern w:val="0"/>
                <w:sz w:val="24"/>
                <w:szCs w:val="22"/>
                <w:highlight w:val="none"/>
                <w:lang w:val="en-US" w:eastAsia="zh-CN" w:bidi="ar-SA"/>
              </w:rPr>
              <w:t>”</w:t>
            </w:r>
            <w:r>
              <w:rPr>
                <w:rFonts w:hint="default" w:ascii="Times New Roman" w:hAnsi="Times New Roman" w:eastAsia="宋体" w:cs="Times New Roman"/>
                <w:color w:val="auto"/>
                <w:kern w:val="0"/>
                <w:sz w:val="24"/>
                <w:szCs w:val="22"/>
                <w:highlight w:val="none"/>
                <w:lang w:val="en-US" w:eastAsia="zh-CN" w:bidi="ar-SA"/>
              </w:rPr>
              <w:t>工作的通知》（新环大气发</w:t>
            </w:r>
            <w:r>
              <w:rPr>
                <w:rFonts w:hint="eastAsia" w:cs="Times New Roman"/>
                <w:color w:val="auto"/>
                <w:kern w:val="0"/>
                <w:sz w:val="24"/>
                <w:szCs w:val="22"/>
                <w:highlight w:val="none"/>
                <w:lang w:val="en-US" w:eastAsia="zh-CN" w:bidi="ar-SA"/>
              </w:rPr>
              <w:t>〔2022〕483号</w:t>
            </w:r>
            <w:r>
              <w:rPr>
                <w:rFonts w:hint="default" w:ascii="Times New Roman" w:hAnsi="Times New Roman" w:eastAsia="宋体" w:cs="Times New Roman"/>
                <w:color w:val="auto"/>
                <w:kern w:val="0"/>
                <w:sz w:val="24"/>
                <w:szCs w:val="22"/>
                <w:highlight w:val="none"/>
                <w:lang w:val="en-US" w:eastAsia="zh-CN" w:bidi="ar-SA"/>
              </w:rPr>
              <w:t>）要求。</w:t>
            </w:r>
          </w:p>
          <w:p w14:paraId="4EF5EC70">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default" w:ascii="Times New Roman" w:hAnsi="Times New Roman" w:eastAsia="宋体" w:cs="黑体"/>
                <w:b/>
                <w:color w:val="auto"/>
                <w:sz w:val="28"/>
                <w:szCs w:val="30"/>
                <w:lang w:val="en-US" w:eastAsia="zh-CN" w:bidi="ar-SA"/>
              </w:rPr>
            </w:pPr>
            <w:r>
              <w:rPr>
                <w:rFonts w:hint="eastAsia" w:cs="黑体"/>
                <w:b/>
                <w:color w:val="auto"/>
                <w:sz w:val="28"/>
                <w:szCs w:val="30"/>
                <w:highlight w:val="none"/>
                <w:lang w:val="en-US" w:eastAsia="zh-CN" w:bidi="ar-SA"/>
              </w:rPr>
              <w:t>6、</w:t>
            </w:r>
            <w:r>
              <w:rPr>
                <w:rFonts w:hint="eastAsia" w:ascii="Times New Roman" w:hAnsi="Times New Roman" w:eastAsia="宋体" w:cs="黑体"/>
                <w:b/>
                <w:color w:val="auto"/>
                <w:sz w:val="28"/>
                <w:szCs w:val="30"/>
                <w:lang w:val="en-US" w:eastAsia="zh-CN" w:bidi="ar-SA"/>
              </w:rPr>
              <w:t>与《新疆维吾尔自治区大气污染防治条例》符合性分析</w:t>
            </w:r>
          </w:p>
          <w:p w14:paraId="0A42C4E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auto"/>
              </w:rPr>
            </w:pPr>
            <w:r>
              <w:rPr>
                <w:rFonts w:hint="eastAsia"/>
                <w:color w:val="auto"/>
                <w:lang w:val="en-US" w:eastAsia="zh-CN"/>
              </w:rPr>
              <w:t>本项目与《新疆维吾尔自治区大气污染防治条例》中有关内容进行相符性对照，符合性分析见表1.9-1。</w:t>
            </w:r>
          </w:p>
          <w:p w14:paraId="4546C525">
            <w:pPr>
              <w:pStyle w:val="28"/>
              <w:bidi w:val="0"/>
              <w:rPr>
                <w:color w:val="auto"/>
                <w:sz w:val="21"/>
                <w:szCs w:val="21"/>
              </w:rPr>
            </w:pPr>
            <w:r>
              <w:rPr>
                <w:rFonts w:hint="eastAsia"/>
                <w:color w:val="auto"/>
                <w:sz w:val="21"/>
                <w:szCs w:val="21"/>
                <w:lang w:val="en-US" w:eastAsia="zh-CN"/>
              </w:rPr>
              <w:t>表1.9-1 与新疆维吾尔自治区大气污染防治条例符合性分析</w:t>
            </w:r>
          </w:p>
          <w:tbl>
            <w:tblPr>
              <w:tblStyle w:val="16"/>
              <w:tblW w:w="4999"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222"/>
              <w:gridCol w:w="2282"/>
              <w:gridCol w:w="834"/>
            </w:tblGrid>
            <w:tr w14:paraId="14D10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6" w:type="pct"/>
                  <w:tcBorders>
                    <w:tl2br w:val="nil"/>
                    <w:tr2bl w:val="nil"/>
                  </w:tcBorders>
                  <w:noWrap w:val="0"/>
                  <w:vAlign w:val="center"/>
                </w:tcPr>
                <w:p w14:paraId="6149521B">
                  <w:pPr>
                    <w:pStyle w:val="25"/>
                    <w:bidi w:val="0"/>
                    <w:jc w:val="center"/>
                    <w:rPr>
                      <w:rFonts w:hint="default"/>
                      <w:color w:val="auto"/>
                      <w:sz w:val="21"/>
                      <w:szCs w:val="21"/>
                      <w:lang w:val="en-US" w:eastAsia="zh-CN"/>
                    </w:rPr>
                  </w:pPr>
                  <w:r>
                    <w:rPr>
                      <w:rFonts w:hint="eastAsia"/>
                      <w:color w:val="auto"/>
                      <w:sz w:val="21"/>
                      <w:szCs w:val="21"/>
                      <w:lang w:val="en-US" w:eastAsia="zh-CN"/>
                    </w:rPr>
                    <w:t>序号</w:t>
                  </w:r>
                </w:p>
              </w:tc>
              <w:tc>
                <w:tcPr>
                  <w:tcW w:w="2325" w:type="pct"/>
                  <w:tcBorders>
                    <w:tl2br w:val="nil"/>
                    <w:tr2bl w:val="nil"/>
                  </w:tcBorders>
                  <w:noWrap w:val="0"/>
                  <w:vAlign w:val="center"/>
                </w:tcPr>
                <w:p w14:paraId="3B2F79A9">
                  <w:pPr>
                    <w:pStyle w:val="25"/>
                    <w:bidi w:val="0"/>
                    <w:jc w:val="center"/>
                    <w:rPr>
                      <w:rFonts w:hint="default"/>
                      <w:color w:val="auto"/>
                      <w:sz w:val="21"/>
                      <w:szCs w:val="21"/>
                      <w:lang w:val="en-US" w:eastAsia="zh-CN"/>
                    </w:rPr>
                  </w:pPr>
                  <w:r>
                    <w:rPr>
                      <w:rFonts w:hint="eastAsia"/>
                      <w:color w:val="auto"/>
                      <w:sz w:val="21"/>
                      <w:szCs w:val="21"/>
                      <w:lang w:val="en-US" w:eastAsia="zh-CN"/>
                    </w:rPr>
                    <w:t>文件要求</w:t>
                  </w:r>
                </w:p>
              </w:tc>
              <w:tc>
                <w:tcPr>
                  <w:tcW w:w="1647" w:type="pct"/>
                  <w:tcBorders>
                    <w:tl2br w:val="nil"/>
                    <w:tr2bl w:val="nil"/>
                  </w:tcBorders>
                  <w:noWrap w:val="0"/>
                  <w:vAlign w:val="center"/>
                </w:tcPr>
                <w:p w14:paraId="773725CC">
                  <w:pPr>
                    <w:pStyle w:val="25"/>
                    <w:bidi w:val="0"/>
                    <w:jc w:val="center"/>
                    <w:rPr>
                      <w:rFonts w:hint="default"/>
                      <w:color w:val="auto"/>
                      <w:sz w:val="21"/>
                      <w:szCs w:val="21"/>
                      <w:lang w:val="en-US" w:eastAsia="zh-CN"/>
                    </w:rPr>
                  </w:pPr>
                  <w:r>
                    <w:rPr>
                      <w:rFonts w:hint="eastAsia"/>
                      <w:color w:val="auto"/>
                      <w:sz w:val="21"/>
                      <w:szCs w:val="21"/>
                      <w:lang w:val="en-US" w:eastAsia="zh-CN"/>
                    </w:rPr>
                    <w:t>本项目工程概况</w:t>
                  </w:r>
                </w:p>
              </w:tc>
              <w:tc>
                <w:tcPr>
                  <w:tcW w:w="601" w:type="pct"/>
                  <w:tcBorders>
                    <w:tl2br w:val="nil"/>
                    <w:tr2bl w:val="nil"/>
                  </w:tcBorders>
                  <w:noWrap w:val="0"/>
                  <w:vAlign w:val="center"/>
                </w:tcPr>
                <w:p w14:paraId="5CEE177C">
                  <w:pPr>
                    <w:pStyle w:val="25"/>
                    <w:bidi w:val="0"/>
                    <w:jc w:val="center"/>
                    <w:rPr>
                      <w:rFonts w:hint="default"/>
                      <w:color w:val="auto"/>
                      <w:sz w:val="21"/>
                      <w:szCs w:val="21"/>
                      <w:lang w:val="en-US" w:eastAsia="zh-CN"/>
                    </w:rPr>
                  </w:pPr>
                  <w:r>
                    <w:rPr>
                      <w:rFonts w:hint="eastAsia"/>
                      <w:color w:val="auto"/>
                      <w:sz w:val="21"/>
                      <w:szCs w:val="21"/>
                      <w:lang w:val="en-US" w:eastAsia="zh-CN"/>
                    </w:rPr>
                    <w:t>符合性</w:t>
                  </w:r>
                </w:p>
              </w:tc>
            </w:tr>
            <w:tr w14:paraId="53E2C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pct"/>
                  <w:tcBorders>
                    <w:tl2br w:val="nil"/>
                    <w:tr2bl w:val="nil"/>
                  </w:tcBorders>
                  <w:noWrap w:val="0"/>
                  <w:vAlign w:val="center"/>
                </w:tcPr>
                <w:p w14:paraId="0CA75EE5">
                  <w:pPr>
                    <w:pStyle w:val="25"/>
                    <w:bidi w:val="0"/>
                    <w:jc w:val="center"/>
                    <w:rPr>
                      <w:rFonts w:hint="default"/>
                      <w:color w:val="auto"/>
                      <w:sz w:val="21"/>
                      <w:szCs w:val="21"/>
                      <w:lang w:val="en-US" w:eastAsia="zh-CN"/>
                    </w:rPr>
                  </w:pPr>
                  <w:r>
                    <w:rPr>
                      <w:rFonts w:hint="eastAsia"/>
                      <w:color w:val="auto"/>
                      <w:sz w:val="21"/>
                      <w:szCs w:val="21"/>
                      <w:lang w:val="en-US" w:eastAsia="zh-CN"/>
                    </w:rPr>
                    <w:t>1</w:t>
                  </w:r>
                </w:p>
              </w:tc>
              <w:tc>
                <w:tcPr>
                  <w:tcW w:w="2325" w:type="pct"/>
                  <w:tcBorders>
                    <w:bottom w:val="single" w:color="auto" w:sz="4" w:space="0"/>
                    <w:tl2br w:val="nil"/>
                    <w:tr2bl w:val="nil"/>
                  </w:tcBorders>
                  <w:noWrap w:val="0"/>
                  <w:vAlign w:val="center"/>
                </w:tcPr>
                <w:p w14:paraId="07B0C5DF">
                  <w:pPr>
                    <w:pStyle w:val="25"/>
                    <w:bidi w:val="0"/>
                    <w:jc w:val="center"/>
                    <w:rPr>
                      <w:rFonts w:hint="default"/>
                      <w:color w:val="auto"/>
                      <w:sz w:val="21"/>
                      <w:szCs w:val="21"/>
                      <w:lang w:val="en-US" w:eastAsia="zh-CN"/>
                    </w:rPr>
                  </w:pPr>
                  <w:r>
                    <w:rPr>
                      <w:rFonts w:hint="eastAsia"/>
                      <w:color w:val="auto"/>
                      <w:sz w:val="21"/>
                      <w:szCs w:val="21"/>
                      <w:lang w:val="en-US" w:eastAsia="zh-CN"/>
                    </w:rPr>
                    <w:t>禁止在自治区行政区域内引进能（水）耗不符合相关国家标准中准入值要求且污染物排放和环境风险防控不符合国家（地方）标准及有关产业准入条件的高污染（排放）、高能（水）耗、高环境风险的工业项目。</w:t>
                  </w:r>
                </w:p>
              </w:tc>
              <w:tc>
                <w:tcPr>
                  <w:tcW w:w="1647" w:type="pct"/>
                  <w:tcBorders>
                    <w:bottom w:val="single" w:color="auto" w:sz="4" w:space="0"/>
                    <w:tl2br w:val="nil"/>
                    <w:tr2bl w:val="nil"/>
                  </w:tcBorders>
                  <w:noWrap w:val="0"/>
                  <w:vAlign w:val="center"/>
                </w:tcPr>
                <w:p w14:paraId="5CA6A13F">
                  <w:pPr>
                    <w:pStyle w:val="25"/>
                    <w:bidi w:val="0"/>
                    <w:jc w:val="center"/>
                    <w:rPr>
                      <w:rFonts w:hint="default"/>
                      <w:color w:val="auto"/>
                      <w:sz w:val="21"/>
                      <w:szCs w:val="21"/>
                      <w:lang w:val="en-US" w:eastAsia="zh-CN"/>
                    </w:rPr>
                  </w:pPr>
                  <w:r>
                    <w:rPr>
                      <w:rFonts w:hint="eastAsia"/>
                      <w:color w:val="auto"/>
                      <w:sz w:val="21"/>
                      <w:szCs w:val="21"/>
                      <w:lang w:val="en-US" w:eastAsia="zh-CN"/>
                    </w:rPr>
                    <w:t>项目用电由市政电网接入供应；项目不属于高污染（排放）、高能（水）耗、高环境风险的工业项目。</w:t>
                  </w:r>
                </w:p>
              </w:tc>
              <w:tc>
                <w:tcPr>
                  <w:tcW w:w="601" w:type="pct"/>
                  <w:tcBorders>
                    <w:bottom w:val="single" w:color="auto" w:sz="4" w:space="0"/>
                    <w:tl2br w:val="nil"/>
                    <w:tr2bl w:val="nil"/>
                  </w:tcBorders>
                  <w:noWrap w:val="0"/>
                  <w:vAlign w:val="center"/>
                </w:tcPr>
                <w:p w14:paraId="03296D17">
                  <w:pPr>
                    <w:pStyle w:val="25"/>
                    <w:bidi w:val="0"/>
                    <w:jc w:val="center"/>
                    <w:rPr>
                      <w:rFonts w:hint="default"/>
                      <w:color w:val="auto"/>
                      <w:sz w:val="21"/>
                      <w:szCs w:val="21"/>
                      <w:lang w:val="en-US" w:eastAsia="zh-CN"/>
                    </w:rPr>
                  </w:pPr>
                  <w:r>
                    <w:rPr>
                      <w:rFonts w:hint="eastAsia"/>
                      <w:color w:val="auto"/>
                      <w:sz w:val="21"/>
                      <w:szCs w:val="21"/>
                      <w:lang w:val="en-US" w:eastAsia="zh-CN"/>
                    </w:rPr>
                    <w:t>符合</w:t>
                  </w:r>
                </w:p>
              </w:tc>
            </w:tr>
            <w:tr w14:paraId="54D0D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26" w:type="pct"/>
                  <w:tcBorders>
                    <w:bottom w:val="nil"/>
                    <w:tl2br w:val="nil"/>
                    <w:tr2bl w:val="nil"/>
                  </w:tcBorders>
                  <w:noWrap w:val="0"/>
                  <w:vAlign w:val="center"/>
                </w:tcPr>
                <w:p w14:paraId="56EF75EC">
                  <w:pPr>
                    <w:pStyle w:val="25"/>
                    <w:bidi w:val="0"/>
                    <w:jc w:val="center"/>
                    <w:rPr>
                      <w:rFonts w:hint="default"/>
                      <w:color w:val="auto"/>
                      <w:sz w:val="21"/>
                      <w:szCs w:val="21"/>
                      <w:lang w:val="en-US" w:eastAsia="zh-CN"/>
                    </w:rPr>
                  </w:pPr>
                  <w:r>
                    <w:rPr>
                      <w:rFonts w:hint="eastAsia"/>
                      <w:color w:val="auto"/>
                      <w:sz w:val="21"/>
                      <w:szCs w:val="21"/>
                      <w:lang w:val="en-US" w:eastAsia="zh-CN"/>
                    </w:rPr>
                    <w:t>2</w:t>
                  </w:r>
                </w:p>
              </w:tc>
              <w:tc>
                <w:tcPr>
                  <w:tcW w:w="2325" w:type="pct"/>
                  <w:tcBorders>
                    <w:top w:val="single" w:color="auto" w:sz="4" w:space="0"/>
                    <w:bottom w:val="single" w:color="auto" w:sz="4" w:space="0"/>
                    <w:tl2br w:val="nil"/>
                    <w:tr2bl w:val="nil"/>
                  </w:tcBorders>
                  <w:noWrap w:val="0"/>
                  <w:vAlign w:val="center"/>
                </w:tcPr>
                <w:p w14:paraId="0371CCCF">
                  <w:pPr>
                    <w:pStyle w:val="25"/>
                    <w:bidi w:val="0"/>
                    <w:jc w:val="center"/>
                    <w:rPr>
                      <w:rFonts w:hint="default"/>
                      <w:color w:val="auto"/>
                      <w:sz w:val="21"/>
                      <w:szCs w:val="21"/>
                      <w:lang w:val="en-US" w:eastAsia="zh-CN"/>
                    </w:rPr>
                  </w:pPr>
                  <w:r>
                    <w:rPr>
                      <w:rFonts w:hint="eastAsia"/>
                      <w:color w:val="auto"/>
                      <w:sz w:val="21"/>
                      <w:szCs w:val="21"/>
                      <w:lang w:val="en-US" w:eastAsia="zh-CN"/>
                    </w:rPr>
                    <w:t>禁止新建、改建、扩建列入淘汰类目录的高污染工业项目。禁止使用列入淘汰类目录的工艺、设备、产品。</w:t>
                  </w:r>
                </w:p>
              </w:tc>
              <w:tc>
                <w:tcPr>
                  <w:tcW w:w="1647" w:type="pct"/>
                  <w:tcBorders>
                    <w:top w:val="single" w:color="auto" w:sz="4" w:space="0"/>
                    <w:bottom w:val="single" w:color="auto" w:sz="4" w:space="0"/>
                    <w:tl2br w:val="nil"/>
                    <w:tr2bl w:val="nil"/>
                  </w:tcBorders>
                  <w:noWrap w:val="0"/>
                  <w:vAlign w:val="center"/>
                </w:tcPr>
                <w:p w14:paraId="60D03AB3">
                  <w:pPr>
                    <w:pStyle w:val="25"/>
                    <w:bidi w:val="0"/>
                    <w:jc w:val="center"/>
                    <w:rPr>
                      <w:rFonts w:hint="default"/>
                      <w:color w:val="auto"/>
                      <w:sz w:val="21"/>
                      <w:szCs w:val="21"/>
                      <w:lang w:val="en-US" w:eastAsia="zh-CN"/>
                    </w:rPr>
                  </w:pPr>
                  <w:r>
                    <w:rPr>
                      <w:rFonts w:hint="eastAsia"/>
                      <w:color w:val="auto"/>
                      <w:sz w:val="21"/>
                      <w:szCs w:val="21"/>
                      <w:lang w:val="en-US" w:eastAsia="zh-CN"/>
                    </w:rPr>
                    <w:t>根据《产业结构调整指导目录（2024年本）》内容，该项目不属于淘汰类和限制类项目，项目属于允许类。</w:t>
                  </w:r>
                </w:p>
              </w:tc>
              <w:tc>
                <w:tcPr>
                  <w:tcW w:w="601" w:type="pct"/>
                  <w:tcBorders>
                    <w:top w:val="single" w:color="auto" w:sz="4" w:space="0"/>
                    <w:bottom w:val="single" w:color="auto" w:sz="4" w:space="0"/>
                    <w:tl2br w:val="nil"/>
                    <w:tr2bl w:val="nil"/>
                  </w:tcBorders>
                  <w:noWrap w:val="0"/>
                  <w:vAlign w:val="center"/>
                </w:tcPr>
                <w:p w14:paraId="3FC6B745">
                  <w:pPr>
                    <w:pStyle w:val="25"/>
                    <w:bidi w:val="0"/>
                    <w:jc w:val="center"/>
                    <w:rPr>
                      <w:rFonts w:hint="default"/>
                      <w:color w:val="auto"/>
                      <w:sz w:val="21"/>
                      <w:szCs w:val="21"/>
                      <w:lang w:val="en-US" w:eastAsia="zh-CN"/>
                    </w:rPr>
                  </w:pPr>
                  <w:r>
                    <w:rPr>
                      <w:rFonts w:hint="eastAsia"/>
                      <w:color w:val="auto"/>
                      <w:sz w:val="21"/>
                      <w:szCs w:val="21"/>
                      <w:lang w:val="en-US" w:eastAsia="zh-CN"/>
                    </w:rPr>
                    <w:t>符合</w:t>
                  </w:r>
                </w:p>
              </w:tc>
            </w:tr>
            <w:tr w14:paraId="3E548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pct"/>
                  <w:tcBorders>
                    <w:top w:val="nil"/>
                    <w:tl2br w:val="nil"/>
                    <w:tr2bl w:val="nil"/>
                  </w:tcBorders>
                  <w:noWrap w:val="0"/>
                  <w:vAlign w:val="center"/>
                </w:tcPr>
                <w:p w14:paraId="6ED01989">
                  <w:pPr>
                    <w:pStyle w:val="25"/>
                    <w:bidi w:val="0"/>
                    <w:jc w:val="center"/>
                    <w:rPr>
                      <w:rFonts w:hint="default"/>
                      <w:color w:val="auto"/>
                      <w:sz w:val="21"/>
                      <w:szCs w:val="21"/>
                      <w:lang w:val="en-US" w:eastAsia="zh-CN"/>
                    </w:rPr>
                  </w:pPr>
                  <w:r>
                    <w:rPr>
                      <w:rFonts w:hint="eastAsia"/>
                      <w:color w:val="auto"/>
                      <w:sz w:val="21"/>
                      <w:szCs w:val="21"/>
                      <w:lang w:val="en-US" w:eastAsia="zh-CN"/>
                    </w:rPr>
                    <w:t>3</w:t>
                  </w:r>
                </w:p>
              </w:tc>
              <w:tc>
                <w:tcPr>
                  <w:tcW w:w="2325" w:type="pct"/>
                  <w:tcBorders>
                    <w:top w:val="single" w:color="auto" w:sz="4" w:space="0"/>
                    <w:tl2br w:val="nil"/>
                    <w:tr2bl w:val="nil"/>
                  </w:tcBorders>
                  <w:noWrap w:val="0"/>
                  <w:vAlign w:val="center"/>
                </w:tcPr>
                <w:p w14:paraId="49F225F8">
                  <w:pPr>
                    <w:pStyle w:val="25"/>
                    <w:bidi w:val="0"/>
                    <w:jc w:val="center"/>
                    <w:rPr>
                      <w:rFonts w:hint="default"/>
                      <w:color w:val="auto"/>
                      <w:sz w:val="21"/>
                      <w:szCs w:val="21"/>
                      <w:lang w:val="en-US" w:eastAsia="zh-CN"/>
                    </w:rPr>
                  </w:pPr>
                  <w:r>
                    <w:rPr>
                      <w:rFonts w:hint="eastAsia"/>
                      <w:color w:val="auto"/>
                      <w:sz w:val="21"/>
                      <w:szCs w:val="21"/>
                      <w:lang w:val="en-US" w:eastAsia="zh-CN"/>
                    </w:rPr>
                    <w:t>县级以上人民政府应当鼓励产业集聚发展，按照主体功能区划合理规划工业园区的布局，引导工业企业入驻工业园区。</w:t>
                  </w:r>
                </w:p>
              </w:tc>
              <w:tc>
                <w:tcPr>
                  <w:tcW w:w="1647" w:type="pct"/>
                  <w:tcBorders>
                    <w:top w:val="single" w:color="auto" w:sz="4" w:space="0"/>
                    <w:tl2br w:val="nil"/>
                    <w:tr2bl w:val="nil"/>
                  </w:tcBorders>
                  <w:noWrap w:val="0"/>
                  <w:vAlign w:val="center"/>
                </w:tcPr>
                <w:p w14:paraId="7466235A">
                  <w:pPr>
                    <w:pStyle w:val="25"/>
                    <w:bidi w:val="0"/>
                    <w:jc w:val="center"/>
                    <w:rPr>
                      <w:rFonts w:hint="default"/>
                      <w:color w:val="auto"/>
                      <w:sz w:val="21"/>
                      <w:szCs w:val="21"/>
                      <w:lang w:val="en-US" w:eastAsia="zh-CN"/>
                    </w:rPr>
                  </w:pPr>
                  <w:r>
                    <w:rPr>
                      <w:rFonts w:hint="eastAsia"/>
                      <w:color w:val="auto"/>
                      <w:sz w:val="21"/>
                      <w:szCs w:val="21"/>
                      <w:lang w:val="en-US" w:eastAsia="zh-CN"/>
                    </w:rPr>
                    <w:t>项目符合当地产业布局、符合用地类型。</w:t>
                  </w:r>
                </w:p>
              </w:tc>
              <w:tc>
                <w:tcPr>
                  <w:tcW w:w="601" w:type="pct"/>
                  <w:tcBorders>
                    <w:top w:val="single" w:color="auto" w:sz="4" w:space="0"/>
                    <w:tl2br w:val="nil"/>
                    <w:tr2bl w:val="nil"/>
                  </w:tcBorders>
                  <w:noWrap w:val="0"/>
                  <w:vAlign w:val="center"/>
                </w:tcPr>
                <w:p w14:paraId="3649AA72">
                  <w:pPr>
                    <w:pStyle w:val="25"/>
                    <w:bidi w:val="0"/>
                    <w:jc w:val="center"/>
                    <w:rPr>
                      <w:rFonts w:hint="default"/>
                      <w:color w:val="auto"/>
                      <w:sz w:val="21"/>
                      <w:szCs w:val="21"/>
                      <w:lang w:val="en-US" w:eastAsia="zh-CN"/>
                    </w:rPr>
                  </w:pPr>
                  <w:r>
                    <w:rPr>
                      <w:rFonts w:hint="eastAsia"/>
                      <w:color w:val="auto"/>
                      <w:sz w:val="21"/>
                      <w:szCs w:val="21"/>
                      <w:lang w:val="en-US" w:eastAsia="zh-CN"/>
                    </w:rPr>
                    <w:t>符合</w:t>
                  </w:r>
                </w:p>
              </w:tc>
            </w:tr>
          </w:tbl>
          <w:p w14:paraId="3289E770">
            <w:pPr>
              <w:keepNext w:val="0"/>
              <w:keepLines w:val="0"/>
              <w:pageBreakBefore w:val="0"/>
              <w:widowControl w:val="0"/>
              <w:kinsoku/>
              <w:wordWrap/>
              <w:overflowPunct w:val="0"/>
              <w:topLinePunct w:val="0"/>
              <w:autoSpaceDE w:val="0"/>
              <w:autoSpaceDN w:val="0"/>
              <w:bidi w:val="0"/>
              <w:adjustRightInd w:val="0"/>
              <w:snapToGrid w:val="0"/>
              <w:spacing w:before="0" w:after="0" w:line="480" w:lineRule="exact"/>
              <w:ind w:right="0"/>
              <w:jc w:val="both"/>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7、</w:t>
            </w:r>
            <w:r>
              <w:rPr>
                <w:rFonts w:hint="eastAsia" w:ascii="Times New Roman" w:hAnsi="Times New Roman" w:eastAsia="宋体" w:cs="黑体"/>
                <w:b/>
                <w:color w:val="auto"/>
                <w:sz w:val="28"/>
                <w:szCs w:val="30"/>
                <w:lang w:val="en-US" w:eastAsia="zh-CN" w:bidi="ar-SA"/>
              </w:rPr>
              <w:t>《关于</w:t>
            </w:r>
            <w:r>
              <w:rPr>
                <w:rFonts w:hint="eastAsia" w:cs="黑体"/>
                <w:b/>
                <w:color w:val="auto"/>
                <w:sz w:val="28"/>
                <w:szCs w:val="30"/>
                <w:lang w:val="en-US" w:eastAsia="zh-CN" w:bidi="ar-SA"/>
              </w:rPr>
              <w:t>进一步</w:t>
            </w:r>
            <w:r>
              <w:rPr>
                <w:rFonts w:hint="eastAsia" w:ascii="Times New Roman" w:hAnsi="Times New Roman" w:eastAsia="宋体" w:cs="黑体"/>
                <w:b/>
                <w:color w:val="auto"/>
                <w:sz w:val="28"/>
                <w:szCs w:val="30"/>
                <w:lang w:val="en-US" w:eastAsia="zh-CN" w:bidi="ar-SA"/>
              </w:rPr>
              <w:t>加强乌鲁木齐、昌吉、石河子、五家渠区域环境同防同治区的意见》（新政</w:t>
            </w:r>
            <w:r>
              <w:rPr>
                <w:rFonts w:hint="eastAsia" w:cs="黑体"/>
                <w:b/>
                <w:color w:val="auto"/>
                <w:sz w:val="28"/>
                <w:szCs w:val="30"/>
                <w:lang w:val="en-US" w:eastAsia="zh-CN" w:bidi="ar-SA"/>
              </w:rPr>
              <w:t>办</w:t>
            </w:r>
            <w:r>
              <w:rPr>
                <w:rFonts w:hint="eastAsia" w:ascii="Times New Roman" w:hAnsi="Times New Roman" w:eastAsia="宋体" w:cs="黑体"/>
                <w:b/>
                <w:color w:val="auto"/>
                <w:sz w:val="28"/>
                <w:szCs w:val="30"/>
                <w:lang w:val="en-US" w:eastAsia="zh-CN" w:bidi="ar-SA"/>
              </w:rPr>
              <w:t>发</w:t>
            </w:r>
            <w:r>
              <w:rPr>
                <w:rFonts w:hint="eastAsia" w:cs="黑体"/>
                <w:b/>
                <w:color w:val="auto"/>
                <w:sz w:val="28"/>
                <w:szCs w:val="30"/>
                <w:lang w:val="en-US" w:eastAsia="zh-CN" w:bidi="ar-SA"/>
              </w:rPr>
              <w:t>〔2023〕29号</w:t>
            </w:r>
            <w:r>
              <w:rPr>
                <w:rFonts w:hint="eastAsia" w:ascii="Times New Roman" w:hAnsi="Times New Roman" w:eastAsia="宋体" w:cs="黑体"/>
                <w:b/>
                <w:color w:val="auto"/>
                <w:sz w:val="28"/>
                <w:szCs w:val="30"/>
                <w:lang w:val="en-US" w:eastAsia="zh-CN" w:bidi="ar-SA"/>
              </w:rPr>
              <w:t>）符合性分析</w:t>
            </w:r>
          </w:p>
          <w:p w14:paraId="383CB8E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480" w:lineRule="exact"/>
              <w:ind w:left="0" w:right="0" w:rightChars="0" w:firstLine="480" w:firstLineChars="20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加快淘汰重点行业不符合环保要求的落后产能。严格执行节能、环保、质量、安全技术等相关法律法规和《产业结构调整指导目录》等政策</w:t>
            </w:r>
            <w:r>
              <w:rPr>
                <w:rFonts w:hint="eastAsia" w:cs="宋体"/>
                <w:color w:val="auto"/>
                <w:lang w:val="en-US" w:eastAsia="zh-CN"/>
              </w:rPr>
              <w:t>，</w:t>
            </w:r>
            <w:r>
              <w:rPr>
                <w:rFonts w:hint="eastAsia" w:ascii="Times New Roman" w:hAnsi="Times New Roman" w:eastAsia="宋体" w:cs="宋体"/>
                <w:color w:val="auto"/>
                <w:lang w:val="en-US" w:eastAsia="zh-CN"/>
              </w:rPr>
              <w:t>依法依规淘汰不符合绿色低碳转型发展要求的落后工艺技术和生产装置。对能效在基准水平以下，且难以在规定时限通过改造升级达到基准水平以上的产能，通过市场化方式、法治化手段推动其加快退出。加大钢铁、水泥、焦化、玻璃</w:t>
            </w:r>
            <w:r>
              <w:rPr>
                <w:rFonts w:hint="eastAsia" w:cs="宋体"/>
                <w:color w:val="auto"/>
                <w:lang w:val="en-US" w:eastAsia="zh-CN"/>
              </w:rPr>
              <w:t>（</w:t>
            </w:r>
            <w:r>
              <w:rPr>
                <w:rFonts w:hint="eastAsia" w:ascii="Times New Roman" w:hAnsi="Times New Roman" w:eastAsia="宋体" w:cs="宋体"/>
                <w:color w:val="auto"/>
                <w:lang w:val="en-US" w:eastAsia="zh-CN"/>
              </w:rPr>
              <w:t>光伏压延玻璃除外</w:t>
            </w:r>
            <w:r>
              <w:rPr>
                <w:rFonts w:hint="eastAsia" w:cs="宋体"/>
                <w:color w:val="auto"/>
                <w:lang w:val="en-US" w:eastAsia="zh-CN"/>
              </w:rPr>
              <w:t>）、</w:t>
            </w:r>
            <w:r>
              <w:rPr>
                <w:rFonts w:hint="eastAsia" w:ascii="Times New Roman" w:hAnsi="Times New Roman" w:eastAsia="宋体" w:cs="宋体"/>
                <w:color w:val="auto"/>
                <w:lang w:val="en-US" w:eastAsia="zh-CN"/>
              </w:rPr>
              <w:t>煤炭等行业落后产能淘汰力度。分类实施治理、搬迁、淘汰，取缔不符合国家产业政策的严重污染项目。</w:t>
            </w:r>
          </w:p>
          <w:p w14:paraId="1D211A8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480" w:lineRule="exact"/>
              <w:ind w:left="0" w:right="0" w:rightChars="0" w:firstLine="480" w:firstLineChars="20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严格污染物排放标准。全面执行《关于“</w:t>
            </w:r>
            <w:r>
              <w:rPr>
                <w:rFonts w:hint="eastAsia" w:cs="宋体"/>
                <w:color w:val="auto"/>
                <w:lang w:val="en-US" w:eastAsia="zh-CN"/>
              </w:rPr>
              <w:t>乌-</w:t>
            </w:r>
            <w:r>
              <w:rPr>
                <w:rFonts w:hint="eastAsia" w:ascii="Times New Roman" w:hAnsi="Times New Roman" w:eastAsia="宋体" w:cs="宋体"/>
                <w:color w:val="auto"/>
                <w:lang w:val="en-US" w:eastAsia="zh-CN"/>
              </w:rPr>
              <w:t>昌</w:t>
            </w:r>
            <w:r>
              <w:rPr>
                <w:rFonts w:hint="eastAsia" w:cs="宋体"/>
                <w:color w:val="auto"/>
                <w:lang w:val="en-US" w:eastAsia="zh-CN"/>
              </w:rPr>
              <w:t>-</w:t>
            </w:r>
            <w:r>
              <w:rPr>
                <w:rFonts w:hint="eastAsia" w:ascii="Times New Roman" w:hAnsi="Times New Roman" w:eastAsia="宋体" w:cs="宋体"/>
                <w:color w:val="auto"/>
                <w:lang w:val="en-US" w:eastAsia="zh-CN"/>
              </w:rPr>
              <w:t>石”区域执行大气污染物特别排放标准限值的公告》。</w:t>
            </w:r>
          </w:p>
          <w:p w14:paraId="262BE59F">
            <w:pPr>
              <w:keepNext w:val="0"/>
              <w:keepLines w:val="0"/>
              <w:pageBreakBefore w:val="0"/>
              <w:widowControl w:val="0"/>
              <w:kinsoku/>
              <w:wordWrap/>
              <w:overflowPunct/>
              <w:topLinePunct w:val="0"/>
              <w:autoSpaceDE/>
              <w:autoSpaceDN/>
              <w:bidi w:val="0"/>
              <w:adjustRightInd w:val="0"/>
              <w:snapToGrid w:val="0"/>
              <w:spacing w:before="0" w:after="0" w:line="480" w:lineRule="exact"/>
              <w:ind w:left="0" w:right="0" w:firstLine="480" w:firstLineChars="200"/>
              <w:jc w:val="both"/>
              <w:textAlignment w:val="auto"/>
              <w:rPr>
                <w:rFonts w:hint="eastAsia" w:cs="宋体"/>
                <w:snapToGrid w:val="0"/>
                <w:color w:val="auto"/>
                <w:sz w:val="24"/>
                <w:szCs w:val="21"/>
                <w:lang w:val="en-US" w:eastAsia="zh-CN" w:bidi="ar-SA"/>
              </w:rPr>
            </w:pPr>
            <w:r>
              <w:rPr>
                <w:rFonts w:hint="eastAsia" w:cs="宋体"/>
                <w:snapToGrid w:val="0"/>
                <w:color w:val="auto"/>
                <w:sz w:val="24"/>
                <w:szCs w:val="21"/>
                <w:highlight w:val="none"/>
                <w:lang w:val="en-US" w:eastAsia="zh-CN" w:bidi="ar-SA"/>
              </w:rPr>
              <w:t>本项目不属于产业结构限制类、淘汰类项目，不属于钢铁、水泥、焦化、玻璃（光伏压延玻璃除外）、煤炭</w:t>
            </w:r>
            <w:r>
              <w:rPr>
                <w:rFonts w:hint="eastAsia" w:ascii="Times New Roman" w:hAnsi="Times New Roman" w:eastAsia="宋体" w:cs="宋体"/>
                <w:color w:val="auto"/>
                <w:lang w:val="en-US" w:eastAsia="zh-CN"/>
              </w:rPr>
              <w:t>等行业。</w:t>
            </w: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投料、搅拌过程</w:t>
            </w:r>
            <w:r>
              <w:rPr>
                <w:rFonts w:hint="eastAsia" w:ascii="Times New Roman" w:hAnsi="Times New Roman" w:eastAsia="宋体" w:cs="宋体"/>
                <w:snapToGrid w:val="0"/>
                <w:color w:val="auto"/>
                <w:sz w:val="24"/>
                <w:szCs w:val="21"/>
                <w:highlight w:val="none"/>
                <w:lang w:val="en-US" w:eastAsia="zh-CN" w:bidi="ar-SA"/>
              </w:rPr>
              <w:t>产生</w:t>
            </w:r>
            <w:r>
              <w:rPr>
                <w:rFonts w:hint="eastAsia" w:cs="宋体"/>
                <w:snapToGrid w:val="0"/>
                <w:color w:val="auto"/>
                <w:sz w:val="24"/>
                <w:szCs w:val="21"/>
                <w:highlight w:val="none"/>
                <w:lang w:val="en-US" w:eastAsia="zh-CN" w:bidi="ar-SA"/>
              </w:rPr>
              <w:t>颗粒物</w:t>
            </w:r>
            <w:r>
              <w:rPr>
                <w:rFonts w:hint="eastAsia" w:ascii="Times New Roman" w:hAnsi="Times New Roman" w:eastAsia="宋体" w:cs="宋体"/>
                <w:snapToGrid w:val="0"/>
                <w:color w:val="auto"/>
                <w:sz w:val="24"/>
                <w:szCs w:val="21"/>
                <w:highlight w:val="none"/>
                <w:lang w:val="en-US" w:eastAsia="zh-CN" w:bidi="ar-SA"/>
              </w:rPr>
              <w:t>的环节设置集气罩收集后</w:t>
            </w:r>
            <w:r>
              <w:rPr>
                <w:rFonts w:hint="eastAsia" w:cs="宋体"/>
                <w:color w:val="auto"/>
                <w:highlight w:val="none"/>
                <w:lang w:val="en-US" w:eastAsia="zh-CN"/>
              </w:rPr>
              <w:t>通过</w:t>
            </w:r>
            <w:r>
              <w:rPr>
                <w:rFonts w:hint="eastAsia" w:eastAsia="宋体" w:cs="宋体"/>
                <w:color w:val="auto"/>
                <w:highlight w:val="none"/>
                <w:lang w:val="en-US" w:eastAsia="zh-CN"/>
              </w:rPr>
              <w:t>“</w:t>
            </w:r>
            <w:r>
              <w:rPr>
                <w:rFonts w:hint="eastAsia" w:cs="宋体"/>
                <w:color w:val="auto"/>
                <w:highlight w:val="none"/>
                <w:lang w:val="en-US" w:eastAsia="zh-CN"/>
              </w:rPr>
              <w:t>布袋除尘器</w:t>
            </w:r>
            <w:r>
              <w:rPr>
                <w:rFonts w:hint="eastAsia" w:eastAsia="宋体" w:cs="宋体"/>
                <w:color w:val="auto"/>
                <w:highlight w:val="none"/>
                <w:lang w:val="en-US" w:eastAsia="zh-CN"/>
              </w:rPr>
              <w:t>+15m高排气筒”</w:t>
            </w:r>
            <w:r>
              <w:rPr>
                <w:rFonts w:hint="eastAsia" w:cs="宋体"/>
                <w:color w:val="auto"/>
                <w:highlight w:val="none"/>
                <w:lang w:val="en-US" w:eastAsia="zh-CN"/>
              </w:rPr>
              <w:t>处理</w:t>
            </w:r>
            <w:r>
              <w:rPr>
                <w:rFonts w:hint="eastAsia" w:cs="宋体"/>
                <w:snapToGrid w:val="0"/>
                <w:color w:val="auto"/>
                <w:sz w:val="24"/>
                <w:szCs w:val="21"/>
                <w:highlight w:val="none"/>
                <w:lang w:val="en-US" w:eastAsia="zh-CN" w:bidi="ar-SA"/>
              </w:rPr>
              <w:t>；少量颗粒物通过加强封闭式作业控制，有组织以及厂界无组织颗粒物均能</w:t>
            </w:r>
            <w:r>
              <w:rPr>
                <w:rFonts w:hint="eastAsia" w:cs="宋体"/>
                <w:color w:val="auto"/>
                <w:highlight w:val="none"/>
                <w:lang w:val="en-US" w:eastAsia="zh-CN"/>
              </w:rPr>
              <w:t>满足《水泥工业大气污染物排放标准》(GB 4915-2013），均落实国家最新污染物排放标准，执行特别排放限值。</w:t>
            </w:r>
            <w:r>
              <w:rPr>
                <w:rFonts w:hint="eastAsia" w:ascii="Times New Roman" w:hAnsi="Times New Roman" w:eastAsia="宋体" w:cs="宋体"/>
                <w:color w:val="auto"/>
                <w:lang w:val="en-US" w:eastAsia="zh-CN"/>
              </w:rPr>
              <w:t>因此符合《关于进一步加强乌鲁木齐、昌吉、石河子、五家渠区域环境同防同治区的意见》（新政办发</w:t>
            </w:r>
            <w:r>
              <w:rPr>
                <w:rFonts w:hint="eastAsia" w:cs="宋体"/>
                <w:color w:val="auto"/>
                <w:lang w:val="en-US" w:eastAsia="zh-CN"/>
              </w:rPr>
              <w:t>〔2023〕29号</w:t>
            </w:r>
            <w:r>
              <w:rPr>
                <w:rFonts w:hint="eastAsia" w:ascii="Times New Roman" w:hAnsi="Times New Roman" w:eastAsia="宋体" w:cs="宋体"/>
                <w:color w:val="auto"/>
                <w:lang w:val="en-US" w:eastAsia="zh-CN"/>
              </w:rPr>
              <w:t>）。</w:t>
            </w:r>
          </w:p>
          <w:p w14:paraId="3468304D">
            <w:pPr>
              <w:keepNext w:val="0"/>
              <w:keepLines w:val="0"/>
              <w:pageBreakBefore w:val="0"/>
              <w:widowControl w:val="0"/>
              <w:kinsoku/>
              <w:wordWrap/>
              <w:overflowPunct/>
              <w:topLinePunct w:val="0"/>
              <w:autoSpaceDE/>
              <w:autoSpaceDN/>
              <w:bidi w:val="0"/>
              <w:adjustRightInd w:val="0"/>
              <w:snapToGrid w:val="0"/>
              <w:spacing w:before="0" w:after="0" w:line="480" w:lineRule="exact"/>
              <w:ind w:right="0"/>
              <w:jc w:val="both"/>
              <w:textAlignment w:val="auto"/>
              <w:rPr>
                <w:rFonts w:hint="eastAsia" w:ascii="Times New Roman" w:hAnsi="Times New Roman" w:eastAsia="宋体" w:cs="黑体"/>
                <w:b/>
                <w:color w:val="auto"/>
                <w:sz w:val="28"/>
                <w:szCs w:val="30"/>
                <w:highlight w:val="none"/>
                <w:lang w:val="en-US" w:eastAsia="zh-CN" w:bidi="ar-SA"/>
              </w:rPr>
            </w:pPr>
            <w:r>
              <w:rPr>
                <w:rFonts w:hint="eastAsia" w:cs="黑体"/>
                <w:b/>
                <w:color w:val="auto"/>
                <w:sz w:val="28"/>
                <w:szCs w:val="30"/>
                <w:highlight w:val="none"/>
                <w:lang w:val="en-US" w:eastAsia="zh-CN" w:bidi="ar-SA"/>
              </w:rPr>
              <w:t>8、</w:t>
            </w:r>
            <w:r>
              <w:rPr>
                <w:rFonts w:hint="eastAsia" w:ascii="Times New Roman" w:hAnsi="Times New Roman" w:eastAsia="宋体" w:cs="黑体"/>
                <w:b/>
                <w:color w:val="auto"/>
                <w:sz w:val="28"/>
                <w:szCs w:val="30"/>
                <w:highlight w:val="none"/>
                <w:lang w:val="en-US" w:eastAsia="zh-CN" w:bidi="ar-SA"/>
              </w:rPr>
              <w:t>《国务院关于印发〈空气质量持续改善行动计划</w:t>
            </w:r>
            <w:r>
              <w:rPr>
                <w:rFonts w:hint="eastAsia" w:cs="黑体"/>
                <w:b/>
                <w:color w:val="auto"/>
                <w:sz w:val="28"/>
                <w:szCs w:val="30"/>
                <w:highlight w:val="none"/>
                <w:lang w:val="en-US" w:eastAsia="zh-CN" w:bidi="ar-SA"/>
              </w:rPr>
              <w:t>〉的通知》</w:t>
            </w:r>
            <w:r>
              <w:rPr>
                <w:rFonts w:hint="eastAsia" w:ascii="Times New Roman" w:hAnsi="Times New Roman" w:eastAsia="宋体" w:cs="黑体"/>
                <w:b/>
                <w:color w:val="auto"/>
                <w:sz w:val="28"/>
                <w:szCs w:val="30"/>
                <w:highlight w:val="none"/>
                <w:lang w:val="en-US" w:eastAsia="zh-CN" w:bidi="ar-SA"/>
              </w:rPr>
              <w:t>（国发</w:t>
            </w:r>
            <w:r>
              <w:rPr>
                <w:rFonts w:hint="eastAsia" w:cs="黑体"/>
                <w:b/>
                <w:color w:val="auto"/>
                <w:sz w:val="28"/>
                <w:szCs w:val="30"/>
                <w:highlight w:val="none"/>
                <w:lang w:val="en-US" w:eastAsia="zh-CN" w:bidi="ar-SA"/>
              </w:rPr>
              <w:t>〔2023〕24号</w:t>
            </w:r>
            <w:r>
              <w:rPr>
                <w:rFonts w:hint="eastAsia" w:ascii="Times New Roman" w:hAnsi="Times New Roman" w:eastAsia="宋体" w:cs="黑体"/>
                <w:b/>
                <w:color w:val="auto"/>
                <w:sz w:val="28"/>
                <w:szCs w:val="30"/>
                <w:highlight w:val="none"/>
                <w:lang w:val="en-US" w:eastAsia="zh-CN" w:bidi="ar-SA"/>
              </w:rPr>
              <w:t>）符合性分析</w:t>
            </w:r>
          </w:p>
          <w:p w14:paraId="4230DCC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480" w:lineRule="exact"/>
              <w:ind w:left="0" w:right="0" w:rightChars="0" w:firstLine="480" w:firstLineChars="200"/>
              <w:jc w:val="both"/>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536A9F6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480" w:lineRule="exact"/>
              <w:ind w:left="0" w:right="0" w:rightChars="0" w:firstLine="480" w:firstLineChars="20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highlight w:val="none"/>
                <w:lang w:val="en-US" w:eastAsia="zh-CN"/>
              </w:rPr>
              <w:t>加快退出重点行业落后产能。修订《产业结构调整指导目录》，研究将污染物或温室气体排放明显高出行业平均水平、能效和清洁生产水平低的工艺和装备纳入淘汰类和限制类名单。重点</w:t>
            </w:r>
            <w:r>
              <w:rPr>
                <w:rFonts w:hint="eastAsia" w:ascii="Times New Roman" w:hAnsi="Times New Roman" w:eastAsia="宋体" w:cs="宋体"/>
                <w:color w:val="auto"/>
                <w:lang w:val="en-US" w:eastAsia="zh-CN"/>
              </w:rPr>
              <w:t>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p w14:paraId="22290EF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480" w:lineRule="exact"/>
              <w:ind w:left="0" w:right="0" w:rightChars="0" w:firstLine="480" w:firstLineChars="20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p w14:paraId="371F24FE">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default" w:cs="宋体"/>
                <w:snapToGrid w:val="0"/>
                <w:color w:val="auto"/>
                <w:sz w:val="24"/>
                <w:szCs w:val="21"/>
                <w:lang w:val="en-US" w:eastAsia="zh-CN" w:bidi="ar-SA"/>
              </w:rPr>
            </w:pPr>
            <w:r>
              <w:rPr>
                <w:rFonts w:hint="eastAsia" w:cs="宋体"/>
                <w:snapToGrid w:val="0"/>
                <w:color w:val="auto"/>
                <w:sz w:val="24"/>
                <w:szCs w:val="21"/>
                <w:highlight w:val="none"/>
                <w:lang w:val="en-US" w:eastAsia="zh-CN" w:bidi="ar-SA"/>
              </w:rPr>
              <w:t>本项目不属于产业结构限制类、淘汰类项目，不属于高耗能、高排放、低水平项目，不属于</w:t>
            </w:r>
            <w:r>
              <w:rPr>
                <w:rFonts w:hint="eastAsia" w:ascii="Times New Roman" w:hAnsi="Times New Roman" w:eastAsia="宋体" w:cs="宋体"/>
                <w:color w:val="auto"/>
                <w:lang w:val="en-US" w:eastAsia="zh-CN"/>
              </w:rPr>
              <w:t>钢铁、焦化、电解铝等产业。</w:t>
            </w: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投料、搅拌过程</w:t>
            </w:r>
            <w:r>
              <w:rPr>
                <w:rFonts w:hint="eastAsia" w:ascii="Times New Roman" w:hAnsi="Times New Roman" w:eastAsia="宋体" w:cs="宋体"/>
                <w:snapToGrid w:val="0"/>
                <w:color w:val="auto"/>
                <w:sz w:val="24"/>
                <w:szCs w:val="21"/>
                <w:highlight w:val="none"/>
                <w:lang w:val="en-US" w:eastAsia="zh-CN" w:bidi="ar-SA"/>
              </w:rPr>
              <w:t>产生</w:t>
            </w:r>
            <w:r>
              <w:rPr>
                <w:rFonts w:hint="eastAsia" w:cs="宋体"/>
                <w:snapToGrid w:val="0"/>
                <w:color w:val="auto"/>
                <w:sz w:val="24"/>
                <w:szCs w:val="21"/>
                <w:highlight w:val="none"/>
                <w:lang w:val="en-US" w:eastAsia="zh-CN" w:bidi="ar-SA"/>
              </w:rPr>
              <w:t>颗粒物</w:t>
            </w:r>
            <w:r>
              <w:rPr>
                <w:rFonts w:hint="eastAsia" w:ascii="Times New Roman" w:hAnsi="Times New Roman" w:eastAsia="宋体" w:cs="宋体"/>
                <w:snapToGrid w:val="0"/>
                <w:color w:val="auto"/>
                <w:sz w:val="24"/>
                <w:szCs w:val="21"/>
                <w:highlight w:val="none"/>
                <w:lang w:val="en-US" w:eastAsia="zh-CN" w:bidi="ar-SA"/>
              </w:rPr>
              <w:t>的环节设置集气罩收集后</w:t>
            </w:r>
            <w:r>
              <w:rPr>
                <w:rFonts w:hint="eastAsia" w:cs="宋体"/>
                <w:color w:val="auto"/>
                <w:highlight w:val="none"/>
                <w:lang w:val="en-US" w:eastAsia="zh-CN"/>
              </w:rPr>
              <w:t>通过</w:t>
            </w:r>
            <w:r>
              <w:rPr>
                <w:rFonts w:hint="eastAsia" w:eastAsia="宋体" w:cs="宋体"/>
                <w:color w:val="auto"/>
                <w:highlight w:val="none"/>
                <w:lang w:val="en-US" w:eastAsia="zh-CN"/>
              </w:rPr>
              <w:t>“</w:t>
            </w:r>
            <w:r>
              <w:rPr>
                <w:rFonts w:hint="eastAsia" w:cs="宋体"/>
                <w:color w:val="auto"/>
                <w:highlight w:val="none"/>
                <w:lang w:val="en-US" w:eastAsia="zh-CN"/>
              </w:rPr>
              <w:t>布袋除尘器</w:t>
            </w:r>
            <w:r>
              <w:rPr>
                <w:rFonts w:hint="eastAsia" w:eastAsia="宋体" w:cs="宋体"/>
                <w:color w:val="auto"/>
                <w:highlight w:val="none"/>
                <w:lang w:val="en-US" w:eastAsia="zh-CN"/>
              </w:rPr>
              <w:t>+15m高排气筒”</w:t>
            </w:r>
            <w:r>
              <w:rPr>
                <w:rFonts w:hint="eastAsia" w:cs="宋体"/>
                <w:color w:val="auto"/>
                <w:highlight w:val="none"/>
                <w:lang w:val="en-US" w:eastAsia="zh-CN"/>
              </w:rPr>
              <w:t>处理</w:t>
            </w:r>
            <w:r>
              <w:rPr>
                <w:rFonts w:hint="eastAsia" w:cs="宋体"/>
                <w:snapToGrid w:val="0"/>
                <w:color w:val="auto"/>
                <w:sz w:val="24"/>
                <w:szCs w:val="21"/>
                <w:highlight w:val="none"/>
                <w:lang w:val="en-US" w:eastAsia="zh-CN" w:bidi="ar-SA"/>
              </w:rPr>
              <w:t>；少量颗粒物通过加强封闭式作业控制，有组织以及厂界无组织颗粒物均能</w:t>
            </w:r>
            <w:r>
              <w:rPr>
                <w:rFonts w:hint="eastAsia" w:cs="宋体"/>
                <w:color w:val="auto"/>
                <w:highlight w:val="none"/>
                <w:lang w:val="en-US" w:eastAsia="zh-CN"/>
              </w:rPr>
              <w:t>满足《水泥工业大气污染物排放标准》(GB 4915-2013），落实</w:t>
            </w:r>
            <w:r>
              <w:rPr>
                <w:rFonts w:hint="eastAsia" w:ascii="Times New Roman" w:hAnsi="Times New Roman" w:eastAsia="宋体" w:cs="宋体"/>
                <w:color w:val="auto"/>
                <w:kern w:val="0"/>
                <w:sz w:val="24"/>
                <w:szCs w:val="22"/>
                <w:highlight w:val="none"/>
                <w:lang w:val="en-US" w:eastAsia="zh-CN" w:bidi="ar-SA"/>
              </w:rPr>
              <w:t>大气污染物特别排放限值</w:t>
            </w:r>
            <w:r>
              <w:rPr>
                <w:rFonts w:hint="eastAsia" w:cs="宋体"/>
                <w:color w:val="auto"/>
                <w:highlight w:val="none"/>
                <w:lang w:val="en-US" w:eastAsia="zh-CN"/>
              </w:rPr>
              <w:t>，</w:t>
            </w:r>
            <w:r>
              <w:rPr>
                <w:rFonts w:hint="default" w:ascii="Times New Roman" w:hAnsi="Times New Roman" w:eastAsia="宋体" w:cs="Times New Roman"/>
                <w:color w:val="auto"/>
                <w:sz w:val="24"/>
                <w:szCs w:val="24"/>
                <w:highlight w:val="none"/>
                <w:lang w:val="en-US" w:eastAsia="zh-CN" w:bidi="ar-SA"/>
              </w:rPr>
              <w:t>对周边大气环境影响较小。</w:t>
            </w:r>
            <w:r>
              <w:rPr>
                <w:rFonts w:hint="eastAsia" w:cs="Times New Roman"/>
                <w:color w:val="auto"/>
                <w:sz w:val="24"/>
                <w:szCs w:val="24"/>
                <w:highlight w:val="none"/>
                <w:lang w:val="en-US" w:eastAsia="zh-CN" w:bidi="ar-SA"/>
              </w:rPr>
              <w:t>因此满足《国务院关于印发〈空气质量持续改善行动计划〉的通知》（国发〔2023〕24号）要求。</w:t>
            </w:r>
          </w:p>
          <w:p w14:paraId="533D84E2">
            <w:pPr>
              <w:keepNext w:val="0"/>
              <w:keepLines w:val="0"/>
              <w:pageBreakBefore w:val="0"/>
              <w:widowControl w:val="0"/>
              <w:kinsoku/>
              <w:wordWrap/>
              <w:overflowPunct w:val="0"/>
              <w:topLinePunct w:val="0"/>
              <w:autoSpaceDE w:val="0"/>
              <w:autoSpaceDN w:val="0"/>
              <w:bidi w:val="0"/>
              <w:adjustRightInd w:val="0"/>
              <w:snapToGrid w:val="0"/>
              <w:spacing w:line="480" w:lineRule="exact"/>
              <w:ind w:firstLine="480" w:firstLineChars="200"/>
              <w:textAlignment w:val="auto"/>
              <w:rPr>
                <w:rFonts w:hint="eastAsia" w:eastAsia="宋体" w:cs="Times New Roman"/>
                <w:color w:val="auto"/>
                <w:kern w:val="2"/>
                <w:highlight w:val="none"/>
                <w:lang w:val="en-US" w:eastAsia="zh-CN"/>
              </w:rPr>
            </w:pPr>
            <w:r>
              <w:rPr>
                <w:rFonts w:hint="eastAsia" w:eastAsia="宋体" w:cs="Times New Roman"/>
                <w:color w:val="auto"/>
                <w:kern w:val="2"/>
                <w:lang w:val="en-US" w:eastAsia="zh-CN"/>
              </w:rPr>
              <w:t>综上，本项目建设符合行业技术规范</w:t>
            </w:r>
            <w:r>
              <w:rPr>
                <w:rFonts w:hint="eastAsia" w:ascii="Times New Roman" w:hAnsi="Times New Roman" w:eastAsia="宋体" w:cs="Times New Roman"/>
                <w:color w:val="auto"/>
                <w:kern w:val="2"/>
                <w:lang w:val="en-US" w:eastAsia="zh-CN"/>
              </w:rPr>
              <w:t>相关要求。</w:t>
            </w:r>
          </w:p>
          <w:p w14:paraId="0E6D549E">
            <w:pPr>
              <w:keepNext w:val="0"/>
              <w:keepLines w:val="0"/>
              <w:pageBreakBefore w:val="0"/>
              <w:widowControl w:val="0"/>
              <w:kinsoku/>
              <w:wordWrap/>
              <w:overflowPunct/>
              <w:topLinePunct w:val="0"/>
              <w:autoSpaceDE/>
              <w:autoSpaceDN/>
              <w:bidi w:val="0"/>
              <w:adjustRightInd w:val="0"/>
              <w:snapToGrid w:val="0"/>
              <w:spacing w:before="0" w:after="0" w:line="480" w:lineRule="exact"/>
              <w:ind w:right="0"/>
              <w:jc w:val="both"/>
              <w:textAlignment w:val="auto"/>
              <w:rPr>
                <w:rFonts w:hint="eastAsia" w:ascii="Times New Roman" w:hAnsi="Times New Roman" w:eastAsia="宋体" w:cs="黑体"/>
                <w:b/>
                <w:color w:val="auto"/>
                <w:sz w:val="28"/>
                <w:szCs w:val="30"/>
                <w:highlight w:val="none"/>
                <w:lang w:val="en-US" w:eastAsia="zh-CN" w:bidi="ar-SA"/>
              </w:rPr>
            </w:pPr>
            <w:r>
              <w:rPr>
                <w:rFonts w:hint="eastAsia" w:cs="黑体"/>
                <w:b/>
                <w:color w:val="auto"/>
                <w:sz w:val="28"/>
                <w:szCs w:val="30"/>
                <w:highlight w:val="none"/>
                <w:lang w:val="en-US" w:eastAsia="zh-CN" w:bidi="ar-SA"/>
              </w:rPr>
              <w:t>9、</w:t>
            </w:r>
            <w:r>
              <w:rPr>
                <w:rFonts w:hint="eastAsia" w:ascii="Times New Roman" w:hAnsi="Times New Roman" w:eastAsia="宋体" w:cs="黑体"/>
                <w:b/>
                <w:color w:val="auto"/>
                <w:sz w:val="28"/>
                <w:szCs w:val="30"/>
                <w:highlight w:val="none"/>
                <w:lang w:val="en-US" w:eastAsia="zh-CN" w:bidi="ar-SA"/>
              </w:rPr>
              <w:t>《新疆维吾尔自治区2025年空气质量持续改善行动实施方案</w:t>
            </w:r>
            <w:r>
              <w:rPr>
                <w:rFonts w:hint="eastAsia" w:cs="黑体"/>
                <w:b/>
                <w:color w:val="auto"/>
                <w:sz w:val="28"/>
                <w:szCs w:val="30"/>
                <w:highlight w:val="none"/>
                <w:lang w:val="en-US" w:eastAsia="zh-CN" w:bidi="ar-SA"/>
              </w:rPr>
              <w:t>》</w:t>
            </w:r>
            <w:r>
              <w:rPr>
                <w:rFonts w:hint="eastAsia" w:ascii="Times New Roman" w:hAnsi="Times New Roman" w:eastAsia="宋体" w:cs="黑体"/>
                <w:b/>
                <w:color w:val="auto"/>
                <w:sz w:val="28"/>
                <w:szCs w:val="30"/>
                <w:highlight w:val="none"/>
                <w:lang w:val="en-US" w:eastAsia="zh-CN" w:bidi="ar-SA"/>
              </w:rPr>
              <w:t>（</w:t>
            </w:r>
            <w:r>
              <w:rPr>
                <w:rFonts w:hint="eastAsia" w:cs="黑体"/>
                <w:b/>
                <w:color w:val="auto"/>
                <w:sz w:val="28"/>
                <w:szCs w:val="30"/>
                <w:highlight w:val="none"/>
                <w:lang w:val="en-US" w:eastAsia="zh-CN" w:bidi="ar-SA"/>
              </w:rPr>
              <w:t>新政发〔2024〕58号</w:t>
            </w:r>
            <w:r>
              <w:rPr>
                <w:rFonts w:hint="eastAsia" w:ascii="Times New Roman" w:hAnsi="Times New Roman" w:eastAsia="宋体" w:cs="黑体"/>
                <w:b/>
                <w:color w:val="auto"/>
                <w:sz w:val="28"/>
                <w:szCs w:val="30"/>
                <w:highlight w:val="none"/>
                <w:lang w:val="en-US" w:eastAsia="zh-CN" w:bidi="ar-SA"/>
              </w:rPr>
              <w:t>）符合性分析</w:t>
            </w:r>
          </w:p>
          <w:p w14:paraId="7C01D183">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eastAsia" w:cs="宋体"/>
                <w:snapToGrid w:val="0"/>
                <w:color w:val="auto"/>
                <w:sz w:val="24"/>
                <w:szCs w:val="21"/>
                <w:highlight w:val="none"/>
                <w:lang w:val="en-US" w:eastAsia="zh-CN" w:bidi="ar-SA"/>
              </w:rPr>
            </w:pPr>
            <w:r>
              <w:rPr>
                <w:rFonts w:hint="eastAsia" w:cs="宋体"/>
                <w:snapToGrid w:val="0"/>
                <w:color w:val="auto"/>
                <w:sz w:val="24"/>
                <w:szCs w:val="21"/>
                <w:highlight w:val="none"/>
                <w:lang w:val="en-US" w:eastAsia="zh-CN" w:bidi="ar-SA"/>
              </w:rPr>
              <w:t>（一）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p w14:paraId="1C0E8538">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eastAsia" w:cs="宋体"/>
                <w:snapToGrid w:val="0"/>
                <w:color w:val="auto"/>
                <w:sz w:val="24"/>
                <w:szCs w:val="21"/>
                <w:highlight w:val="none"/>
                <w:lang w:val="en-US" w:eastAsia="zh-CN" w:bidi="ar-SA"/>
              </w:rPr>
            </w:pPr>
            <w:r>
              <w:rPr>
                <w:rFonts w:hint="eastAsia" w:cs="宋体"/>
                <w:snapToGrid w:val="0"/>
                <w:color w:val="auto"/>
                <w:sz w:val="24"/>
                <w:szCs w:val="21"/>
                <w:highlight w:val="none"/>
                <w:lang w:val="en-US" w:eastAsia="zh-CN" w:bidi="ar-SA"/>
              </w:rPr>
              <w:t>（二）退出重点行业落后产能。严格执行《产业结构调整指导目录》，依法依规淘汰落后产能。联防联控区进一步提高落后产能能耗、环保、质量、安全、技术等要求，逐步退出限制类涉气行业工艺和装备。提升工业重点领域产能能效标杆水平，到2025年，重点行业能效标杆水平产能比例力争达到30%，能效基准水平以下产能基本清零。联防联控区淘汰炭化室高度4.3米及以下焦炉。</w:t>
            </w:r>
          </w:p>
          <w:p w14:paraId="32716F84">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eastAsia" w:cs="宋体"/>
                <w:snapToGrid w:val="0"/>
                <w:color w:val="auto"/>
                <w:sz w:val="24"/>
                <w:szCs w:val="21"/>
                <w:highlight w:val="none"/>
                <w:lang w:val="en-US" w:eastAsia="zh-CN" w:bidi="ar-SA"/>
              </w:rPr>
            </w:pPr>
            <w:r>
              <w:rPr>
                <w:rFonts w:hint="eastAsia" w:cs="宋体"/>
                <w:snapToGrid w:val="0"/>
                <w:color w:val="auto"/>
                <w:sz w:val="24"/>
                <w:szCs w:val="21"/>
                <w:highlight w:val="none"/>
                <w:lang w:val="en-US" w:eastAsia="zh-CN" w:bidi="ar-SA"/>
              </w:rPr>
              <w:t>（五）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完善联防联控区骨干电网建设，保障冬季生产网电需求。</w:t>
            </w:r>
          </w:p>
          <w:p w14:paraId="0045E207">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eastAsia" w:cs="宋体"/>
                <w:snapToGrid w:val="0"/>
                <w:color w:val="auto"/>
                <w:sz w:val="24"/>
                <w:szCs w:val="21"/>
                <w:highlight w:val="none"/>
                <w:lang w:val="en-US" w:eastAsia="zh-CN" w:bidi="ar-SA"/>
              </w:rPr>
            </w:pPr>
            <w:r>
              <w:rPr>
                <w:rFonts w:hint="eastAsia" w:cs="宋体"/>
                <w:snapToGrid w:val="0"/>
                <w:color w:val="auto"/>
                <w:sz w:val="24"/>
                <w:szCs w:val="21"/>
                <w:highlight w:val="none"/>
                <w:lang w:val="en-US" w:eastAsia="zh-CN" w:bidi="ar-SA"/>
              </w:rPr>
              <w:t>（八）持续推进散煤治理。加强天然气、电力等清洁能源保供，因地制宜成片推进清洁取暖改造，加强改造后运行管理。推进农业生产领域散煤治理。提升建筑能效水平，稳步实施既有农房节能改造。依法将整体完成清洁取暖改造的区域划定为高污染燃料禁燃区，强化散煤管控，防止散煤复烧。对暂未实施清洁取暖的地区，强化商品煤质量监管。</w:t>
            </w:r>
          </w:p>
          <w:p w14:paraId="4FF30477">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eastAsia" w:cs="宋体"/>
                <w:snapToGrid w:val="0"/>
                <w:color w:val="auto"/>
                <w:sz w:val="24"/>
                <w:szCs w:val="21"/>
                <w:highlight w:val="none"/>
                <w:lang w:val="en-US" w:eastAsia="zh-CN" w:bidi="ar-SA"/>
              </w:rPr>
            </w:pPr>
            <w:r>
              <w:rPr>
                <w:rFonts w:hint="eastAsia" w:cs="宋体"/>
                <w:snapToGrid w:val="0"/>
                <w:color w:val="auto"/>
                <w:sz w:val="24"/>
                <w:szCs w:val="21"/>
                <w:highlight w:val="none"/>
                <w:lang w:val="en-US" w:eastAsia="zh-CN" w:bidi="ar-SA"/>
              </w:rPr>
              <w:t>（十一）强化非道路移动源综合治理。建立非道路移动机械排放清单。加快推进铁路货场、物流园区、机场、工矿企业内部作业车辆和机械新能源更新改造。推动老旧铁路机车淘汰，联防联控区铁路站场及煤炭、钢铁、冶金等行业推广新能源铁路装备。到2025年，基本消除非道路移动机械及联防联控区铁路机车“冒黑烟”现象，基本淘汰第一阶段及以下排放标准的非道路移动机械；年旅客吞吐量500万人次以上机场，桥电使用率达到95%以上。</w:t>
            </w:r>
          </w:p>
          <w:p w14:paraId="6283B1F7">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eastAsia" w:cs="宋体"/>
                <w:snapToGrid w:val="0"/>
                <w:color w:val="auto"/>
                <w:sz w:val="24"/>
                <w:szCs w:val="21"/>
                <w:highlight w:val="none"/>
                <w:lang w:val="en-US" w:eastAsia="zh-CN" w:bidi="ar-SA"/>
              </w:rPr>
            </w:pPr>
            <w:r>
              <w:rPr>
                <w:rFonts w:hint="eastAsia" w:cs="宋体"/>
                <w:snapToGrid w:val="0"/>
                <w:color w:val="auto"/>
                <w:sz w:val="24"/>
                <w:szCs w:val="21"/>
                <w:highlight w:val="none"/>
                <w:lang w:val="en-US" w:eastAsia="zh-CN" w:bidi="ar-SA"/>
              </w:rPr>
              <w:t>（十三）持续强化扬尘污染综合管控。施工场地严格落实“六个百分百”要求。扬尘污染防治费用纳入工程造价，3000m2及以上建筑工地安装视频监控并接入当地监管平台。道路、水务等长距离线性工程实行分段施工。城市建成区主次干道机械化清扫率达到80%。加强城市及周边公共裸地、物料堆场等易产尘区域抑尘管理。到2025年，装配式建筑占新建建筑面积比例达到30%。</w:t>
            </w:r>
          </w:p>
          <w:p w14:paraId="2C4CBAC4">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default" w:cs="宋体"/>
                <w:snapToGrid w:val="0"/>
                <w:color w:val="auto"/>
                <w:sz w:val="24"/>
                <w:szCs w:val="21"/>
                <w:lang w:val="en-US" w:eastAsia="zh-CN" w:bidi="ar-SA"/>
              </w:rPr>
            </w:pPr>
            <w:r>
              <w:rPr>
                <w:rFonts w:hint="eastAsia" w:cs="宋体"/>
                <w:snapToGrid w:val="0"/>
                <w:color w:val="auto"/>
                <w:sz w:val="24"/>
                <w:szCs w:val="21"/>
                <w:highlight w:val="none"/>
                <w:lang w:val="en-US" w:eastAsia="zh-CN" w:bidi="ar-SA"/>
              </w:rPr>
              <w:t>本项目不属于产业结构限制类、淘汰类项目，不属于高耗能、高排放、低水平项目，生产过程仅使用电力作为生产能源，供暖依托园区供热管网</w:t>
            </w:r>
            <w:r>
              <w:rPr>
                <w:rFonts w:hint="eastAsia" w:ascii="Times New Roman" w:hAnsi="Times New Roman" w:eastAsia="宋体" w:cs="宋体"/>
                <w:color w:val="auto"/>
                <w:lang w:val="en-US" w:eastAsia="zh-CN"/>
              </w:rPr>
              <w:t>。</w:t>
            </w: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投料、搅拌过程</w:t>
            </w:r>
            <w:r>
              <w:rPr>
                <w:rFonts w:hint="eastAsia" w:ascii="Times New Roman" w:hAnsi="Times New Roman" w:eastAsia="宋体" w:cs="宋体"/>
                <w:snapToGrid w:val="0"/>
                <w:color w:val="auto"/>
                <w:sz w:val="24"/>
                <w:szCs w:val="21"/>
                <w:highlight w:val="none"/>
                <w:lang w:val="en-US" w:eastAsia="zh-CN" w:bidi="ar-SA"/>
              </w:rPr>
              <w:t>产生</w:t>
            </w:r>
            <w:r>
              <w:rPr>
                <w:rFonts w:hint="eastAsia" w:cs="宋体"/>
                <w:snapToGrid w:val="0"/>
                <w:color w:val="auto"/>
                <w:sz w:val="24"/>
                <w:szCs w:val="21"/>
                <w:highlight w:val="none"/>
                <w:lang w:val="en-US" w:eastAsia="zh-CN" w:bidi="ar-SA"/>
              </w:rPr>
              <w:t>颗粒物</w:t>
            </w:r>
            <w:r>
              <w:rPr>
                <w:rFonts w:hint="eastAsia" w:ascii="Times New Roman" w:hAnsi="Times New Roman" w:eastAsia="宋体" w:cs="宋体"/>
                <w:snapToGrid w:val="0"/>
                <w:color w:val="auto"/>
                <w:sz w:val="24"/>
                <w:szCs w:val="21"/>
                <w:highlight w:val="none"/>
                <w:lang w:val="en-US" w:eastAsia="zh-CN" w:bidi="ar-SA"/>
              </w:rPr>
              <w:t>的环节设置集气罩收集后</w:t>
            </w:r>
            <w:r>
              <w:rPr>
                <w:rFonts w:hint="eastAsia" w:cs="宋体"/>
                <w:color w:val="auto"/>
                <w:highlight w:val="none"/>
                <w:lang w:val="en-US" w:eastAsia="zh-CN"/>
              </w:rPr>
              <w:t>通过</w:t>
            </w:r>
            <w:r>
              <w:rPr>
                <w:rFonts w:hint="eastAsia" w:eastAsia="宋体" w:cs="宋体"/>
                <w:color w:val="auto"/>
                <w:highlight w:val="none"/>
                <w:lang w:val="en-US" w:eastAsia="zh-CN"/>
              </w:rPr>
              <w:t>“</w:t>
            </w:r>
            <w:r>
              <w:rPr>
                <w:rFonts w:hint="eastAsia" w:cs="宋体"/>
                <w:color w:val="auto"/>
                <w:highlight w:val="none"/>
                <w:lang w:val="en-US" w:eastAsia="zh-CN"/>
              </w:rPr>
              <w:t>布袋除尘器</w:t>
            </w:r>
            <w:r>
              <w:rPr>
                <w:rFonts w:hint="eastAsia" w:eastAsia="宋体" w:cs="宋体"/>
                <w:color w:val="auto"/>
                <w:highlight w:val="none"/>
                <w:lang w:val="en-US" w:eastAsia="zh-CN"/>
              </w:rPr>
              <w:t>+15m高排气筒”</w:t>
            </w:r>
            <w:r>
              <w:rPr>
                <w:rFonts w:hint="eastAsia" w:cs="宋体"/>
                <w:color w:val="auto"/>
                <w:highlight w:val="none"/>
                <w:lang w:val="en-US" w:eastAsia="zh-CN"/>
              </w:rPr>
              <w:t>处理</w:t>
            </w:r>
            <w:r>
              <w:rPr>
                <w:rFonts w:hint="eastAsia" w:cs="宋体"/>
                <w:snapToGrid w:val="0"/>
                <w:color w:val="auto"/>
                <w:sz w:val="24"/>
                <w:szCs w:val="21"/>
                <w:highlight w:val="none"/>
                <w:lang w:val="en-US" w:eastAsia="zh-CN" w:bidi="ar-SA"/>
              </w:rPr>
              <w:t>；少量颗粒物通过加强封闭式作业控制，有组织以及厂界无组织颗粒物均能</w:t>
            </w:r>
            <w:r>
              <w:rPr>
                <w:rFonts w:hint="eastAsia" w:cs="宋体"/>
                <w:color w:val="auto"/>
                <w:highlight w:val="none"/>
                <w:lang w:val="en-US" w:eastAsia="zh-CN"/>
              </w:rPr>
              <w:t>满足《水泥工业大气污染物排放标准》(GB 4915-2013），落实</w:t>
            </w:r>
            <w:r>
              <w:rPr>
                <w:rFonts w:hint="eastAsia" w:ascii="Times New Roman" w:hAnsi="Times New Roman" w:eastAsia="宋体" w:cs="宋体"/>
                <w:color w:val="auto"/>
                <w:kern w:val="0"/>
                <w:sz w:val="24"/>
                <w:szCs w:val="22"/>
                <w:highlight w:val="none"/>
                <w:lang w:val="en-US" w:eastAsia="zh-CN" w:bidi="ar-SA"/>
              </w:rPr>
              <w:t>大气污染物特别排放限值</w:t>
            </w:r>
            <w:r>
              <w:rPr>
                <w:rFonts w:hint="eastAsia" w:cs="宋体"/>
                <w:color w:val="auto"/>
                <w:highlight w:val="none"/>
                <w:lang w:val="en-US" w:eastAsia="zh-CN"/>
              </w:rPr>
              <w:t>，</w:t>
            </w:r>
            <w:r>
              <w:rPr>
                <w:rFonts w:hint="default" w:ascii="Times New Roman" w:hAnsi="Times New Roman" w:eastAsia="宋体" w:cs="Times New Roman"/>
                <w:color w:val="auto"/>
                <w:sz w:val="24"/>
                <w:szCs w:val="24"/>
                <w:highlight w:val="none"/>
                <w:lang w:val="en-US" w:eastAsia="zh-CN" w:bidi="ar-SA"/>
              </w:rPr>
              <w:t>对周边大气环境影响较小。</w:t>
            </w:r>
            <w:r>
              <w:rPr>
                <w:rFonts w:hint="eastAsia" w:cs="Times New Roman"/>
                <w:color w:val="auto"/>
                <w:sz w:val="24"/>
                <w:szCs w:val="24"/>
                <w:highlight w:val="none"/>
                <w:lang w:val="en-US" w:eastAsia="zh-CN" w:bidi="ar-SA"/>
              </w:rPr>
              <w:t>因此满足《新疆维吾尔自治区2025年空气质量持续改善行动实施方案》（新政发〔2024〕58号）要求。</w:t>
            </w:r>
          </w:p>
          <w:p w14:paraId="12001636">
            <w:pPr>
              <w:keepNext w:val="0"/>
              <w:keepLines w:val="0"/>
              <w:pageBreakBefore w:val="0"/>
              <w:widowControl/>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4"/>
                <w:highlight w:val="none"/>
                <w:lang w:val="en-US" w:eastAsia="zh-CN"/>
              </w:rPr>
            </w:pPr>
            <w:r>
              <w:rPr>
                <w:rFonts w:hint="eastAsia" w:cs="黑体"/>
                <w:b/>
                <w:color w:val="auto"/>
                <w:sz w:val="28"/>
                <w:szCs w:val="30"/>
                <w:highlight w:val="none"/>
                <w:lang w:val="en-US" w:eastAsia="zh-CN" w:bidi="ar-SA"/>
              </w:rPr>
              <w:t>10、</w:t>
            </w:r>
            <w:r>
              <w:rPr>
                <w:rFonts w:hint="default" w:ascii="Times New Roman" w:hAnsi="Times New Roman" w:eastAsia="宋体" w:cs="Times New Roman"/>
                <w:b/>
                <w:bCs/>
                <w:color w:val="auto"/>
                <w:sz w:val="28"/>
                <w:szCs w:val="24"/>
                <w:highlight w:val="none"/>
                <w:lang w:val="en-US" w:eastAsia="zh-CN"/>
              </w:rPr>
              <w:t>与《昌吉回族自治州生态环境保护与建设“十四五”规划》符合性分析</w:t>
            </w:r>
          </w:p>
          <w:p w14:paraId="203B5070">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《昌吉回族自治州生态环境保护与建设“十四五”规划》中提出</w:t>
            </w:r>
            <w:r>
              <w:rPr>
                <w:rFonts w:hint="eastAsia" w:cs="Times New Roman"/>
                <w:b w:val="0"/>
                <w:bCs w:val="0"/>
                <w:color w:val="auto"/>
                <w:sz w:val="24"/>
                <w:highlight w:val="none"/>
                <w:lang w:val="en-US" w:eastAsia="zh-CN"/>
              </w:rPr>
              <w:t>：</w:t>
            </w:r>
          </w:p>
          <w:p w14:paraId="0C26ADAD">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加强结构优化调整，推进经济社会绿色转型发展坚持绿色发展导向，持续推动产业结构、能源结构、交通运输结构和农业投入结构调整，促进经济社会发展全面绿色转型，不断增强生态环境质量改善的内生动力。优化调整产业结构。推动产业绿色化，依据资源承载力和环境容量，推动产业结构调整。加快发展现代煤化工、新材料、有色金属、煤炭、煤电、矿产开采及加工等优势产业，培育壮大先进装备制造、页岩油气加工、节能环保、新型建材、新能源等新兴产业和生产性服务业。优化调整能源结构。积极落实能源消费双控制度，强化节能评估审查。制定并实施《煤炭消费总量控制及重点区域煤炭消费削减行动计划（2021-2023 年）》，到 2025 年“乌-昌-石”区域在保证企业生产刚性需求的情况下，煤炭消费占一次能源消费比重有所下降。推动煤炭清洁高效利用，提高煤炭综合利用效率，提升煤矸石、粉煤灰和各种余气、余热综合利用水平。大力开发水能、风能、太阳能、地热能等可再生能源，探索氢能开发利用，加快推进煤炭替代。加快构建结构多元、供应稳定的现代绿色能源产业体系，建立健全可再生能源电力消纳保障机制。</w:t>
            </w:r>
          </w:p>
          <w:p w14:paraId="69909739">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强化大气联防联治，着力实施空气质量提升行动以“乌-昌-石”重点区域内4县市、2园区为主战场，全面落实环境空气质量强化管控九项专项行动方案，以明显降低细颗粒物（PM2.5）浓度、提升空气质量优良率为重点，以减少重污染天数为主攻方向，以采暖季为重点时段，分区控制与区域协作相结合，强化重点区域、重点行业、重点企业的污染防治，协同防治，科学施策、精准治污，明显改善环境空气质量。加强分区精准施治。对于“乌-昌-石”区域内 4 县市、2 园区，严格落实“乌-昌-石”大气污染同防同治“五统一”机制，制定大气污染源颗粒物、VOCs 等专项执法行动方案，统筹调配兵地各级环境执法力量，实行联合执法、交叉执法。奇台县和吉木萨尔县持续加强传统煤烟型污染控制，实现空气质量稳定达标或持续改善。深化工业污染治理。推进重点行业污染治理升级改造。各县市、园区电解铝、焦化、碳素等重点行业及“乌-昌-石”区域所有行业均实施特别排放限值。2023 年年底前，“乌-昌-石”区域完成钢铁、铸造等行业的超低排放改造工作，至 2025 年，其他区域全部完成钢铁、铸造等行业的超低排放运行。推进铸造、砖瓦、陶瓷、玻璃、石灰、矿物棉、独立轧钢、有色金属再生、炭素、化工、煤炭洗选、包装印刷、家具、人造板、橡胶制品、塑料制品等企业升级改造。实施工业企业物料封闭化管理专项整治，使全州各县市（园区）贮存煤炭、煤矸石、煤渣、水泥、石灰、石膏、砂土等易产生扬尘的物料全部实现密闭、密封储存，企业无组织排放等扬尘污染得到有效控制。持续推进工业源全面达标排放。</w:t>
            </w:r>
          </w:p>
          <w:p w14:paraId="04D63380">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统筹“三水”综合施治，继续实施水污染防治行动坚持污染减排与生态扩容两手发力，以改善流域水环境质量为核心，统筹水资源利用、水生态保护和水环境治理，维护流域水生态环境安全，切实保障饮用水水源安全。严格水资源管理。实行最严格的水资源管理制度。坚持“以水定城、以水定地、以水定人、以水定产”的发展思路，强化水资源承载能力刚性约束，大力推进农业、工业、城镇等领域节水，使用水方式由粗放向节约集约转变，提高用水效率。</w:t>
            </w:r>
          </w:p>
          <w:p w14:paraId="33DE8DA1">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全面加强执法监管，继续实施固废污染防治行动贯彻落实《中华人民共和国固体废物污染环境防治法》，坚持固体废物减量化、资源化、无害化和治理能力匹配化，开展危险废物三年专项整治行动，统筹推进工业和其他固体废物管理，推进塑料等白色污染治理，加快构建固体废物多元处置体系，科学推进固废危废处理设施规划和建设，充分运用先进科技和现代信息技术，加强固废危物全过程监管，不断提升固体废物和危险废物污染防治水平。加强一般固体废弃物处置。以准东为重点，统筹推动各县市及高新区、农业园区持续开展固体废物规范化管理督查考核、固体废物非法转移和倾倒排查整治，坚决禁止洋垃圾入境，推动开展塑料垃圾专项清理，持续推进废塑料加工利用行业的整治，加强废塑料回收、利用、处置等环节的环境监管，降低污染风险。加强工业固体废物堆存场所环境整治。加强危险废弃物安全处置。开展危险废物三年专项整治行动，强化危险废物经营单位和处置利用设施监督管理。严格落实危险废物经营许可、转移等管理制度，坚决打击和遏制危险废物非法转移倾倒等环境违法犯罪行为，优化危废跨区域转移审批手续等全过程监管。”</w:t>
            </w:r>
          </w:p>
          <w:p w14:paraId="6A0E73EF">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eastAsia" w:ascii="Times New Roman" w:hAnsi="Times New Roman" w:eastAsia="宋体" w:cs="宋体"/>
                <w:snapToGrid w:val="0"/>
                <w:color w:val="auto"/>
                <w:sz w:val="24"/>
                <w:szCs w:val="21"/>
                <w:lang w:val="en-US" w:eastAsia="zh-CN" w:bidi="ar-SA"/>
              </w:rPr>
            </w:pPr>
            <w:r>
              <w:rPr>
                <w:rFonts w:hint="eastAsia" w:cs="宋体"/>
                <w:snapToGrid w:val="0"/>
                <w:color w:val="auto"/>
                <w:sz w:val="24"/>
                <w:szCs w:val="21"/>
                <w:highlight w:val="none"/>
                <w:lang w:val="en-US" w:eastAsia="zh-CN" w:bidi="ar-SA"/>
              </w:rPr>
              <w:t>本项目不属于产业结构限制类、淘汰类项目，不属于高耗能、高排放、低水平项目，生产过程仅使用电力作为生产能源，供暖依托园区供热管网</w:t>
            </w:r>
            <w:r>
              <w:rPr>
                <w:rFonts w:hint="eastAsia" w:ascii="Times New Roman" w:hAnsi="Times New Roman" w:eastAsia="宋体" w:cs="宋体"/>
                <w:color w:val="auto"/>
                <w:highlight w:val="none"/>
                <w:lang w:val="en-US" w:eastAsia="zh-CN"/>
              </w:rPr>
              <w:t>。</w:t>
            </w:r>
            <w:r>
              <w:rPr>
                <w:rFonts w:hint="eastAsia" w:ascii="Times New Roman" w:hAnsi="Times New Roman" w:eastAsia="宋体" w:cs="宋体"/>
                <w:snapToGrid w:val="0"/>
                <w:color w:val="auto"/>
                <w:sz w:val="24"/>
                <w:szCs w:val="21"/>
                <w:highlight w:val="none"/>
                <w:lang w:val="en-US" w:eastAsia="zh-CN" w:bidi="ar-SA"/>
              </w:rPr>
              <w:t>本项目</w:t>
            </w:r>
            <w:r>
              <w:rPr>
                <w:rFonts w:hint="eastAsia" w:cs="宋体"/>
                <w:snapToGrid w:val="0"/>
                <w:color w:val="auto"/>
                <w:sz w:val="24"/>
                <w:szCs w:val="21"/>
                <w:highlight w:val="none"/>
                <w:lang w:val="en-US" w:eastAsia="zh-CN" w:bidi="ar-SA"/>
              </w:rPr>
              <w:t>投料、搅拌过程</w:t>
            </w:r>
            <w:r>
              <w:rPr>
                <w:rFonts w:hint="eastAsia" w:ascii="Times New Roman" w:hAnsi="Times New Roman" w:eastAsia="宋体" w:cs="宋体"/>
                <w:snapToGrid w:val="0"/>
                <w:color w:val="auto"/>
                <w:sz w:val="24"/>
                <w:szCs w:val="21"/>
                <w:highlight w:val="none"/>
                <w:lang w:val="en-US" w:eastAsia="zh-CN" w:bidi="ar-SA"/>
              </w:rPr>
              <w:t>产生</w:t>
            </w:r>
            <w:r>
              <w:rPr>
                <w:rFonts w:hint="eastAsia" w:cs="宋体"/>
                <w:snapToGrid w:val="0"/>
                <w:color w:val="auto"/>
                <w:sz w:val="24"/>
                <w:szCs w:val="21"/>
                <w:highlight w:val="none"/>
                <w:lang w:val="en-US" w:eastAsia="zh-CN" w:bidi="ar-SA"/>
              </w:rPr>
              <w:t>颗粒物</w:t>
            </w:r>
            <w:r>
              <w:rPr>
                <w:rFonts w:hint="eastAsia" w:ascii="Times New Roman" w:hAnsi="Times New Roman" w:eastAsia="宋体" w:cs="宋体"/>
                <w:snapToGrid w:val="0"/>
                <w:color w:val="auto"/>
                <w:sz w:val="24"/>
                <w:szCs w:val="21"/>
                <w:highlight w:val="none"/>
                <w:lang w:val="en-US" w:eastAsia="zh-CN" w:bidi="ar-SA"/>
              </w:rPr>
              <w:t>的环节设置集气罩收集后</w:t>
            </w:r>
            <w:r>
              <w:rPr>
                <w:rFonts w:hint="eastAsia" w:cs="宋体"/>
                <w:color w:val="auto"/>
                <w:highlight w:val="none"/>
                <w:lang w:val="en-US" w:eastAsia="zh-CN"/>
              </w:rPr>
              <w:t>通过</w:t>
            </w:r>
            <w:r>
              <w:rPr>
                <w:rFonts w:hint="eastAsia" w:eastAsia="宋体" w:cs="宋体"/>
                <w:color w:val="auto"/>
                <w:highlight w:val="none"/>
                <w:lang w:val="en-US" w:eastAsia="zh-CN"/>
              </w:rPr>
              <w:t>“</w:t>
            </w:r>
            <w:r>
              <w:rPr>
                <w:rFonts w:hint="eastAsia" w:cs="宋体"/>
                <w:color w:val="auto"/>
                <w:highlight w:val="none"/>
                <w:lang w:val="en-US" w:eastAsia="zh-CN"/>
              </w:rPr>
              <w:t>布袋除尘器</w:t>
            </w:r>
            <w:r>
              <w:rPr>
                <w:rFonts w:hint="eastAsia" w:eastAsia="宋体" w:cs="宋体"/>
                <w:color w:val="auto"/>
                <w:highlight w:val="none"/>
                <w:lang w:val="en-US" w:eastAsia="zh-CN"/>
              </w:rPr>
              <w:t>+15m高排气筒”</w:t>
            </w:r>
            <w:r>
              <w:rPr>
                <w:rFonts w:hint="eastAsia" w:cs="宋体"/>
                <w:color w:val="auto"/>
                <w:highlight w:val="none"/>
                <w:lang w:val="en-US" w:eastAsia="zh-CN"/>
              </w:rPr>
              <w:t>处理</w:t>
            </w:r>
            <w:r>
              <w:rPr>
                <w:rFonts w:hint="eastAsia" w:cs="宋体"/>
                <w:snapToGrid w:val="0"/>
                <w:color w:val="auto"/>
                <w:sz w:val="24"/>
                <w:szCs w:val="21"/>
                <w:highlight w:val="none"/>
                <w:lang w:val="en-US" w:eastAsia="zh-CN" w:bidi="ar-SA"/>
              </w:rPr>
              <w:t>；少量颗粒物通过加强封闭式作业控制，有组织以及厂界无组织颗粒物均能</w:t>
            </w:r>
            <w:r>
              <w:rPr>
                <w:rFonts w:hint="eastAsia" w:cs="宋体"/>
                <w:color w:val="auto"/>
                <w:highlight w:val="none"/>
                <w:lang w:val="en-US" w:eastAsia="zh-CN"/>
              </w:rPr>
              <w:t>满足《水泥工业大气污染物排放标准》(GB 4915-2013），落实</w:t>
            </w:r>
            <w:r>
              <w:rPr>
                <w:rFonts w:hint="eastAsia" w:ascii="Times New Roman" w:hAnsi="Times New Roman" w:eastAsia="宋体" w:cs="宋体"/>
                <w:color w:val="auto"/>
                <w:kern w:val="0"/>
                <w:sz w:val="24"/>
                <w:szCs w:val="22"/>
                <w:highlight w:val="none"/>
                <w:lang w:val="en-US" w:eastAsia="zh-CN" w:bidi="ar-SA"/>
              </w:rPr>
              <w:t>大气污染物特别排放限值</w:t>
            </w:r>
            <w:r>
              <w:rPr>
                <w:rFonts w:hint="eastAsia" w:cs="宋体"/>
                <w:color w:val="auto"/>
                <w:highlight w:val="none"/>
                <w:lang w:val="en-US" w:eastAsia="zh-CN"/>
              </w:rPr>
              <w:t>，</w:t>
            </w:r>
            <w:r>
              <w:rPr>
                <w:rFonts w:hint="default" w:ascii="Times New Roman" w:hAnsi="Times New Roman" w:eastAsia="宋体" w:cs="Times New Roman"/>
                <w:color w:val="auto"/>
                <w:sz w:val="24"/>
                <w:szCs w:val="24"/>
                <w:highlight w:val="none"/>
                <w:lang w:val="en-US" w:eastAsia="zh-CN" w:bidi="ar-SA"/>
              </w:rPr>
              <w:t>对周边大气环境影响较小。</w:t>
            </w:r>
            <w:r>
              <w:rPr>
                <w:rFonts w:hint="eastAsia" w:cs="Times New Roman"/>
                <w:color w:val="auto"/>
                <w:sz w:val="24"/>
                <w:szCs w:val="24"/>
                <w:highlight w:val="none"/>
                <w:lang w:val="en-US" w:eastAsia="zh-CN" w:bidi="ar-SA"/>
              </w:rPr>
              <w:t>一般固废暂存于生产车间内，危险废物暂存于厂区危废库内，定期交由资质单位处置。</w:t>
            </w:r>
            <w:r>
              <w:rPr>
                <w:rFonts w:hint="default" w:ascii="Times New Roman" w:hAnsi="Times New Roman" w:eastAsia="宋体" w:cs="Times New Roman"/>
                <w:b w:val="0"/>
                <w:bCs w:val="0"/>
                <w:color w:val="auto"/>
                <w:sz w:val="24"/>
                <w:highlight w:val="none"/>
                <w:lang w:val="en-US" w:eastAsia="zh-CN"/>
              </w:rPr>
              <w:t>因此本项目符合昌吉回族自治州生态环境保护与建设“十四五”规划要求。</w:t>
            </w:r>
          </w:p>
        </w:tc>
      </w:tr>
    </w:tbl>
    <w:p w14:paraId="686313E4">
      <w:pPr>
        <w:widowControl w:val="0"/>
        <w:numPr>
          <w:ilvl w:val="0"/>
          <w:numId w:val="2"/>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hint="eastAsia" w:ascii="Times New Roman" w:hAnsi="Times New Roman" w:eastAsia="宋体" w:cs="宋体"/>
          <w:b/>
          <w:color w:val="auto"/>
          <w:kern w:val="44"/>
          <w:sz w:val="28"/>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926BCB">
      <w:pPr>
        <w:widowControl w:val="0"/>
        <w:numPr>
          <w:ilvl w:val="0"/>
          <w:numId w:val="2"/>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hint="eastAsia" w:ascii="Times New Roman" w:hAnsi="Times New Roman" w:eastAsia="宋体" w:cs="宋体"/>
          <w:b/>
          <w:color w:val="auto"/>
          <w:kern w:val="44"/>
          <w:sz w:val="28"/>
          <w:szCs w:val="22"/>
          <w:lang w:val="en-US" w:eastAsia="zh-CN" w:bidi="ar-SA"/>
        </w:rPr>
      </w:pPr>
      <w:bookmarkStart w:id="6" w:name="_Toc12337"/>
      <w:r>
        <w:rPr>
          <w:rFonts w:hint="eastAsia" w:ascii="Times New Roman" w:hAnsi="Times New Roman" w:eastAsia="宋体" w:cs="宋体"/>
          <w:b/>
          <w:color w:val="auto"/>
          <w:kern w:val="44"/>
          <w:sz w:val="28"/>
          <w:szCs w:val="22"/>
          <w:lang w:val="en-US" w:eastAsia="zh-CN" w:bidi="ar-SA"/>
        </w:rPr>
        <w:t>建设项目工程分析</w:t>
      </w:r>
      <w:bookmarkEnd w:id="6"/>
    </w:p>
    <w:tbl>
      <w:tblPr>
        <w:tblStyle w:val="16"/>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8853"/>
      </w:tblGrid>
      <w:tr w14:paraId="101F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0" w:hRule="atLeast"/>
          <w:jc w:val="center"/>
        </w:trPr>
        <w:tc>
          <w:tcPr>
            <w:tcW w:w="486" w:type="dxa"/>
            <w:vAlign w:val="center"/>
          </w:tcPr>
          <w:p w14:paraId="17625AFF">
            <w:pPr>
              <w:numPr>
                <w:ilvl w:val="0"/>
                <w:numId w:val="0"/>
              </w:numPr>
              <w:overflowPunct w:val="0"/>
              <w:autoSpaceDE w:val="0"/>
              <w:autoSpaceDN w:val="0"/>
              <w:adjustRightInd w:val="0"/>
              <w:snapToGrid w:val="0"/>
              <w:spacing w:before="0" w:after="0" w:line="500" w:lineRule="exact"/>
              <w:ind w:right="0" w:rightChars="0"/>
              <w:jc w:val="both"/>
              <w:rPr>
                <w:rFonts w:hint="default" w:ascii="Times New Roman" w:hAnsi="Times New Roman" w:eastAsia="宋体" w:cs="宋体"/>
                <w:color w:val="auto"/>
                <w:vertAlign w:val="baseline"/>
                <w:lang w:val="en-US" w:eastAsia="zh-CN"/>
              </w:rPr>
            </w:pPr>
            <w:r>
              <w:rPr>
                <w:rFonts w:hint="eastAsia" w:ascii="宋体" w:hAnsi="宋体" w:eastAsia="宋体" w:cs="宋体"/>
                <w:color w:val="auto"/>
                <w:sz w:val="24"/>
                <w:szCs w:val="24"/>
                <w:lang w:val="en-US" w:eastAsia="zh-CN" w:bidi="ar-SA"/>
              </w:rPr>
              <w:t>建设内容</w:t>
            </w:r>
          </w:p>
        </w:tc>
        <w:tc>
          <w:tcPr>
            <w:tcW w:w="8585" w:type="dxa"/>
            <w:vAlign w:val="top"/>
          </w:tcPr>
          <w:p w14:paraId="649B09A3">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1、</w:t>
            </w:r>
            <w:r>
              <w:rPr>
                <w:rFonts w:hint="eastAsia" w:ascii="Times New Roman" w:hAnsi="Times New Roman" w:eastAsia="宋体" w:cs="黑体"/>
                <w:b/>
                <w:color w:val="auto"/>
                <w:sz w:val="28"/>
                <w:szCs w:val="30"/>
                <w:lang w:val="en-US" w:eastAsia="zh-CN" w:bidi="ar-SA"/>
              </w:rPr>
              <w:t>项目概况</w:t>
            </w:r>
          </w:p>
          <w:p w14:paraId="2F25C34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right="0" w:righ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项目名称：</w:t>
            </w:r>
            <w:r>
              <w:rPr>
                <w:rFonts w:hint="eastAsia" w:cs="Times New Roman"/>
                <w:color w:val="auto"/>
                <w:lang w:val="en-US" w:eastAsia="zh-CN"/>
              </w:rPr>
              <w:t>新疆美邻美佳新型建材有限公司建设年产5万吨腻子粉、10万吨瓷砖胶生产线项目</w:t>
            </w:r>
          </w:p>
          <w:p w14:paraId="2BBCFB4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leftChars="200" w:right="0" w:right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（2）建设单位：</w:t>
            </w:r>
            <w:r>
              <w:rPr>
                <w:rFonts w:hint="eastAsia" w:cs="Times New Roman"/>
                <w:color w:val="auto"/>
                <w:sz w:val="24"/>
                <w:szCs w:val="24"/>
                <w:lang w:val="en-US" w:eastAsia="zh-CN" w:bidi="ar-SA"/>
              </w:rPr>
              <w:t>新疆美邻美佳新型建材有限公司</w:t>
            </w:r>
          </w:p>
          <w:p w14:paraId="76F2ECA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lang w:val="en-US" w:eastAsia="zh-CN"/>
              </w:rPr>
            </w:pPr>
            <w:bookmarkStart w:id="7" w:name="_Toc287433051"/>
            <w:bookmarkStart w:id="8" w:name="_Toc287434123"/>
            <w:bookmarkStart w:id="9" w:name="_Toc287433921"/>
            <w:r>
              <w:rPr>
                <w:rFonts w:hint="default" w:ascii="Times New Roman" w:hAnsi="Times New Roman" w:eastAsia="宋体" w:cs="Times New Roman"/>
                <w:color w:val="auto"/>
                <w:lang w:val="en-US" w:eastAsia="zh-CN"/>
              </w:rPr>
              <w:t>（3）项目性质</w:t>
            </w:r>
            <w:bookmarkEnd w:id="7"/>
            <w:bookmarkEnd w:id="8"/>
            <w:bookmarkEnd w:id="9"/>
            <w:r>
              <w:rPr>
                <w:rFonts w:hint="default" w:ascii="Times New Roman" w:hAnsi="Times New Roman" w:eastAsia="宋体" w:cs="Times New Roman"/>
                <w:color w:val="auto"/>
                <w:lang w:val="en-US" w:eastAsia="zh-CN"/>
              </w:rPr>
              <w:t>：</w:t>
            </w:r>
            <w:r>
              <w:rPr>
                <w:rFonts w:hint="eastAsia" w:cs="Times New Roman"/>
                <w:color w:val="auto"/>
                <w:lang w:val="en-US" w:eastAsia="zh-CN"/>
              </w:rPr>
              <w:t>新建</w:t>
            </w:r>
          </w:p>
          <w:p w14:paraId="1A9BD931">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lang w:val="en-US" w:eastAsia="zh-CN"/>
              </w:rPr>
            </w:pPr>
            <w:bookmarkStart w:id="10" w:name="_Toc287433922"/>
            <w:bookmarkStart w:id="11" w:name="_Toc287433052"/>
            <w:bookmarkStart w:id="12" w:name="_Toc287434124"/>
            <w:r>
              <w:rPr>
                <w:rFonts w:hint="default" w:ascii="Times New Roman" w:hAnsi="Times New Roman" w:eastAsia="宋体" w:cs="Times New Roman"/>
                <w:color w:val="auto"/>
                <w:lang w:val="en-US" w:eastAsia="zh-CN"/>
              </w:rPr>
              <w:t>（4）建设地点</w:t>
            </w:r>
            <w:bookmarkEnd w:id="10"/>
            <w:bookmarkEnd w:id="11"/>
            <w:bookmarkEnd w:id="12"/>
            <w:r>
              <w:rPr>
                <w:rFonts w:hint="default" w:ascii="Times New Roman" w:hAnsi="Times New Roman" w:eastAsia="宋体" w:cs="Times New Roman"/>
                <w:color w:val="auto"/>
                <w:lang w:val="en-US" w:eastAsia="zh-CN"/>
              </w:rPr>
              <w:t>：</w:t>
            </w:r>
            <w:bookmarkStart w:id="13" w:name="_Toc287433923"/>
            <w:bookmarkStart w:id="14" w:name="_Toc287434125"/>
            <w:bookmarkStart w:id="15" w:name="_Toc287433053"/>
          </w:p>
          <w:p w14:paraId="1F441C93">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（5）项目投资</w:t>
            </w:r>
            <w:bookmarkEnd w:id="13"/>
            <w:bookmarkEnd w:id="14"/>
            <w:bookmarkEnd w:id="15"/>
            <w:r>
              <w:rPr>
                <w:rFonts w:hint="eastAsia" w:ascii="Times New Roman" w:hAnsi="Times New Roman" w:eastAsia="宋体" w:cs="宋体"/>
                <w:color w:val="auto"/>
                <w:lang w:val="en-US" w:eastAsia="zh-CN"/>
              </w:rPr>
              <w:t>：项目总投资</w:t>
            </w:r>
            <w:r>
              <w:rPr>
                <w:rFonts w:hint="eastAsia" w:cs="宋体"/>
                <w:color w:val="auto"/>
                <w:lang w:val="en-US" w:eastAsia="zh-CN"/>
              </w:rPr>
              <w:t>1200</w:t>
            </w:r>
            <w:r>
              <w:rPr>
                <w:rFonts w:hint="eastAsia" w:ascii="Times New Roman" w:hAnsi="Times New Roman" w:eastAsia="宋体" w:cs="宋体"/>
                <w:color w:val="auto"/>
                <w:lang w:val="en-US" w:eastAsia="zh-CN"/>
              </w:rPr>
              <w:t>万元，均为企业自有资金。</w:t>
            </w:r>
          </w:p>
          <w:p w14:paraId="3DA9F591">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宋体"/>
                <w:b w:val="0"/>
                <w:bCs w:val="0"/>
                <w:color w:val="auto"/>
                <w:highlight w:val="none"/>
                <w:lang w:val="en-US" w:eastAsia="zh-CN"/>
              </w:rPr>
            </w:pPr>
            <w:r>
              <w:rPr>
                <w:rFonts w:hint="eastAsia" w:ascii="Times New Roman" w:hAnsi="Times New Roman" w:eastAsia="宋体" w:cs="宋体"/>
                <w:b w:val="0"/>
                <w:bCs w:val="0"/>
                <w:color w:val="auto"/>
                <w:highlight w:val="none"/>
                <w:lang w:val="en-US" w:eastAsia="zh-CN"/>
              </w:rPr>
              <w:t>（6）组织结构及生产制度；年操作时间按</w:t>
            </w:r>
            <w:r>
              <w:rPr>
                <w:rFonts w:hint="eastAsia" w:cs="宋体"/>
                <w:b w:val="0"/>
                <w:bCs w:val="0"/>
                <w:color w:val="auto"/>
                <w:highlight w:val="none"/>
                <w:lang w:val="en-US" w:eastAsia="zh-CN"/>
              </w:rPr>
              <w:t>300</w:t>
            </w:r>
            <w:r>
              <w:rPr>
                <w:rFonts w:hint="eastAsia" w:ascii="Times New Roman" w:hAnsi="Times New Roman" w:eastAsia="宋体" w:cs="宋体"/>
                <w:b w:val="0"/>
                <w:bCs w:val="0"/>
                <w:color w:val="auto"/>
                <w:highlight w:val="none"/>
                <w:lang w:val="en-US" w:eastAsia="zh-CN"/>
              </w:rPr>
              <w:t>天计，每天</w:t>
            </w:r>
            <w:r>
              <w:rPr>
                <w:rFonts w:hint="eastAsia" w:cs="宋体"/>
                <w:b w:val="0"/>
                <w:bCs w:val="0"/>
                <w:color w:val="auto"/>
                <w:highlight w:val="none"/>
                <w:lang w:val="en-US" w:eastAsia="zh-CN"/>
              </w:rPr>
              <w:t>1</w:t>
            </w:r>
            <w:r>
              <w:rPr>
                <w:rFonts w:hint="eastAsia" w:ascii="Times New Roman" w:hAnsi="Times New Roman" w:eastAsia="宋体" w:cs="宋体"/>
                <w:b w:val="0"/>
                <w:bCs w:val="0"/>
                <w:color w:val="auto"/>
                <w:highlight w:val="none"/>
                <w:lang w:val="en-US" w:eastAsia="zh-CN"/>
              </w:rPr>
              <w:t>班，每班</w:t>
            </w:r>
            <w:r>
              <w:rPr>
                <w:rFonts w:hint="eastAsia" w:cs="宋体"/>
                <w:b w:val="0"/>
                <w:bCs w:val="0"/>
                <w:color w:val="auto"/>
                <w:highlight w:val="none"/>
                <w:lang w:val="en-US" w:eastAsia="zh-CN"/>
              </w:rPr>
              <w:t>8</w:t>
            </w:r>
            <w:r>
              <w:rPr>
                <w:rFonts w:hint="eastAsia" w:ascii="Times New Roman" w:hAnsi="Times New Roman" w:eastAsia="宋体" w:cs="宋体"/>
                <w:b w:val="0"/>
                <w:bCs w:val="0"/>
                <w:color w:val="auto"/>
                <w:highlight w:val="none"/>
                <w:lang w:val="en-US" w:eastAsia="zh-CN"/>
              </w:rPr>
              <w:t>小时，年运行时间</w:t>
            </w:r>
            <w:r>
              <w:rPr>
                <w:rFonts w:hint="eastAsia" w:cs="宋体"/>
                <w:b w:val="0"/>
                <w:bCs w:val="0"/>
                <w:color w:val="auto"/>
                <w:highlight w:val="none"/>
                <w:lang w:val="en-US" w:eastAsia="zh-CN"/>
              </w:rPr>
              <w:t>2400</w:t>
            </w:r>
            <w:r>
              <w:rPr>
                <w:rFonts w:hint="eastAsia" w:ascii="Times New Roman" w:hAnsi="Times New Roman" w:eastAsia="宋体" w:cs="宋体"/>
                <w:b w:val="0"/>
                <w:bCs w:val="0"/>
                <w:color w:val="auto"/>
                <w:highlight w:val="none"/>
                <w:lang w:val="en-US" w:eastAsia="zh-CN"/>
              </w:rPr>
              <w:t>小时。</w:t>
            </w:r>
          </w:p>
          <w:p w14:paraId="6492B5B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eastAsia" w:ascii="Times New Roman" w:hAnsi="Times New Roman" w:eastAsia="宋体" w:cs="宋体"/>
                <w:b w:val="0"/>
                <w:bCs w:val="0"/>
                <w:color w:val="auto"/>
                <w:highlight w:val="yellow"/>
                <w:lang w:val="en-US" w:eastAsia="zh-CN"/>
              </w:rPr>
            </w:pPr>
            <w:r>
              <w:rPr>
                <w:rFonts w:hint="eastAsia" w:ascii="Times New Roman" w:hAnsi="Times New Roman" w:eastAsia="宋体" w:cs="宋体"/>
                <w:b w:val="0"/>
                <w:bCs w:val="0"/>
                <w:color w:val="auto"/>
                <w:highlight w:val="none"/>
                <w:lang w:val="en-US" w:eastAsia="zh-CN"/>
              </w:rPr>
              <w:t>（7）劳动定员及人员培训：根据本项目生产管理的需要，本项目新增劳动</w:t>
            </w:r>
            <w:r>
              <w:rPr>
                <w:rFonts w:hint="eastAsia" w:cs="宋体"/>
                <w:b w:val="0"/>
                <w:bCs w:val="0"/>
                <w:color w:val="auto"/>
                <w:highlight w:val="none"/>
                <w:lang w:val="en-US" w:eastAsia="zh-CN"/>
              </w:rPr>
              <w:t>定员</w:t>
            </w:r>
            <w:r>
              <w:rPr>
                <w:rFonts w:hint="eastAsia" w:ascii="Times New Roman" w:hAnsi="Times New Roman" w:eastAsia="宋体" w:cs="宋体"/>
                <w:b w:val="0"/>
                <w:bCs w:val="0"/>
                <w:color w:val="auto"/>
                <w:highlight w:val="none"/>
                <w:lang w:val="en-US" w:eastAsia="zh-CN"/>
              </w:rPr>
              <w:t>为</w:t>
            </w:r>
            <w:r>
              <w:rPr>
                <w:rFonts w:hint="eastAsia" w:cs="宋体"/>
                <w:b w:val="0"/>
                <w:bCs w:val="0"/>
                <w:color w:val="auto"/>
                <w:highlight w:val="none"/>
                <w:lang w:val="en-US" w:eastAsia="zh-CN"/>
              </w:rPr>
              <w:t>20</w:t>
            </w:r>
            <w:r>
              <w:rPr>
                <w:rFonts w:hint="eastAsia" w:ascii="Times New Roman" w:hAnsi="Times New Roman" w:eastAsia="宋体" w:cs="宋体"/>
                <w:b w:val="0"/>
                <w:bCs w:val="0"/>
                <w:color w:val="auto"/>
                <w:highlight w:val="none"/>
                <w:lang w:val="en-US" w:eastAsia="zh-CN"/>
              </w:rPr>
              <w:t>人。</w:t>
            </w:r>
          </w:p>
          <w:p w14:paraId="3807FD8E">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outlineLvl w:val="1"/>
              <w:rPr>
                <w:rFonts w:hint="default" w:ascii="Times New Roman" w:hAnsi="Times New Roman" w:eastAsia="宋体" w:cs="Times New Roman"/>
                <w:b/>
                <w:bCs/>
                <w:color w:val="auto"/>
                <w:sz w:val="28"/>
                <w:szCs w:val="30"/>
                <w:lang w:val="en-US" w:eastAsia="zh-CN" w:bidi="ar-SA"/>
              </w:rPr>
            </w:pPr>
            <w:bookmarkStart w:id="16" w:name="3、生产规模及内容"/>
            <w:bookmarkEnd w:id="16"/>
            <w:r>
              <w:rPr>
                <w:rFonts w:hint="eastAsia" w:cs="Times New Roman"/>
                <w:b/>
                <w:bCs/>
                <w:color w:val="auto"/>
                <w:sz w:val="28"/>
                <w:szCs w:val="30"/>
                <w:lang w:val="en-US" w:eastAsia="zh-CN" w:bidi="ar-SA"/>
              </w:rPr>
              <w:t>2、</w:t>
            </w:r>
            <w:r>
              <w:rPr>
                <w:rFonts w:hint="default" w:ascii="Times New Roman" w:hAnsi="Times New Roman" w:eastAsia="宋体" w:cs="Times New Roman"/>
                <w:b/>
                <w:bCs/>
                <w:color w:val="auto"/>
                <w:sz w:val="28"/>
                <w:szCs w:val="30"/>
                <w:lang w:val="en-US" w:eastAsia="zh-CN" w:bidi="ar-SA"/>
              </w:rPr>
              <w:t>建设内容</w:t>
            </w:r>
            <w:r>
              <w:rPr>
                <w:rFonts w:hint="eastAsia" w:ascii="Times New Roman" w:hAnsi="Times New Roman" w:eastAsia="宋体" w:cs="Times New Roman"/>
                <w:b/>
                <w:bCs/>
                <w:color w:val="auto"/>
                <w:sz w:val="28"/>
                <w:szCs w:val="30"/>
                <w:lang w:val="en-US" w:eastAsia="zh-CN" w:bidi="ar-SA"/>
              </w:rPr>
              <w:t xml:space="preserve"> </w:t>
            </w:r>
          </w:p>
          <w:p w14:paraId="757C7A89">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宋体"/>
                <w:b w:val="0"/>
                <w:bCs w:val="0"/>
                <w:color w:val="auto"/>
                <w:lang w:val="en-US" w:eastAsia="zh-CN"/>
              </w:rPr>
            </w:pPr>
            <w:r>
              <w:rPr>
                <w:rFonts w:hint="default" w:ascii="Times New Roman" w:hAnsi="Times New Roman" w:eastAsia="宋体" w:cs="宋体"/>
                <w:b w:val="0"/>
                <w:bCs w:val="0"/>
                <w:color w:val="auto"/>
                <w:lang w:val="en-US" w:eastAsia="zh-CN"/>
              </w:rPr>
              <w:t>本项目</w:t>
            </w:r>
            <w:r>
              <w:rPr>
                <w:rFonts w:hint="eastAsia" w:cs="宋体"/>
                <w:b w:val="0"/>
                <w:bCs w:val="0"/>
                <w:color w:val="auto"/>
                <w:lang w:val="en-US" w:eastAsia="zh-CN"/>
              </w:rPr>
              <w:t>在租赁的占地面积</w:t>
            </w:r>
            <w:r>
              <w:rPr>
                <w:rFonts w:hint="eastAsia"/>
                <w:color w:val="auto"/>
                <w:lang w:val="en-US" w:eastAsia="zh-CN"/>
              </w:rPr>
              <w:t>3900m</w:t>
            </w:r>
            <w:r>
              <w:rPr>
                <w:rFonts w:hint="eastAsia"/>
                <w:color w:val="auto"/>
                <w:vertAlign w:val="superscript"/>
                <w:lang w:val="en-US" w:eastAsia="zh-CN"/>
              </w:rPr>
              <w:t>2</w:t>
            </w:r>
            <w:r>
              <w:rPr>
                <w:rFonts w:hint="eastAsia"/>
                <w:color w:val="auto"/>
                <w:lang w:val="en-US" w:eastAsia="zh-CN"/>
              </w:rPr>
              <w:t>车间内新建1条年产5万t腻子粉生产线，1条年产10万t瓷砖胶生产线以及配套包装生产线</w:t>
            </w:r>
            <w:r>
              <w:rPr>
                <w:rFonts w:hint="eastAsia" w:ascii="Times New Roman" w:hAnsi="Times New Roman" w:eastAsia="宋体" w:cs="Times New Roman"/>
                <w:color w:val="auto"/>
                <w:sz w:val="24"/>
                <w:szCs w:val="24"/>
                <w:lang w:val="en-US" w:eastAsia="zh-CN" w:bidi="ar-SA"/>
              </w:rPr>
              <w:t>，</w:t>
            </w:r>
            <w:r>
              <w:rPr>
                <w:rFonts w:hint="eastAsia" w:cs="Times New Roman"/>
                <w:bCs/>
                <w:color w:val="auto"/>
                <w:kern w:val="0"/>
                <w:sz w:val="24"/>
                <w:szCs w:val="24"/>
                <w:lang w:val="en-US" w:eastAsia="zh-CN" w:bidi="ar-SA"/>
              </w:rPr>
              <w:t>供电、供水等公用工程均为依托</w:t>
            </w:r>
            <w:r>
              <w:rPr>
                <w:rFonts w:hint="default" w:ascii="Times New Roman" w:hAnsi="Times New Roman" w:eastAsia="宋体" w:cs="宋体"/>
                <w:b w:val="0"/>
                <w:bCs w:val="0"/>
                <w:color w:val="auto"/>
                <w:lang w:val="en-US" w:eastAsia="zh-CN"/>
              </w:rPr>
              <w:t>。</w:t>
            </w:r>
          </w:p>
          <w:p w14:paraId="1436C973">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主要建设内容及建设情况见</w:t>
            </w:r>
            <w:r>
              <w:rPr>
                <w:rFonts w:hint="eastAsia" w:ascii="Times New Roman" w:hAnsi="Times New Roman" w:eastAsia="宋体" w:cs="Times New Roman"/>
                <w:b w:val="0"/>
                <w:bCs w:val="0"/>
                <w:color w:val="auto"/>
                <w:lang w:val="en-US" w:eastAsia="zh-CN"/>
              </w:rPr>
              <w:t>2</w:t>
            </w:r>
            <w:r>
              <w:rPr>
                <w:rFonts w:hint="default" w:ascii="Times New Roman" w:hAnsi="Times New Roman" w:eastAsia="宋体" w:cs="Times New Roman"/>
                <w:b w:val="0"/>
                <w:bCs w:val="0"/>
                <w:color w:val="auto"/>
                <w:lang w:val="en-US" w:eastAsia="zh-CN"/>
              </w:rPr>
              <w:t>.2-1。</w:t>
            </w:r>
          </w:p>
          <w:p w14:paraId="63D0173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0" w:firstLineChars="0"/>
              <w:jc w:val="center"/>
              <w:textAlignment w:val="auto"/>
              <w:rPr>
                <w:rFonts w:hint="eastAsia" w:ascii="Times New Roman" w:hAnsi="Times New Roman" w:eastAsia="宋体" w:cs="宋体"/>
                <w:b/>
                <w:color w:val="auto"/>
                <w:sz w:val="21"/>
                <w:szCs w:val="21"/>
                <w:lang w:val="en-US" w:eastAsia="zh-CN" w:bidi="ar-SA"/>
              </w:rPr>
            </w:pPr>
            <w:r>
              <w:rPr>
                <w:rFonts w:ascii="Times New Roman" w:hAnsi="Times New Roman" w:eastAsia="宋体" w:cs="宋体"/>
                <w:b/>
                <w:color w:val="auto"/>
                <w:sz w:val="21"/>
                <w:szCs w:val="21"/>
                <w:lang w:val="en-US" w:eastAsia="zh-CN" w:bidi="ar-SA"/>
              </w:rPr>
              <w:t>表2</w:t>
            </w:r>
            <w:r>
              <w:rPr>
                <w:rFonts w:hint="eastAsia" w:ascii="Times New Roman" w:hAnsi="Times New Roman" w:eastAsia="宋体" w:cs="宋体"/>
                <w:b/>
                <w:color w:val="auto"/>
                <w:sz w:val="21"/>
                <w:szCs w:val="21"/>
                <w:lang w:val="en-US" w:eastAsia="zh-CN" w:bidi="ar-SA"/>
              </w:rPr>
              <w:t>.2</w:t>
            </w:r>
            <w:r>
              <w:rPr>
                <w:rFonts w:ascii="Times New Roman" w:hAnsi="Times New Roman" w:eastAsia="宋体" w:cs="宋体"/>
                <w:b/>
                <w:color w:val="auto"/>
                <w:sz w:val="21"/>
                <w:szCs w:val="21"/>
                <w:lang w:val="en-US" w:eastAsia="zh-CN" w:bidi="ar-SA"/>
              </w:rPr>
              <w:t>-1建设项目</w:t>
            </w:r>
            <w:r>
              <w:rPr>
                <w:rFonts w:hint="eastAsia" w:ascii="Times New Roman" w:hAnsi="Times New Roman" w:eastAsia="宋体" w:cs="宋体"/>
                <w:b/>
                <w:color w:val="auto"/>
                <w:sz w:val="21"/>
                <w:szCs w:val="21"/>
                <w:lang w:val="en-US" w:eastAsia="zh-Hans" w:bidi="ar-SA"/>
              </w:rPr>
              <w:t>内容</w:t>
            </w:r>
            <w:r>
              <w:rPr>
                <w:rFonts w:hint="eastAsia" w:ascii="Times New Roman" w:hAnsi="Times New Roman" w:eastAsia="宋体" w:cs="宋体"/>
                <w:b/>
                <w:color w:val="auto"/>
                <w:sz w:val="21"/>
                <w:szCs w:val="21"/>
                <w:lang w:val="en-US" w:eastAsia="zh-CN" w:bidi="ar-SA"/>
              </w:rPr>
              <w:t xml:space="preserve"> </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30"/>
              <w:gridCol w:w="1202"/>
              <w:gridCol w:w="2872"/>
              <w:gridCol w:w="2873"/>
              <w:gridCol w:w="1027"/>
            </w:tblGrid>
            <w:tr w14:paraId="11E4F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32" w:type="dxa"/>
                  <w:gridSpan w:val="2"/>
                  <w:tcBorders>
                    <w:tl2br w:val="nil"/>
                    <w:tr2bl w:val="nil"/>
                  </w:tcBorders>
                  <w:noWrap w:val="0"/>
                  <w:vAlign w:val="center"/>
                </w:tcPr>
                <w:p w14:paraId="10248B2E">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项目名称</w:t>
                  </w:r>
                </w:p>
              </w:tc>
              <w:tc>
                <w:tcPr>
                  <w:tcW w:w="5745" w:type="dxa"/>
                  <w:gridSpan w:val="2"/>
                  <w:tcBorders>
                    <w:tl2br w:val="nil"/>
                    <w:tr2bl w:val="nil"/>
                  </w:tcBorders>
                  <w:noWrap w:val="0"/>
                  <w:vAlign w:val="center"/>
                </w:tcPr>
                <w:p w14:paraId="227CB0D4">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建设内容</w:t>
                  </w:r>
                </w:p>
              </w:tc>
              <w:tc>
                <w:tcPr>
                  <w:tcW w:w="1027" w:type="dxa"/>
                  <w:tcBorders>
                    <w:tl2br w:val="nil"/>
                    <w:tr2bl w:val="nil"/>
                  </w:tcBorders>
                  <w:noWrap w:val="0"/>
                  <w:vAlign w:val="center"/>
                </w:tcPr>
                <w:p w14:paraId="5D7C2DF5">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备注</w:t>
                  </w:r>
                </w:p>
              </w:tc>
            </w:tr>
            <w:tr w14:paraId="7DA82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530" w:type="dxa"/>
                  <w:vMerge w:val="restart"/>
                  <w:tcBorders>
                    <w:tl2br w:val="nil"/>
                    <w:tr2bl w:val="nil"/>
                  </w:tcBorders>
                  <w:noWrap w:val="0"/>
                  <w:vAlign w:val="center"/>
                </w:tcPr>
                <w:p w14:paraId="7AE256D9">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主体工程</w:t>
                  </w:r>
                </w:p>
              </w:tc>
              <w:tc>
                <w:tcPr>
                  <w:tcW w:w="1202" w:type="dxa"/>
                  <w:vMerge w:val="restart"/>
                  <w:tcBorders>
                    <w:tl2br w:val="nil"/>
                    <w:tr2bl w:val="nil"/>
                  </w:tcBorders>
                  <w:noWrap w:val="0"/>
                  <w:vAlign w:val="center"/>
                </w:tcPr>
                <w:p w14:paraId="5D7F32E4">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生产车间</w:t>
                  </w:r>
                </w:p>
              </w:tc>
              <w:tc>
                <w:tcPr>
                  <w:tcW w:w="5745" w:type="dxa"/>
                  <w:gridSpan w:val="2"/>
                  <w:tcBorders>
                    <w:tl2br w:val="nil"/>
                    <w:tr2bl w:val="nil"/>
                  </w:tcBorders>
                  <w:noWrap w:val="0"/>
                  <w:vAlign w:val="center"/>
                </w:tcPr>
                <w:p w14:paraId="47F4BCA2">
                  <w:pPr>
                    <w:keepNext w:val="0"/>
                    <w:keepLines w:val="0"/>
                    <w:pageBreakBefore w:val="0"/>
                    <w:kinsoku/>
                    <w:wordWrap/>
                    <w:overflowPunct/>
                    <w:topLinePunct/>
                    <w:autoSpaceDE/>
                    <w:autoSpaceDN/>
                    <w:bidi w:val="0"/>
                    <w:adjustRightInd/>
                    <w:snapToGrid/>
                    <w:spacing w:line="280" w:lineRule="exact"/>
                    <w:ind w:firstLine="0" w:firstLineChars="0"/>
                    <w:jc w:val="center"/>
                    <w:textAlignment w:val="auto"/>
                    <w:rPr>
                      <w:rFonts w:hint="default" w:ascii="Times New Roman" w:hAnsi="Times New Roman" w:eastAsia="宋体" w:cs="宋体"/>
                      <w:snapToGrid w:val="0"/>
                      <w:color w:val="auto"/>
                      <w:kern w:val="0"/>
                      <w:sz w:val="21"/>
                      <w:szCs w:val="21"/>
                      <w:highlight w:val="none"/>
                      <w:vertAlign w:val="baseline"/>
                      <w:lang w:val="en-US" w:eastAsia="zh-CN" w:bidi="ar-SA"/>
                    </w:rPr>
                  </w:pPr>
                  <w:r>
                    <w:rPr>
                      <w:rFonts w:hint="eastAsia" w:cs="宋体"/>
                      <w:color w:val="auto"/>
                      <w:sz w:val="21"/>
                      <w:szCs w:val="21"/>
                      <w:highlight w:val="none"/>
                      <w:lang w:val="en-US" w:eastAsia="zh-CN"/>
                    </w:rPr>
                    <w:t>依托现有工程已租赁的阜康市新疆东方启辰工贸有限公司生产车间，</w:t>
                  </w:r>
                  <w:r>
                    <w:rPr>
                      <w:rFonts w:hint="eastAsia" w:ascii="Times New Roman" w:hAnsi="Times New Roman" w:eastAsia="宋体" w:cs="宋体"/>
                      <w:color w:val="auto"/>
                      <w:sz w:val="21"/>
                      <w:szCs w:val="21"/>
                      <w:highlight w:val="none"/>
                      <w:lang w:val="en-US" w:eastAsia="zh-CN"/>
                    </w:rPr>
                    <w:t>占地面积</w:t>
                  </w:r>
                  <w:r>
                    <w:rPr>
                      <w:rFonts w:hint="eastAsia" w:cs="宋体"/>
                      <w:color w:val="auto"/>
                      <w:sz w:val="21"/>
                      <w:szCs w:val="21"/>
                      <w:highlight w:val="none"/>
                      <w:lang w:val="en-US" w:eastAsia="zh-CN"/>
                    </w:rPr>
                    <w:t>3900</w:t>
                  </w:r>
                  <w:r>
                    <w:rPr>
                      <w:rFonts w:hint="eastAsia"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vertAlign w:val="superscript"/>
                      <w:lang w:val="en-US" w:eastAsia="zh-CN"/>
                    </w:rPr>
                    <w:t>2</w:t>
                  </w:r>
                  <w:r>
                    <w:rPr>
                      <w:rFonts w:hint="eastAsia" w:cs="宋体"/>
                      <w:color w:val="auto"/>
                      <w:sz w:val="21"/>
                      <w:szCs w:val="21"/>
                      <w:highlight w:val="none"/>
                      <w:lang w:val="en-US" w:eastAsia="zh-CN"/>
                    </w:rPr>
                    <w:t xml:space="preserve">，1栋，1F </w:t>
                  </w:r>
                </w:p>
              </w:tc>
              <w:tc>
                <w:tcPr>
                  <w:tcW w:w="1027" w:type="dxa"/>
                  <w:tcBorders>
                    <w:tl2br w:val="nil"/>
                    <w:tr2bl w:val="nil"/>
                  </w:tcBorders>
                  <w:noWrap w:val="0"/>
                  <w:vAlign w:val="center"/>
                </w:tcPr>
                <w:p w14:paraId="5F6705DC">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依托</w:t>
                  </w:r>
                </w:p>
              </w:tc>
            </w:tr>
            <w:tr w14:paraId="557FA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0" w:type="dxa"/>
                  <w:vMerge w:val="continue"/>
                  <w:tcBorders>
                    <w:tl2br w:val="nil"/>
                    <w:tr2bl w:val="nil"/>
                  </w:tcBorders>
                  <w:noWrap w:val="0"/>
                  <w:vAlign w:val="center"/>
                </w:tcPr>
                <w:p w14:paraId="571FBB2E">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70FE2A46">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c>
                <w:tcPr>
                  <w:tcW w:w="5745" w:type="dxa"/>
                  <w:gridSpan w:val="2"/>
                  <w:tcBorders>
                    <w:tl2br w:val="nil"/>
                    <w:tr2bl w:val="nil"/>
                  </w:tcBorders>
                  <w:noWrap w:val="0"/>
                  <w:vAlign w:val="center"/>
                </w:tcPr>
                <w:p w14:paraId="6353AC68">
                  <w:pPr>
                    <w:keepNext w:val="0"/>
                    <w:keepLines w:val="0"/>
                    <w:pageBreakBefore w:val="0"/>
                    <w:kinsoku/>
                    <w:wordWrap/>
                    <w:overflowPunct/>
                    <w:topLinePunct/>
                    <w:autoSpaceDE/>
                    <w:autoSpaceDN/>
                    <w:bidi w:val="0"/>
                    <w:adjustRightInd/>
                    <w:snapToGrid/>
                    <w:spacing w:line="280" w:lineRule="exact"/>
                    <w:ind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cs="宋体"/>
                      <w:color w:val="auto"/>
                      <w:sz w:val="21"/>
                      <w:szCs w:val="21"/>
                      <w:highlight w:val="none"/>
                      <w:lang w:val="en-US" w:eastAsia="zh-CN"/>
                    </w:rPr>
                    <w:t>内设置1条年产10万t瓷砖胶生产线。</w:t>
                  </w:r>
                </w:p>
              </w:tc>
              <w:tc>
                <w:tcPr>
                  <w:tcW w:w="1027" w:type="dxa"/>
                  <w:tcBorders>
                    <w:tl2br w:val="nil"/>
                    <w:tr2bl w:val="nil"/>
                  </w:tcBorders>
                  <w:noWrap w:val="0"/>
                  <w:vAlign w:val="center"/>
                </w:tcPr>
                <w:p w14:paraId="32BDF507">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07FD4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0" w:type="dxa"/>
                  <w:vMerge w:val="continue"/>
                  <w:tcBorders>
                    <w:tl2br w:val="nil"/>
                    <w:tr2bl w:val="nil"/>
                  </w:tcBorders>
                  <w:noWrap w:val="0"/>
                  <w:vAlign w:val="center"/>
                </w:tcPr>
                <w:p w14:paraId="03901192">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1A34AABB">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c>
                <w:tcPr>
                  <w:tcW w:w="5745" w:type="dxa"/>
                  <w:gridSpan w:val="2"/>
                  <w:tcBorders>
                    <w:tl2br w:val="nil"/>
                    <w:tr2bl w:val="nil"/>
                  </w:tcBorders>
                  <w:noWrap w:val="0"/>
                  <w:vAlign w:val="center"/>
                </w:tcPr>
                <w:p w14:paraId="6EB89A5D">
                  <w:pPr>
                    <w:keepNext w:val="0"/>
                    <w:keepLines w:val="0"/>
                    <w:pageBreakBefore w:val="0"/>
                    <w:kinsoku/>
                    <w:wordWrap/>
                    <w:overflowPunct/>
                    <w:topLinePunct/>
                    <w:autoSpaceDE/>
                    <w:autoSpaceDN/>
                    <w:bidi w:val="0"/>
                    <w:adjustRightInd/>
                    <w:snapToGrid/>
                    <w:spacing w:line="280" w:lineRule="exact"/>
                    <w:ind w:firstLine="0" w:firstLineChars="0"/>
                    <w:jc w:val="center"/>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内设置1条年产5万t腻子粉生产线。</w:t>
                  </w:r>
                </w:p>
              </w:tc>
              <w:tc>
                <w:tcPr>
                  <w:tcW w:w="1027" w:type="dxa"/>
                  <w:tcBorders>
                    <w:tl2br w:val="nil"/>
                    <w:tr2bl w:val="nil"/>
                  </w:tcBorders>
                  <w:noWrap w:val="0"/>
                  <w:vAlign w:val="center"/>
                </w:tcPr>
                <w:p w14:paraId="30BFE356">
                  <w:pPr>
                    <w:widowControl w:val="0"/>
                    <w:overflowPunct w:val="0"/>
                    <w:autoSpaceDE w:val="0"/>
                    <w:autoSpaceDN w:val="0"/>
                    <w:adjustRightInd w:val="0"/>
                    <w:snapToGrid w:val="0"/>
                    <w:spacing w:before="0" w:after="0" w:line="240" w:lineRule="auto"/>
                    <w:ind w:left="0" w:right="0" w:firstLine="0" w:firstLineChars="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1C8FA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0" w:type="dxa"/>
                  <w:tcBorders>
                    <w:tl2br w:val="nil"/>
                    <w:tr2bl w:val="nil"/>
                  </w:tcBorders>
                  <w:noWrap w:val="0"/>
                  <w:vAlign w:val="center"/>
                </w:tcPr>
                <w:p w14:paraId="022F0C71">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辅助工程</w:t>
                  </w:r>
                </w:p>
              </w:tc>
              <w:tc>
                <w:tcPr>
                  <w:tcW w:w="1202" w:type="dxa"/>
                  <w:tcBorders>
                    <w:tl2br w:val="nil"/>
                    <w:tr2bl w:val="nil"/>
                  </w:tcBorders>
                  <w:noWrap w:val="0"/>
                  <w:vAlign w:val="center"/>
                </w:tcPr>
                <w:p w14:paraId="4A74C035">
                  <w:pPr>
                    <w:widowControl w:val="0"/>
                    <w:bidi w:val="0"/>
                    <w:spacing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bidi="ar-SA"/>
                    </w:rPr>
                    <w:t>办公生活</w:t>
                  </w:r>
                  <w:r>
                    <w:rPr>
                      <w:rFonts w:hint="eastAsia" w:cs="宋体"/>
                      <w:color w:val="auto"/>
                      <w:sz w:val="21"/>
                      <w:szCs w:val="21"/>
                      <w:lang w:val="en-US" w:eastAsia="zh-CN" w:bidi="ar-SA"/>
                    </w:rPr>
                    <w:t>区</w:t>
                  </w:r>
                </w:p>
              </w:tc>
              <w:tc>
                <w:tcPr>
                  <w:tcW w:w="5745" w:type="dxa"/>
                  <w:gridSpan w:val="2"/>
                  <w:tcBorders>
                    <w:tl2br w:val="nil"/>
                    <w:tr2bl w:val="nil"/>
                  </w:tcBorders>
                  <w:noWrap w:val="0"/>
                  <w:vAlign w:val="center"/>
                </w:tcPr>
                <w:p w14:paraId="35C53DE8">
                  <w:pPr>
                    <w:widowControl w:val="0"/>
                    <w:bidi w:val="0"/>
                    <w:spacing w:line="320" w:lineRule="exact"/>
                    <w:ind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宋体"/>
                      <w:color w:val="auto"/>
                      <w:sz w:val="21"/>
                      <w:szCs w:val="21"/>
                      <w:highlight w:val="none"/>
                      <w:lang w:val="en-US" w:eastAsia="zh-CN"/>
                    </w:rPr>
                    <w:t>依托新疆东方启辰工贸有限公司内办公室</w:t>
                  </w:r>
                </w:p>
              </w:tc>
              <w:tc>
                <w:tcPr>
                  <w:tcW w:w="1027" w:type="dxa"/>
                  <w:tcBorders>
                    <w:tl2br w:val="nil"/>
                    <w:tr2bl w:val="nil"/>
                  </w:tcBorders>
                  <w:noWrap w:val="0"/>
                  <w:vAlign w:val="center"/>
                </w:tcPr>
                <w:p w14:paraId="7356E446">
                  <w:pPr>
                    <w:widowControl w:val="0"/>
                    <w:bidi w:val="0"/>
                    <w:spacing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bidi="ar-SA"/>
                    </w:rPr>
                    <w:t>依托</w:t>
                  </w:r>
                </w:p>
              </w:tc>
            </w:tr>
            <w:tr w14:paraId="1CB98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0" w:type="dxa"/>
                  <w:vMerge w:val="restart"/>
                  <w:tcBorders>
                    <w:tl2br w:val="nil"/>
                    <w:tr2bl w:val="nil"/>
                  </w:tcBorders>
                  <w:noWrap w:val="0"/>
                  <w:vAlign w:val="center"/>
                </w:tcPr>
                <w:p w14:paraId="5151C7F4">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储运工程</w:t>
                  </w:r>
                </w:p>
              </w:tc>
              <w:tc>
                <w:tcPr>
                  <w:tcW w:w="1202" w:type="dxa"/>
                  <w:tcBorders>
                    <w:tl2br w:val="nil"/>
                    <w:tr2bl w:val="nil"/>
                  </w:tcBorders>
                  <w:noWrap w:val="0"/>
                  <w:vAlign w:val="center"/>
                </w:tcPr>
                <w:p w14:paraId="59251D6F">
                  <w:pPr>
                    <w:pStyle w:val="35"/>
                    <w:keepNext w:val="0"/>
                    <w:keepLines w:val="0"/>
                    <w:pageBreakBefore w:val="0"/>
                    <w:widowControl w:val="0"/>
                    <w:kinsoku/>
                    <w:wordWrap/>
                    <w:overflowPunct w:val="0"/>
                    <w:topLinePunct w:val="0"/>
                    <w:autoSpaceDE w:val="0"/>
                    <w:autoSpaceDN w:val="0"/>
                    <w:bidi w:val="0"/>
                    <w:adjustRightInd w:val="0"/>
                    <w:snapToGrid w:val="0"/>
                    <w:ind w:firstLine="0" w:firstLineChars="0"/>
                    <w:rPr>
                      <w:rFonts w:hint="eastAsia" w:ascii="Times New Roman" w:hAnsi="Times New Roman" w:eastAsia="宋体" w:cs="宋体"/>
                      <w:color w:val="auto"/>
                      <w:sz w:val="21"/>
                      <w:szCs w:val="21"/>
                      <w:lang w:val="en-US" w:eastAsia="zh-CN" w:bidi="ar-SA"/>
                    </w:rPr>
                  </w:pPr>
                  <w:r>
                    <w:rPr>
                      <w:rFonts w:hint="eastAsia"/>
                      <w:color w:val="auto"/>
                      <w:sz w:val="21"/>
                      <w:szCs w:val="21"/>
                    </w:rPr>
                    <w:t>运输</w:t>
                  </w:r>
                </w:p>
              </w:tc>
              <w:tc>
                <w:tcPr>
                  <w:tcW w:w="5745" w:type="dxa"/>
                  <w:gridSpan w:val="2"/>
                  <w:tcBorders>
                    <w:tl2br w:val="nil"/>
                    <w:tr2bl w:val="nil"/>
                  </w:tcBorders>
                  <w:noWrap w:val="0"/>
                  <w:vAlign w:val="center"/>
                </w:tcPr>
                <w:p w14:paraId="75D357E6">
                  <w:pPr>
                    <w:pStyle w:val="35"/>
                    <w:keepNext w:val="0"/>
                    <w:keepLines w:val="0"/>
                    <w:pageBreakBefore w:val="0"/>
                    <w:widowControl w:val="0"/>
                    <w:kinsoku/>
                    <w:wordWrap/>
                    <w:overflowPunct w:val="0"/>
                    <w:topLinePunct w:val="0"/>
                    <w:autoSpaceDE w:val="0"/>
                    <w:autoSpaceDN w:val="0"/>
                    <w:bidi w:val="0"/>
                    <w:adjustRightInd w:val="0"/>
                    <w:snapToGrid w:val="0"/>
                    <w:ind w:firstLine="0" w:firstLineChars="0"/>
                    <w:rPr>
                      <w:rFonts w:hint="eastAsia" w:ascii="Times New Roman" w:hAnsi="Times New Roman" w:eastAsia="宋体" w:cs="宋体"/>
                      <w:color w:val="auto"/>
                      <w:sz w:val="21"/>
                      <w:szCs w:val="21"/>
                      <w:lang w:val="en-US" w:eastAsia="zh-CN" w:bidi="ar-SA"/>
                    </w:rPr>
                  </w:pPr>
                  <w:r>
                    <w:rPr>
                      <w:rFonts w:hint="eastAsia"/>
                      <w:color w:val="auto"/>
                      <w:sz w:val="21"/>
                      <w:szCs w:val="21"/>
                    </w:rPr>
                    <w:t>厂外原料由汽车运输，厂内由</w:t>
                  </w:r>
                  <w:r>
                    <w:rPr>
                      <w:rFonts w:hint="eastAsia"/>
                      <w:color w:val="auto"/>
                      <w:sz w:val="21"/>
                      <w:szCs w:val="21"/>
                      <w:lang w:val="en-US" w:eastAsia="zh-CN"/>
                    </w:rPr>
                    <w:t>叉车、提升机</w:t>
                  </w:r>
                  <w:r>
                    <w:rPr>
                      <w:rFonts w:hint="eastAsia"/>
                      <w:color w:val="auto"/>
                      <w:sz w:val="21"/>
                      <w:szCs w:val="21"/>
                    </w:rPr>
                    <w:t>运输</w:t>
                  </w:r>
                  <w:r>
                    <w:rPr>
                      <w:rFonts w:hint="eastAsia"/>
                      <w:color w:val="auto"/>
                      <w:sz w:val="21"/>
                      <w:szCs w:val="21"/>
                      <w:lang w:eastAsia="zh-CN"/>
                    </w:rPr>
                    <w:t>。</w:t>
                  </w:r>
                </w:p>
              </w:tc>
              <w:tc>
                <w:tcPr>
                  <w:tcW w:w="1027" w:type="dxa"/>
                  <w:tcBorders>
                    <w:tl2br w:val="nil"/>
                    <w:tr2bl w:val="nil"/>
                  </w:tcBorders>
                  <w:noWrap w:val="0"/>
                  <w:vAlign w:val="center"/>
                </w:tcPr>
                <w:p w14:paraId="6DC538CE">
                  <w:pPr>
                    <w:widowControl w:val="0"/>
                    <w:bidi w:val="0"/>
                    <w:spacing w:line="320" w:lineRule="exact"/>
                    <w:ind w:firstLine="0" w:firstLineChars="0"/>
                    <w:jc w:val="center"/>
                    <w:rPr>
                      <w:rFonts w:hint="eastAsia" w:ascii="Times New Roman" w:hAnsi="Times New Roman" w:eastAsia="宋体" w:cs="宋体"/>
                      <w:color w:val="auto"/>
                      <w:sz w:val="21"/>
                      <w:szCs w:val="21"/>
                      <w:lang w:val="en-US" w:eastAsia="zh-CN" w:bidi="ar-SA"/>
                    </w:rPr>
                  </w:pPr>
                  <w:r>
                    <w:rPr>
                      <w:rFonts w:hint="eastAsia" w:cs="Times New Roman"/>
                      <w:color w:val="auto"/>
                      <w:kern w:val="0"/>
                      <w:sz w:val="21"/>
                      <w:szCs w:val="21"/>
                      <w:highlight w:val="none"/>
                      <w:lang w:val="en-US" w:eastAsia="zh-CN" w:bidi="ar-SA"/>
                    </w:rPr>
                    <w:t>新建</w:t>
                  </w:r>
                </w:p>
              </w:tc>
            </w:tr>
            <w:tr w14:paraId="46BD8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0" w:type="dxa"/>
                  <w:vMerge w:val="continue"/>
                  <w:tcBorders>
                    <w:tl2br w:val="nil"/>
                    <w:tr2bl w:val="nil"/>
                  </w:tcBorders>
                  <w:noWrap w:val="0"/>
                  <w:vAlign w:val="center"/>
                </w:tcPr>
                <w:p w14:paraId="4F6BF3AF">
                  <w:pPr>
                    <w:widowControl w:val="0"/>
                    <w:overflowPunct w:val="0"/>
                    <w:autoSpaceDE w:val="0"/>
                    <w:autoSpaceDN w:val="0"/>
                    <w:adjustRightInd w:val="0"/>
                    <w:snapToGrid w:val="0"/>
                    <w:spacing w:before="0" w:after="0" w:line="240" w:lineRule="auto"/>
                    <w:ind w:left="0" w:right="0" w:firstLine="0" w:firstLineChars="0"/>
                    <w:jc w:val="center"/>
                    <w:rPr>
                      <w:rFonts w:hint="eastAsia" w:cs="Times New Roman"/>
                      <w:bCs/>
                      <w:color w:val="auto"/>
                      <w:kern w:val="0"/>
                      <w:sz w:val="21"/>
                      <w:szCs w:val="21"/>
                      <w:highlight w:val="none"/>
                      <w:lang w:val="en-US" w:eastAsia="zh-CN" w:bidi="ar-SA"/>
                    </w:rPr>
                  </w:pPr>
                </w:p>
              </w:tc>
              <w:tc>
                <w:tcPr>
                  <w:tcW w:w="1202" w:type="dxa"/>
                  <w:vMerge w:val="restart"/>
                  <w:tcBorders>
                    <w:tl2br w:val="nil"/>
                    <w:tr2bl w:val="nil"/>
                  </w:tcBorders>
                  <w:noWrap w:val="0"/>
                  <w:vAlign w:val="center"/>
                </w:tcPr>
                <w:p w14:paraId="6F5013CB">
                  <w:pPr>
                    <w:widowControl w:val="0"/>
                    <w:bidi w:val="0"/>
                    <w:spacing w:line="320" w:lineRule="exact"/>
                    <w:ind w:firstLine="0" w:firstLineChars="0"/>
                    <w:jc w:val="center"/>
                    <w:rPr>
                      <w:rFonts w:hint="default" w:cs="宋体"/>
                      <w:color w:val="auto"/>
                      <w:sz w:val="21"/>
                      <w:szCs w:val="21"/>
                      <w:lang w:val="en-US" w:eastAsia="zh-CN" w:bidi="ar-SA"/>
                    </w:rPr>
                  </w:pPr>
                  <w:r>
                    <w:rPr>
                      <w:rFonts w:hint="eastAsia" w:cs="宋体"/>
                      <w:color w:val="auto"/>
                      <w:sz w:val="21"/>
                      <w:szCs w:val="21"/>
                      <w:lang w:val="en-US" w:eastAsia="zh-CN" w:bidi="ar-SA"/>
                    </w:rPr>
                    <w:t>储存</w:t>
                  </w:r>
                </w:p>
              </w:tc>
              <w:tc>
                <w:tcPr>
                  <w:tcW w:w="5745" w:type="dxa"/>
                  <w:gridSpan w:val="2"/>
                  <w:tcBorders>
                    <w:tl2br w:val="nil"/>
                    <w:tr2bl w:val="nil"/>
                  </w:tcBorders>
                  <w:noWrap w:val="0"/>
                  <w:vAlign w:val="center"/>
                </w:tcPr>
                <w:p w14:paraId="08F23E69">
                  <w:pPr>
                    <w:widowControl w:val="0"/>
                    <w:bidi w:val="0"/>
                    <w:spacing w:line="320" w:lineRule="exact"/>
                    <w:ind w:firstLine="0" w:firstLineChars="0"/>
                    <w:jc w:val="center"/>
                    <w:rPr>
                      <w:rFonts w:hint="default" w:ascii="Times New Roman" w:hAnsi="Times New Roman" w:eastAsia="宋体" w:cs="宋体"/>
                      <w:color w:val="auto"/>
                      <w:sz w:val="21"/>
                      <w:szCs w:val="21"/>
                      <w:lang w:val="en-US" w:eastAsia="zh-CN" w:bidi="ar-SA"/>
                    </w:rPr>
                  </w:pPr>
                  <w:r>
                    <w:rPr>
                      <w:rFonts w:hint="eastAsia"/>
                      <w:color w:val="auto"/>
                      <w:sz w:val="21"/>
                      <w:szCs w:val="21"/>
                    </w:rPr>
                    <w:t>新建</w:t>
                  </w:r>
                  <w:r>
                    <w:rPr>
                      <w:rFonts w:hint="eastAsia"/>
                      <w:color w:val="auto"/>
                      <w:sz w:val="21"/>
                      <w:szCs w:val="21"/>
                      <w:lang w:val="en-US" w:eastAsia="zh-CN"/>
                    </w:rPr>
                    <w:t>9座筒仓，其中1座重钙容积为80m</w:t>
                  </w:r>
                  <w:r>
                    <w:rPr>
                      <w:rFonts w:hint="eastAsia"/>
                      <w:color w:val="auto"/>
                      <w:sz w:val="21"/>
                      <w:szCs w:val="21"/>
                      <w:vertAlign w:val="superscript"/>
                      <w:lang w:val="en-US" w:eastAsia="zh-CN"/>
                    </w:rPr>
                    <w:t>3</w:t>
                  </w:r>
                  <w:r>
                    <w:rPr>
                      <w:rFonts w:hint="eastAsia"/>
                      <w:color w:val="auto"/>
                      <w:sz w:val="21"/>
                      <w:szCs w:val="21"/>
                      <w:lang w:val="en-US" w:eastAsia="zh-CN"/>
                    </w:rPr>
                    <w:t>的筒仓、4座容积为40m</w:t>
                  </w:r>
                  <w:r>
                    <w:rPr>
                      <w:rFonts w:hint="eastAsia"/>
                      <w:color w:val="auto"/>
                      <w:sz w:val="21"/>
                      <w:szCs w:val="21"/>
                      <w:vertAlign w:val="superscript"/>
                      <w:lang w:val="en-US" w:eastAsia="zh-CN"/>
                    </w:rPr>
                    <w:t>3</w:t>
                  </w:r>
                  <w:r>
                    <w:rPr>
                      <w:rFonts w:hint="eastAsia"/>
                      <w:color w:val="auto"/>
                      <w:sz w:val="21"/>
                      <w:szCs w:val="21"/>
                      <w:lang w:val="en-US" w:eastAsia="zh-CN"/>
                    </w:rPr>
                    <w:t>的水泥筒仓、1座容积为80m</w:t>
                  </w:r>
                  <w:r>
                    <w:rPr>
                      <w:rFonts w:hint="eastAsia"/>
                      <w:color w:val="auto"/>
                      <w:sz w:val="21"/>
                      <w:szCs w:val="21"/>
                      <w:vertAlign w:val="superscript"/>
                      <w:lang w:val="en-US" w:eastAsia="zh-CN"/>
                    </w:rPr>
                    <w:t>3</w:t>
                  </w:r>
                  <w:r>
                    <w:rPr>
                      <w:rFonts w:hint="eastAsia"/>
                      <w:color w:val="auto"/>
                      <w:sz w:val="21"/>
                      <w:szCs w:val="21"/>
                      <w:lang w:val="en-US" w:eastAsia="zh-CN"/>
                    </w:rPr>
                    <w:t>的双飞粉筒仓、1座容积为80m</w:t>
                  </w:r>
                  <w:r>
                    <w:rPr>
                      <w:rFonts w:hint="eastAsia"/>
                      <w:color w:val="auto"/>
                      <w:sz w:val="21"/>
                      <w:szCs w:val="21"/>
                      <w:vertAlign w:val="superscript"/>
                      <w:lang w:val="en-US" w:eastAsia="zh-CN"/>
                    </w:rPr>
                    <w:t>3</w:t>
                  </w:r>
                  <w:r>
                    <w:rPr>
                      <w:rFonts w:hint="eastAsia"/>
                      <w:color w:val="auto"/>
                      <w:sz w:val="21"/>
                      <w:szCs w:val="21"/>
                      <w:lang w:val="en-US" w:eastAsia="zh-CN"/>
                    </w:rPr>
                    <w:t>的风积沙筒仓、2座容积为40m</w:t>
                  </w:r>
                  <w:r>
                    <w:rPr>
                      <w:rFonts w:hint="eastAsia"/>
                      <w:color w:val="auto"/>
                      <w:sz w:val="21"/>
                      <w:szCs w:val="21"/>
                      <w:vertAlign w:val="superscript"/>
                      <w:lang w:val="en-US" w:eastAsia="zh-CN"/>
                    </w:rPr>
                    <w:t>3</w:t>
                  </w:r>
                  <w:r>
                    <w:rPr>
                      <w:rFonts w:hint="eastAsia"/>
                      <w:color w:val="auto"/>
                      <w:sz w:val="21"/>
                      <w:szCs w:val="21"/>
                      <w:lang w:val="en-US" w:eastAsia="zh-CN"/>
                    </w:rPr>
                    <w:t>的风积沙筒仓。</w:t>
                  </w:r>
                </w:p>
              </w:tc>
              <w:tc>
                <w:tcPr>
                  <w:tcW w:w="1027" w:type="dxa"/>
                  <w:tcBorders>
                    <w:tl2br w:val="nil"/>
                    <w:tr2bl w:val="nil"/>
                  </w:tcBorders>
                  <w:noWrap w:val="0"/>
                  <w:vAlign w:val="center"/>
                </w:tcPr>
                <w:p w14:paraId="7ADDE7BC">
                  <w:pPr>
                    <w:widowControl w:val="0"/>
                    <w:bidi w:val="0"/>
                    <w:spacing w:line="320" w:lineRule="exact"/>
                    <w:ind w:firstLine="0" w:firstLineChars="0"/>
                    <w:jc w:val="center"/>
                    <w:rPr>
                      <w:rFonts w:hint="eastAsia" w:ascii="Times New Roman" w:hAnsi="Times New Roman" w:eastAsia="宋体" w:cs="宋体"/>
                      <w:color w:val="auto"/>
                      <w:sz w:val="21"/>
                      <w:szCs w:val="21"/>
                      <w:lang w:val="en-US" w:eastAsia="zh-CN" w:bidi="ar-SA"/>
                    </w:rPr>
                  </w:pPr>
                  <w:r>
                    <w:rPr>
                      <w:rFonts w:hint="eastAsia" w:cs="Times New Roman"/>
                      <w:color w:val="auto"/>
                      <w:kern w:val="0"/>
                      <w:sz w:val="21"/>
                      <w:szCs w:val="21"/>
                      <w:highlight w:val="none"/>
                      <w:lang w:val="en-US" w:eastAsia="zh-CN" w:bidi="ar-SA"/>
                    </w:rPr>
                    <w:t>新建</w:t>
                  </w:r>
                </w:p>
              </w:tc>
            </w:tr>
            <w:tr w14:paraId="2FDD2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530" w:type="dxa"/>
                  <w:vMerge w:val="continue"/>
                  <w:tcBorders>
                    <w:tl2br w:val="nil"/>
                    <w:tr2bl w:val="nil"/>
                  </w:tcBorders>
                  <w:noWrap w:val="0"/>
                  <w:vAlign w:val="center"/>
                </w:tcPr>
                <w:p w14:paraId="7F8BF7CB">
                  <w:pPr>
                    <w:widowControl w:val="0"/>
                    <w:overflowPunct w:val="0"/>
                    <w:autoSpaceDE w:val="0"/>
                    <w:autoSpaceDN w:val="0"/>
                    <w:adjustRightInd w:val="0"/>
                    <w:snapToGrid w:val="0"/>
                    <w:spacing w:before="0" w:after="0" w:line="240" w:lineRule="auto"/>
                    <w:ind w:left="0" w:right="0" w:firstLine="0" w:firstLineChars="0"/>
                    <w:jc w:val="center"/>
                    <w:rPr>
                      <w:rFonts w:hint="eastAsia"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2984AA97">
                  <w:pPr>
                    <w:widowControl w:val="0"/>
                    <w:bidi w:val="0"/>
                    <w:spacing w:line="320" w:lineRule="exact"/>
                    <w:ind w:firstLine="0" w:firstLineChars="0"/>
                    <w:jc w:val="center"/>
                    <w:rPr>
                      <w:rFonts w:hint="eastAsia" w:cs="宋体"/>
                      <w:color w:val="auto"/>
                      <w:sz w:val="21"/>
                      <w:szCs w:val="21"/>
                      <w:lang w:val="en-US" w:eastAsia="zh-CN" w:bidi="ar-SA"/>
                    </w:rPr>
                  </w:pPr>
                </w:p>
              </w:tc>
              <w:tc>
                <w:tcPr>
                  <w:tcW w:w="2872" w:type="dxa"/>
                  <w:vMerge w:val="restart"/>
                  <w:tcBorders>
                    <w:tl2br w:val="nil"/>
                    <w:tr2bl w:val="nil"/>
                  </w:tcBorders>
                  <w:noWrap w:val="0"/>
                  <w:vAlign w:val="center"/>
                </w:tcPr>
                <w:p w14:paraId="7FEDB260">
                  <w:pPr>
                    <w:widowControl w:val="0"/>
                    <w:bidi w:val="0"/>
                    <w:spacing w:line="320" w:lineRule="exact"/>
                    <w:ind w:firstLine="0" w:firstLineChars="0"/>
                    <w:jc w:val="center"/>
                    <w:rPr>
                      <w:rFonts w:hint="eastAsia"/>
                      <w:color w:val="auto"/>
                      <w:sz w:val="21"/>
                      <w:szCs w:val="21"/>
                    </w:rPr>
                  </w:pPr>
                  <w:r>
                    <w:rPr>
                      <w:rFonts w:hint="eastAsia"/>
                      <w:color w:val="auto"/>
                      <w:sz w:val="21"/>
                      <w:szCs w:val="21"/>
                      <w:highlight w:val="none"/>
                      <w:lang w:val="en-US" w:eastAsia="zh-CN"/>
                    </w:rPr>
                    <w:t>原料堆存区位于项目区东南侧，占地200m</w:t>
                  </w:r>
                  <w:r>
                    <w:rPr>
                      <w:rFonts w:hint="eastAsia"/>
                      <w:color w:val="auto"/>
                      <w:sz w:val="21"/>
                      <w:szCs w:val="21"/>
                      <w:highlight w:val="none"/>
                      <w:vertAlign w:val="superscript"/>
                      <w:lang w:val="en-US" w:eastAsia="zh-CN"/>
                    </w:rPr>
                    <w:t>2</w:t>
                  </w:r>
                  <w:r>
                    <w:rPr>
                      <w:rFonts w:hint="eastAsia"/>
                      <w:color w:val="auto"/>
                      <w:sz w:val="21"/>
                      <w:szCs w:val="21"/>
                      <w:lang w:val="en-US" w:eastAsia="zh-CN"/>
                    </w:rPr>
                    <w:t>。其中原料堆存区按照自西向东的方向设置2个区域。</w:t>
                  </w:r>
                </w:p>
              </w:tc>
              <w:tc>
                <w:tcPr>
                  <w:tcW w:w="2873" w:type="dxa"/>
                  <w:tcBorders>
                    <w:tl2br w:val="nil"/>
                    <w:tr2bl w:val="nil"/>
                  </w:tcBorders>
                  <w:noWrap w:val="0"/>
                  <w:vAlign w:val="center"/>
                </w:tcPr>
                <w:p w14:paraId="691CA05A">
                  <w:pPr>
                    <w:widowControl w:val="0"/>
                    <w:bidi w:val="0"/>
                    <w:spacing w:line="320" w:lineRule="exact"/>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乳胶粉堆存区占地100m</w:t>
                  </w:r>
                  <w:r>
                    <w:rPr>
                      <w:rFonts w:hint="eastAsia"/>
                      <w:color w:val="auto"/>
                      <w:sz w:val="21"/>
                      <w:szCs w:val="21"/>
                      <w:highlight w:val="none"/>
                      <w:vertAlign w:val="superscript"/>
                      <w:lang w:val="en-US" w:eastAsia="zh-CN"/>
                    </w:rPr>
                    <w:t>2</w:t>
                  </w:r>
                  <w:r>
                    <w:rPr>
                      <w:rFonts w:hint="eastAsia"/>
                      <w:color w:val="auto"/>
                      <w:sz w:val="21"/>
                      <w:szCs w:val="21"/>
                      <w:lang w:val="en-US" w:eastAsia="zh-CN"/>
                    </w:rPr>
                    <w:t>，采用袋装物料堆放储存。</w:t>
                  </w:r>
                  <w:bookmarkStart w:id="123" w:name="_GoBack"/>
                  <w:bookmarkEnd w:id="123"/>
                </w:p>
              </w:tc>
              <w:tc>
                <w:tcPr>
                  <w:tcW w:w="1027" w:type="dxa"/>
                  <w:vMerge w:val="restart"/>
                  <w:tcBorders>
                    <w:tl2br w:val="nil"/>
                    <w:tr2bl w:val="nil"/>
                  </w:tcBorders>
                  <w:noWrap w:val="0"/>
                  <w:vAlign w:val="center"/>
                </w:tcPr>
                <w:p w14:paraId="45240AE2">
                  <w:pPr>
                    <w:widowControl w:val="0"/>
                    <w:bidi w:val="0"/>
                    <w:spacing w:line="320" w:lineRule="exact"/>
                    <w:ind w:firstLine="0" w:firstLineChars="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4341C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530" w:type="dxa"/>
                  <w:vMerge w:val="continue"/>
                  <w:tcBorders>
                    <w:tl2br w:val="nil"/>
                    <w:tr2bl w:val="nil"/>
                  </w:tcBorders>
                  <w:noWrap w:val="0"/>
                  <w:vAlign w:val="center"/>
                </w:tcPr>
                <w:p w14:paraId="65E2E0C7">
                  <w:pPr>
                    <w:widowControl w:val="0"/>
                    <w:bidi w:val="0"/>
                    <w:spacing w:line="320" w:lineRule="exact"/>
                    <w:ind w:firstLine="0" w:firstLineChars="0"/>
                    <w:jc w:val="center"/>
                    <w:rPr>
                      <w:color w:val="auto"/>
                      <w:sz w:val="21"/>
                      <w:szCs w:val="21"/>
                    </w:rPr>
                  </w:pPr>
                </w:p>
              </w:tc>
              <w:tc>
                <w:tcPr>
                  <w:tcW w:w="1202" w:type="dxa"/>
                  <w:vMerge w:val="continue"/>
                  <w:tcBorders>
                    <w:tl2br w:val="nil"/>
                    <w:tr2bl w:val="nil"/>
                  </w:tcBorders>
                  <w:noWrap w:val="0"/>
                  <w:vAlign w:val="center"/>
                </w:tcPr>
                <w:p w14:paraId="6297AAB3">
                  <w:pPr>
                    <w:widowControl w:val="0"/>
                    <w:bidi w:val="0"/>
                    <w:spacing w:line="320" w:lineRule="exact"/>
                    <w:ind w:firstLine="0" w:firstLineChars="0"/>
                    <w:jc w:val="center"/>
                    <w:rPr>
                      <w:color w:val="auto"/>
                      <w:sz w:val="21"/>
                      <w:szCs w:val="21"/>
                    </w:rPr>
                  </w:pPr>
                </w:p>
              </w:tc>
              <w:tc>
                <w:tcPr>
                  <w:tcW w:w="2872" w:type="dxa"/>
                  <w:vMerge w:val="continue"/>
                  <w:tcBorders>
                    <w:tl2br w:val="nil"/>
                    <w:tr2bl w:val="nil"/>
                  </w:tcBorders>
                  <w:noWrap w:val="0"/>
                  <w:vAlign w:val="center"/>
                </w:tcPr>
                <w:p w14:paraId="38A21DCE">
                  <w:pPr>
                    <w:widowControl w:val="0"/>
                    <w:bidi w:val="0"/>
                    <w:spacing w:line="320" w:lineRule="exact"/>
                    <w:ind w:firstLine="0" w:firstLineChars="0"/>
                    <w:jc w:val="center"/>
                    <w:rPr>
                      <w:color w:val="auto"/>
                      <w:sz w:val="21"/>
                      <w:szCs w:val="21"/>
                    </w:rPr>
                  </w:pPr>
                </w:p>
              </w:tc>
              <w:tc>
                <w:tcPr>
                  <w:tcW w:w="2873" w:type="dxa"/>
                  <w:tcBorders>
                    <w:tl2br w:val="nil"/>
                    <w:tr2bl w:val="nil"/>
                  </w:tcBorders>
                  <w:noWrap w:val="0"/>
                  <w:vAlign w:val="center"/>
                </w:tcPr>
                <w:p w14:paraId="3BAF2ECE">
                  <w:pPr>
                    <w:widowControl w:val="0"/>
                    <w:bidi w:val="0"/>
                    <w:spacing w:line="320" w:lineRule="exact"/>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纤维素堆存区占地100m</w:t>
                  </w:r>
                  <w:r>
                    <w:rPr>
                      <w:rFonts w:hint="eastAsia"/>
                      <w:color w:val="auto"/>
                      <w:sz w:val="21"/>
                      <w:szCs w:val="21"/>
                      <w:highlight w:val="none"/>
                      <w:vertAlign w:val="superscript"/>
                      <w:lang w:val="en-US" w:eastAsia="zh-CN"/>
                    </w:rPr>
                    <w:t>2</w:t>
                  </w:r>
                  <w:r>
                    <w:rPr>
                      <w:rFonts w:hint="eastAsia"/>
                      <w:color w:val="auto"/>
                      <w:sz w:val="21"/>
                      <w:szCs w:val="21"/>
                      <w:lang w:val="en-US" w:eastAsia="zh-CN"/>
                    </w:rPr>
                    <w:t>，采用袋装物料堆放储存。</w:t>
                  </w:r>
                </w:p>
              </w:tc>
              <w:tc>
                <w:tcPr>
                  <w:tcW w:w="1027" w:type="dxa"/>
                  <w:vMerge w:val="continue"/>
                  <w:tcBorders>
                    <w:tl2br w:val="nil"/>
                    <w:tr2bl w:val="nil"/>
                  </w:tcBorders>
                  <w:noWrap w:val="0"/>
                  <w:vAlign w:val="center"/>
                </w:tcPr>
                <w:p w14:paraId="6043C772">
                  <w:pPr>
                    <w:widowControl w:val="0"/>
                    <w:bidi w:val="0"/>
                    <w:spacing w:line="320" w:lineRule="exact"/>
                    <w:ind w:firstLine="0" w:firstLineChars="0"/>
                    <w:jc w:val="center"/>
                    <w:rPr>
                      <w:rFonts w:hint="eastAsia"/>
                      <w:color w:val="auto"/>
                      <w:sz w:val="21"/>
                      <w:szCs w:val="21"/>
                      <w:highlight w:val="none"/>
                      <w:lang w:val="en-US" w:eastAsia="zh-CN"/>
                    </w:rPr>
                  </w:pPr>
                </w:p>
              </w:tc>
            </w:tr>
            <w:tr w14:paraId="0C7BF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14:paraId="02867F98">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14883B50">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745" w:type="dxa"/>
                  <w:gridSpan w:val="2"/>
                  <w:tcBorders>
                    <w:tl2br w:val="nil"/>
                    <w:tr2bl w:val="nil"/>
                  </w:tcBorders>
                  <w:noWrap w:val="0"/>
                  <w:vAlign w:val="center"/>
                </w:tcPr>
                <w:p w14:paraId="1997C120">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产品堆放区位于项目区东北侧，占地200m</w:t>
                  </w:r>
                  <w:r>
                    <w:rPr>
                      <w:rFonts w:hint="eastAsia"/>
                      <w:color w:val="auto"/>
                      <w:sz w:val="21"/>
                      <w:szCs w:val="21"/>
                      <w:highlight w:val="none"/>
                      <w:vertAlign w:val="superscript"/>
                      <w:lang w:val="en-US" w:eastAsia="zh-CN"/>
                    </w:rPr>
                    <w:t>2</w:t>
                  </w:r>
                  <w:r>
                    <w:rPr>
                      <w:rFonts w:hint="eastAsia"/>
                      <w:color w:val="auto"/>
                      <w:sz w:val="21"/>
                      <w:szCs w:val="21"/>
                      <w:lang w:val="en-US" w:eastAsia="zh-CN"/>
                    </w:rPr>
                    <w:t>，产品以袋装成品堆放储存。</w:t>
                  </w:r>
                </w:p>
              </w:tc>
              <w:tc>
                <w:tcPr>
                  <w:tcW w:w="1027" w:type="dxa"/>
                  <w:tcBorders>
                    <w:tl2br w:val="nil"/>
                    <w:tr2bl w:val="nil"/>
                  </w:tcBorders>
                  <w:noWrap w:val="0"/>
                  <w:vAlign w:val="center"/>
                </w:tcPr>
                <w:p w14:paraId="4BE5B95F">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宋体"/>
                      <w:color w:val="auto"/>
                      <w:sz w:val="21"/>
                      <w:szCs w:val="21"/>
                      <w:lang w:val="en-US" w:eastAsia="zh-CN"/>
                    </w:rPr>
                  </w:pPr>
                  <w:r>
                    <w:rPr>
                      <w:rFonts w:hint="eastAsia" w:cs="Times New Roman"/>
                      <w:color w:val="auto"/>
                      <w:kern w:val="0"/>
                      <w:sz w:val="21"/>
                      <w:szCs w:val="21"/>
                      <w:highlight w:val="none"/>
                      <w:lang w:val="en-US" w:eastAsia="zh-CN" w:bidi="ar-SA"/>
                    </w:rPr>
                    <w:t>新建</w:t>
                  </w:r>
                </w:p>
              </w:tc>
            </w:tr>
            <w:tr w14:paraId="135B4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restart"/>
                  <w:tcBorders>
                    <w:tl2br w:val="nil"/>
                    <w:tr2bl w:val="nil"/>
                  </w:tcBorders>
                  <w:noWrap w:val="0"/>
                  <w:vAlign w:val="center"/>
                </w:tcPr>
                <w:p w14:paraId="7EF29FEA">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公用工程</w:t>
                  </w:r>
                </w:p>
              </w:tc>
              <w:tc>
                <w:tcPr>
                  <w:tcW w:w="1202" w:type="dxa"/>
                  <w:tcBorders>
                    <w:tl2br w:val="nil"/>
                    <w:tr2bl w:val="nil"/>
                  </w:tcBorders>
                  <w:noWrap w:val="0"/>
                  <w:vAlign w:val="center"/>
                </w:tcPr>
                <w:p w14:paraId="72843B28">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供水系统</w:t>
                  </w:r>
                </w:p>
              </w:tc>
              <w:tc>
                <w:tcPr>
                  <w:tcW w:w="5745" w:type="dxa"/>
                  <w:gridSpan w:val="2"/>
                  <w:tcBorders>
                    <w:tl2br w:val="nil"/>
                    <w:tr2bl w:val="nil"/>
                  </w:tcBorders>
                  <w:noWrap w:val="0"/>
                  <w:vAlign w:val="center"/>
                </w:tcPr>
                <w:p w14:paraId="3FE65D4E">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供水由</w:t>
                  </w:r>
                  <w:r>
                    <w:rPr>
                      <w:rFonts w:hint="eastAsia" w:cs="Times New Roman"/>
                      <w:color w:val="auto"/>
                      <w:kern w:val="0"/>
                      <w:sz w:val="21"/>
                      <w:szCs w:val="21"/>
                      <w:highlight w:val="none"/>
                      <w:lang w:val="en-US" w:eastAsia="zh-CN" w:bidi="ar-SA"/>
                    </w:rPr>
                    <w:t>园区</w:t>
                  </w:r>
                  <w:r>
                    <w:rPr>
                      <w:rFonts w:hint="eastAsia" w:ascii="Times New Roman" w:hAnsi="Times New Roman" w:eastAsia="宋体" w:cs="Times New Roman"/>
                      <w:color w:val="auto"/>
                      <w:kern w:val="0"/>
                      <w:sz w:val="21"/>
                      <w:szCs w:val="21"/>
                      <w:highlight w:val="none"/>
                      <w:lang w:val="en-US" w:eastAsia="zh-CN" w:bidi="ar-SA"/>
                    </w:rPr>
                    <w:t>供水管网提供</w:t>
                  </w:r>
                </w:p>
              </w:tc>
              <w:tc>
                <w:tcPr>
                  <w:tcW w:w="1027" w:type="dxa"/>
                  <w:tcBorders>
                    <w:tl2br w:val="nil"/>
                    <w:tr2bl w:val="nil"/>
                  </w:tcBorders>
                  <w:noWrap w:val="0"/>
                  <w:vAlign w:val="center"/>
                </w:tcPr>
                <w:p w14:paraId="2597935B">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rPr>
                    <w:t>依托</w:t>
                  </w:r>
                </w:p>
              </w:tc>
            </w:tr>
            <w:tr w14:paraId="49B63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0" w:type="dxa"/>
                  <w:vMerge w:val="continue"/>
                  <w:tcBorders>
                    <w:tl2br w:val="nil"/>
                    <w:tr2bl w:val="nil"/>
                  </w:tcBorders>
                  <w:noWrap w:val="0"/>
                  <w:vAlign w:val="center"/>
                </w:tcPr>
                <w:p w14:paraId="4BE51305">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color w:val="auto"/>
                      <w:sz w:val="21"/>
                      <w:szCs w:val="21"/>
                    </w:rPr>
                  </w:pPr>
                </w:p>
              </w:tc>
              <w:tc>
                <w:tcPr>
                  <w:tcW w:w="1202" w:type="dxa"/>
                  <w:tcBorders>
                    <w:tl2br w:val="nil"/>
                    <w:tr2bl w:val="nil"/>
                  </w:tcBorders>
                  <w:noWrap w:val="0"/>
                  <w:vAlign w:val="center"/>
                </w:tcPr>
                <w:p w14:paraId="2618966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排水系统</w:t>
                  </w:r>
                </w:p>
              </w:tc>
              <w:tc>
                <w:tcPr>
                  <w:tcW w:w="5745" w:type="dxa"/>
                  <w:gridSpan w:val="2"/>
                  <w:tcBorders>
                    <w:tl2br w:val="nil"/>
                    <w:tr2bl w:val="nil"/>
                  </w:tcBorders>
                  <w:noWrap w:val="0"/>
                  <w:vAlign w:val="center"/>
                </w:tcPr>
                <w:p w14:paraId="48F2832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生活污水排入</w:t>
                  </w:r>
                  <w:r>
                    <w:rPr>
                      <w:rFonts w:hint="eastAsia" w:cs="Times New Roman"/>
                      <w:color w:val="auto"/>
                      <w:kern w:val="0"/>
                      <w:sz w:val="21"/>
                      <w:szCs w:val="21"/>
                      <w:highlight w:val="none"/>
                      <w:lang w:val="en-US" w:eastAsia="zh-CN" w:bidi="ar-SA"/>
                    </w:rPr>
                    <w:t>园区管网经</w:t>
                  </w:r>
                  <w:r>
                    <w:rPr>
                      <w:rFonts w:hint="default" w:ascii="Times New Roman" w:hAnsi="Times New Roman" w:eastAsia="宋体" w:cs="Times New Roman"/>
                      <w:color w:val="auto"/>
                      <w:kern w:val="0"/>
                      <w:sz w:val="21"/>
                      <w:szCs w:val="21"/>
                      <w:highlight w:val="none"/>
                      <w:lang w:val="en-US" w:eastAsia="zh-CN" w:bidi="ar-SA"/>
                    </w:rPr>
                    <w:t>阜康市西部城区污水处理厂处理</w:t>
                  </w:r>
                </w:p>
              </w:tc>
              <w:tc>
                <w:tcPr>
                  <w:tcW w:w="1027" w:type="dxa"/>
                  <w:tcBorders>
                    <w:tl2br w:val="nil"/>
                    <w:tr2bl w:val="nil"/>
                  </w:tcBorders>
                  <w:noWrap w:val="0"/>
                  <w:vAlign w:val="center"/>
                </w:tcPr>
                <w:p w14:paraId="5CD5BB99">
                  <w:pPr>
                    <w:widowControl w:val="0"/>
                    <w:bidi w:val="0"/>
                    <w:spacing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依托</w:t>
                  </w:r>
                </w:p>
              </w:tc>
            </w:tr>
            <w:tr w14:paraId="305D9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14:paraId="3CA7666F">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tcBorders>
                    <w:tl2br w:val="nil"/>
                    <w:tr2bl w:val="nil"/>
                  </w:tcBorders>
                  <w:noWrap w:val="0"/>
                  <w:vAlign w:val="center"/>
                </w:tcPr>
                <w:p w14:paraId="3ADDB5AD">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供电系统</w:t>
                  </w:r>
                </w:p>
              </w:tc>
              <w:tc>
                <w:tcPr>
                  <w:tcW w:w="5745" w:type="dxa"/>
                  <w:gridSpan w:val="2"/>
                  <w:tcBorders>
                    <w:tl2br w:val="nil"/>
                    <w:tr2bl w:val="nil"/>
                  </w:tcBorders>
                  <w:noWrap w:val="0"/>
                  <w:vAlign w:val="center"/>
                </w:tcPr>
                <w:p w14:paraId="3AB13815">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w:t>
                  </w:r>
                  <w:r>
                    <w:rPr>
                      <w:rFonts w:hint="eastAsia" w:cs="Times New Roman"/>
                      <w:color w:val="auto"/>
                      <w:kern w:val="0"/>
                      <w:sz w:val="21"/>
                      <w:szCs w:val="21"/>
                      <w:highlight w:val="none"/>
                      <w:lang w:val="en-US" w:eastAsia="zh-CN" w:bidi="ar-SA"/>
                    </w:rPr>
                    <w:t>园区</w:t>
                  </w:r>
                  <w:r>
                    <w:rPr>
                      <w:rFonts w:hint="default" w:ascii="Times New Roman" w:hAnsi="Times New Roman" w:eastAsia="宋体" w:cs="Times New Roman"/>
                      <w:color w:val="auto"/>
                      <w:sz w:val="21"/>
                      <w:szCs w:val="21"/>
                      <w:highlight w:val="none"/>
                    </w:rPr>
                    <w:t>电力管网供给</w:t>
                  </w:r>
                </w:p>
              </w:tc>
              <w:tc>
                <w:tcPr>
                  <w:tcW w:w="1027" w:type="dxa"/>
                  <w:tcBorders>
                    <w:tl2br w:val="nil"/>
                    <w:tr2bl w:val="nil"/>
                  </w:tcBorders>
                  <w:noWrap w:val="0"/>
                  <w:vAlign w:val="center"/>
                </w:tcPr>
                <w:p w14:paraId="5A08756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宋体"/>
                      <w:color w:val="auto"/>
                      <w:sz w:val="21"/>
                      <w:szCs w:val="21"/>
                      <w:lang w:val="en-US" w:eastAsia="zh-CN"/>
                    </w:rPr>
                    <w:t>依托</w:t>
                  </w:r>
                </w:p>
              </w:tc>
            </w:tr>
            <w:tr w14:paraId="68C98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14:paraId="7175EF22">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tcBorders>
                    <w:tl2br w:val="nil"/>
                    <w:tr2bl w:val="nil"/>
                  </w:tcBorders>
                  <w:noWrap w:val="0"/>
                  <w:vAlign w:val="center"/>
                </w:tcPr>
                <w:p w14:paraId="2B990B8D">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供热系统</w:t>
                  </w:r>
                </w:p>
              </w:tc>
              <w:tc>
                <w:tcPr>
                  <w:tcW w:w="5745" w:type="dxa"/>
                  <w:gridSpan w:val="2"/>
                  <w:tcBorders>
                    <w:tl2br w:val="nil"/>
                    <w:tr2bl w:val="nil"/>
                  </w:tcBorders>
                  <w:noWrap w:val="0"/>
                  <w:vAlign w:val="center"/>
                </w:tcPr>
                <w:p w14:paraId="18E19127">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lang w:val="en-US" w:eastAsia="zh-CN"/>
                    </w:rPr>
                    <w:t>车间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生活办公区取暖均由</w:t>
                  </w:r>
                  <w:r>
                    <w:rPr>
                      <w:rFonts w:hint="eastAsia" w:cs="Times New Roman"/>
                      <w:color w:val="auto"/>
                      <w:sz w:val="21"/>
                      <w:szCs w:val="21"/>
                      <w:highlight w:val="none"/>
                      <w:lang w:val="en-US" w:eastAsia="zh-CN"/>
                    </w:rPr>
                    <w:t>集中供热管网</w:t>
                  </w:r>
                  <w:r>
                    <w:rPr>
                      <w:rFonts w:hint="default" w:ascii="Times New Roman" w:hAnsi="Times New Roman" w:eastAsia="宋体" w:cs="Times New Roman"/>
                      <w:color w:val="auto"/>
                      <w:sz w:val="21"/>
                      <w:szCs w:val="21"/>
                      <w:highlight w:val="none"/>
                      <w:lang w:val="en-US" w:eastAsia="zh-CN"/>
                    </w:rPr>
                    <w:t>供给</w:t>
                  </w:r>
                </w:p>
              </w:tc>
              <w:tc>
                <w:tcPr>
                  <w:tcW w:w="1027" w:type="dxa"/>
                  <w:tcBorders>
                    <w:tl2br w:val="nil"/>
                    <w:tr2bl w:val="nil"/>
                  </w:tcBorders>
                  <w:noWrap w:val="0"/>
                  <w:vAlign w:val="center"/>
                </w:tcPr>
                <w:p w14:paraId="4C3181E9">
                  <w:pPr>
                    <w:widowControl w:val="0"/>
                    <w:bidi w:val="0"/>
                    <w:spacing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依托</w:t>
                  </w:r>
                </w:p>
              </w:tc>
            </w:tr>
            <w:tr w14:paraId="53B12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530" w:type="dxa"/>
                  <w:vMerge w:val="restart"/>
                  <w:tcBorders>
                    <w:tl2br w:val="nil"/>
                    <w:tr2bl w:val="nil"/>
                  </w:tcBorders>
                  <w:noWrap w:val="0"/>
                  <w:vAlign w:val="center"/>
                </w:tcPr>
                <w:p w14:paraId="53AD497D">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环保工程</w:t>
                  </w:r>
                </w:p>
              </w:tc>
              <w:tc>
                <w:tcPr>
                  <w:tcW w:w="1202" w:type="dxa"/>
                  <w:vMerge w:val="restart"/>
                  <w:tcBorders>
                    <w:tl2br w:val="nil"/>
                    <w:tr2bl w:val="nil"/>
                  </w:tcBorders>
                  <w:noWrap w:val="0"/>
                  <w:vAlign w:val="center"/>
                </w:tcPr>
                <w:p w14:paraId="2F2BAEEA">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废气治理</w:t>
                  </w:r>
                </w:p>
              </w:tc>
              <w:tc>
                <w:tcPr>
                  <w:tcW w:w="5745" w:type="dxa"/>
                  <w:gridSpan w:val="2"/>
                  <w:tcBorders>
                    <w:tl2br w:val="nil"/>
                    <w:tr2bl w:val="nil"/>
                  </w:tcBorders>
                  <w:noWrap w:val="0"/>
                  <w:vAlign w:val="center"/>
                </w:tcPr>
                <w:p w14:paraId="58497827">
                  <w:pPr>
                    <w:pStyle w:val="35"/>
                    <w:keepNext w:val="0"/>
                    <w:keepLines w:val="0"/>
                    <w:pageBreakBefore w:val="0"/>
                    <w:widowControl w:val="0"/>
                    <w:kinsoku/>
                    <w:wordWrap/>
                    <w:overflowPunct w:val="0"/>
                    <w:topLinePunct w:val="0"/>
                    <w:autoSpaceDE w:val="0"/>
                    <w:autoSpaceDN w:val="0"/>
                    <w:bidi w:val="0"/>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bidi="ar-SA"/>
                    </w:rPr>
                  </w:pPr>
                  <w:r>
                    <w:rPr>
                      <w:color w:val="auto"/>
                      <w:sz w:val="21"/>
                      <w:szCs w:val="21"/>
                      <w:highlight w:val="none"/>
                    </w:rPr>
                    <w:t>搅拌机设置</w:t>
                  </w:r>
                  <w:r>
                    <w:rPr>
                      <w:rFonts w:hint="eastAsia"/>
                      <w:color w:val="auto"/>
                      <w:sz w:val="21"/>
                      <w:szCs w:val="21"/>
                      <w:highlight w:val="none"/>
                      <w:lang w:val="en-US" w:eastAsia="zh-CN"/>
                    </w:rPr>
                    <w:t>2套布袋</w:t>
                  </w:r>
                  <w:r>
                    <w:rPr>
                      <w:color w:val="auto"/>
                      <w:sz w:val="21"/>
                      <w:szCs w:val="21"/>
                      <w:highlight w:val="none"/>
                    </w:rPr>
                    <w:t>除尘器</w:t>
                  </w:r>
                  <w:r>
                    <w:rPr>
                      <w:rFonts w:hint="eastAsia"/>
                      <w:color w:val="auto"/>
                      <w:sz w:val="21"/>
                      <w:szCs w:val="21"/>
                      <w:highlight w:val="none"/>
                      <w:lang w:val="en-US" w:eastAsia="zh-CN"/>
                    </w:rPr>
                    <w:t>1座15m排气筒</w:t>
                  </w:r>
                </w:p>
              </w:tc>
              <w:tc>
                <w:tcPr>
                  <w:tcW w:w="1027" w:type="dxa"/>
                  <w:tcBorders>
                    <w:tl2br w:val="nil"/>
                    <w:tr2bl w:val="nil"/>
                  </w:tcBorders>
                  <w:noWrap w:val="0"/>
                  <w:vAlign w:val="center"/>
                </w:tcPr>
                <w:p w14:paraId="5CC57720">
                  <w:pPr>
                    <w:widowControl w:val="0"/>
                    <w:bidi w:val="0"/>
                    <w:spacing w:line="320" w:lineRule="exact"/>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65961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530" w:type="dxa"/>
                  <w:vMerge w:val="continue"/>
                  <w:tcBorders>
                    <w:tl2br w:val="nil"/>
                    <w:tr2bl w:val="nil"/>
                  </w:tcBorders>
                  <w:noWrap w:val="0"/>
                  <w:vAlign w:val="center"/>
                </w:tcPr>
                <w:p w14:paraId="2C44C195">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52EB148A">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745" w:type="dxa"/>
                  <w:gridSpan w:val="2"/>
                  <w:tcBorders>
                    <w:tl2br w:val="nil"/>
                    <w:tr2bl w:val="nil"/>
                  </w:tcBorders>
                  <w:noWrap w:val="0"/>
                  <w:vAlign w:val="center"/>
                </w:tcPr>
                <w:p w14:paraId="1133CDEB">
                  <w:pPr>
                    <w:pStyle w:val="35"/>
                    <w:keepNext w:val="0"/>
                    <w:keepLines w:val="0"/>
                    <w:pageBreakBefore w:val="0"/>
                    <w:widowControl w:val="0"/>
                    <w:kinsoku/>
                    <w:wordWrap/>
                    <w:overflowPunct w:val="0"/>
                    <w:topLinePunct w:val="0"/>
                    <w:autoSpaceDE w:val="0"/>
                    <w:autoSpaceDN w:val="0"/>
                    <w:bidi w:val="0"/>
                    <w:adjustRightInd w:val="0"/>
                    <w:snapToGrid w:val="0"/>
                    <w:ind w:firstLine="0" w:firstLineChars="0"/>
                    <w:rPr>
                      <w:color w:val="auto"/>
                      <w:sz w:val="21"/>
                      <w:szCs w:val="21"/>
                      <w:highlight w:val="none"/>
                    </w:rPr>
                  </w:pPr>
                  <w:r>
                    <w:rPr>
                      <w:rFonts w:hint="eastAsia"/>
                      <w:color w:val="auto"/>
                      <w:sz w:val="21"/>
                      <w:szCs w:val="21"/>
                      <w:lang w:val="en-US" w:eastAsia="zh-CN"/>
                    </w:rPr>
                    <w:t>包装机处设置2台密闭型集气罩，共用搅拌除尘器以及排气筒DA001排放。</w:t>
                  </w:r>
                </w:p>
              </w:tc>
              <w:tc>
                <w:tcPr>
                  <w:tcW w:w="1027" w:type="dxa"/>
                  <w:tcBorders>
                    <w:tl2br w:val="nil"/>
                    <w:tr2bl w:val="nil"/>
                  </w:tcBorders>
                  <w:noWrap w:val="0"/>
                  <w:vAlign w:val="center"/>
                </w:tcPr>
                <w:p w14:paraId="0E1E323F">
                  <w:pPr>
                    <w:widowControl w:val="0"/>
                    <w:bidi w:val="0"/>
                    <w:spacing w:line="320" w:lineRule="exact"/>
                    <w:ind w:firstLine="0" w:firstLineChars="0"/>
                    <w:jc w:val="center"/>
                    <w:rPr>
                      <w:rFonts w:hint="eastAsia" w:cs="宋体"/>
                      <w:color w:val="auto"/>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6FB84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530" w:type="dxa"/>
                  <w:vMerge w:val="continue"/>
                  <w:tcBorders>
                    <w:tl2br w:val="nil"/>
                    <w:tr2bl w:val="nil"/>
                  </w:tcBorders>
                  <w:noWrap w:val="0"/>
                  <w:vAlign w:val="center"/>
                </w:tcPr>
                <w:p w14:paraId="41AABFAB">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44927FD3">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745" w:type="dxa"/>
                  <w:gridSpan w:val="2"/>
                  <w:tcBorders>
                    <w:tl2br w:val="nil"/>
                    <w:tr2bl w:val="nil"/>
                  </w:tcBorders>
                  <w:noWrap w:val="0"/>
                  <w:vAlign w:val="center"/>
                </w:tcPr>
                <w:p w14:paraId="7680D3D6">
                  <w:pPr>
                    <w:pStyle w:val="35"/>
                    <w:keepNext w:val="0"/>
                    <w:keepLines w:val="0"/>
                    <w:pageBreakBefore w:val="0"/>
                    <w:widowControl w:val="0"/>
                    <w:kinsoku/>
                    <w:wordWrap/>
                    <w:overflowPunct w:val="0"/>
                    <w:topLinePunct w:val="0"/>
                    <w:autoSpaceDE w:val="0"/>
                    <w:autoSpaceDN w:val="0"/>
                    <w:bidi w:val="0"/>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小料投料口设置4台密闭型集气罩，共用搅拌除尘器以及排气筒DA001排放。</w:t>
                  </w:r>
                </w:p>
              </w:tc>
              <w:tc>
                <w:tcPr>
                  <w:tcW w:w="1027" w:type="dxa"/>
                  <w:tcBorders>
                    <w:tl2br w:val="nil"/>
                    <w:tr2bl w:val="nil"/>
                  </w:tcBorders>
                  <w:noWrap w:val="0"/>
                  <w:vAlign w:val="center"/>
                </w:tcPr>
                <w:p w14:paraId="07899D0C">
                  <w:pPr>
                    <w:widowControl w:val="0"/>
                    <w:bidi w:val="0"/>
                    <w:spacing w:line="320" w:lineRule="exact"/>
                    <w:ind w:firstLine="0" w:firstLineChars="0"/>
                    <w:jc w:val="center"/>
                    <w:rPr>
                      <w:rFonts w:hint="eastAsia" w:cs="宋体"/>
                      <w:color w:val="auto"/>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5B4B0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530" w:type="dxa"/>
                  <w:vMerge w:val="continue"/>
                  <w:tcBorders>
                    <w:tl2br w:val="nil"/>
                    <w:tr2bl w:val="nil"/>
                  </w:tcBorders>
                  <w:noWrap w:val="0"/>
                  <w:vAlign w:val="center"/>
                </w:tcPr>
                <w:p w14:paraId="0ED9C613">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380BBF00">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745" w:type="dxa"/>
                  <w:gridSpan w:val="2"/>
                  <w:tcBorders>
                    <w:tl2br w:val="nil"/>
                    <w:tr2bl w:val="nil"/>
                  </w:tcBorders>
                  <w:noWrap w:val="0"/>
                  <w:vAlign w:val="center"/>
                </w:tcPr>
                <w:p w14:paraId="7556CA8E">
                  <w:pPr>
                    <w:pStyle w:val="35"/>
                    <w:keepNext w:val="0"/>
                    <w:keepLines w:val="0"/>
                    <w:pageBreakBefore w:val="0"/>
                    <w:widowControl w:val="0"/>
                    <w:kinsoku/>
                    <w:wordWrap/>
                    <w:overflowPunct w:val="0"/>
                    <w:topLinePunct w:val="0"/>
                    <w:autoSpaceDE w:val="0"/>
                    <w:autoSpaceDN w:val="0"/>
                    <w:bidi w:val="0"/>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小料袋装储存于封闭的车间原料区区域；</w:t>
                  </w:r>
                </w:p>
              </w:tc>
              <w:tc>
                <w:tcPr>
                  <w:tcW w:w="1027" w:type="dxa"/>
                  <w:tcBorders>
                    <w:tl2br w:val="nil"/>
                    <w:tr2bl w:val="nil"/>
                  </w:tcBorders>
                  <w:noWrap w:val="0"/>
                  <w:vAlign w:val="center"/>
                </w:tcPr>
                <w:p w14:paraId="4AF94F7D">
                  <w:pPr>
                    <w:widowControl w:val="0"/>
                    <w:bidi w:val="0"/>
                    <w:spacing w:line="320" w:lineRule="exact"/>
                    <w:ind w:firstLine="0" w:firstLineChars="0"/>
                    <w:jc w:val="center"/>
                    <w:rPr>
                      <w:rFonts w:hint="eastAsia" w:cs="宋体"/>
                      <w:color w:val="auto"/>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2701E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530" w:type="dxa"/>
                  <w:vMerge w:val="continue"/>
                  <w:tcBorders>
                    <w:tl2br w:val="nil"/>
                    <w:tr2bl w:val="nil"/>
                  </w:tcBorders>
                  <w:noWrap w:val="0"/>
                  <w:vAlign w:val="center"/>
                </w:tcPr>
                <w:p w14:paraId="523F3D7D">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202" w:type="dxa"/>
                  <w:vMerge w:val="continue"/>
                  <w:tcBorders>
                    <w:tl2br w:val="nil"/>
                    <w:tr2bl w:val="nil"/>
                  </w:tcBorders>
                  <w:noWrap w:val="0"/>
                  <w:vAlign w:val="center"/>
                </w:tcPr>
                <w:p w14:paraId="5FE715D7">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745" w:type="dxa"/>
                  <w:gridSpan w:val="2"/>
                  <w:tcBorders>
                    <w:tl2br w:val="nil"/>
                    <w:tr2bl w:val="nil"/>
                  </w:tcBorders>
                  <w:noWrap w:val="0"/>
                  <w:vAlign w:val="center"/>
                </w:tcPr>
                <w:p w14:paraId="22F7C8ED">
                  <w:pPr>
                    <w:pStyle w:val="35"/>
                    <w:keepNext w:val="0"/>
                    <w:keepLines w:val="0"/>
                    <w:pageBreakBefore w:val="0"/>
                    <w:widowControl w:val="0"/>
                    <w:kinsoku/>
                    <w:wordWrap/>
                    <w:overflowPunct w:val="0"/>
                    <w:topLinePunct w:val="0"/>
                    <w:autoSpaceDE w:val="0"/>
                    <w:autoSpaceDN w:val="0"/>
                    <w:bidi w:val="0"/>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筒仓物料输送绞龙</w:t>
                  </w:r>
                  <w:r>
                    <w:rPr>
                      <w:rFonts w:hint="eastAsia"/>
                      <w:color w:val="auto"/>
                      <w:sz w:val="21"/>
                      <w:szCs w:val="21"/>
                    </w:rPr>
                    <w:t>全密闭</w:t>
                  </w:r>
                  <w:r>
                    <w:rPr>
                      <w:rFonts w:hint="eastAsia"/>
                      <w:color w:val="auto"/>
                      <w:sz w:val="21"/>
                      <w:szCs w:val="21"/>
                      <w:lang w:eastAsia="zh-CN"/>
                    </w:rPr>
                    <w:t>；</w:t>
                  </w:r>
                  <w:r>
                    <w:rPr>
                      <w:rFonts w:hint="eastAsia"/>
                      <w:color w:val="auto"/>
                      <w:sz w:val="21"/>
                      <w:szCs w:val="21"/>
                      <w:lang w:val="en-US" w:eastAsia="zh-CN"/>
                    </w:rPr>
                    <w:t>每台筒仓均布设仓顶布袋除尘器（合计9台）</w:t>
                  </w:r>
                </w:p>
              </w:tc>
              <w:tc>
                <w:tcPr>
                  <w:tcW w:w="1027" w:type="dxa"/>
                  <w:tcBorders>
                    <w:tl2br w:val="nil"/>
                    <w:tr2bl w:val="nil"/>
                  </w:tcBorders>
                  <w:noWrap w:val="0"/>
                  <w:vAlign w:val="center"/>
                </w:tcPr>
                <w:p w14:paraId="7E1BFE95">
                  <w:pPr>
                    <w:widowControl w:val="0"/>
                    <w:bidi w:val="0"/>
                    <w:spacing w:line="320" w:lineRule="exact"/>
                    <w:ind w:firstLine="0" w:firstLineChars="0"/>
                    <w:jc w:val="center"/>
                    <w:rPr>
                      <w:rFonts w:hint="eastAsia" w:cs="宋体"/>
                      <w:color w:val="auto"/>
                      <w:sz w:val="21"/>
                      <w:szCs w:val="21"/>
                      <w:highlight w:val="none"/>
                      <w:lang w:val="en-US" w:eastAsia="zh-CN" w:bidi="ar-SA"/>
                    </w:rPr>
                  </w:pPr>
                  <w:r>
                    <w:rPr>
                      <w:rFonts w:hint="eastAsia" w:cs="Times New Roman"/>
                      <w:color w:val="auto"/>
                      <w:kern w:val="0"/>
                      <w:sz w:val="21"/>
                      <w:szCs w:val="21"/>
                      <w:highlight w:val="none"/>
                      <w:lang w:val="en-US" w:eastAsia="zh-CN" w:bidi="ar-SA"/>
                    </w:rPr>
                    <w:t>新建</w:t>
                  </w:r>
                </w:p>
              </w:tc>
            </w:tr>
            <w:tr w14:paraId="43983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30" w:type="dxa"/>
                  <w:vMerge w:val="continue"/>
                  <w:tcBorders>
                    <w:tl2br w:val="nil"/>
                    <w:tr2bl w:val="nil"/>
                  </w:tcBorders>
                  <w:noWrap w:val="0"/>
                  <w:vAlign w:val="center"/>
                </w:tcPr>
                <w:p w14:paraId="51A8FDC6">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202" w:type="dxa"/>
                  <w:tcBorders>
                    <w:tl2br w:val="nil"/>
                    <w:tr2bl w:val="nil"/>
                  </w:tcBorders>
                  <w:noWrap w:val="0"/>
                  <w:vAlign w:val="center"/>
                </w:tcPr>
                <w:p w14:paraId="2E68CCE7">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废水治理</w:t>
                  </w:r>
                </w:p>
              </w:tc>
              <w:tc>
                <w:tcPr>
                  <w:tcW w:w="5745" w:type="dxa"/>
                  <w:gridSpan w:val="2"/>
                  <w:tcBorders>
                    <w:tl2br w:val="nil"/>
                    <w:tr2bl w:val="nil"/>
                  </w:tcBorders>
                  <w:noWrap w:val="0"/>
                  <w:vAlign w:val="center"/>
                </w:tcPr>
                <w:p w14:paraId="1D21CBA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生活污水排入</w:t>
                  </w:r>
                  <w:r>
                    <w:rPr>
                      <w:rFonts w:hint="eastAsia" w:cs="Times New Roman"/>
                      <w:color w:val="auto"/>
                      <w:kern w:val="0"/>
                      <w:sz w:val="21"/>
                      <w:szCs w:val="21"/>
                      <w:highlight w:val="none"/>
                      <w:lang w:val="en-US" w:eastAsia="zh-CN" w:bidi="ar-SA"/>
                    </w:rPr>
                    <w:t>园区管网经</w:t>
                  </w:r>
                  <w:r>
                    <w:rPr>
                      <w:rFonts w:hint="default" w:ascii="Times New Roman" w:hAnsi="Times New Roman" w:eastAsia="宋体" w:cs="Times New Roman"/>
                      <w:color w:val="auto"/>
                      <w:kern w:val="0"/>
                      <w:sz w:val="21"/>
                      <w:szCs w:val="21"/>
                      <w:highlight w:val="none"/>
                      <w:lang w:val="en-US" w:eastAsia="zh-CN" w:bidi="ar-SA"/>
                    </w:rPr>
                    <w:t>阜康市西部城区污水处理厂处理</w:t>
                  </w:r>
                </w:p>
              </w:tc>
              <w:tc>
                <w:tcPr>
                  <w:tcW w:w="1027" w:type="dxa"/>
                  <w:tcBorders>
                    <w:tl2br w:val="nil"/>
                    <w:tr2bl w:val="nil"/>
                  </w:tcBorders>
                  <w:noWrap w:val="0"/>
                  <w:vAlign w:val="center"/>
                </w:tcPr>
                <w:p w14:paraId="58B9B7DB">
                  <w:pPr>
                    <w:widowControl w:val="0"/>
                    <w:bidi w:val="0"/>
                    <w:spacing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依托</w:t>
                  </w:r>
                </w:p>
              </w:tc>
            </w:tr>
            <w:tr w14:paraId="64803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14:paraId="7C3D5625">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202" w:type="dxa"/>
                  <w:tcBorders>
                    <w:tl2br w:val="nil"/>
                    <w:tr2bl w:val="nil"/>
                  </w:tcBorders>
                  <w:noWrap w:val="0"/>
                  <w:vAlign w:val="center"/>
                </w:tcPr>
                <w:p w14:paraId="1FEC06F4">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固废治理</w:t>
                  </w:r>
                </w:p>
              </w:tc>
              <w:tc>
                <w:tcPr>
                  <w:tcW w:w="5745" w:type="dxa"/>
                  <w:gridSpan w:val="2"/>
                  <w:tcBorders>
                    <w:tl2br w:val="nil"/>
                    <w:tr2bl w:val="nil"/>
                  </w:tcBorders>
                  <w:noWrap w:val="0"/>
                  <w:vAlign w:val="center"/>
                </w:tcPr>
                <w:p w14:paraId="3449265E">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一般工业废物全部合理处置</w:t>
                  </w:r>
                  <w:r>
                    <w:rPr>
                      <w:rFonts w:hint="eastAsia"/>
                      <w:color w:val="auto"/>
                      <w:sz w:val="21"/>
                      <w:szCs w:val="21"/>
                      <w:lang w:val="en-US" w:eastAsia="zh-CN"/>
                    </w:rPr>
                    <w:t>（一般固废间位于厂房内部东侧）</w:t>
                  </w:r>
                  <w:r>
                    <w:rPr>
                      <w:rFonts w:hint="default" w:ascii="Times New Roman" w:hAnsi="Times New Roman" w:eastAsia="宋体" w:cs="Times New Roman"/>
                      <w:color w:val="auto"/>
                      <w:kern w:val="0"/>
                      <w:sz w:val="21"/>
                      <w:szCs w:val="21"/>
                      <w:highlight w:val="none"/>
                      <w:lang w:val="en-US" w:eastAsia="zh-CN" w:bidi="ar-SA"/>
                    </w:rPr>
                    <w:t>，生活垃圾</w:t>
                  </w:r>
                  <w:r>
                    <w:rPr>
                      <w:rFonts w:hint="eastAsia" w:ascii="Times New Roman" w:hAnsi="Times New Roman" w:eastAsia="宋体" w:cs="Times New Roman"/>
                      <w:color w:val="auto"/>
                      <w:kern w:val="0"/>
                      <w:sz w:val="21"/>
                      <w:szCs w:val="21"/>
                      <w:highlight w:val="none"/>
                      <w:lang w:val="en-US" w:eastAsia="zh-CN" w:bidi="ar-SA"/>
                    </w:rPr>
                    <w:t>集中收集后委托环卫部门定期清运，危险废物暂存于</w:t>
                  </w:r>
                  <w:r>
                    <w:rPr>
                      <w:rFonts w:hint="eastAsia"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m</w:t>
                  </w:r>
                  <w:r>
                    <w:rPr>
                      <w:rFonts w:hint="eastAsia" w:ascii="Times New Roman" w:hAnsi="Times New Roman" w:eastAsia="宋体" w:cs="Times New Roman"/>
                      <w:color w:val="auto"/>
                      <w:kern w:val="0"/>
                      <w:sz w:val="21"/>
                      <w:szCs w:val="21"/>
                      <w:highlight w:val="none"/>
                      <w:vertAlign w:val="superscript"/>
                      <w:lang w:val="en-US" w:eastAsia="zh-CN" w:bidi="ar-SA"/>
                    </w:rPr>
                    <w:t>2</w:t>
                  </w:r>
                  <w:r>
                    <w:rPr>
                      <w:rFonts w:hint="eastAsia" w:cs="Times New Roman"/>
                      <w:color w:val="auto"/>
                      <w:kern w:val="0"/>
                      <w:sz w:val="21"/>
                      <w:szCs w:val="21"/>
                      <w:highlight w:val="none"/>
                      <w:lang w:val="en-US" w:eastAsia="zh-CN" w:bidi="ar-SA"/>
                    </w:rPr>
                    <w:t>危废库</w:t>
                  </w:r>
                  <w:r>
                    <w:rPr>
                      <w:rFonts w:hint="eastAsia" w:ascii="Times New Roman" w:hAnsi="Times New Roman" w:eastAsia="宋体" w:cs="Times New Roman"/>
                      <w:color w:val="auto"/>
                      <w:kern w:val="0"/>
                      <w:sz w:val="21"/>
                      <w:szCs w:val="21"/>
                      <w:highlight w:val="none"/>
                      <w:lang w:val="en-US" w:eastAsia="zh-CN" w:bidi="ar-SA"/>
                    </w:rPr>
                    <w:t>委托有资质单位处置</w:t>
                  </w:r>
                  <w:r>
                    <w:rPr>
                      <w:rFonts w:hint="eastAsia"/>
                      <w:color w:val="auto"/>
                      <w:sz w:val="21"/>
                      <w:szCs w:val="21"/>
                      <w:lang w:val="en-US" w:eastAsia="zh-CN"/>
                    </w:rPr>
                    <w:t>（危废库位于厂房内部东侧）</w:t>
                  </w:r>
                </w:p>
              </w:tc>
              <w:tc>
                <w:tcPr>
                  <w:tcW w:w="1027" w:type="dxa"/>
                  <w:tcBorders>
                    <w:tl2br w:val="nil"/>
                    <w:tr2bl w:val="nil"/>
                  </w:tcBorders>
                  <w:noWrap w:val="0"/>
                  <w:vAlign w:val="center"/>
                </w:tcPr>
                <w:p w14:paraId="3BDE770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rPr>
                    <w:t>新建</w:t>
                  </w:r>
                </w:p>
              </w:tc>
            </w:tr>
            <w:tr w14:paraId="2BB66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30" w:type="dxa"/>
                  <w:vMerge w:val="continue"/>
                  <w:tcBorders>
                    <w:tl2br w:val="nil"/>
                    <w:tr2bl w:val="nil"/>
                  </w:tcBorders>
                  <w:noWrap w:val="0"/>
                  <w:vAlign w:val="center"/>
                </w:tcPr>
                <w:p w14:paraId="550952A0">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202" w:type="dxa"/>
                  <w:tcBorders>
                    <w:tl2br w:val="nil"/>
                    <w:tr2bl w:val="nil"/>
                  </w:tcBorders>
                  <w:noWrap w:val="0"/>
                  <w:vAlign w:val="center"/>
                </w:tcPr>
                <w:p w14:paraId="1EB320F5">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噪声治理</w:t>
                  </w:r>
                </w:p>
              </w:tc>
              <w:tc>
                <w:tcPr>
                  <w:tcW w:w="5745" w:type="dxa"/>
                  <w:gridSpan w:val="2"/>
                  <w:tcBorders>
                    <w:tl2br w:val="nil"/>
                    <w:tr2bl w:val="nil"/>
                  </w:tcBorders>
                  <w:noWrap w:val="0"/>
                  <w:vAlign w:val="center"/>
                </w:tcPr>
                <w:p w14:paraId="0CC394D2">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采取隔声</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减振等措施</w:t>
                  </w:r>
                </w:p>
              </w:tc>
              <w:tc>
                <w:tcPr>
                  <w:tcW w:w="1027" w:type="dxa"/>
                  <w:tcBorders>
                    <w:tl2br w:val="nil"/>
                    <w:tr2bl w:val="nil"/>
                  </w:tcBorders>
                  <w:noWrap w:val="0"/>
                  <w:vAlign w:val="center"/>
                </w:tcPr>
                <w:p w14:paraId="66FAD05C">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宋体"/>
                      <w:color w:val="auto"/>
                      <w:sz w:val="21"/>
                      <w:szCs w:val="21"/>
                      <w:lang w:val="en-US" w:eastAsia="zh-CN" w:bidi="ar-SA"/>
                    </w:rPr>
                    <w:t>新建</w:t>
                  </w:r>
                </w:p>
              </w:tc>
            </w:tr>
          </w:tbl>
          <w:p w14:paraId="0BB17BC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default"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3、</w:t>
            </w:r>
            <w:r>
              <w:rPr>
                <w:rFonts w:hint="eastAsia" w:ascii="Times New Roman" w:hAnsi="Times New Roman" w:eastAsia="宋体" w:cs="黑体"/>
                <w:b/>
                <w:color w:val="auto"/>
                <w:sz w:val="28"/>
                <w:szCs w:val="30"/>
                <w:lang w:val="en-US" w:eastAsia="zh-CN" w:bidi="ar-SA"/>
              </w:rPr>
              <w:t>原辅材料、产品方案及生产设备</w:t>
            </w:r>
          </w:p>
          <w:p w14:paraId="7282A51E">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color w:val="auto"/>
              </w:rPr>
            </w:pPr>
            <w:r>
              <w:rPr>
                <w:rFonts w:hint="eastAsia" w:ascii="Times New Roman" w:hAnsi="Times New Roman" w:eastAsia="宋体" w:cs="宋体"/>
                <w:color w:val="auto"/>
                <w:lang w:eastAsia="zh-CN"/>
              </w:rPr>
              <w:t>（</w:t>
            </w:r>
            <w:r>
              <w:rPr>
                <w:rFonts w:hint="eastAsia" w:ascii="Times New Roman" w:hAnsi="Times New Roman" w:eastAsia="宋体" w:cs="宋体"/>
                <w:color w:val="auto"/>
                <w:lang w:val="en-US" w:eastAsia="zh-CN"/>
              </w:rPr>
              <w:t>1</w:t>
            </w:r>
            <w:r>
              <w:rPr>
                <w:rFonts w:hint="eastAsia" w:ascii="Times New Roman" w:hAnsi="Times New Roman" w:eastAsia="宋体" w:cs="宋体"/>
                <w:color w:val="auto"/>
                <w:lang w:eastAsia="zh-CN"/>
              </w:rPr>
              <w:t>）</w:t>
            </w:r>
            <w:r>
              <w:rPr>
                <w:rFonts w:hint="default" w:ascii="Times New Roman" w:hAnsi="Times New Roman" w:eastAsia="宋体" w:cs="宋体"/>
                <w:color w:val="auto"/>
              </w:rPr>
              <w:t>原辅材料</w:t>
            </w:r>
          </w:p>
          <w:p w14:paraId="3A3B98F1">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本项目所需原辅材料名称及用量见表2.3</w:t>
            </w:r>
            <w:r>
              <w:rPr>
                <w:rFonts w:hint="default" w:ascii="Times New Roman" w:hAnsi="Times New Roman" w:eastAsia="宋体" w:cs="宋体"/>
                <w:color w:val="auto"/>
                <w:lang w:val="en-US" w:eastAsia="zh-CN"/>
              </w:rPr>
              <w:t>-1。</w:t>
            </w:r>
          </w:p>
          <w:p w14:paraId="48EE4B6E">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22" w:firstLineChars="200"/>
              <w:jc w:val="center"/>
              <w:textAlignment w:val="auto"/>
              <w:rPr>
                <w:rFonts w:hint="default" w:ascii="Times New Roman" w:hAnsi="Times New Roman" w:eastAsia="宋体" w:cs="Times New Roman"/>
                <w:b/>
                <w:color w:val="auto"/>
                <w:sz w:val="24"/>
                <w:szCs w:val="24"/>
                <w:lang w:val="en-US" w:eastAsia="zh-CN" w:bidi="ar-SA"/>
              </w:rPr>
            </w:pPr>
            <w:r>
              <w:rPr>
                <w:rFonts w:hint="default" w:ascii="Times New Roman" w:hAnsi="Times New Roman" w:eastAsia="宋体" w:cs="Times New Roman"/>
                <w:b/>
                <w:color w:val="auto"/>
                <w:sz w:val="21"/>
                <w:szCs w:val="21"/>
                <w:lang w:val="en-US" w:eastAsia="zh-CN" w:bidi="ar-SA"/>
              </w:rPr>
              <w:t>表2.3-1</w:t>
            </w:r>
            <w:r>
              <w:rPr>
                <w:rFonts w:hint="eastAsia" w:ascii="Times New Roman" w:hAnsi="Times New Roman" w:eastAsia="宋体" w:cs="Times New Roman"/>
                <w:b/>
                <w:color w:val="auto"/>
                <w:sz w:val="21"/>
                <w:szCs w:val="21"/>
                <w:lang w:val="en-US" w:eastAsia="zh-CN" w:bidi="ar-SA"/>
              </w:rPr>
              <w:t>本项目所需</w:t>
            </w:r>
            <w:r>
              <w:rPr>
                <w:rFonts w:hint="default" w:ascii="Times New Roman" w:hAnsi="Times New Roman" w:eastAsia="宋体" w:cs="Times New Roman"/>
                <w:b/>
                <w:color w:val="auto"/>
                <w:sz w:val="21"/>
                <w:szCs w:val="21"/>
                <w:lang w:val="en-US" w:eastAsia="zh-CN" w:bidi="ar-SA"/>
              </w:rPr>
              <w:t>原辅材料名称及用量一览表</w:t>
            </w:r>
          </w:p>
          <w:tbl>
            <w:tblPr>
              <w:tblStyle w:val="1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19"/>
              <w:gridCol w:w="1645"/>
              <w:gridCol w:w="1182"/>
              <w:gridCol w:w="1101"/>
              <w:gridCol w:w="1074"/>
              <w:gridCol w:w="2883"/>
            </w:tblGrid>
            <w:tr w14:paraId="5F3A3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045E2CB3">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序号</w:t>
                  </w:r>
                </w:p>
              </w:tc>
              <w:tc>
                <w:tcPr>
                  <w:tcW w:w="1645" w:type="dxa"/>
                  <w:tcBorders>
                    <w:tl2br w:val="nil"/>
                    <w:tr2bl w:val="nil"/>
                  </w:tcBorders>
                  <w:noWrap w:val="0"/>
                  <w:vAlign w:val="center"/>
                </w:tcPr>
                <w:p w14:paraId="1F2407DB">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名称</w:t>
                  </w:r>
                </w:p>
              </w:tc>
              <w:tc>
                <w:tcPr>
                  <w:tcW w:w="1182" w:type="dxa"/>
                  <w:tcBorders>
                    <w:tl2br w:val="nil"/>
                    <w:tr2bl w:val="nil"/>
                  </w:tcBorders>
                  <w:noWrap w:val="0"/>
                  <w:vAlign w:val="center"/>
                </w:tcPr>
                <w:p w14:paraId="16931FBF">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单位</w:t>
                  </w:r>
                </w:p>
              </w:tc>
              <w:tc>
                <w:tcPr>
                  <w:tcW w:w="2175" w:type="dxa"/>
                  <w:gridSpan w:val="2"/>
                  <w:tcBorders>
                    <w:tl2br w:val="nil"/>
                    <w:tr2bl w:val="nil"/>
                  </w:tcBorders>
                  <w:noWrap w:val="0"/>
                  <w:vAlign w:val="center"/>
                </w:tcPr>
                <w:p w14:paraId="2305D299">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Times New Roman"/>
                      <w:color w:val="auto"/>
                      <w:sz w:val="21"/>
                      <w:szCs w:val="21"/>
                      <w:lang w:val="en-US" w:eastAsia="zh-CN" w:bidi="ar-SA"/>
                    </w:rPr>
                    <w:t>本项目</w:t>
                  </w:r>
                  <w:r>
                    <w:rPr>
                      <w:rFonts w:hint="default" w:ascii="Times New Roman" w:hAnsi="Times New Roman" w:eastAsia="宋体" w:cs="Times New Roman"/>
                      <w:color w:val="auto"/>
                      <w:sz w:val="21"/>
                      <w:szCs w:val="21"/>
                      <w:lang w:val="zh-CN" w:eastAsia="zh-CN" w:bidi="ar-SA"/>
                    </w:rPr>
                    <w:t>用量</w:t>
                  </w:r>
                </w:p>
              </w:tc>
              <w:tc>
                <w:tcPr>
                  <w:tcW w:w="2883" w:type="dxa"/>
                  <w:tcBorders>
                    <w:tl2br w:val="nil"/>
                    <w:tr2bl w:val="nil"/>
                  </w:tcBorders>
                  <w:noWrap w:val="0"/>
                  <w:vAlign w:val="center"/>
                </w:tcPr>
                <w:p w14:paraId="7ABDFAFB">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备注</w:t>
                  </w:r>
                </w:p>
              </w:tc>
            </w:tr>
            <w:tr w14:paraId="62C27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40AF80AE">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一</w:t>
                  </w:r>
                </w:p>
              </w:tc>
              <w:tc>
                <w:tcPr>
                  <w:tcW w:w="7885" w:type="dxa"/>
                  <w:gridSpan w:val="5"/>
                  <w:tcBorders>
                    <w:tl2br w:val="nil"/>
                    <w:tr2bl w:val="nil"/>
                  </w:tcBorders>
                  <w:noWrap w:val="0"/>
                  <w:vAlign w:val="center"/>
                </w:tcPr>
                <w:p w14:paraId="5285A25E">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原辅料消耗</w:t>
                  </w:r>
                </w:p>
              </w:tc>
            </w:tr>
            <w:tr w14:paraId="552745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6F4B9931">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p>
              </w:tc>
              <w:tc>
                <w:tcPr>
                  <w:tcW w:w="1645" w:type="dxa"/>
                  <w:tcBorders>
                    <w:tl2br w:val="nil"/>
                    <w:tr2bl w:val="nil"/>
                  </w:tcBorders>
                  <w:noWrap w:val="0"/>
                  <w:vAlign w:val="center"/>
                </w:tcPr>
                <w:p w14:paraId="338D41E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p>
              </w:tc>
              <w:tc>
                <w:tcPr>
                  <w:tcW w:w="1182" w:type="dxa"/>
                  <w:tcBorders>
                    <w:tl2br w:val="nil"/>
                    <w:tr2bl w:val="nil"/>
                  </w:tcBorders>
                  <w:noWrap w:val="0"/>
                  <w:vAlign w:val="center"/>
                </w:tcPr>
                <w:p w14:paraId="72737707">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eastAsia" w:cs="Times New Roman"/>
                      <w:color w:val="auto"/>
                      <w:sz w:val="21"/>
                      <w:szCs w:val="21"/>
                      <w:lang w:val="en-US" w:eastAsia="zh-CN" w:bidi="ar-SA"/>
                    </w:rPr>
                  </w:pPr>
                </w:p>
              </w:tc>
              <w:tc>
                <w:tcPr>
                  <w:tcW w:w="1101" w:type="dxa"/>
                  <w:tcBorders>
                    <w:tl2br w:val="nil"/>
                    <w:tr2bl w:val="nil"/>
                  </w:tcBorders>
                  <w:noWrap w:val="0"/>
                  <w:vAlign w:val="center"/>
                </w:tcPr>
                <w:p w14:paraId="4EC0BA4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腻子粉</w:t>
                  </w:r>
                </w:p>
              </w:tc>
              <w:tc>
                <w:tcPr>
                  <w:tcW w:w="1074" w:type="dxa"/>
                  <w:tcBorders>
                    <w:tl2br w:val="nil"/>
                    <w:tr2bl w:val="nil"/>
                  </w:tcBorders>
                  <w:noWrap w:val="0"/>
                  <w:vAlign w:val="center"/>
                </w:tcPr>
                <w:p w14:paraId="4DFDE44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瓷砖胶</w:t>
                  </w:r>
                </w:p>
              </w:tc>
              <w:tc>
                <w:tcPr>
                  <w:tcW w:w="2883" w:type="dxa"/>
                  <w:tcBorders>
                    <w:tl2br w:val="nil"/>
                    <w:tr2bl w:val="nil"/>
                  </w:tcBorders>
                  <w:noWrap w:val="0"/>
                  <w:vAlign w:val="center"/>
                </w:tcPr>
                <w:p w14:paraId="539CCDF3">
                  <w:pPr>
                    <w:keepNext w:val="0"/>
                    <w:keepLines w:val="0"/>
                    <w:widowControl/>
                    <w:suppressLineNumbers w:val="0"/>
                    <w:jc w:val="center"/>
                    <w:rPr>
                      <w:rFonts w:hint="eastAsia" w:ascii="宋体" w:hAnsi="宋体" w:cs="宋体"/>
                      <w:color w:val="auto"/>
                      <w:kern w:val="0"/>
                      <w:sz w:val="21"/>
                      <w:szCs w:val="21"/>
                      <w:lang w:val="en-US" w:eastAsia="zh-CN" w:bidi="ar"/>
                    </w:rPr>
                  </w:pPr>
                </w:p>
              </w:tc>
            </w:tr>
            <w:tr w14:paraId="2E6B37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13E21DA1">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1</w:t>
                  </w:r>
                </w:p>
              </w:tc>
              <w:tc>
                <w:tcPr>
                  <w:tcW w:w="1645" w:type="dxa"/>
                  <w:tcBorders>
                    <w:tl2br w:val="nil"/>
                    <w:tr2bl w:val="nil"/>
                  </w:tcBorders>
                  <w:noWrap w:val="0"/>
                  <w:vAlign w:val="center"/>
                </w:tcPr>
                <w:p w14:paraId="50EC354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重钙粉</w:t>
                  </w:r>
                </w:p>
              </w:tc>
              <w:tc>
                <w:tcPr>
                  <w:tcW w:w="1182" w:type="dxa"/>
                  <w:tcBorders>
                    <w:tl2br w:val="nil"/>
                    <w:tr2bl w:val="nil"/>
                  </w:tcBorders>
                  <w:noWrap w:val="0"/>
                  <w:vAlign w:val="center"/>
                </w:tcPr>
                <w:p w14:paraId="70CBFF85">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3E640DB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22500</w:t>
                  </w:r>
                </w:p>
              </w:tc>
              <w:tc>
                <w:tcPr>
                  <w:tcW w:w="1074" w:type="dxa"/>
                  <w:tcBorders>
                    <w:tl2br w:val="nil"/>
                    <w:tr2bl w:val="nil"/>
                  </w:tcBorders>
                  <w:noWrap w:val="0"/>
                  <w:vAlign w:val="center"/>
                </w:tcPr>
                <w:p w14:paraId="1C4B66E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w:t>
                  </w:r>
                </w:p>
              </w:tc>
              <w:tc>
                <w:tcPr>
                  <w:tcW w:w="2883" w:type="dxa"/>
                  <w:tcBorders>
                    <w:tl2br w:val="nil"/>
                    <w:tr2bl w:val="nil"/>
                  </w:tcBorders>
                  <w:noWrap w:val="0"/>
                  <w:vAlign w:val="center"/>
                </w:tcPr>
                <w:p w14:paraId="6D97DCB3">
                  <w:pPr>
                    <w:keepNext w:val="0"/>
                    <w:keepLines w:val="0"/>
                    <w:widowControl/>
                    <w:suppressLineNumbers w:val="0"/>
                    <w:jc w:val="center"/>
                    <w:rPr>
                      <w:rFonts w:hint="default" w:ascii="Times New Roman" w:hAnsi="Times New Roman" w:eastAsia="宋体" w:cs="Times New Roman"/>
                      <w:color w:val="auto"/>
                      <w:sz w:val="21"/>
                      <w:szCs w:val="21"/>
                      <w:lang w:val="en-US" w:eastAsia="zh-CN" w:bidi="ar-SA"/>
                    </w:rPr>
                  </w:pPr>
                  <w:r>
                    <w:rPr>
                      <w:rFonts w:hint="eastAsia" w:ascii="宋体" w:hAnsi="宋体" w:cs="宋体"/>
                      <w:color w:val="auto"/>
                      <w:kern w:val="0"/>
                      <w:sz w:val="21"/>
                      <w:szCs w:val="21"/>
                      <w:lang w:val="en-US" w:eastAsia="zh-CN" w:bidi="ar"/>
                    </w:rPr>
                    <w:t>罐车</w:t>
                  </w:r>
                  <w:r>
                    <w:rPr>
                      <w:rFonts w:hint="eastAsia" w:ascii="宋体" w:hAnsi="宋体" w:eastAsia="宋体" w:cs="宋体"/>
                      <w:color w:val="auto"/>
                      <w:kern w:val="0"/>
                      <w:sz w:val="21"/>
                      <w:szCs w:val="21"/>
                      <w:lang w:val="en-US" w:eastAsia="zh-CN" w:bidi="ar"/>
                    </w:rPr>
                    <w:t>运输,</w:t>
                  </w:r>
                  <w:r>
                    <w:rPr>
                      <w:rFonts w:hint="eastAsia" w:ascii="Times New Roman" w:hAnsi="Times New Roman" w:eastAsia="宋体" w:cs="Times New Roman"/>
                      <w:color w:val="auto"/>
                      <w:kern w:val="2"/>
                      <w:sz w:val="21"/>
                      <w:szCs w:val="24"/>
                      <w:lang w:val="en-US" w:eastAsia="zh-CN" w:bidi="zh-CN"/>
                    </w:rPr>
                    <w:t>筒仓</w:t>
                  </w:r>
                  <w:r>
                    <w:rPr>
                      <w:rFonts w:hint="eastAsia" w:eastAsia="宋体" w:cs="Times New Roman"/>
                      <w:color w:val="auto"/>
                      <w:kern w:val="2"/>
                      <w:sz w:val="21"/>
                      <w:szCs w:val="24"/>
                      <w:lang w:val="en-US" w:eastAsia="zh-CN" w:bidi="zh-CN"/>
                    </w:rPr>
                    <w:t>储存</w:t>
                  </w:r>
                </w:p>
              </w:tc>
            </w:tr>
            <w:tr w14:paraId="1D15C4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5FF895DA">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p>
              </w:tc>
              <w:tc>
                <w:tcPr>
                  <w:tcW w:w="1645" w:type="dxa"/>
                  <w:tcBorders>
                    <w:tl2br w:val="nil"/>
                    <w:tr2bl w:val="nil"/>
                  </w:tcBorders>
                  <w:noWrap w:val="0"/>
                  <w:vAlign w:val="center"/>
                </w:tcPr>
                <w:p w14:paraId="5767F81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双飞粉</w:t>
                  </w:r>
                </w:p>
              </w:tc>
              <w:tc>
                <w:tcPr>
                  <w:tcW w:w="1182" w:type="dxa"/>
                  <w:tcBorders>
                    <w:tl2br w:val="nil"/>
                    <w:tr2bl w:val="nil"/>
                  </w:tcBorders>
                  <w:noWrap w:val="0"/>
                  <w:vAlign w:val="center"/>
                </w:tcPr>
                <w:p w14:paraId="25BA4B4F">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26C1537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22500</w:t>
                  </w:r>
                </w:p>
              </w:tc>
              <w:tc>
                <w:tcPr>
                  <w:tcW w:w="1074" w:type="dxa"/>
                  <w:tcBorders>
                    <w:tl2br w:val="nil"/>
                    <w:tr2bl w:val="nil"/>
                  </w:tcBorders>
                  <w:noWrap w:val="0"/>
                  <w:vAlign w:val="center"/>
                </w:tcPr>
                <w:p w14:paraId="4E5A50D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w:t>
                  </w:r>
                </w:p>
              </w:tc>
              <w:tc>
                <w:tcPr>
                  <w:tcW w:w="2883" w:type="dxa"/>
                  <w:tcBorders>
                    <w:tl2br w:val="nil"/>
                    <w:tr2bl w:val="nil"/>
                  </w:tcBorders>
                  <w:noWrap w:val="0"/>
                  <w:vAlign w:val="center"/>
                </w:tcPr>
                <w:p w14:paraId="497F9C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宋体" w:hAnsi="宋体" w:cs="宋体"/>
                      <w:color w:val="auto"/>
                      <w:kern w:val="0"/>
                      <w:sz w:val="21"/>
                      <w:szCs w:val="21"/>
                      <w:lang w:val="en-US" w:eastAsia="zh-CN" w:bidi="ar"/>
                    </w:rPr>
                    <w:t>罐车</w:t>
                  </w:r>
                  <w:r>
                    <w:rPr>
                      <w:rFonts w:hint="eastAsia" w:ascii="宋体" w:hAnsi="宋体" w:eastAsia="宋体" w:cs="宋体"/>
                      <w:color w:val="auto"/>
                      <w:kern w:val="0"/>
                      <w:sz w:val="21"/>
                      <w:szCs w:val="21"/>
                      <w:lang w:val="en-US" w:eastAsia="zh-CN" w:bidi="ar"/>
                    </w:rPr>
                    <w:t>运输,</w:t>
                  </w:r>
                  <w:r>
                    <w:rPr>
                      <w:rFonts w:hint="eastAsia" w:ascii="Times New Roman" w:hAnsi="Times New Roman" w:eastAsia="宋体" w:cs="Times New Roman"/>
                      <w:color w:val="auto"/>
                      <w:kern w:val="2"/>
                      <w:sz w:val="21"/>
                      <w:szCs w:val="24"/>
                      <w:lang w:val="en-US" w:eastAsia="zh-CN" w:bidi="zh-CN"/>
                    </w:rPr>
                    <w:t>筒仓</w:t>
                  </w:r>
                  <w:r>
                    <w:rPr>
                      <w:rFonts w:hint="eastAsia" w:eastAsia="宋体" w:cs="Times New Roman"/>
                      <w:color w:val="auto"/>
                      <w:kern w:val="2"/>
                      <w:sz w:val="21"/>
                      <w:szCs w:val="24"/>
                      <w:lang w:val="en-US" w:eastAsia="zh-CN" w:bidi="zh-CN"/>
                    </w:rPr>
                    <w:t>储存</w:t>
                  </w:r>
                </w:p>
              </w:tc>
            </w:tr>
            <w:tr w14:paraId="4E5B13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0A533B01">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w:t>
                  </w:r>
                </w:p>
              </w:tc>
              <w:tc>
                <w:tcPr>
                  <w:tcW w:w="1645" w:type="dxa"/>
                  <w:tcBorders>
                    <w:tl2br w:val="nil"/>
                    <w:tr2bl w:val="nil"/>
                  </w:tcBorders>
                  <w:noWrap w:val="0"/>
                  <w:vAlign w:val="center"/>
                </w:tcPr>
                <w:p w14:paraId="4F7EE42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灰水泥</w:t>
                  </w:r>
                </w:p>
              </w:tc>
              <w:tc>
                <w:tcPr>
                  <w:tcW w:w="1182" w:type="dxa"/>
                  <w:tcBorders>
                    <w:tl2br w:val="nil"/>
                    <w:tr2bl w:val="nil"/>
                  </w:tcBorders>
                  <w:noWrap w:val="0"/>
                  <w:vAlign w:val="center"/>
                </w:tcPr>
                <w:p w14:paraId="6F0003B2">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2BBF009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15</w:t>
                  </w:r>
                  <w:r>
                    <w:rPr>
                      <w:rFonts w:hint="eastAsia" w:ascii="Times New Roman" w:hAnsi="Times New Roman" w:eastAsia="宋体" w:cs="Times New Roman"/>
                      <w:color w:val="auto"/>
                      <w:kern w:val="2"/>
                      <w:sz w:val="21"/>
                      <w:szCs w:val="24"/>
                      <w:lang w:val="en-US" w:eastAsia="zh-CN" w:bidi="zh-CN"/>
                    </w:rPr>
                    <w:t>00</w:t>
                  </w:r>
                </w:p>
              </w:tc>
              <w:tc>
                <w:tcPr>
                  <w:tcW w:w="1074" w:type="dxa"/>
                  <w:tcBorders>
                    <w:tl2br w:val="nil"/>
                    <w:tr2bl w:val="nil"/>
                  </w:tcBorders>
                  <w:noWrap w:val="0"/>
                  <w:vAlign w:val="center"/>
                </w:tcPr>
                <w:p w14:paraId="42AE0E8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20000</w:t>
                  </w:r>
                </w:p>
              </w:tc>
              <w:tc>
                <w:tcPr>
                  <w:tcW w:w="2883" w:type="dxa"/>
                  <w:tcBorders>
                    <w:tl2br w:val="nil"/>
                    <w:tr2bl w:val="nil"/>
                  </w:tcBorders>
                  <w:noWrap w:val="0"/>
                  <w:vAlign w:val="center"/>
                </w:tcPr>
                <w:p w14:paraId="13C7DD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宋体" w:hAnsi="宋体" w:cs="宋体"/>
                      <w:color w:val="auto"/>
                      <w:kern w:val="0"/>
                      <w:sz w:val="21"/>
                      <w:szCs w:val="21"/>
                      <w:lang w:val="en-US" w:eastAsia="zh-CN" w:bidi="ar"/>
                    </w:rPr>
                    <w:t>罐车</w:t>
                  </w:r>
                  <w:r>
                    <w:rPr>
                      <w:rFonts w:hint="eastAsia" w:ascii="宋体" w:hAnsi="宋体" w:eastAsia="宋体" w:cs="宋体"/>
                      <w:color w:val="auto"/>
                      <w:kern w:val="0"/>
                      <w:sz w:val="21"/>
                      <w:szCs w:val="21"/>
                      <w:lang w:val="en-US" w:eastAsia="zh-CN" w:bidi="ar"/>
                    </w:rPr>
                    <w:t>运输,</w:t>
                  </w:r>
                  <w:r>
                    <w:rPr>
                      <w:rFonts w:hint="eastAsia" w:ascii="Times New Roman" w:hAnsi="Times New Roman" w:eastAsia="宋体" w:cs="Times New Roman"/>
                      <w:color w:val="auto"/>
                      <w:kern w:val="2"/>
                      <w:sz w:val="21"/>
                      <w:szCs w:val="24"/>
                      <w:lang w:val="en-US" w:eastAsia="zh-CN" w:bidi="zh-CN"/>
                    </w:rPr>
                    <w:t>筒仓</w:t>
                  </w:r>
                  <w:r>
                    <w:rPr>
                      <w:rFonts w:hint="eastAsia" w:eastAsia="宋体" w:cs="Times New Roman"/>
                      <w:color w:val="auto"/>
                      <w:kern w:val="2"/>
                      <w:sz w:val="21"/>
                      <w:szCs w:val="24"/>
                      <w:lang w:val="en-US" w:eastAsia="zh-CN" w:bidi="zh-CN"/>
                    </w:rPr>
                    <w:t>储存</w:t>
                  </w:r>
                </w:p>
              </w:tc>
            </w:tr>
            <w:tr w14:paraId="11282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6F4CD1E4">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w:t>
                  </w:r>
                </w:p>
              </w:tc>
              <w:tc>
                <w:tcPr>
                  <w:tcW w:w="1645" w:type="dxa"/>
                  <w:tcBorders>
                    <w:tl2br w:val="nil"/>
                    <w:tr2bl w:val="nil"/>
                  </w:tcBorders>
                  <w:noWrap w:val="0"/>
                  <w:vAlign w:val="center"/>
                </w:tcPr>
                <w:p w14:paraId="5536D5C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白水泥</w:t>
                  </w:r>
                </w:p>
              </w:tc>
              <w:tc>
                <w:tcPr>
                  <w:tcW w:w="1182" w:type="dxa"/>
                  <w:tcBorders>
                    <w:tl2br w:val="nil"/>
                    <w:tr2bl w:val="nil"/>
                  </w:tcBorders>
                  <w:noWrap w:val="0"/>
                  <w:vAlign w:val="center"/>
                </w:tcPr>
                <w:p w14:paraId="3A7AA808">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1E9E361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1</w:t>
                  </w:r>
                  <w:r>
                    <w:rPr>
                      <w:rFonts w:hint="eastAsia" w:ascii="Times New Roman" w:hAnsi="Times New Roman" w:eastAsia="宋体" w:cs="Times New Roman"/>
                      <w:color w:val="auto"/>
                      <w:kern w:val="2"/>
                      <w:sz w:val="21"/>
                      <w:szCs w:val="24"/>
                      <w:lang w:val="en-US" w:eastAsia="zh-CN" w:bidi="zh-CN"/>
                    </w:rPr>
                    <w:t>000</w:t>
                  </w:r>
                </w:p>
              </w:tc>
              <w:tc>
                <w:tcPr>
                  <w:tcW w:w="1074" w:type="dxa"/>
                  <w:tcBorders>
                    <w:tl2br w:val="nil"/>
                    <w:tr2bl w:val="nil"/>
                  </w:tcBorders>
                  <w:noWrap w:val="0"/>
                  <w:vAlign w:val="center"/>
                </w:tcPr>
                <w:p w14:paraId="5EFFB90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15000</w:t>
                  </w:r>
                </w:p>
              </w:tc>
              <w:tc>
                <w:tcPr>
                  <w:tcW w:w="2883" w:type="dxa"/>
                  <w:tcBorders>
                    <w:tl2br w:val="nil"/>
                    <w:tr2bl w:val="nil"/>
                  </w:tcBorders>
                  <w:noWrap w:val="0"/>
                  <w:vAlign w:val="center"/>
                </w:tcPr>
                <w:p w14:paraId="194B38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宋体" w:hAnsi="宋体" w:cs="宋体"/>
                      <w:color w:val="auto"/>
                      <w:kern w:val="0"/>
                      <w:sz w:val="21"/>
                      <w:szCs w:val="21"/>
                      <w:lang w:val="en-US" w:eastAsia="zh-CN" w:bidi="ar"/>
                    </w:rPr>
                    <w:t>罐车</w:t>
                  </w:r>
                  <w:r>
                    <w:rPr>
                      <w:rFonts w:hint="eastAsia" w:ascii="宋体" w:hAnsi="宋体" w:eastAsia="宋体" w:cs="宋体"/>
                      <w:color w:val="auto"/>
                      <w:kern w:val="0"/>
                      <w:sz w:val="21"/>
                      <w:szCs w:val="21"/>
                      <w:lang w:val="en-US" w:eastAsia="zh-CN" w:bidi="ar"/>
                    </w:rPr>
                    <w:t>运输,</w:t>
                  </w:r>
                  <w:r>
                    <w:rPr>
                      <w:rFonts w:hint="eastAsia" w:ascii="Times New Roman" w:hAnsi="Times New Roman" w:eastAsia="宋体" w:cs="Times New Roman"/>
                      <w:color w:val="auto"/>
                      <w:kern w:val="2"/>
                      <w:sz w:val="21"/>
                      <w:szCs w:val="24"/>
                      <w:lang w:val="en-US" w:eastAsia="zh-CN" w:bidi="zh-CN"/>
                    </w:rPr>
                    <w:t>筒仓</w:t>
                  </w:r>
                  <w:r>
                    <w:rPr>
                      <w:rFonts w:hint="eastAsia" w:eastAsia="宋体" w:cs="Times New Roman"/>
                      <w:color w:val="auto"/>
                      <w:kern w:val="2"/>
                      <w:sz w:val="21"/>
                      <w:szCs w:val="24"/>
                      <w:lang w:val="en-US" w:eastAsia="zh-CN" w:bidi="zh-CN"/>
                    </w:rPr>
                    <w:t>储存</w:t>
                  </w:r>
                </w:p>
              </w:tc>
            </w:tr>
            <w:tr w14:paraId="50C496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711A7660">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w:t>
                  </w:r>
                </w:p>
              </w:tc>
              <w:tc>
                <w:tcPr>
                  <w:tcW w:w="1645" w:type="dxa"/>
                  <w:tcBorders>
                    <w:tl2br w:val="nil"/>
                    <w:tr2bl w:val="nil"/>
                  </w:tcBorders>
                  <w:noWrap w:val="0"/>
                  <w:vAlign w:val="center"/>
                </w:tcPr>
                <w:p w14:paraId="579FFED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50-100 目砂</w:t>
                  </w:r>
                </w:p>
              </w:tc>
              <w:tc>
                <w:tcPr>
                  <w:tcW w:w="1182" w:type="dxa"/>
                  <w:tcBorders>
                    <w:tl2br w:val="nil"/>
                    <w:tr2bl w:val="nil"/>
                  </w:tcBorders>
                  <w:noWrap w:val="0"/>
                  <w:vAlign w:val="center"/>
                </w:tcPr>
                <w:p w14:paraId="2B3284C1">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4D2E5F6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1</w:t>
                  </w:r>
                  <w:r>
                    <w:rPr>
                      <w:rFonts w:hint="eastAsia" w:ascii="Times New Roman" w:hAnsi="Times New Roman" w:eastAsia="宋体" w:cs="Times New Roman"/>
                      <w:color w:val="auto"/>
                      <w:kern w:val="2"/>
                      <w:sz w:val="21"/>
                      <w:szCs w:val="24"/>
                      <w:lang w:val="en-US" w:eastAsia="zh-CN" w:bidi="zh-CN"/>
                    </w:rPr>
                    <w:t>000</w:t>
                  </w:r>
                </w:p>
              </w:tc>
              <w:tc>
                <w:tcPr>
                  <w:tcW w:w="1074" w:type="dxa"/>
                  <w:tcBorders>
                    <w:tl2br w:val="nil"/>
                    <w:tr2bl w:val="nil"/>
                  </w:tcBorders>
                  <w:noWrap w:val="0"/>
                  <w:vAlign w:val="center"/>
                </w:tcPr>
                <w:p w14:paraId="11FCE3F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64000</w:t>
                  </w:r>
                </w:p>
              </w:tc>
              <w:tc>
                <w:tcPr>
                  <w:tcW w:w="2883" w:type="dxa"/>
                  <w:tcBorders>
                    <w:tl2br w:val="nil"/>
                    <w:tr2bl w:val="nil"/>
                  </w:tcBorders>
                  <w:noWrap w:val="0"/>
                  <w:vAlign w:val="center"/>
                </w:tcPr>
                <w:p w14:paraId="1320F528">
                  <w:pPr>
                    <w:keepNext w:val="0"/>
                    <w:keepLines w:val="0"/>
                    <w:widowControl/>
                    <w:suppressLineNumbers w:val="0"/>
                    <w:jc w:val="center"/>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kern w:val="0"/>
                      <w:sz w:val="21"/>
                      <w:szCs w:val="21"/>
                      <w:lang w:val="en-US" w:eastAsia="zh-CN" w:bidi="ar"/>
                    </w:rPr>
                    <w:t>货车运输，</w:t>
                  </w:r>
                  <w:r>
                    <w:rPr>
                      <w:rFonts w:hint="eastAsia" w:ascii="Times New Roman" w:hAnsi="Times New Roman" w:eastAsia="宋体" w:cs="Times New Roman"/>
                      <w:color w:val="auto"/>
                      <w:kern w:val="2"/>
                      <w:sz w:val="21"/>
                      <w:szCs w:val="24"/>
                      <w:lang w:val="en-US" w:eastAsia="zh-CN" w:bidi="zh-CN"/>
                    </w:rPr>
                    <w:t>筒仓</w:t>
                  </w:r>
                  <w:r>
                    <w:rPr>
                      <w:rFonts w:hint="eastAsia" w:eastAsia="宋体" w:cs="Times New Roman"/>
                      <w:color w:val="auto"/>
                      <w:kern w:val="2"/>
                      <w:sz w:val="21"/>
                      <w:szCs w:val="24"/>
                      <w:lang w:val="en-US" w:eastAsia="zh-CN" w:bidi="zh-CN"/>
                    </w:rPr>
                    <w:t>储存</w:t>
                  </w:r>
                </w:p>
              </w:tc>
            </w:tr>
            <w:tr w14:paraId="71ADC1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7B17495C">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6</w:t>
                  </w:r>
                </w:p>
              </w:tc>
              <w:tc>
                <w:tcPr>
                  <w:tcW w:w="1645" w:type="dxa"/>
                  <w:tcBorders>
                    <w:tl2br w:val="nil"/>
                    <w:tr2bl w:val="nil"/>
                  </w:tcBorders>
                  <w:noWrap w:val="0"/>
                  <w:vAlign w:val="center"/>
                </w:tcPr>
                <w:p w14:paraId="0315C44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70-140 目砂</w:t>
                  </w:r>
                </w:p>
              </w:tc>
              <w:tc>
                <w:tcPr>
                  <w:tcW w:w="1182" w:type="dxa"/>
                  <w:tcBorders>
                    <w:tl2br w:val="nil"/>
                    <w:tr2bl w:val="nil"/>
                  </w:tcBorders>
                  <w:noWrap w:val="0"/>
                  <w:vAlign w:val="center"/>
                </w:tcPr>
                <w:p w14:paraId="2CA593E0">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14E589E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5</w:t>
                  </w:r>
                  <w:r>
                    <w:rPr>
                      <w:rFonts w:hint="eastAsia" w:ascii="Times New Roman" w:hAnsi="Times New Roman" w:eastAsia="宋体" w:cs="Times New Roman"/>
                      <w:color w:val="auto"/>
                      <w:kern w:val="2"/>
                      <w:sz w:val="21"/>
                      <w:szCs w:val="24"/>
                      <w:lang w:val="en-US" w:eastAsia="zh-CN" w:bidi="zh-CN"/>
                    </w:rPr>
                    <w:t>00</w:t>
                  </w:r>
                </w:p>
              </w:tc>
              <w:tc>
                <w:tcPr>
                  <w:tcW w:w="1074" w:type="dxa"/>
                  <w:tcBorders>
                    <w:tl2br w:val="nil"/>
                    <w:tr2bl w:val="nil"/>
                  </w:tcBorders>
                  <w:noWrap w:val="0"/>
                  <w:vAlign w:val="center"/>
                </w:tcPr>
                <w:p w14:paraId="1A603F1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0</w:t>
                  </w:r>
                </w:p>
              </w:tc>
              <w:tc>
                <w:tcPr>
                  <w:tcW w:w="2883" w:type="dxa"/>
                  <w:tcBorders>
                    <w:tl2br w:val="nil"/>
                    <w:tr2bl w:val="nil"/>
                  </w:tcBorders>
                  <w:noWrap w:val="0"/>
                  <w:vAlign w:val="center"/>
                </w:tcPr>
                <w:p w14:paraId="6EBEFA83">
                  <w:pPr>
                    <w:keepNext w:val="0"/>
                    <w:keepLines w:val="0"/>
                    <w:widowControl/>
                    <w:suppressLineNumbers w:val="0"/>
                    <w:jc w:val="center"/>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kern w:val="0"/>
                      <w:sz w:val="21"/>
                      <w:szCs w:val="21"/>
                      <w:lang w:val="en-US" w:eastAsia="zh-CN" w:bidi="ar"/>
                    </w:rPr>
                    <w:t>货车运输，</w:t>
                  </w:r>
                  <w:r>
                    <w:rPr>
                      <w:rFonts w:hint="eastAsia" w:ascii="Times New Roman" w:hAnsi="Times New Roman" w:eastAsia="宋体" w:cs="Times New Roman"/>
                      <w:color w:val="auto"/>
                      <w:kern w:val="2"/>
                      <w:sz w:val="21"/>
                      <w:szCs w:val="24"/>
                      <w:lang w:val="en-US" w:eastAsia="zh-CN" w:bidi="zh-CN"/>
                    </w:rPr>
                    <w:t>筒仓</w:t>
                  </w:r>
                  <w:r>
                    <w:rPr>
                      <w:rFonts w:hint="eastAsia" w:eastAsia="宋体" w:cs="Times New Roman"/>
                      <w:color w:val="auto"/>
                      <w:kern w:val="2"/>
                      <w:sz w:val="21"/>
                      <w:szCs w:val="24"/>
                      <w:lang w:val="en-US" w:eastAsia="zh-CN" w:bidi="zh-CN"/>
                    </w:rPr>
                    <w:t>储存</w:t>
                  </w:r>
                </w:p>
              </w:tc>
            </w:tr>
            <w:tr w14:paraId="653CFF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7C8972DA">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7</w:t>
                  </w:r>
                </w:p>
              </w:tc>
              <w:tc>
                <w:tcPr>
                  <w:tcW w:w="1645" w:type="dxa"/>
                  <w:tcBorders>
                    <w:tl2br w:val="nil"/>
                    <w:tr2bl w:val="nil"/>
                  </w:tcBorders>
                  <w:noWrap w:val="0"/>
                  <w:vAlign w:val="center"/>
                </w:tcPr>
                <w:p w14:paraId="2F8FAC0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乳胶粉</w:t>
                  </w:r>
                </w:p>
              </w:tc>
              <w:tc>
                <w:tcPr>
                  <w:tcW w:w="1182" w:type="dxa"/>
                  <w:tcBorders>
                    <w:tl2br w:val="nil"/>
                    <w:tr2bl w:val="nil"/>
                  </w:tcBorders>
                  <w:noWrap w:val="0"/>
                  <w:vAlign w:val="center"/>
                </w:tcPr>
                <w:p w14:paraId="50085943">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2E42DC4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5</w:t>
                  </w:r>
                  <w:r>
                    <w:rPr>
                      <w:rFonts w:hint="eastAsia" w:ascii="Times New Roman" w:hAnsi="Times New Roman" w:eastAsia="宋体" w:cs="Times New Roman"/>
                      <w:color w:val="auto"/>
                      <w:kern w:val="2"/>
                      <w:sz w:val="21"/>
                      <w:szCs w:val="24"/>
                      <w:lang w:val="en-US" w:eastAsia="zh-CN" w:bidi="zh-CN"/>
                    </w:rPr>
                    <w:t>00</w:t>
                  </w:r>
                </w:p>
              </w:tc>
              <w:tc>
                <w:tcPr>
                  <w:tcW w:w="1074" w:type="dxa"/>
                  <w:tcBorders>
                    <w:tl2br w:val="nil"/>
                    <w:tr2bl w:val="nil"/>
                  </w:tcBorders>
                  <w:noWrap w:val="0"/>
                  <w:vAlign w:val="center"/>
                </w:tcPr>
                <w:p w14:paraId="6D24843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700</w:t>
                  </w:r>
                </w:p>
              </w:tc>
              <w:tc>
                <w:tcPr>
                  <w:tcW w:w="2883" w:type="dxa"/>
                  <w:tcBorders>
                    <w:tl2br w:val="nil"/>
                    <w:tr2bl w:val="nil"/>
                  </w:tcBorders>
                  <w:noWrap w:val="0"/>
                  <w:vAlign w:val="center"/>
                </w:tcPr>
                <w:p w14:paraId="4BE0C9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kern w:val="0"/>
                      <w:sz w:val="21"/>
                      <w:szCs w:val="21"/>
                      <w:lang w:val="en-US" w:eastAsia="zh-CN" w:bidi="ar"/>
                    </w:rPr>
                    <w:t>货车运输，袋装储存</w:t>
                  </w:r>
                </w:p>
              </w:tc>
            </w:tr>
            <w:tr w14:paraId="639565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6FDCE3D9">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8</w:t>
                  </w:r>
                </w:p>
              </w:tc>
              <w:tc>
                <w:tcPr>
                  <w:tcW w:w="1645" w:type="dxa"/>
                  <w:tcBorders>
                    <w:tl2br w:val="nil"/>
                    <w:tr2bl w:val="nil"/>
                  </w:tcBorders>
                  <w:noWrap w:val="0"/>
                  <w:vAlign w:val="center"/>
                </w:tcPr>
                <w:p w14:paraId="710D51C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4"/>
                      <w:lang w:val="en-US" w:eastAsia="zh-CN" w:bidi="zh-CN"/>
                    </w:rPr>
                    <w:t>纤维素</w:t>
                  </w:r>
                </w:p>
              </w:tc>
              <w:tc>
                <w:tcPr>
                  <w:tcW w:w="1182" w:type="dxa"/>
                  <w:tcBorders>
                    <w:tl2br w:val="nil"/>
                    <w:tr2bl w:val="nil"/>
                  </w:tcBorders>
                  <w:noWrap w:val="0"/>
                  <w:vAlign w:val="center"/>
                </w:tcPr>
                <w:p w14:paraId="24DD3ABC">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cs="Times New Roman"/>
                      <w:color w:val="auto"/>
                      <w:sz w:val="21"/>
                      <w:szCs w:val="21"/>
                      <w:lang w:val="en-US" w:eastAsia="zh-CN" w:bidi="ar-SA"/>
                    </w:rPr>
                    <w:t>t</w:t>
                  </w:r>
                </w:p>
              </w:tc>
              <w:tc>
                <w:tcPr>
                  <w:tcW w:w="1101" w:type="dxa"/>
                  <w:tcBorders>
                    <w:tl2br w:val="nil"/>
                    <w:tr2bl w:val="nil"/>
                  </w:tcBorders>
                  <w:noWrap w:val="0"/>
                  <w:vAlign w:val="center"/>
                </w:tcPr>
                <w:p w14:paraId="18A8CE6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kern w:val="2"/>
                      <w:sz w:val="21"/>
                      <w:szCs w:val="24"/>
                      <w:lang w:val="en-US" w:eastAsia="zh-CN" w:bidi="zh-CN"/>
                    </w:rPr>
                    <w:t>5</w:t>
                  </w:r>
                  <w:r>
                    <w:rPr>
                      <w:rFonts w:hint="eastAsia" w:ascii="Times New Roman" w:hAnsi="Times New Roman" w:eastAsia="宋体" w:cs="Times New Roman"/>
                      <w:color w:val="auto"/>
                      <w:kern w:val="2"/>
                      <w:sz w:val="21"/>
                      <w:szCs w:val="24"/>
                      <w:lang w:val="en-US" w:eastAsia="zh-CN" w:bidi="zh-CN"/>
                    </w:rPr>
                    <w:t>00</w:t>
                  </w:r>
                </w:p>
              </w:tc>
              <w:tc>
                <w:tcPr>
                  <w:tcW w:w="1074" w:type="dxa"/>
                  <w:tcBorders>
                    <w:tl2br w:val="nil"/>
                    <w:tr2bl w:val="nil"/>
                  </w:tcBorders>
                  <w:noWrap w:val="0"/>
                  <w:vAlign w:val="center"/>
                </w:tcPr>
                <w:p w14:paraId="4B284A0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zh-CN"/>
                    </w:rPr>
                  </w:pPr>
                  <w:r>
                    <w:rPr>
                      <w:rFonts w:hint="eastAsia" w:ascii="Times New Roman" w:hAnsi="Times New Roman" w:cs="Times New Roman"/>
                      <w:color w:val="auto"/>
                      <w:kern w:val="2"/>
                      <w:sz w:val="21"/>
                      <w:szCs w:val="24"/>
                      <w:lang w:val="en-US" w:eastAsia="zh-CN" w:bidi="zh-CN"/>
                    </w:rPr>
                    <w:t>300</w:t>
                  </w:r>
                </w:p>
              </w:tc>
              <w:tc>
                <w:tcPr>
                  <w:tcW w:w="2883" w:type="dxa"/>
                  <w:tcBorders>
                    <w:tl2br w:val="nil"/>
                    <w:tr2bl w:val="nil"/>
                  </w:tcBorders>
                  <w:noWrap w:val="0"/>
                  <w:vAlign w:val="center"/>
                </w:tcPr>
                <w:p w14:paraId="7A459A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kern w:val="0"/>
                      <w:sz w:val="21"/>
                      <w:szCs w:val="21"/>
                      <w:lang w:val="en-US" w:eastAsia="zh-CN" w:bidi="ar"/>
                    </w:rPr>
                    <w:t>货车运输，袋装储存</w:t>
                  </w:r>
                </w:p>
              </w:tc>
            </w:tr>
            <w:tr w14:paraId="3F8E71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3910A4E9">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zh-CN" w:eastAsia="zh-CN" w:bidi="ar-SA"/>
                    </w:rPr>
                    <w:t>二</w:t>
                  </w:r>
                </w:p>
              </w:tc>
              <w:tc>
                <w:tcPr>
                  <w:tcW w:w="7885" w:type="dxa"/>
                  <w:gridSpan w:val="5"/>
                  <w:tcBorders>
                    <w:tl2br w:val="nil"/>
                    <w:tr2bl w:val="nil"/>
                  </w:tcBorders>
                  <w:noWrap w:val="0"/>
                  <w:vAlign w:val="center"/>
                </w:tcPr>
                <w:p w14:paraId="4B3083A3">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动力消耗</w:t>
                  </w:r>
                </w:p>
              </w:tc>
            </w:tr>
            <w:tr w14:paraId="326790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3A946E0F">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1</w:t>
                  </w:r>
                </w:p>
              </w:tc>
              <w:tc>
                <w:tcPr>
                  <w:tcW w:w="1645" w:type="dxa"/>
                  <w:tcBorders>
                    <w:tl2br w:val="nil"/>
                    <w:tr2bl w:val="nil"/>
                  </w:tcBorders>
                  <w:noWrap w:val="0"/>
                  <w:vAlign w:val="center"/>
                </w:tcPr>
                <w:p w14:paraId="619BE140">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电</w:t>
                  </w:r>
                </w:p>
              </w:tc>
              <w:tc>
                <w:tcPr>
                  <w:tcW w:w="1182" w:type="dxa"/>
                  <w:tcBorders>
                    <w:tl2br w:val="nil"/>
                    <w:tr2bl w:val="nil"/>
                  </w:tcBorders>
                  <w:noWrap w:val="0"/>
                  <w:vAlign w:val="center"/>
                </w:tcPr>
                <w:p w14:paraId="41598D3C">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kWh/年</w:t>
                  </w:r>
                </w:p>
              </w:tc>
              <w:tc>
                <w:tcPr>
                  <w:tcW w:w="2175" w:type="dxa"/>
                  <w:gridSpan w:val="2"/>
                  <w:tcBorders>
                    <w:tl2br w:val="nil"/>
                    <w:tr2bl w:val="nil"/>
                  </w:tcBorders>
                  <w:noWrap w:val="0"/>
                  <w:vAlign w:val="center"/>
                </w:tcPr>
                <w:p w14:paraId="76349718">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240000</w:t>
                  </w:r>
                </w:p>
              </w:tc>
              <w:tc>
                <w:tcPr>
                  <w:tcW w:w="2883" w:type="dxa"/>
                  <w:tcBorders>
                    <w:tl2br w:val="nil"/>
                    <w:tr2bl w:val="nil"/>
                  </w:tcBorders>
                  <w:noWrap w:val="0"/>
                  <w:vAlign w:val="center"/>
                </w:tcPr>
                <w:p w14:paraId="52CD1502">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园区</w:t>
                  </w:r>
                  <w:r>
                    <w:rPr>
                      <w:rFonts w:hint="eastAsia" w:ascii="Times New Roman" w:hAnsi="Times New Roman" w:eastAsia="宋体" w:cs="Times New Roman"/>
                      <w:color w:val="auto"/>
                      <w:sz w:val="21"/>
                      <w:szCs w:val="21"/>
                      <w:lang w:val="en-US" w:eastAsia="zh-CN" w:bidi="ar-SA"/>
                    </w:rPr>
                    <w:t>电力</w:t>
                  </w:r>
                  <w:r>
                    <w:rPr>
                      <w:rFonts w:hint="default" w:ascii="Times New Roman" w:hAnsi="Times New Roman" w:eastAsia="宋体" w:cs="Times New Roman"/>
                      <w:color w:val="auto"/>
                      <w:sz w:val="21"/>
                      <w:szCs w:val="21"/>
                      <w:lang w:val="en-US" w:eastAsia="zh-CN" w:bidi="ar-SA"/>
                    </w:rPr>
                    <w:t>管网</w:t>
                  </w:r>
                </w:p>
              </w:tc>
            </w:tr>
            <w:tr w14:paraId="4D535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19" w:type="dxa"/>
                  <w:tcBorders>
                    <w:tl2br w:val="nil"/>
                    <w:tr2bl w:val="nil"/>
                  </w:tcBorders>
                  <w:noWrap w:val="0"/>
                  <w:vAlign w:val="center"/>
                </w:tcPr>
                <w:p w14:paraId="51C0D620">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2</w:t>
                  </w:r>
                </w:p>
              </w:tc>
              <w:tc>
                <w:tcPr>
                  <w:tcW w:w="1645" w:type="dxa"/>
                  <w:tcBorders>
                    <w:tl2br w:val="nil"/>
                    <w:tr2bl w:val="nil"/>
                  </w:tcBorders>
                  <w:noWrap w:val="0"/>
                  <w:vAlign w:val="center"/>
                </w:tcPr>
                <w:p w14:paraId="1CC1C124">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生活用水</w:t>
                  </w:r>
                </w:p>
              </w:tc>
              <w:tc>
                <w:tcPr>
                  <w:tcW w:w="1182" w:type="dxa"/>
                  <w:tcBorders>
                    <w:tl2br w:val="nil"/>
                    <w:tr2bl w:val="nil"/>
                  </w:tcBorders>
                  <w:noWrap w:val="0"/>
                  <w:vAlign w:val="center"/>
                </w:tcPr>
                <w:p w14:paraId="0159DCB9">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ar-SA"/>
                    </w:rPr>
                  </w:pPr>
                  <w:r>
                    <w:rPr>
                      <w:rFonts w:hint="eastAsia" w:ascii="Times New Roman" w:hAnsi="Times New Roman" w:eastAsia="宋体" w:cs="Times New Roman"/>
                      <w:color w:val="auto"/>
                      <w:sz w:val="21"/>
                      <w:szCs w:val="21"/>
                      <w:lang w:val="en-US" w:eastAsia="zh-CN" w:bidi="ar-SA"/>
                    </w:rPr>
                    <w:t>m</w:t>
                  </w:r>
                  <w:r>
                    <w:rPr>
                      <w:rFonts w:hint="eastAsia"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lang w:val="zh-CN" w:eastAsia="zh-CN" w:bidi="ar-SA"/>
                    </w:rPr>
                    <w:t>/年</w:t>
                  </w:r>
                </w:p>
              </w:tc>
              <w:tc>
                <w:tcPr>
                  <w:tcW w:w="2175" w:type="dxa"/>
                  <w:gridSpan w:val="2"/>
                  <w:tcBorders>
                    <w:tl2br w:val="nil"/>
                    <w:tr2bl w:val="nil"/>
                  </w:tcBorders>
                  <w:noWrap w:val="0"/>
                  <w:vAlign w:val="center"/>
                </w:tcPr>
                <w:p w14:paraId="63DDD445">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480</w:t>
                  </w:r>
                </w:p>
              </w:tc>
              <w:tc>
                <w:tcPr>
                  <w:tcW w:w="2883" w:type="dxa"/>
                  <w:tcBorders>
                    <w:tl2br w:val="nil"/>
                    <w:tr2bl w:val="nil"/>
                  </w:tcBorders>
                  <w:noWrap w:val="0"/>
                  <w:vAlign w:val="center"/>
                </w:tcPr>
                <w:p w14:paraId="230743A3">
                  <w:pPr>
                    <w:widowControl/>
                    <w:overflowPunct w:val="0"/>
                    <w:autoSpaceDE w:val="0"/>
                    <w:autoSpaceDN w:val="0"/>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园区</w:t>
                  </w:r>
                  <w:r>
                    <w:rPr>
                      <w:rFonts w:hint="default" w:ascii="Times New Roman" w:hAnsi="Times New Roman" w:eastAsia="宋体" w:cs="Times New Roman"/>
                      <w:color w:val="auto"/>
                      <w:sz w:val="21"/>
                      <w:szCs w:val="21"/>
                      <w:lang w:val="en-US" w:eastAsia="zh-CN" w:bidi="ar-SA"/>
                    </w:rPr>
                    <w:t>供水管网</w:t>
                  </w:r>
                </w:p>
              </w:tc>
            </w:tr>
          </w:tbl>
          <w:p w14:paraId="15B096A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主要原料性质：</w:t>
            </w:r>
          </w:p>
          <w:p w14:paraId="2A2C065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水泥</w:t>
            </w:r>
            <w:r>
              <w:rPr>
                <w:rFonts w:hint="default" w:ascii="Times New Roman" w:hAnsi="Times New Roman" w:cs="Times New Roman"/>
                <w:color w:val="auto"/>
                <w:lang w:eastAsia="zh-CN"/>
              </w:rPr>
              <w:t>：</w:t>
            </w:r>
          </w:p>
          <w:p w14:paraId="183B1DF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以硅酸钙为主的硅酸盐水泥熟料，5%以下的石灰石或粒化高炉矿渣，适量石膏磨细制成的水硬性胶凝材料，统称为硅酸盐水泥（Portland cement）。根据生产要求选择不同型号。</w:t>
            </w:r>
          </w:p>
          <w:p w14:paraId="2715D53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改性剂</w:t>
            </w:r>
            <w:r>
              <w:rPr>
                <w:rFonts w:hint="eastAsia" w:cs="Times New Roman"/>
                <w:color w:val="auto"/>
                <w:lang w:val="en-US" w:eastAsia="zh-CN"/>
              </w:rPr>
              <w:t>（乳胶粉）</w:t>
            </w:r>
          </w:p>
          <w:p w14:paraId="5CD77D9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通常指可再分散乳胶粉）是一种由乳液通过喷雾干燥工艺制成的粉末状聚合物，广泛应用于建筑砂浆、涂料、胶粘剂等领域。</w:t>
            </w:r>
          </w:p>
          <w:p w14:paraId="7A81F97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主要成分：①聚合物树脂常见类型：醋酸乙烯酯-乙烯共聚物（VAE）、丙烯酸酯类、苯乙烯-丙烯酸酯共聚物等。作用：提供粘结性、柔韧性和耐候性。</w:t>
            </w:r>
          </w:p>
          <w:p w14:paraId="422191C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②保护胶体：成分：聚乙烯醇（PVA）或纤维素衍生物。作用：在喷雾干燥过程中包裹聚合物颗粒，防止结块，并在水中重新分散时形成稳定乳液。</w:t>
            </w:r>
          </w:p>
          <w:p w14:paraId="44B20C8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③添加剂：抗结块剂（如碳酸钙、硅酸盐）、增塑剂、消泡剂等，用于改善加工性能或储存稳定性。</w:t>
            </w:r>
          </w:p>
          <w:p w14:paraId="4A5D2FF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物理性质：白色或浅黄色自由流动粉末。密度：约0.4-0.6 g/cm³（表观密度）。</w:t>
            </w:r>
          </w:p>
          <w:p w14:paraId="4581646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粒径：通常为50-200微米。溶解性：在水中可再分散形成稳定乳液，不溶于有机溶剂（如乙醇、丙酮）。化学性质：成膜性：干燥后能形成连续聚合物膜，赋予材料粘结力和柔韧性。稳定性：耐碱性（适用于水泥基体系）；部分型号耐紫外线（如丙烯酸酯类）。</w:t>
            </w:r>
            <w:r>
              <w:rPr>
                <w:rFonts w:hint="default" w:ascii="Times New Roman" w:hAnsi="Times New Roman" w:cs="Times New Roman"/>
                <w:color w:val="auto"/>
              </w:rPr>
              <w:t>具有良好的综合技术性能优势及环保特点，符合现代化混凝土工程的需要。</w:t>
            </w:r>
          </w:p>
          <w:p w14:paraId="3823FAB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纤维素</w:t>
            </w:r>
          </w:p>
          <w:p w14:paraId="517CA99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highlight w:val="none"/>
                <w:lang w:eastAsia="zh-CN"/>
              </w:rPr>
            </w:pPr>
            <w:r>
              <w:rPr>
                <w:rFonts w:hint="eastAsia" w:cs="Times New Roman"/>
                <w:color w:val="auto"/>
                <w:highlight w:val="none"/>
                <w:lang w:val="en-US" w:eastAsia="zh-CN"/>
              </w:rPr>
              <w:t>纤维素</w:t>
            </w:r>
            <w:r>
              <w:rPr>
                <w:rFonts w:hint="default" w:ascii="Times New Roman" w:hAnsi="Times New Roman" w:cs="Times New Roman"/>
                <w:color w:val="auto"/>
                <w:highlight w:val="none"/>
                <w:lang w:eastAsia="zh-CN"/>
              </w:rPr>
              <w:t>（cellulose）是由葡萄糖组成的大分子多糖,不溶于水及一般有机溶剂,是植物细胞壁的主要成分。纤维素是自然界中分布最广、含量最多的一种多糖，占植物界碳含量的50%以上。棉花的纤维素含量接近100%，为天然的最纯纤维素来源。一般木材中，纤维素占40～50%，还有10～30%的半纤维素和20～30%的木质素。</w:t>
            </w:r>
          </w:p>
          <w:p w14:paraId="0CA6252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石膏</w:t>
            </w:r>
          </w:p>
          <w:p w14:paraId="5F7145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通常为白色、无色，无色透明晶体称为 透石膏 ，有时因含杂质而成灰、浅黄、浅褐等色。 条痕 白色。透明。 玻璃光泽 ，解理面 珍珠光泽 ，纤维状集合体 丝绢光泽 。解理极完全，和中等，解理片裂成面夹角为66和114的 菱形 体。性脆。 硬度 1.5~2。不同方向稍有变化。相对密度2.3。 偏光镜下：无色。二轴晶(+)。2V=58。Ng=1.530，Nm=1.523，Np=1.521。随 温度 升高2V减小，在大约90℃时2V为零。石膏是单斜晶系矿物，是主要化学成分为硫酸钙（CaSO4）的水合物。石膏是一种用途广泛的工业材料和建筑材料。</w:t>
            </w:r>
          </w:p>
          <w:p w14:paraId="4D387AA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（5）重钙（双飞粉）</w:t>
            </w:r>
          </w:p>
          <w:p w14:paraId="4D76147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在常压下，方解石加热到898 ℃、文石加热到825 ℃，将分解为氧化钙和二氧化碳；碳酸钙与所有的强酸发生反应，生成水和相应的钙盐（如氯化钙CaCl2），同时放出二氧化碳；在常温（25 ℃） 下，碳酸钙在水中的浓度积为2.8E-9 、溶解度为0. 0014，碳酸钙水溶液的pH 值为9. 5~10. 2，空气饱和碳酸钙水溶液的pH 值为8. 0~8. 6。碳酸钙无毒、无臭、无刺激性，通常为白色，相对密度为2. 7~2. 9。莫氏硬度方解石为3，文石为3. 5~4。方解石具有三组菱面体完全解理，文石亦具有解理。重质碳酸钙的沉降体积：1. 2~1. 9ml/ g，比表面积为1m2/g 左右；重质碳酸钙由于颗粒大、表面光洁、比表面积小，因此吸油值较低，为48ml/ 100g 左右。重质碳酸钙，简称重钙，是由天然碳酸盐矿物如方解石、大理石、石灰石磨碎而成。是常用的粉状无机填料，具有化学纯度高、惰性大、不易化学反应、热稳定性好、在400℃以下不会分解、白度高、吸油率低、折光率低、质软、干燥、不含结晶水、硬度低磨耗值小、无毒、无味、无臭、分散性好等优点。</w:t>
            </w:r>
          </w:p>
          <w:p w14:paraId="0FDC29D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风积砂</w:t>
            </w:r>
          </w:p>
          <w:p w14:paraId="7F80EF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风积沙是被风吹，积淀的沙层。多见于沙漠、戈壁。其粒径主要分布在0.074～0.250㎜之间，含量高达90%以上，大于0.25㎜的颗粒极少，仅为0.1%。而小于0.074</w:t>
            </w:r>
            <w:r>
              <w:rPr>
                <w:rFonts w:hint="eastAsia" w:ascii="Times New Roman" w:hAnsi="Times New Roman" w:cs="Times New Roman"/>
                <w:color w:val="auto"/>
                <w:kern w:val="2"/>
                <w:sz w:val="24"/>
                <w:szCs w:val="24"/>
                <w:lang w:val="en-US" w:eastAsia="zh-CN" w:bidi="ar-SA"/>
              </w:rPr>
              <w:t>mm</w:t>
            </w:r>
            <w:r>
              <w:rPr>
                <w:rFonts w:hint="default" w:ascii="Times New Roman" w:hAnsi="Times New Roman" w:cs="Times New Roman"/>
                <w:color w:val="auto"/>
                <w:kern w:val="2"/>
                <w:sz w:val="24"/>
                <w:szCs w:val="24"/>
                <w:lang w:val="en-US" w:eastAsia="zh-CN" w:bidi="ar-SA"/>
              </w:rPr>
              <w:t>的颗粒也只有不足9%。不均匀系数约为1.35。</w:t>
            </w:r>
          </w:p>
          <w:p w14:paraId="2B8B483C">
            <w:pPr>
              <w:keepNext w:val="0"/>
              <w:keepLines w:val="0"/>
              <w:pageBreakBefore w:val="0"/>
              <w:widowControl w:val="0"/>
              <w:kinsoku/>
              <w:wordWrap/>
              <w:overflowPunct w:val="0"/>
              <w:topLinePunct w:val="0"/>
              <w:autoSpaceDE w:val="0"/>
              <w:autoSpaceDN w:val="0"/>
              <w:bidi w:val="0"/>
              <w:adjustRightInd w:val="0"/>
              <w:snapToGrid w:val="0"/>
              <w:spacing w:before="0" w:after="0" w:line="480" w:lineRule="exact"/>
              <w:ind w:left="0" w:right="0" w:firstLine="480" w:firstLineChars="200"/>
              <w:jc w:val="left"/>
              <w:textAlignment w:val="auto"/>
              <w:rPr>
                <w:rFonts w:ascii="Times New Roman" w:hAnsi="Times New Roman" w:eastAsia="宋体" w:cs="宋体"/>
                <w:color w:val="auto"/>
              </w:rPr>
            </w:pPr>
            <w:r>
              <w:rPr>
                <w:rFonts w:hint="eastAsia" w:cs="宋体"/>
                <w:color w:val="auto"/>
                <w:lang w:val="en-US" w:eastAsia="zh-CN"/>
              </w:rPr>
              <w:t>②</w:t>
            </w:r>
            <w:r>
              <w:rPr>
                <w:rFonts w:ascii="Times New Roman" w:hAnsi="Times New Roman" w:eastAsia="宋体" w:cs="宋体"/>
                <w:color w:val="auto"/>
              </w:rPr>
              <w:t>主要生产设施</w:t>
            </w:r>
          </w:p>
          <w:p w14:paraId="2666A2B5">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0" w:firstLineChars="0"/>
              <w:jc w:val="center"/>
              <w:textAlignment w:val="auto"/>
              <w:rPr>
                <w:rFonts w:hint="eastAsia" w:ascii="Times New Roman" w:hAnsi="Times New Roman" w:eastAsia="宋体" w:cs="宋体"/>
                <w:b/>
                <w:color w:val="auto"/>
                <w:sz w:val="21"/>
                <w:szCs w:val="21"/>
                <w:highlight w:val="none"/>
                <w:lang w:val="en-US" w:eastAsia="zh-CN" w:bidi="ar-SA"/>
              </w:rPr>
            </w:pPr>
            <w:r>
              <w:rPr>
                <w:rFonts w:ascii="Times New Roman" w:hAnsi="Times New Roman" w:eastAsia="宋体" w:cs="宋体"/>
                <w:b/>
                <w:color w:val="auto"/>
                <w:sz w:val="21"/>
                <w:szCs w:val="21"/>
                <w:highlight w:val="none"/>
                <w:lang w:val="en-US" w:eastAsia="zh-CN" w:bidi="ar-SA"/>
              </w:rPr>
              <w:t>表</w:t>
            </w:r>
            <w:r>
              <w:rPr>
                <w:rFonts w:hint="eastAsia" w:ascii="Times New Roman" w:hAnsi="Times New Roman" w:eastAsia="宋体" w:cs="宋体"/>
                <w:b/>
                <w:color w:val="auto"/>
                <w:sz w:val="21"/>
                <w:szCs w:val="21"/>
                <w:highlight w:val="none"/>
                <w:lang w:val="en-US" w:eastAsia="zh-CN" w:bidi="ar-SA"/>
              </w:rPr>
              <w:t>2.3-</w:t>
            </w:r>
            <w:r>
              <w:rPr>
                <w:rFonts w:hint="eastAsia" w:cs="宋体"/>
                <w:b/>
                <w:color w:val="auto"/>
                <w:sz w:val="21"/>
                <w:szCs w:val="21"/>
                <w:highlight w:val="none"/>
                <w:lang w:val="en-US" w:eastAsia="zh-CN" w:bidi="ar-SA"/>
              </w:rPr>
              <w:t>3</w:t>
            </w:r>
            <w:r>
              <w:rPr>
                <w:rFonts w:ascii="Times New Roman" w:hAnsi="Times New Roman" w:eastAsia="宋体" w:cs="宋体"/>
                <w:b/>
                <w:color w:val="auto"/>
                <w:sz w:val="21"/>
                <w:szCs w:val="21"/>
                <w:highlight w:val="none"/>
                <w:lang w:val="en-US" w:eastAsia="zh-CN" w:bidi="ar-SA"/>
              </w:rPr>
              <w:t>本项目主要生产设施一览表</w:t>
            </w:r>
            <w:r>
              <w:rPr>
                <w:rFonts w:hint="eastAsia" w:ascii="Times New Roman" w:hAnsi="Times New Roman" w:eastAsia="宋体" w:cs="宋体"/>
                <w:b/>
                <w:color w:val="auto"/>
                <w:sz w:val="21"/>
                <w:szCs w:val="21"/>
                <w:highlight w:val="none"/>
                <w:lang w:val="en-US" w:eastAsia="zh-CN" w:bidi="ar-SA"/>
              </w:rPr>
              <w:t xml:space="preserve"> </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576"/>
              <w:gridCol w:w="1354"/>
              <w:gridCol w:w="2557"/>
              <w:gridCol w:w="396"/>
              <w:gridCol w:w="397"/>
              <w:gridCol w:w="1316"/>
              <w:gridCol w:w="2011"/>
            </w:tblGrid>
            <w:tr w14:paraId="07552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PrEx>
              <w:trPr>
                <w:trHeight w:val="360" w:hRule="atLeast"/>
              </w:trPr>
              <w:tc>
                <w:tcPr>
                  <w:tcW w:w="5000" w:type="pct"/>
                  <w:gridSpan w:val="7"/>
                  <w:shd w:val="clear" w:color="auto" w:fill="FFFFFF" w:themeFill="background1"/>
                  <w:vAlign w:val="center"/>
                </w:tcPr>
                <w:p w14:paraId="454FC742">
                  <w:pPr>
                    <w:spacing w:line="240" w:lineRule="auto"/>
                    <w:jc w:val="center"/>
                    <w:rPr>
                      <w:rFonts w:hint="eastAsia"/>
                      <w:color w:val="auto"/>
                      <w:sz w:val="18"/>
                      <w:szCs w:val="18"/>
                    </w:rPr>
                  </w:pPr>
                  <w:r>
                    <w:rPr>
                      <w:rFonts w:hint="eastAsia"/>
                      <w:b/>
                      <w:bCs/>
                      <w:color w:val="auto"/>
                      <w:sz w:val="18"/>
                      <w:szCs w:val="18"/>
                      <w:shd w:val="clear" w:color="auto" w:fill="auto"/>
                      <w:lang w:val="en-US" w:eastAsia="zh-CN"/>
                    </w:rPr>
                    <w:t>1、原料上料系统</w:t>
                  </w:r>
                </w:p>
              </w:tc>
            </w:tr>
            <w:tr w14:paraId="2D050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20" w:type="pct"/>
                  <w:shd w:val="clear" w:color="auto" w:fill="FFFFFF" w:themeFill="background1"/>
                  <w:vAlign w:val="center"/>
                </w:tcPr>
                <w:p w14:paraId="4C1440A6">
                  <w:pPr>
                    <w:spacing w:line="240" w:lineRule="auto"/>
                    <w:jc w:val="center"/>
                    <w:rPr>
                      <w:rFonts w:hint="eastAsia"/>
                      <w:color w:val="auto"/>
                      <w:sz w:val="18"/>
                      <w:szCs w:val="18"/>
                      <w:lang w:val="en-US" w:eastAsia="zh-CN"/>
                    </w:rPr>
                  </w:pPr>
                  <w:r>
                    <w:rPr>
                      <w:rFonts w:hint="eastAsia"/>
                      <w:color w:val="auto"/>
                      <w:sz w:val="18"/>
                      <w:szCs w:val="18"/>
                      <w:lang w:val="en-US" w:eastAsia="zh-CN"/>
                    </w:rPr>
                    <w:t>序号</w:t>
                  </w:r>
                </w:p>
              </w:tc>
              <w:tc>
                <w:tcPr>
                  <w:tcW w:w="849" w:type="pct"/>
                  <w:shd w:val="clear" w:color="auto" w:fill="FFFFFF" w:themeFill="background1"/>
                  <w:vAlign w:val="center"/>
                </w:tcPr>
                <w:p w14:paraId="508A15C4">
                  <w:pPr>
                    <w:spacing w:line="240" w:lineRule="auto"/>
                    <w:jc w:val="center"/>
                    <w:rPr>
                      <w:rFonts w:hint="eastAsia"/>
                      <w:color w:val="auto"/>
                      <w:sz w:val="18"/>
                      <w:szCs w:val="18"/>
                      <w:lang w:val="en-US" w:eastAsia="zh-CN"/>
                    </w:rPr>
                  </w:pPr>
                  <w:r>
                    <w:rPr>
                      <w:rFonts w:hint="eastAsia"/>
                      <w:color w:val="auto"/>
                      <w:sz w:val="18"/>
                      <w:szCs w:val="18"/>
                      <w:lang w:val="en-US" w:eastAsia="zh-CN"/>
                    </w:rPr>
                    <w:t>名称</w:t>
                  </w:r>
                </w:p>
              </w:tc>
              <w:tc>
                <w:tcPr>
                  <w:tcW w:w="1190" w:type="pct"/>
                  <w:shd w:val="clear" w:color="auto" w:fill="FFFFFF" w:themeFill="background1"/>
                  <w:vAlign w:val="center"/>
                </w:tcPr>
                <w:p w14:paraId="23FADD2D">
                  <w:pPr>
                    <w:spacing w:line="240" w:lineRule="auto"/>
                    <w:jc w:val="center"/>
                    <w:rPr>
                      <w:rFonts w:hint="eastAsia"/>
                      <w:color w:val="auto"/>
                      <w:sz w:val="18"/>
                      <w:szCs w:val="18"/>
                      <w:lang w:val="en-US" w:eastAsia="zh-CN"/>
                    </w:rPr>
                  </w:pPr>
                  <w:r>
                    <w:rPr>
                      <w:rFonts w:hint="eastAsia"/>
                      <w:color w:val="auto"/>
                      <w:sz w:val="18"/>
                      <w:szCs w:val="18"/>
                      <w:lang w:val="en-US" w:eastAsia="zh-CN"/>
                    </w:rPr>
                    <w:t>基本参数及说明</w:t>
                  </w:r>
                </w:p>
              </w:tc>
              <w:tc>
                <w:tcPr>
                  <w:tcW w:w="290" w:type="pct"/>
                  <w:shd w:val="clear" w:color="auto" w:fill="FFFFFF" w:themeFill="background1"/>
                  <w:vAlign w:val="center"/>
                </w:tcPr>
                <w:p w14:paraId="408284B1">
                  <w:pPr>
                    <w:spacing w:line="240" w:lineRule="auto"/>
                    <w:jc w:val="center"/>
                    <w:rPr>
                      <w:rFonts w:hint="eastAsia"/>
                      <w:color w:val="auto"/>
                      <w:sz w:val="18"/>
                      <w:szCs w:val="18"/>
                      <w:lang w:val="en-US" w:eastAsia="zh-CN"/>
                    </w:rPr>
                  </w:pPr>
                  <w:r>
                    <w:rPr>
                      <w:rFonts w:hint="eastAsia"/>
                      <w:color w:val="auto"/>
                      <w:sz w:val="18"/>
                      <w:szCs w:val="18"/>
                      <w:lang w:val="en-US" w:eastAsia="zh-CN"/>
                    </w:rPr>
                    <w:t>单位</w:t>
                  </w:r>
                </w:p>
              </w:tc>
              <w:tc>
                <w:tcPr>
                  <w:tcW w:w="264" w:type="pct"/>
                  <w:shd w:val="clear" w:color="auto" w:fill="FFFFFF" w:themeFill="background1"/>
                  <w:vAlign w:val="center"/>
                </w:tcPr>
                <w:p w14:paraId="422AD912">
                  <w:pPr>
                    <w:spacing w:line="240" w:lineRule="auto"/>
                    <w:jc w:val="center"/>
                    <w:rPr>
                      <w:rFonts w:hint="eastAsia"/>
                      <w:color w:val="auto"/>
                      <w:sz w:val="18"/>
                      <w:szCs w:val="18"/>
                      <w:lang w:val="en-US" w:eastAsia="zh-CN"/>
                    </w:rPr>
                  </w:pPr>
                  <w:r>
                    <w:rPr>
                      <w:rFonts w:hint="eastAsia"/>
                      <w:color w:val="auto"/>
                      <w:sz w:val="18"/>
                      <w:szCs w:val="18"/>
                      <w:lang w:val="en-US" w:eastAsia="zh-CN"/>
                    </w:rPr>
                    <w:t>数量</w:t>
                  </w:r>
                </w:p>
              </w:tc>
              <w:tc>
                <w:tcPr>
                  <w:tcW w:w="857" w:type="pct"/>
                  <w:shd w:val="clear" w:color="auto" w:fill="FFFFFF" w:themeFill="background1"/>
                  <w:vAlign w:val="center"/>
                </w:tcPr>
                <w:p w14:paraId="4CECC419">
                  <w:pPr>
                    <w:spacing w:line="240" w:lineRule="auto"/>
                    <w:jc w:val="center"/>
                    <w:rPr>
                      <w:rFonts w:hint="eastAsia"/>
                      <w:color w:val="auto"/>
                      <w:sz w:val="18"/>
                      <w:szCs w:val="18"/>
                      <w:lang w:val="en-US" w:eastAsia="zh-CN"/>
                    </w:rPr>
                  </w:pPr>
                  <w:r>
                    <w:rPr>
                      <w:rFonts w:hint="eastAsia"/>
                      <w:color w:val="auto"/>
                      <w:sz w:val="18"/>
                      <w:szCs w:val="18"/>
                      <w:lang w:val="en-US" w:eastAsia="zh-CN"/>
                    </w:rPr>
                    <w:t>功能及特点简述</w:t>
                  </w:r>
                </w:p>
              </w:tc>
              <w:tc>
                <w:tcPr>
                  <w:tcW w:w="1226" w:type="pct"/>
                  <w:shd w:val="clear" w:color="auto" w:fill="FFFFFF" w:themeFill="background1"/>
                  <w:vAlign w:val="center"/>
                </w:tcPr>
                <w:p w14:paraId="579A42BC">
                  <w:pPr>
                    <w:spacing w:line="240" w:lineRule="auto"/>
                    <w:jc w:val="center"/>
                    <w:rPr>
                      <w:rFonts w:hint="eastAsia"/>
                      <w:color w:val="auto"/>
                      <w:sz w:val="18"/>
                      <w:szCs w:val="18"/>
                      <w:lang w:val="en-US" w:eastAsia="zh-CN"/>
                    </w:rPr>
                  </w:pPr>
                  <w:r>
                    <w:rPr>
                      <w:rFonts w:hint="eastAsia"/>
                      <w:color w:val="auto"/>
                      <w:sz w:val="18"/>
                      <w:szCs w:val="18"/>
                      <w:lang w:val="en-US" w:eastAsia="zh-CN"/>
                    </w:rPr>
                    <w:t>供货方</w:t>
                  </w:r>
                </w:p>
              </w:tc>
            </w:tr>
            <w:tr w14:paraId="22324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0" w:hRule="atLeast"/>
              </w:trPr>
              <w:tc>
                <w:tcPr>
                  <w:tcW w:w="320" w:type="pct"/>
                  <w:shd w:val="clear" w:color="auto" w:fill="FFFFFF" w:themeFill="background1"/>
                  <w:vAlign w:val="center"/>
                </w:tcPr>
                <w:p w14:paraId="398E8F60">
                  <w:pPr>
                    <w:spacing w:line="240" w:lineRule="auto"/>
                    <w:jc w:val="center"/>
                    <w:rPr>
                      <w:rFonts w:hint="eastAsia"/>
                      <w:color w:val="auto"/>
                      <w:sz w:val="18"/>
                      <w:szCs w:val="18"/>
                    </w:rPr>
                  </w:pPr>
                  <w:r>
                    <w:rPr>
                      <w:rFonts w:hint="eastAsia"/>
                      <w:color w:val="auto"/>
                      <w:sz w:val="18"/>
                      <w:szCs w:val="18"/>
                      <w:lang w:val="en-US" w:eastAsia="zh-CN"/>
                    </w:rPr>
                    <w:t>1.1</w:t>
                  </w:r>
                </w:p>
              </w:tc>
              <w:tc>
                <w:tcPr>
                  <w:tcW w:w="849" w:type="pct"/>
                  <w:shd w:val="clear" w:color="auto" w:fill="FFFFFF" w:themeFill="background1"/>
                  <w:vAlign w:val="center"/>
                </w:tcPr>
                <w:p w14:paraId="17547EC4">
                  <w:pPr>
                    <w:spacing w:line="240" w:lineRule="auto"/>
                    <w:jc w:val="center"/>
                    <w:rPr>
                      <w:rFonts w:hint="eastAsia"/>
                      <w:color w:val="auto"/>
                      <w:sz w:val="18"/>
                      <w:szCs w:val="18"/>
                    </w:rPr>
                  </w:pPr>
                  <w:r>
                    <w:rPr>
                      <w:rFonts w:hint="eastAsia"/>
                      <w:color w:val="auto"/>
                      <w:sz w:val="18"/>
                      <w:szCs w:val="18"/>
                      <w:lang w:val="en-US" w:eastAsia="zh-CN"/>
                    </w:rPr>
                    <w:t>斗提机</w:t>
                  </w:r>
                </w:p>
              </w:tc>
              <w:tc>
                <w:tcPr>
                  <w:tcW w:w="1190" w:type="pct"/>
                  <w:shd w:val="clear" w:color="auto" w:fill="FFFFFF" w:themeFill="background1"/>
                  <w:vAlign w:val="center"/>
                </w:tcPr>
                <w:p w14:paraId="671FF8EE">
                  <w:pPr>
                    <w:spacing w:line="240" w:lineRule="auto"/>
                    <w:jc w:val="center"/>
                    <w:rPr>
                      <w:rFonts w:hint="eastAsia"/>
                      <w:color w:val="auto"/>
                      <w:sz w:val="18"/>
                      <w:szCs w:val="18"/>
                    </w:rPr>
                  </w:pPr>
                  <w:r>
                    <w:rPr>
                      <w:rFonts w:hint="eastAsia"/>
                      <w:color w:val="auto"/>
                      <w:sz w:val="18"/>
                      <w:szCs w:val="18"/>
                      <w:lang w:val="en-US" w:eastAsia="zh-CN"/>
                    </w:rPr>
                    <w:t>NE30-25m</w:t>
                  </w:r>
                </w:p>
              </w:tc>
              <w:tc>
                <w:tcPr>
                  <w:tcW w:w="290" w:type="pct"/>
                  <w:shd w:val="clear" w:color="auto" w:fill="FFFFFF" w:themeFill="background1"/>
                  <w:vAlign w:val="center"/>
                </w:tcPr>
                <w:p w14:paraId="2EADB7B0">
                  <w:pPr>
                    <w:spacing w:line="240" w:lineRule="auto"/>
                    <w:jc w:val="center"/>
                    <w:rPr>
                      <w:rFonts w:hint="eastAsia"/>
                      <w:color w:val="auto"/>
                      <w:sz w:val="18"/>
                      <w:szCs w:val="18"/>
                    </w:rPr>
                  </w:pPr>
                  <w:r>
                    <w:rPr>
                      <w:rFonts w:hint="eastAsia"/>
                      <w:color w:val="auto"/>
                      <w:sz w:val="18"/>
                      <w:szCs w:val="18"/>
                      <w:lang w:val="en-US" w:eastAsia="zh-CN"/>
                    </w:rPr>
                    <w:t>台</w:t>
                  </w:r>
                </w:p>
              </w:tc>
              <w:tc>
                <w:tcPr>
                  <w:tcW w:w="264" w:type="pct"/>
                  <w:shd w:val="clear" w:color="auto" w:fill="FFFFFF" w:themeFill="background1"/>
                  <w:vAlign w:val="center"/>
                </w:tcPr>
                <w:p w14:paraId="2B56CF7E">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restart"/>
                  <w:shd w:val="clear" w:color="auto" w:fill="FFFFFF" w:themeFill="background1"/>
                  <w:vAlign w:val="center"/>
                </w:tcPr>
                <w:p w14:paraId="6B2F2D8B">
                  <w:pPr>
                    <w:spacing w:line="240" w:lineRule="auto"/>
                    <w:jc w:val="center"/>
                    <w:rPr>
                      <w:rFonts w:hint="eastAsia"/>
                      <w:color w:val="auto"/>
                      <w:sz w:val="18"/>
                      <w:szCs w:val="18"/>
                    </w:rPr>
                  </w:pPr>
                  <w:r>
                    <w:rPr>
                      <w:rFonts w:hint="eastAsia"/>
                      <w:color w:val="auto"/>
                      <w:sz w:val="18"/>
                      <w:szCs w:val="18"/>
                      <w:lang w:val="en-US" w:eastAsia="zh-CN"/>
                    </w:rPr>
                    <w:t>NE板链式斗提机，皖南电机，国茂减速机，输送稳定可靠，寿命长。</w:t>
                  </w:r>
                </w:p>
              </w:tc>
              <w:tc>
                <w:tcPr>
                  <w:tcW w:w="1226" w:type="pct"/>
                  <w:shd w:val="clear" w:color="auto" w:fill="FFFFFF" w:themeFill="background1"/>
                  <w:vAlign w:val="center"/>
                </w:tcPr>
                <w:p w14:paraId="123F51BC">
                  <w:pPr>
                    <w:spacing w:line="240" w:lineRule="auto"/>
                    <w:jc w:val="center"/>
                    <w:rPr>
                      <w:rFonts w:hint="eastAsia"/>
                      <w:color w:val="auto"/>
                      <w:sz w:val="18"/>
                      <w:szCs w:val="18"/>
                    </w:rPr>
                  </w:pPr>
                  <w:r>
                    <w:rPr>
                      <w:rFonts w:hint="eastAsia"/>
                      <w:color w:val="auto"/>
                      <w:sz w:val="18"/>
                      <w:szCs w:val="18"/>
                      <w:lang w:val="en-US" w:eastAsia="zh-CN"/>
                    </w:rPr>
                    <w:t>九沃科技</w:t>
                  </w:r>
                </w:p>
              </w:tc>
            </w:tr>
            <w:tr w14:paraId="72D2A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0" w:hRule="atLeast"/>
              </w:trPr>
              <w:tc>
                <w:tcPr>
                  <w:tcW w:w="320" w:type="pct"/>
                  <w:shd w:val="clear" w:color="auto" w:fill="FFFFFF" w:themeFill="background1"/>
                  <w:vAlign w:val="center"/>
                </w:tcPr>
                <w:p w14:paraId="479FB34C">
                  <w:pPr>
                    <w:spacing w:line="240" w:lineRule="auto"/>
                    <w:jc w:val="center"/>
                    <w:rPr>
                      <w:rFonts w:hint="eastAsia"/>
                      <w:color w:val="auto"/>
                      <w:sz w:val="18"/>
                      <w:szCs w:val="18"/>
                    </w:rPr>
                  </w:pPr>
                  <w:r>
                    <w:rPr>
                      <w:rFonts w:hint="eastAsia"/>
                      <w:color w:val="auto"/>
                      <w:sz w:val="18"/>
                      <w:szCs w:val="18"/>
                      <w:lang w:val="en-US" w:eastAsia="zh-CN"/>
                    </w:rPr>
                    <w:t>1.2</w:t>
                  </w:r>
                </w:p>
              </w:tc>
              <w:tc>
                <w:tcPr>
                  <w:tcW w:w="849" w:type="pct"/>
                  <w:shd w:val="clear" w:color="auto" w:fill="FFFFFF" w:themeFill="background1"/>
                  <w:vAlign w:val="center"/>
                </w:tcPr>
                <w:p w14:paraId="0901C094">
                  <w:pPr>
                    <w:spacing w:line="240" w:lineRule="auto"/>
                    <w:jc w:val="center"/>
                    <w:rPr>
                      <w:rFonts w:hint="eastAsia"/>
                      <w:color w:val="auto"/>
                      <w:sz w:val="18"/>
                      <w:szCs w:val="18"/>
                    </w:rPr>
                  </w:pPr>
                  <w:r>
                    <w:rPr>
                      <w:rFonts w:hint="eastAsia"/>
                      <w:color w:val="auto"/>
                      <w:sz w:val="18"/>
                      <w:szCs w:val="18"/>
                      <w:lang w:val="en-US" w:eastAsia="zh-CN"/>
                    </w:rPr>
                    <w:t>固定支架等</w:t>
                  </w:r>
                </w:p>
              </w:tc>
              <w:tc>
                <w:tcPr>
                  <w:tcW w:w="1190" w:type="pct"/>
                  <w:shd w:val="clear" w:color="auto" w:fill="FFFFFF" w:themeFill="background1"/>
                  <w:vAlign w:val="center"/>
                </w:tcPr>
                <w:p w14:paraId="04316076">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290" w:type="pct"/>
                  <w:shd w:val="clear" w:color="auto" w:fill="FFFFFF" w:themeFill="background1"/>
                  <w:vAlign w:val="center"/>
                </w:tcPr>
                <w:p w14:paraId="3FE687C5">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1C5A5F8C">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continue"/>
                  <w:shd w:val="clear" w:color="auto" w:fill="FFFFFF" w:themeFill="background1"/>
                  <w:vAlign w:val="center"/>
                </w:tcPr>
                <w:p w14:paraId="075FC835">
                  <w:pPr>
                    <w:spacing w:line="240" w:lineRule="auto"/>
                    <w:jc w:val="center"/>
                    <w:rPr>
                      <w:rFonts w:hint="eastAsia"/>
                      <w:color w:val="auto"/>
                      <w:sz w:val="18"/>
                      <w:szCs w:val="18"/>
                    </w:rPr>
                  </w:pPr>
                </w:p>
              </w:tc>
              <w:tc>
                <w:tcPr>
                  <w:tcW w:w="1226" w:type="pct"/>
                  <w:shd w:val="clear" w:color="auto" w:fill="FFFFFF" w:themeFill="background1"/>
                  <w:vAlign w:val="center"/>
                </w:tcPr>
                <w:p w14:paraId="4F50B1D4">
                  <w:pPr>
                    <w:spacing w:line="240" w:lineRule="auto"/>
                    <w:jc w:val="center"/>
                    <w:rPr>
                      <w:rFonts w:hint="eastAsia"/>
                      <w:color w:val="auto"/>
                      <w:sz w:val="18"/>
                      <w:szCs w:val="18"/>
                    </w:rPr>
                  </w:pPr>
                  <w:r>
                    <w:rPr>
                      <w:rFonts w:hint="eastAsia"/>
                      <w:color w:val="auto"/>
                      <w:sz w:val="18"/>
                      <w:szCs w:val="18"/>
                      <w:lang w:val="en-US" w:eastAsia="zh-CN"/>
                    </w:rPr>
                    <w:t>九沃科技</w:t>
                  </w:r>
                </w:p>
              </w:tc>
            </w:tr>
            <w:tr w14:paraId="41BEB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0" w:hRule="atLeast"/>
              </w:trPr>
              <w:tc>
                <w:tcPr>
                  <w:tcW w:w="320" w:type="pct"/>
                  <w:shd w:val="clear" w:color="auto" w:fill="FFFFFF" w:themeFill="background1"/>
                  <w:vAlign w:val="center"/>
                </w:tcPr>
                <w:p w14:paraId="22CCDB32">
                  <w:pPr>
                    <w:spacing w:line="240" w:lineRule="auto"/>
                    <w:jc w:val="center"/>
                    <w:rPr>
                      <w:rFonts w:hint="eastAsia"/>
                      <w:color w:val="auto"/>
                      <w:sz w:val="18"/>
                      <w:szCs w:val="18"/>
                    </w:rPr>
                  </w:pPr>
                  <w:r>
                    <w:rPr>
                      <w:rFonts w:hint="eastAsia"/>
                      <w:color w:val="auto"/>
                      <w:sz w:val="18"/>
                      <w:szCs w:val="18"/>
                      <w:lang w:val="en-US" w:eastAsia="zh-CN"/>
                    </w:rPr>
                    <w:t>1.3</w:t>
                  </w:r>
                </w:p>
              </w:tc>
              <w:tc>
                <w:tcPr>
                  <w:tcW w:w="849" w:type="pct"/>
                  <w:shd w:val="clear" w:color="auto" w:fill="FFFFFF" w:themeFill="background1"/>
                  <w:vAlign w:val="center"/>
                </w:tcPr>
                <w:p w14:paraId="34BA9513">
                  <w:pPr>
                    <w:spacing w:line="240" w:lineRule="auto"/>
                    <w:jc w:val="center"/>
                    <w:rPr>
                      <w:rFonts w:hint="eastAsia"/>
                      <w:color w:val="auto"/>
                      <w:sz w:val="18"/>
                      <w:szCs w:val="18"/>
                    </w:rPr>
                  </w:pPr>
                  <w:r>
                    <w:rPr>
                      <w:rFonts w:hint="eastAsia"/>
                      <w:color w:val="auto"/>
                      <w:sz w:val="18"/>
                      <w:szCs w:val="18"/>
                      <w:lang w:val="en-US" w:eastAsia="zh-CN"/>
                    </w:rPr>
                    <w:t>人工投料仓</w:t>
                  </w:r>
                </w:p>
              </w:tc>
              <w:tc>
                <w:tcPr>
                  <w:tcW w:w="1190" w:type="pct"/>
                  <w:shd w:val="clear" w:color="auto" w:fill="FFFFFF" w:themeFill="background1"/>
                  <w:vAlign w:val="center"/>
                </w:tcPr>
                <w:p w14:paraId="1219C680">
                  <w:pPr>
                    <w:spacing w:line="240" w:lineRule="auto"/>
                    <w:jc w:val="center"/>
                    <w:rPr>
                      <w:rFonts w:hint="default"/>
                      <w:color w:val="auto"/>
                      <w:sz w:val="18"/>
                      <w:szCs w:val="18"/>
                      <w:lang w:val="en-US"/>
                    </w:rPr>
                  </w:pPr>
                  <w:r>
                    <w:rPr>
                      <w:color w:val="auto"/>
                      <w:sz w:val="18"/>
                      <w:szCs w:val="18"/>
                      <w:lang w:val="en-US" w:eastAsia="zh-CN"/>
                    </w:rPr>
                    <w:t>几何容积：1.8m</w:t>
                  </w:r>
                  <w:r>
                    <w:rPr>
                      <w:rFonts w:hint="eastAsia"/>
                      <w:color w:val="auto"/>
                      <w:sz w:val="18"/>
                      <w:szCs w:val="18"/>
                      <w:vertAlign w:val="superscript"/>
                      <w:lang w:val="en-US" w:eastAsia="zh-CN"/>
                    </w:rPr>
                    <w:t>3</w:t>
                  </w:r>
                </w:p>
              </w:tc>
              <w:tc>
                <w:tcPr>
                  <w:tcW w:w="290" w:type="pct"/>
                  <w:shd w:val="clear" w:color="auto" w:fill="FFFFFF" w:themeFill="background1"/>
                  <w:vAlign w:val="center"/>
                </w:tcPr>
                <w:p w14:paraId="28AF2F9F">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27D05A36">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continue"/>
                  <w:shd w:val="clear" w:color="auto" w:fill="FFFFFF" w:themeFill="background1"/>
                  <w:vAlign w:val="center"/>
                </w:tcPr>
                <w:p w14:paraId="2CC4540B">
                  <w:pPr>
                    <w:spacing w:line="240" w:lineRule="auto"/>
                    <w:jc w:val="center"/>
                    <w:rPr>
                      <w:rFonts w:hint="eastAsia"/>
                      <w:color w:val="auto"/>
                      <w:sz w:val="18"/>
                      <w:szCs w:val="18"/>
                    </w:rPr>
                  </w:pPr>
                </w:p>
              </w:tc>
              <w:tc>
                <w:tcPr>
                  <w:tcW w:w="1226" w:type="pct"/>
                  <w:shd w:val="clear" w:color="auto" w:fill="FFFFFF" w:themeFill="background1"/>
                  <w:vAlign w:val="center"/>
                </w:tcPr>
                <w:p w14:paraId="217B02C5">
                  <w:pPr>
                    <w:spacing w:line="240" w:lineRule="auto"/>
                    <w:jc w:val="center"/>
                    <w:rPr>
                      <w:rFonts w:hint="eastAsia"/>
                      <w:color w:val="auto"/>
                      <w:sz w:val="18"/>
                      <w:szCs w:val="18"/>
                    </w:rPr>
                  </w:pPr>
                  <w:r>
                    <w:rPr>
                      <w:rFonts w:hint="eastAsia"/>
                      <w:color w:val="auto"/>
                      <w:sz w:val="18"/>
                      <w:szCs w:val="18"/>
                      <w:lang w:val="en-US" w:eastAsia="zh-CN"/>
                    </w:rPr>
                    <w:t>九沃科技</w:t>
                  </w:r>
                </w:p>
              </w:tc>
            </w:tr>
            <w:tr w14:paraId="770D3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0" w:type="pct"/>
                  <w:shd w:val="clear" w:color="auto" w:fill="FFFFFF" w:themeFill="background1"/>
                  <w:vAlign w:val="center"/>
                </w:tcPr>
                <w:p w14:paraId="531A1A6D">
                  <w:pPr>
                    <w:spacing w:line="240" w:lineRule="auto"/>
                    <w:jc w:val="center"/>
                    <w:rPr>
                      <w:rFonts w:hint="default"/>
                      <w:color w:val="auto"/>
                      <w:sz w:val="18"/>
                      <w:szCs w:val="18"/>
                      <w:lang w:val="en-US"/>
                    </w:rPr>
                  </w:pPr>
                  <w:r>
                    <w:rPr>
                      <w:rFonts w:hint="eastAsia"/>
                      <w:color w:val="auto"/>
                      <w:sz w:val="18"/>
                      <w:szCs w:val="18"/>
                      <w:lang w:val="en-US" w:eastAsia="zh-CN"/>
                    </w:rPr>
                    <w:t>1.4</w:t>
                  </w:r>
                </w:p>
              </w:tc>
              <w:tc>
                <w:tcPr>
                  <w:tcW w:w="849" w:type="pct"/>
                  <w:shd w:val="clear" w:color="auto" w:fill="FFFFFF" w:themeFill="background1"/>
                  <w:vAlign w:val="center"/>
                </w:tcPr>
                <w:p w14:paraId="4CA324F4">
                  <w:pPr>
                    <w:spacing w:line="240" w:lineRule="auto"/>
                    <w:jc w:val="center"/>
                    <w:rPr>
                      <w:rFonts w:hint="eastAsia"/>
                      <w:color w:val="auto"/>
                      <w:sz w:val="18"/>
                      <w:szCs w:val="18"/>
                    </w:rPr>
                  </w:pPr>
                  <w:r>
                    <w:rPr>
                      <w:rFonts w:hint="eastAsia"/>
                      <w:color w:val="auto"/>
                      <w:sz w:val="18"/>
                      <w:szCs w:val="18"/>
                      <w:lang w:val="en-US" w:eastAsia="zh-CN"/>
                    </w:rPr>
                    <w:t>布袋除尘器</w:t>
                  </w:r>
                </w:p>
              </w:tc>
              <w:tc>
                <w:tcPr>
                  <w:tcW w:w="1190" w:type="pct"/>
                  <w:shd w:val="clear" w:color="auto" w:fill="FFFFFF" w:themeFill="background1"/>
                  <w:vAlign w:val="center"/>
                </w:tcPr>
                <w:p w14:paraId="1C1EBCE2">
                  <w:pPr>
                    <w:spacing w:line="240" w:lineRule="auto"/>
                    <w:jc w:val="center"/>
                    <w:rPr>
                      <w:rFonts w:hint="eastAsia"/>
                      <w:color w:val="auto"/>
                      <w:sz w:val="18"/>
                      <w:szCs w:val="18"/>
                    </w:rPr>
                  </w:pPr>
                  <w:r>
                    <w:rPr>
                      <w:rFonts w:hint="eastAsia"/>
                      <w:color w:val="auto"/>
                      <w:sz w:val="18"/>
                      <w:szCs w:val="18"/>
                      <w:lang w:val="en-US" w:eastAsia="zh-CN"/>
                    </w:rPr>
                    <w:t>过滤面积15㎡，带风机，不带排气管，排放浓度20mg/m3</w:t>
                  </w:r>
                </w:p>
              </w:tc>
              <w:tc>
                <w:tcPr>
                  <w:tcW w:w="290" w:type="pct"/>
                  <w:shd w:val="clear" w:color="auto" w:fill="FFFFFF" w:themeFill="background1"/>
                  <w:vAlign w:val="center"/>
                </w:tcPr>
                <w:p w14:paraId="17B6B308">
                  <w:pPr>
                    <w:spacing w:line="240" w:lineRule="auto"/>
                    <w:jc w:val="center"/>
                    <w:rPr>
                      <w:rFonts w:hint="eastAsia"/>
                      <w:color w:val="auto"/>
                      <w:sz w:val="18"/>
                      <w:szCs w:val="18"/>
                    </w:rPr>
                  </w:pPr>
                  <w:r>
                    <w:rPr>
                      <w:rFonts w:hint="eastAsia"/>
                      <w:color w:val="auto"/>
                      <w:sz w:val="18"/>
                      <w:szCs w:val="18"/>
                      <w:lang w:val="en-US" w:eastAsia="zh-CN"/>
                    </w:rPr>
                    <w:t>台</w:t>
                  </w:r>
                </w:p>
              </w:tc>
              <w:tc>
                <w:tcPr>
                  <w:tcW w:w="264" w:type="pct"/>
                  <w:shd w:val="clear" w:color="auto" w:fill="FFFFFF" w:themeFill="background1"/>
                  <w:vAlign w:val="center"/>
                </w:tcPr>
                <w:p w14:paraId="662EBC8D">
                  <w:pPr>
                    <w:spacing w:line="240" w:lineRule="auto"/>
                    <w:jc w:val="center"/>
                    <w:rPr>
                      <w:rFonts w:hint="default"/>
                      <w:color w:val="auto"/>
                      <w:sz w:val="18"/>
                      <w:szCs w:val="18"/>
                      <w:lang w:val="en-US"/>
                    </w:rPr>
                  </w:pPr>
                  <w:r>
                    <w:rPr>
                      <w:rFonts w:hint="eastAsia"/>
                      <w:color w:val="auto"/>
                      <w:sz w:val="18"/>
                      <w:szCs w:val="18"/>
                      <w:lang w:val="en-US" w:eastAsia="zh-CN"/>
                    </w:rPr>
                    <w:t>2</w:t>
                  </w:r>
                </w:p>
              </w:tc>
              <w:tc>
                <w:tcPr>
                  <w:tcW w:w="857" w:type="pct"/>
                  <w:vMerge w:val="continue"/>
                  <w:shd w:val="clear" w:color="auto" w:fill="FFFFFF" w:themeFill="background1"/>
                  <w:vAlign w:val="center"/>
                </w:tcPr>
                <w:p w14:paraId="062D3310">
                  <w:pPr>
                    <w:spacing w:line="240" w:lineRule="auto"/>
                    <w:jc w:val="center"/>
                    <w:rPr>
                      <w:rFonts w:hint="eastAsia"/>
                      <w:color w:val="auto"/>
                      <w:sz w:val="18"/>
                      <w:szCs w:val="18"/>
                    </w:rPr>
                  </w:pPr>
                </w:p>
              </w:tc>
              <w:tc>
                <w:tcPr>
                  <w:tcW w:w="1226" w:type="pct"/>
                  <w:shd w:val="clear" w:color="auto" w:fill="FFFFFF" w:themeFill="background1"/>
                  <w:vAlign w:val="center"/>
                </w:tcPr>
                <w:p w14:paraId="41692110">
                  <w:pPr>
                    <w:spacing w:line="240" w:lineRule="auto"/>
                    <w:jc w:val="center"/>
                    <w:rPr>
                      <w:rFonts w:hint="eastAsia"/>
                      <w:color w:val="auto"/>
                      <w:sz w:val="18"/>
                      <w:szCs w:val="18"/>
                    </w:rPr>
                  </w:pPr>
                  <w:r>
                    <w:rPr>
                      <w:rFonts w:hint="eastAsia"/>
                      <w:color w:val="auto"/>
                      <w:sz w:val="18"/>
                      <w:szCs w:val="18"/>
                      <w:lang w:val="en-US" w:eastAsia="zh-CN"/>
                    </w:rPr>
                    <w:t>九沃科技</w:t>
                  </w:r>
                </w:p>
              </w:tc>
            </w:tr>
            <w:tr w14:paraId="1DF61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0" w:type="pct"/>
                  <w:shd w:val="clear" w:color="auto" w:fill="FFFFFF" w:themeFill="background1"/>
                  <w:vAlign w:val="center"/>
                </w:tcPr>
                <w:p w14:paraId="5DA30F19">
                  <w:pPr>
                    <w:spacing w:line="240" w:lineRule="auto"/>
                    <w:jc w:val="center"/>
                    <w:rPr>
                      <w:rFonts w:hint="eastAsia"/>
                      <w:color w:val="auto"/>
                      <w:sz w:val="18"/>
                      <w:szCs w:val="18"/>
                    </w:rPr>
                  </w:pPr>
                  <w:r>
                    <w:rPr>
                      <w:rFonts w:hint="eastAsia"/>
                      <w:color w:val="auto"/>
                      <w:sz w:val="18"/>
                      <w:szCs w:val="18"/>
                      <w:lang w:val="en-US" w:eastAsia="zh-CN"/>
                    </w:rPr>
                    <w:t>1.5</w:t>
                  </w:r>
                </w:p>
              </w:tc>
              <w:tc>
                <w:tcPr>
                  <w:tcW w:w="849" w:type="pct"/>
                  <w:shd w:val="clear" w:color="auto" w:fill="FFFFFF" w:themeFill="background1"/>
                  <w:vAlign w:val="center"/>
                </w:tcPr>
                <w:p w14:paraId="3DD1ABCC">
                  <w:pPr>
                    <w:spacing w:line="240" w:lineRule="auto"/>
                    <w:jc w:val="center"/>
                    <w:rPr>
                      <w:rFonts w:hint="eastAsia"/>
                      <w:color w:val="auto"/>
                      <w:sz w:val="18"/>
                      <w:szCs w:val="18"/>
                    </w:rPr>
                  </w:pPr>
                  <w:r>
                    <w:rPr>
                      <w:rFonts w:hint="eastAsia"/>
                      <w:color w:val="auto"/>
                      <w:sz w:val="18"/>
                      <w:szCs w:val="18"/>
                      <w:lang w:val="en-US" w:eastAsia="zh-CN"/>
                    </w:rPr>
                    <w:t>仓顶砂料螺旋机</w:t>
                  </w:r>
                </w:p>
              </w:tc>
              <w:tc>
                <w:tcPr>
                  <w:tcW w:w="1190" w:type="pct"/>
                  <w:shd w:val="clear" w:color="auto" w:fill="FFFFFF" w:themeFill="background1"/>
                  <w:vAlign w:val="center"/>
                </w:tcPr>
                <w:p w14:paraId="5D3A75E6">
                  <w:pPr>
                    <w:spacing w:line="240" w:lineRule="auto"/>
                    <w:jc w:val="center"/>
                    <w:rPr>
                      <w:rFonts w:hint="eastAsia"/>
                      <w:color w:val="auto"/>
                      <w:sz w:val="18"/>
                      <w:szCs w:val="18"/>
                    </w:rPr>
                  </w:pPr>
                  <w:r>
                    <w:rPr>
                      <w:rFonts w:hint="eastAsia"/>
                      <w:color w:val="auto"/>
                      <w:sz w:val="18"/>
                      <w:szCs w:val="18"/>
                      <w:lang w:val="en-US" w:eastAsia="zh-CN"/>
                    </w:rPr>
                    <w:t>DN273，耐磨叶片8mm-5.8m</w:t>
                  </w:r>
                </w:p>
              </w:tc>
              <w:tc>
                <w:tcPr>
                  <w:tcW w:w="290" w:type="pct"/>
                  <w:shd w:val="clear" w:color="auto" w:fill="FFFFFF" w:themeFill="background1"/>
                  <w:vAlign w:val="center"/>
                </w:tcPr>
                <w:p w14:paraId="188CAFC3">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7B487E41">
                  <w:pPr>
                    <w:spacing w:line="240" w:lineRule="auto"/>
                    <w:jc w:val="center"/>
                    <w:rPr>
                      <w:rFonts w:hint="eastAsia"/>
                      <w:color w:val="auto"/>
                      <w:sz w:val="18"/>
                      <w:szCs w:val="18"/>
                    </w:rPr>
                  </w:pPr>
                  <w:r>
                    <w:rPr>
                      <w:rFonts w:hint="eastAsia"/>
                      <w:color w:val="auto"/>
                      <w:sz w:val="18"/>
                      <w:szCs w:val="18"/>
                      <w:lang w:val="en-US" w:eastAsia="zh-CN"/>
                    </w:rPr>
                    <w:t>4</w:t>
                  </w:r>
                </w:p>
              </w:tc>
              <w:tc>
                <w:tcPr>
                  <w:tcW w:w="857" w:type="pct"/>
                  <w:vMerge w:val="continue"/>
                  <w:shd w:val="clear" w:color="auto" w:fill="FFFFFF" w:themeFill="background1"/>
                  <w:vAlign w:val="center"/>
                </w:tcPr>
                <w:p w14:paraId="44684360">
                  <w:pPr>
                    <w:spacing w:line="240" w:lineRule="auto"/>
                    <w:jc w:val="center"/>
                    <w:rPr>
                      <w:rFonts w:hint="eastAsia"/>
                      <w:color w:val="auto"/>
                      <w:sz w:val="18"/>
                      <w:szCs w:val="18"/>
                    </w:rPr>
                  </w:pPr>
                </w:p>
              </w:tc>
              <w:tc>
                <w:tcPr>
                  <w:tcW w:w="1226" w:type="pct"/>
                  <w:shd w:val="clear" w:color="auto" w:fill="FFFFFF" w:themeFill="background1"/>
                  <w:vAlign w:val="center"/>
                </w:tcPr>
                <w:p w14:paraId="4E110B21">
                  <w:pPr>
                    <w:spacing w:line="240" w:lineRule="auto"/>
                    <w:jc w:val="center"/>
                    <w:rPr>
                      <w:rFonts w:hint="eastAsia"/>
                      <w:color w:val="auto"/>
                      <w:sz w:val="18"/>
                      <w:szCs w:val="18"/>
                    </w:rPr>
                  </w:pPr>
                  <w:r>
                    <w:rPr>
                      <w:rFonts w:hint="eastAsia"/>
                      <w:color w:val="auto"/>
                      <w:sz w:val="18"/>
                      <w:szCs w:val="18"/>
                      <w:lang w:val="en-US" w:eastAsia="zh-CN"/>
                    </w:rPr>
                    <w:t>仕高玛</w:t>
                  </w:r>
                </w:p>
              </w:tc>
            </w:tr>
            <w:tr w14:paraId="6CA32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0" w:hRule="atLeast"/>
              </w:trPr>
              <w:tc>
                <w:tcPr>
                  <w:tcW w:w="5000" w:type="pct"/>
                  <w:gridSpan w:val="7"/>
                  <w:shd w:val="clear" w:color="auto" w:fill="FFFFFF" w:themeFill="background1"/>
                  <w:vAlign w:val="center"/>
                </w:tcPr>
                <w:p w14:paraId="71109B10">
                  <w:pPr>
                    <w:spacing w:line="240" w:lineRule="auto"/>
                    <w:jc w:val="center"/>
                    <w:rPr>
                      <w:rFonts w:hint="eastAsia"/>
                      <w:color w:val="auto"/>
                      <w:sz w:val="18"/>
                      <w:szCs w:val="18"/>
                    </w:rPr>
                  </w:pPr>
                  <w:r>
                    <w:rPr>
                      <w:rFonts w:hint="eastAsia"/>
                      <w:b/>
                      <w:bCs/>
                      <w:color w:val="auto"/>
                      <w:sz w:val="18"/>
                      <w:szCs w:val="18"/>
                      <w:lang w:val="en-US" w:eastAsia="zh-CN"/>
                    </w:rPr>
                    <w:t>2、原材料储存系统</w:t>
                  </w:r>
                </w:p>
              </w:tc>
            </w:tr>
            <w:tr w14:paraId="29AD6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40" w:hRule="atLeast"/>
              </w:trPr>
              <w:tc>
                <w:tcPr>
                  <w:tcW w:w="320" w:type="pct"/>
                  <w:shd w:val="clear" w:color="auto" w:fill="FFFFFF" w:themeFill="background1"/>
                  <w:vAlign w:val="center"/>
                </w:tcPr>
                <w:p w14:paraId="1ACA322F">
                  <w:pPr>
                    <w:spacing w:line="240" w:lineRule="auto"/>
                    <w:jc w:val="center"/>
                    <w:rPr>
                      <w:rFonts w:hint="eastAsia"/>
                      <w:color w:val="auto"/>
                      <w:sz w:val="18"/>
                      <w:szCs w:val="18"/>
                    </w:rPr>
                  </w:pPr>
                  <w:r>
                    <w:rPr>
                      <w:rFonts w:hint="eastAsia"/>
                      <w:color w:val="auto"/>
                      <w:sz w:val="18"/>
                      <w:szCs w:val="18"/>
                      <w:lang w:val="en-US" w:eastAsia="zh-CN"/>
                    </w:rPr>
                    <w:t>2.1</w:t>
                  </w:r>
                </w:p>
              </w:tc>
              <w:tc>
                <w:tcPr>
                  <w:tcW w:w="849" w:type="pct"/>
                  <w:shd w:val="clear" w:color="auto" w:fill="FFFFFF" w:themeFill="background1"/>
                  <w:vAlign w:val="center"/>
                </w:tcPr>
                <w:p w14:paraId="634E3098">
                  <w:pPr>
                    <w:spacing w:line="240" w:lineRule="auto"/>
                    <w:jc w:val="center"/>
                    <w:rPr>
                      <w:rFonts w:hint="eastAsia"/>
                      <w:color w:val="auto"/>
                      <w:sz w:val="18"/>
                      <w:szCs w:val="18"/>
                    </w:rPr>
                  </w:pPr>
                  <w:r>
                    <w:rPr>
                      <w:rFonts w:hint="eastAsia"/>
                      <w:color w:val="auto"/>
                      <w:sz w:val="18"/>
                      <w:szCs w:val="18"/>
                      <w:lang w:val="en-US" w:eastAsia="zh-CN"/>
                    </w:rPr>
                    <w:t>大筒仓</w:t>
                  </w:r>
                </w:p>
              </w:tc>
              <w:tc>
                <w:tcPr>
                  <w:tcW w:w="1190" w:type="pct"/>
                  <w:shd w:val="clear" w:color="auto" w:fill="FFFFFF" w:themeFill="background1"/>
                  <w:vAlign w:val="center"/>
                </w:tcPr>
                <w:p w14:paraId="56BB1847">
                  <w:pPr>
                    <w:spacing w:line="240" w:lineRule="auto"/>
                    <w:jc w:val="center"/>
                    <w:rPr>
                      <w:rFonts w:hint="eastAsia"/>
                      <w:color w:val="auto"/>
                      <w:sz w:val="18"/>
                      <w:szCs w:val="18"/>
                    </w:rPr>
                  </w:pPr>
                  <w:r>
                    <w:rPr>
                      <w:rFonts w:hint="eastAsia"/>
                      <w:color w:val="auto"/>
                      <w:sz w:val="18"/>
                      <w:szCs w:val="18"/>
                      <w:lang w:val="en-US" w:eastAsia="zh-CN"/>
                    </w:rPr>
                    <w:t>几何容积：80m</w:t>
                  </w:r>
                  <w:r>
                    <w:rPr>
                      <w:color w:val="auto"/>
                      <w:sz w:val="18"/>
                      <w:szCs w:val="18"/>
                      <w:lang w:val="en-US" w:eastAsia="zh-CN"/>
                    </w:rPr>
                    <w:t>³</w:t>
                  </w:r>
                </w:p>
              </w:tc>
              <w:tc>
                <w:tcPr>
                  <w:tcW w:w="290" w:type="pct"/>
                  <w:shd w:val="clear" w:color="auto" w:fill="FFFFFF" w:themeFill="background1"/>
                  <w:vAlign w:val="center"/>
                </w:tcPr>
                <w:p w14:paraId="1DD39057">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102A431A">
                  <w:pPr>
                    <w:spacing w:line="240" w:lineRule="auto"/>
                    <w:jc w:val="center"/>
                    <w:rPr>
                      <w:rFonts w:hint="eastAsia"/>
                      <w:color w:val="auto"/>
                      <w:sz w:val="18"/>
                      <w:szCs w:val="18"/>
                    </w:rPr>
                  </w:pPr>
                  <w:r>
                    <w:rPr>
                      <w:rFonts w:hint="eastAsia"/>
                      <w:color w:val="auto"/>
                      <w:sz w:val="18"/>
                      <w:szCs w:val="18"/>
                      <w:lang w:val="en-US" w:eastAsia="zh-CN"/>
                    </w:rPr>
                    <w:t>3</w:t>
                  </w:r>
                </w:p>
              </w:tc>
              <w:tc>
                <w:tcPr>
                  <w:tcW w:w="857" w:type="pct"/>
                  <w:vMerge w:val="restart"/>
                  <w:shd w:val="clear" w:color="auto" w:fill="FFFFFF" w:themeFill="background1"/>
                  <w:vAlign w:val="center"/>
                </w:tcPr>
                <w:p w14:paraId="4FB10D1D">
                  <w:pPr>
                    <w:spacing w:line="240" w:lineRule="auto"/>
                    <w:jc w:val="center"/>
                    <w:rPr>
                      <w:rFonts w:hint="eastAsia"/>
                      <w:color w:val="auto"/>
                      <w:sz w:val="18"/>
                      <w:szCs w:val="18"/>
                    </w:rPr>
                  </w:pPr>
                  <w:r>
                    <w:rPr>
                      <w:rFonts w:hint="eastAsia"/>
                      <w:color w:val="auto"/>
                      <w:sz w:val="18"/>
                      <w:szCs w:val="18"/>
                      <w:lang w:val="en-US" w:eastAsia="zh-CN"/>
                    </w:rPr>
                    <w:t>筒仓附件，包括透气布袋、料位计、助流装置与溜管等。</w:t>
                  </w:r>
                </w:p>
              </w:tc>
              <w:tc>
                <w:tcPr>
                  <w:tcW w:w="1226" w:type="pct"/>
                  <w:vMerge w:val="restart"/>
                  <w:shd w:val="clear" w:color="auto" w:fill="FFFFFF" w:themeFill="background1"/>
                  <w:vAlign w:val="center"/>
                </w:tcPr>
                <w:p w14:paraId="21A4C2F8">
                  <w:pPr>
                    <w:spacing w:line="240" w:lineRule="auto"/>
                    <w:jc w:val="center"/>
                    <w:rPr>
                      <w:rFonts w:hint="eastAsia"/>
                      <w:color w:val="auto"/>
                      <w:sz w:val="18"/>
                      <w:szCs w:val="18"/>
                    </w:rPr>
                  </w:pPr>
                  <w:r>
                    <w:rPr>
                      <w:rFonts w:hint="eastAsia"/>
                      <w:color w:val="auto"/>
                      <w:sz w:val="18"/>
                      <w:szCs w:val="18"/>
                      <w:lang w:val="en-US" w:eastAsia="zh-CN"/>
                    </w:rPr>
                    <w:t>九沃科技</w:t>
                  </w:r>
                </w:p>
              </w:tc>
            </w:tr>
            <w:tr w14:paraId="0C148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320" w:type="pct"/>
                  <w:shd w:val="clear" w:color="auto" w:fill="FFFFFF" w:themeFill="background1"/>
                  <w:vAlign w:val="center"/>
                </w:tcPr>
                <w:p w14:paraId="31EC3BC5">
                  <w:pPr>
                    <w:spacing w:line="240" w:lineRule="auto"/>
                    <w:jc w:val="center"/>
                    <w:rPr>
                      <w:rFonts w:hint="default"/>
                      <w:color w:val="auto"/>
                      <w:sz w:val="18"/>
                      <w:szCs w:val="18"/>
                      <w:lang w:val="en-US" w:eastAsia="zh-CN"/>
                    </w:rPr>
                  </w:pPr>
                  <w:r>
                    <w:rPr>
                      <w:rFonts w:hint="eastAsia"/>
                      <w:color w:val="auto"/>
                      <w:sz w:val="18"/>
                      <w:szCs w:val="18"/>
                      <w:lang w:val="en-US" w:eastAsia="zh-CN"/>
                    </w:rPr>
                    <w:t>2.2</w:t>
                  </w:r>
                </w:p>
              </w:tc>
              <w:tc>
                <w:tcPr>
                  <w:tcW w:w="849" w:type="pct"/>
                  <w:shd w:val="clear" w:color="auto" w:fill="FFFFFF" w:themeFill="background1"/>
                  <w:vAlign w:val="center"/>
                </w:tcPr>
                <w:p w14:paraId="0C4532C7">
                  <w:pPr>
                    <w:spacing w:line="240" w:lineRule="auto"/>
                    <w:jc w:val="center"/>
                    <w:rPr>
                      <w:rFonts w:hint="eastAsia"/>
                      <w:color w:val="auto"/>
                      <w:sz w:val="18"/>
                      <w:szCs w:val="18"/>
                      <w:lang w:val="en-US" w:eastAsia="zh-CN"/>
                    </w:rPr>
                  </w:pPr>
                  <w:r>
                    <w:rPr>
                      <w:rFonts w:hint="eastAsia"/>
                      <w:color w:val="auto"/>
                      <w:sz w:val="18"/>
                      <w:szCs w:val="18"/>
                      <w:lang w:val="en-US" w:eastAsia="zh-CN"/>
                    </w:rPr>
                    <w:t>小筒仓</w:t>
                  </w:r>
                </w:p>
              </w:tc>
              <w:tc>
                <w:tcPr>
                  <w:tcW w:w="1190" w:type="pct"/>
                  <w:shd w:val="clear" w:color="auto" w:fill="FFFFFF" w:themeFill="background1"/>
                  <w:vAlign w:val="center"/>
                </w:tcPr>
                <w:p w14:paraId="2F5326DA">
                  <w:pPr>
                    <w:spacing w:line="240" w:lineRule="auto"/>
                    <w:jc w:val="center"/>
                    <w:rPr>
                      <w:rFonts w:hint="eastAsia"/>
                      <w:color w:val="auto"/>
                      <w:sz w:val="18"/>
                      <w:szCs w:val="18"/>
                      <w:lang w:val="en-US" w:eastAsia="zh-CN"/>
                    </w:rPr>
                  </w:pPr>
                  <w:r>
                    <w:rPr>
                      <w:rFonts w:hint="eastAsia"/>
                      <w:color w:val="auto"/>
                      <w:sz w:val="18"/>
                      <w:szCs w:val="18"/>
                      <w:lang w:val="en-US" w:eastAsia="zh-CN"/>
                    </w:rPr>
                    <w:t>几何容积：40m</w:t>
                  </w:r>
                  <w:r>
                    <w:rPr>
                      <w:color w:val="auto"/>
                      <w:sz w:val="18"/>
                      <w:szCs w:val="18"/>
                      <w:lang w:val="en-US" w:eastAsia="zh-CN"/>
                    </w:rPr>
                    <w:t>³</w:t>
                  </w:r>
                </w:p>
              </w:tc>
              <w:tc>
                <w:tcPr>
                  <w:tcW w:w="290" w:type="pct"/>
                  <w:shd w:val="clear" w:color="auto" w:fill="FFFFFF" w:themeFill="background1"/>
                  <w:vAlign w:val="center"/>
                </w:tcPr>
                <w:p w14:paraId="0456F3F8">
                  <w:pPr>
                    <w:spacing w:line="240" w:lineRule="auto"/>
                    <w:jc w:val="center"/>
                    <w:rPr>
                      <w:rFonts w:hint="eastAsia"/>
                      <w:color w:val="auto"/>
                      <w:sz w:val="18"/>
                      <w:szCs w:val="18"/>
                      <w:lang w:val="en-US" w:eastAsia="zh-CN"/>
                    </w:rPr>
                  </w:pPr>
                  <w:r>
                    <w:rPr>
                      <w:rFonts w:hint="eastAsia"/>
                      <w:color w:val="auto"/>
                      <w:sz w:val="18"/>
                      <w:szCs w:val="18"/>
                      <w:lang w:val="en-US" w:eastAsia="zh-CN"/>
                    </w:rPr>
                    <w:t>套</w:t>
                  </w:r>
                </w:p>
              </w:tc>
              <w:tc>
                <w:tcPr>
                  <w:tcW w:w="264" w:type="pct"/>
                  <w:shd w:val="clear" w:color="auto" w:fill="FFFFFF" w:themeFill="background1"/>
                  <w:vAlign w:val="center"/>
                </w:tcPr>
                <w:p w14:paraId="3F594DF8">
                  <w:pPr>
                    <w:spacing w:line="240" w:lineRule="auto"/>
                    <w:jc w:val="center"/>
                    <w:rPr>
                      <w:rFonts w:hint="default"/>
                      <w:color w:val="auto"/>
                      <w:sz w:val="18"/>
                      <w:szCs w:val="18"/>
                      <w:lang w:val="en-US" w:eastAsia="zh-CN"/>
                    </w:rPr>
                  </w:pPr>
                  <w:r>
                    <w:rPr>
                      <w:rFonts w:hint="eastAsia"/>
                      <w:color w:val="auto"/>
                      <w:sz w:val="18"/>
                      <w:szCs w:val="18"/>
                      <w:lang w:val="en-US" w:eastAsia="zh-CN"/>
                    </w:rPr>
                    <w:t>6</w:t>
                  </w:r>
                </w:p>
              </w:tc>
              <w:tc>
                <w:tcPr>
                  <w:tcW w:w="857" w:type="pct"/>
                  <w:vMerge w:val="continue"/>
                  <w:shd w:val="clear" w:color="auto" w:fill="FFFFFF" w:themeFill="background1"/>
                  <w:vAlign w:val="center"/>
                </w:tcPr>
                <w:p w14:paraId="094CA638">
                  <w:pPr>
                    <w:spacing w:line="240" w:lineRule="auto"/>
                    <w:jc w:val="center"/>
                    <w:rPr>
                      <w:rFonts w:hint="eastAsia"/>
                      <w:color w:val="auto"/>
                      <w:sz w:val="18"/>
                      <w:szCs w:val="18"/>
                      <w:lang w:val="en-US" w:eastAsia="zh-CN"/>
                    </w:rPr>
                  </w:pPr>
                </w:p>
              </w:tc>
              <w:tc>
                <w:tcPr>
                  <w:tcW w:w="1226" w:type="pct"/>
                  <w:vMerge w:val="continue"/>
                  <w:shd w:val="clear" w:color="auto" w:fill="FFFFFF" w:themeFill="background1"/>
                  <w:vAlign w:val="center"/>
                </w:tcPr>
                <w:p w14:paraId="582F2CF9">
                  <w:pPr>
                    <w:spacing w:line="240" w:lineRule="auto"/>
                    <w:jc w:val="center"/>
                    <w:rPr>
                      <w:rFonts w:hint="eastAsia"/>
                      <w:color w:val="auto"/>
                      <w:sz w:val="18"/>
                      <w:szCs w:val="18"/>
                      <w:lang w:val="en-US" w:eastAsia="zh-CN"/>
                    </w:rPr>
                  </w:pPr>
                </w:p>
              </w:tc>
            </w:tr>
            <w:tr w14:paraId="6B76F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PrEx>
              <w:trPr>
                <w:trHeight w:val="277" w:hRule="atLeast"/>
              </w:trPr>
              <w:tc>
                <w:tcPr>
                  <w:tcW w:w="320" w:type="pct"/>
                  <w:shd w:val="clear" w:color="auto" w:fill="FFFFFF" w:themeFill="background1"/>
                  <w:vAlign w:val="center"/>
                </w:tcPr>
                <w:p w14:paraId="6499365E">
                  <w:pPr>
                    <w:spacing w:line="240" w:lineRule="auto"/>
                    <w:jc w:val="center"/>
                    <w:rPr>
                      <w:rFonts w:hint="default"/>
                      <w:color w:val="auto"/>
                      <w:sz w:val="18"/>
                      <w:szCs w:val="18"/>
                      <w:lang w:val="en-US"/>
                    </w:rPr>
                  </w:pPr>
                  <w:r>
                    <w:rPr>
                      <w:rFonts w:hint="eastAsia"/>
                      <w:color w:val="auto"/>
                      <w:sz w:val="18"/>
                      <w:szCs w:val="18"/>
                      <w:lang w:val="en-US" w:eastAsia="zh-CN"/>
                    </w:rPr>
                    <w:t>2.3</w:t>
                  </w:r>
                </w:p>
              </w:tc>
              <w:tc>
                <w:tcPr>
                  <w:tcW w:w="849" w:type="pct"/>
                  <w:shd w:val="clear" w:color="auto" w:fill="FFFFFF" w:themeFill="background1"/>
                  <w:vAlign w:val="center"/>
                </w:tcPr>
                <w:p w14:paraId="6164FBED">
                  <w:pPr>
                    <w:spacing w:line="240" w:lineRule="auto"/>
                    <w:jc w:val="center"/>
                    <w:rPr>
                      <w:rFonts w:hint="eastAsia"/>
                      <w:color w:val="auto"/>
                      <w:sz w:val="18"/>
                      <w:szCs w:val="18"/>
                    </w:rPr>
                  </w:pPr>
                  <w:r>
                    <w:rPr>
                      <w:rFonts w:hint="eastAsia"/>
                      <w:color w:val="auto"/>
                      <w:sz w:val="18"/>
                      <w:szCs w:val="18"/>
                      <w:lang w:val="en-US" w:eastAsia="zh-CN"/>
                    </w:rPr>
                    <w:t>布袋除尘器</w:t>
                  </w:r>
                </w:p>
              </w:tc>
              <w:tc>
                <w:tcPr>
                  <w:tcW w:w="1190" w:type="pct"/>
                  <w:shd w:val="clear" w:color="auto" w:fill="FFFFFF" w:themeFill="background1"/>
                  <w:vAlign w:val="center"/>
                </w:tcPr>
                <w:p w14:paraId="228CD2DF">
                  <w:pPr>
                    <w:spacing w:line="240" w:lineRule="auto"/>
                    <w:jc w:val="center"/>
                    <w:rPr>
                      <w:rFonts w:hint="eastAsia"/>
                      <w:color w:val="auto"/>
                      <w:sz w:val="18"/>
                      <w:szCs w:val="18"/>
                    </w:rPr>
                  </w:pPr>
                  <w:r>
                    <w:rPr>
                      <w:rFonts w:hint="eastAsia"/>
                      <w:color w:val="auto"/>
                      <w:sz w:val="18"/>
                      <w:szCs w:val="18"/>
                      <w:lang w:val="en-US" w:eastAsia="zh-CN"/>
                    </w:rPr>
                    <w:t>YMC-22，带风机，不带排气管，排放浓度20mg/m3</w:t>
                  </w:r>
                </w:p>
              </w:tc>
              <w:tc>
                <w:tcPr>
                  <w:tcW w:w="290" w:type="pct"/>
                  <w:shd w:val="clear" w:color="auto" w:fill="FFFFFF" w:themeFill="background1"/>
                  <w:vAlign w:val="center"/>
                </w:tcPr>
                <w:p w14:paraId="32E7B2D3">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3659F823">
                  <w:pPr>
                    <w:spacing w:line="240" w:lineRule="auto"/>
                    <w:jc w:val="center"/>
                    <w:rPr>
                      <w:rFonts w:hint="eastAsia"/>
                      <w:color w:val="auto"/>
                      <w:sz w:val="18"/>
                      <w:szCs w:val="18"/>
                    </w:rPr>
                  </w:pPr>
                  <w:r>
                    <w:rPr>
                      <w:rFonts w:hint="eastAsia"/>
                      <w:color w:val="auto"/>
                      <w:sz w:val="18"/>
                      <w:szCs w:val="18"/>
                      <w:lang w:val="en-US" w:eastAsia="zh-CN"/>
                    </w:rPr>
                    <w:t>4</w:t>
                  </w:r>
                </w:p>
              </w:tc>
              <w:tc>
                <w:tcPr>
                  <w:tcW w:w="857" w:type="pct"/>
                  <w:vMerge w:val="continue"/>
                  <w:shd w:val="clear" w:color="auto" w:fill="FFFFFF" w:themeFill="background1"/>
                  <w:vAlign w:val="center"/>
                </w:tcPr>
                <w:p w14:paraId="4F8B0433">
                  <w:pPr>
                    <w:spacing w:line="240" w:lineRule="auto"/>
                    <w:jc w:val="center"/>
                    <w:rPr>
                      <w:rFonts w:hint="eastAsia"/>
                      <w:color w:val="auto"/>
                      <w:sz w:val="18"/>
                      <w:szCs w:val="18"/>
                    </w:rPr>
                  </w:pPr>
                </w:p>
              </w:tc>
              <w:tc>
                <w:tcPr>
                  <w:tcW w:w="1226" w:type="pct"/>
                  <w:shd w:val="clear" w:color="auto" w:fill="FFFFFF" w:themeFill="background1"/>
                  <w:vAlign w:val="center"/>
                </w:tcPr>
                <w:p w14:paraId="1F9ADEFC">
                  <w:pPr>
                    <w:spacing w:line="240" w:lineRule="auto"/>
                    <w:jc w:val="center"/>
                    <w:rPr>
                      <w:rFonts w:hint="eastAsia"/>
                      <w:color w:val="auto"/>
                      <w:sz w:val="18"/>
                      <w:szCs w:val="18"/>
                    </w:rPr>
                  </w:pPr>
                  <w:r>
                    <w:rPr>
                      <w:rFonts w:hint="eastAsia"/>
                      <w:color w:val="auto"/>
                      <w:sz w:val="18"/>
                      <w:szCs w:val="18"/>
                      <w:lang w:val="en-US" w:eastAsia="zh-CN"/>
                    </w:rPr>
                    <w:t>九沃科技</w:t>
                  </w:r>
                </w:p>
              </w:tc>
            </w:tr>
            <w:tr w14:paraId="063AC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000" w:type="pct"/>
                  <w:gridSpan w:val="7"/>
                  <w:shd w:val="clear" w:color="auto" w:fill="FFFFFF" w:themeFill="background1"/>
                  <w:vAlign w:val="center"/>
                </w:tcPr>
                <w:p w14:paraId="122B39DC">
                  <w:pPr>
                    <w:spacing w:line="240" w:lineRule="auto"/>
                    <w:jc w:val="center"/>
                    <w:rPr>
                      <w:rFonts w:hint="eastAsia"/>
                      <w:color w:val="auto"/>
                      <w:sz w:val="18"/>
                      <w:szCs w:val="18"/>
                    </w:rPr>
                  </w:pPr>
                  <w:r>
                    <w:rPr>
                      <w:rFonts w:hint="eastAsia"/>
                      <w:b/>
                      <w:bCs/>
                      <w:color w:val="auto"/>
                      <w:sz w:val="18"/>
                      <w:szCs w:val="18"/>
                      <w:lang w:val="en-US" w:eastAsia="zh-CN"/>
                    </w:rPr>
                    <w:t>3主材输送、称量系统</w:t>
                  </w:r>
                </w:p>
              </w:tc>
            </w:tr>
            <w:tr w14:paraId="1717E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PrEx>
              <w:trPr>
                <w:trHeight w:val="440" w:hRule="atLeast"/>
              </w:trPr>
              <w:tc>
                <w:tcPr>
                  <w:tcW w:w="320" w:type="pct"/>
                  <w:shd w:val="clear" w:color="auto" w:fill="FFFFFF" w:themeFill="background1"/>
                  <w:vAlign w:val="center"/>
                </w:tcPr>
                <w:p w14:paraId="6E3FB124">
                  <w:pPr>
                    <w:spacing w:line="240" w:lineRule="auto"/>
                    <w:jc w:val="center"/>
                    <w:rPr>
                      <w:rFonts w:hint="default"/>
                      <w:color w:val="auto"/>
                      <w:sz w:val="18"/>
                      <w:szCs w:val="18"/>
                      <w:lang w:val="en-US"/>
                    </w:rPr>
                  </w:pPr>
                  <w:r>
                    <w:rPr>
                      <w:rFonts w:hint="eastAsia"/>
                      <w:color w:val="auto"/>
                      <w:sz w:val="18"/>
                      <w:szCs w:val="18"/>
                      <w:lang w:val="en-US" w:eastAsia="zh-CN"/>
                    </w:rPr>
                    <w:t>3.1</w:t>
                  </w:r>
                </w:p>
              </w:tc>
              <w:tc>
                <w:tcPr>
                  <w:tcW w:w="849" w:type="pct"/>
                  <w:shd w:val="clear" w:color="auto" w:fill="FFFFFF" w:themeFill="background1"/>
                  <w:vAlign w:val="center"/>
                </w:tcPr>
                <w:p w14:paraId="11E249B6">
                  <w:pPr>
                    <w:spacing w:line="240" w:lineRule="auto"/>
                    <w:jc w:val="center"/>
                    <w:rPr>
                      <w:rFonts w:hint="eastAsia"/>
                      <w:color w:val="auto"/>
                      <w:sz w:val="18"/>
                      <w:szCs w:val="18"/>
                    </w:rPr>
                  </w:pPr>
                  <w:r>
                    <w:rPr>
                      <w:color w:val="auto"/>
                      <w:sz w:val="18"/>
                      <w:szCs w:val="18"/>
                      <w:lang w:val="en-US" w:eastAsia="zh-CN"/>
                    </w:rPr>
                    <w:t>粉料螺旋输送机-变频</w:t>
                  </w:r>
                </w:p>
              </w:tc>
              <w:tc>
                <w:tcPr>
                  <w:tcW w:w="1190" w:type="pct"/>
                  <w:shd w:val="clear" w:color="auto" w:fill="FFFFFF" w:themeFill="background1"/>
                  <w:vAlign w:val="center"/>
                </w:tcPr>
                <w:p w14:paraId="4F945C1A">
                  <w:pPr>
                    <w:spacing w:line="240" w:lineRule="auto"/>
                    <w:jc w:val="center"/>
                    <w:rPr>
                      <w:rFonts w:hint="eastAsia"/>
                      <w:color w:val="auto"/>
                      <w:sz w:val="18"/>
                      <w:szCs w:val="18"/>
                    </w:rPr>
                  </w:pPr>
                  <w:r>
                    <w:rPr>
                      <w:rFonts w:hint="eastAsia"/>
                      <w:color w:val="auto"/>
                      <w:sz w:val="18"/>
                      <w:szCs w:val="18"/>
                      <w:lang w:val="en-US" w:eastAsia="zh-CN"/>
                    </w:rPr>
                    <w:t>273/219,6m/4m/8.2m/5.2m</w:t>
                  </w:r>
                </w:p>
              </w:tc>
              <w:tc>
                <w:tcPr>
                  <w:tcW w:w="290" w:type="pct"/>
                  <w:shd w:val="clear" w:color="auto" w:fill="FFFFFF" w:themeFill="background1"/>
                  <w:vAlign w:val="center"/>
                </w:tcPr>
                <w:p w14:paraId="008D48CB">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31B943BB">
                  <w:pPr>
                    <w:spacing w:line="240" w:lineRule="auto"/>
                    <w:jc w:val="center"/>
                    <w:rPr>
                      <w:rFonts w:hint="eastAsia"/>
                      <w:color w:val="auto"/>
                      <w:sz w:val="18"/>
                      <w:szCs w:val="18"/>
                    </w:rPr>
                  </w:pPr>
                  <w:r>
                    <w:rPr>
                      <w:rFonts w:hint="eastAsia"/>
                      <w:color w:val="auto"/>
                      <w:sz w:val="18"/>
                      <w:szCs w:val="18"/>
                      <w:lang w:val="en-US" w:eastAsia="zh-CN"/>
                    </w:rPr>
                    <w:t>4</w:t>
                  </w:r>
                </w:p>
              </w:tc>
              <w:tc>
                <w:tcPr>
                  <w:tcW w:w="857" w:type="pct"/>
                  <w:vMerge w:val="restart"/>
                  <w:shd w:val="clear" w:color="auto" w:fill="FFFFFF" w:themeFill="background1"/>
                  <w:vAlign w:val="center"/>
                </w:tcPr>
                <w:p w14:paraId="3B00B11B">
                  <w:pPr>
                    <w:spacing w:line="240" w:lineRule="auto"/>
                    <w:jc w:val="center"/>
                    <w:rPr>
                      <w:rFonts w:hint="eastAsia" w:eastAsia="宋体"/>
                      <w:color w:val="auto"/>
                      <w:sz w:val="18"/>
                      <w:szCs w:val="18"/>
                      <w:lang w:val="en-US" w:eastAsia="zh-CN"/>
                    </w:rPr>
                  </w:pPr>
                  <w:r>
                    <w:rPr>
                      <w:color w:val="auto"/>
                      <w:sz w:val="18"/>
                      <w:szCs w:val="18"/>
                      <w:lang w:val="en-US" w:eastAsia="zh-CN"/>
                    </w:rPr>
                    <w:t>①螺旋变频给料计量，传感器采用托利多品牌，精度高，稳定可靠；</w:t>
                  </w:r>
                </w:p>
              </w:tc>
              <w:tc>
                <w:tcPr>
                  <w:tcW w:w="1226" w:type="pct"/>
                  <w:shd w:val="clear" w:color="auto" w:fill="FFFFFF" w:themeFill="background1"/>
                  <w:vAlign w:val="center"/>
                </w:tcPr>
                <w:p w14:paraId="2260F14E">
                  <w:pPr>
                    <w:spacing w:line="240" w:lineRule="auto"/>
                    <w:jc w:val="center"/>
                    <w:rPr>
                      <w:rFonts w:hint="eastAsia"/>
                      <w:color w:val="auto"/>
                      <w:sz w:val="18"/>
                      <w:szCs w:val="18"/>
                    </w:rPr>
                  </w:pPr>
                  <w:r>
                    <w:rPr>
                      <w:rFonts w:hint="eastAsia"/>
                      <w:color w:val="auto"/>
                      <w:sz w:val="18"/>
                      <w:szCs w:val="18"/>
                      <w:lang w:val="en-US" w:eastAsia="zh-CN"/>
                    </w:rPr>
                    <w:t>仕高码</w:t>
                  </w:r>
                </w:p>
              </w:tc>
            </w:tr>
            <w:tr w14:paraId="48109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shd w:val="clear" w:color="auto" w:fill="FFFFFF" w:themeFill="background1"/>
                  <w:vAlign w:val="center"/>
                </w:tcPr>
                <w:p w14:paraId="53B9D9FB">
                  <w:pPr>
                    <w:spacing w:line="240" w:lineRule="auto"/>
                    <w:jc w:val="center"/>
                    <w:rPr>
                      <w:rFonts w:hint="default"/>
                      <w:color w:val="auto"/>
                      <w:sz w:val="18"/>
                      <w:szCs w:val="18"/>
                      <w:lang w:val="en-US"/>
                    </w:rPr>
                  </w:pPr>
                  <w:r>
                    <w:rPr>
                      <w:rFonts w:hint="eastAsia"/>
                      <w:color w:val="auto"/>
                      <w:sz w:val="18"/>
                      <w:szCs w:val="18"/>
                      <w:lang w:val="en-US" w:eastAsia="zh-CN"/>
                    </w:rPr>
                    <w:t>3.2</w:t>
                  </w:r>
                </w:p>
              </w:tc>
              <w:tc>
                <w:tcPr>
                  <w:tcW w:w="849" w:type="pct"/>
                  <w:shd w:val="clear" w:color="auto" w:fill="FFFFFF" w:themeFill="background1"/>
                  <w:vAlign w:val="center"/>
                </w:tcPr>
                <w:p w14:paraId="46AE5BB9">
                  <w:pPr>
                    <w:spacing w:line="240" w:lineRule="auto"/>
                    <w:jc w:val="center"/>
                    <w:rPr>
                      <w:rFonts w:hint="eastAsia"/>
                      <w:color w:val="auto"/>
                      <w:sz w:val="18"/>
                      <w:szCs w:val="18"/>
                    </w:rPr>
                  </w:pPr>
                  <w:r>
                    <w:rPr>
                      <w:color w:val="auto"/>
                      <w:sz w:val="18"/>
                      <w:szCs w:val="18"/>
                      <w:lang w:val="en-US" w:eastAsia="zh-CN"/>
                    </w:rPr>
                    <w:t>砂料螺旋输送机-变频</w:t>
                  </w:r>
                </w:p>
              </w:tc>
              <w:tc>
                <w:tcPr>
                  <w:tcW w:w="1190" w:type="pct"/>
                  <w:shd w:val="clear" w:color="auto" w:fill="FFFFFF" w:themeFill="background1"/>
                  <w:vAlign w:val="center"/>
                </w:tcPr>
                <w:p w14:paraId="0E48B226">
                  <w:pPr>
                    <w:spacing w:line="240" w:lineRule="auto"/>
                    <w:jc w:val="center"/>
                    <w:rPr>
                      <w:rFonts w:hint="eastAsia"/>
                      <w:color w:val="auto"/>
                      <w:sz w:val="18"/>
                      <w:szCs w:val="18"/>
                    </w:rPr>
                  </w:pPr>
                  <w:r>
                    <w:rPr>
                      <w:rFonts w:hint="eastAsia"/>
                      <w:color w:val="auto"/>
                      <w:sz w:val="18"/>
                      <w:szCs w:val="18"/>
                      <w:lang w:val="en-US" w:eastAsia="zh-CN"/>
                    </w:rPr>
                    <w:t>273,4.5m/3.5m/3.5m/5.5m/4.5m</w:t>
                  </w:r>
                </w:p>
              </w:tc>
              <w:tc>
                <w:tcPr>
                  <w:tcW w:w="290" w:type="pct"/>
                  <w:shd w:val="clear" w:color="auto" w:fill="FFFFFF" w:themeFill="background1"/>
                  <w:vAlign w:val="center"/>
                </w:tcPr>
                <w:p w14:paraId="77595C7D">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3D7EA479">
                  <w:pPr>
                    <w:spacing w:line="240" w:lineRule="auto"/>
                    <w:jc w:val="center"/>
                    <w:rPr>
                      <w:rFonts w:hint="eastAsia"/>
                      <w:color w:val="auto"/>
                      <w:sz w:val="18"/>
                      <w:szCs w:val="18"/>
                    </w:rPr>
                  </w:pPr>
                  <w:r>
                    <w:rPr>
                      <w:rFonts w:hint="eastAsia"/>
                      <w:color w:val="auto"/>
                      <w:sz w:val="18"/>
                      <w:szCs w:val="18"/>
                      <w:lang w:val="en-US" w:eastAsia="zh-CN"/>
                    </w:rPr>
                    <w:t>5</w:t>
                  </w:r>
                </w:p>
              </w:tc>
              <w:tc>
                <w:tcPr>
                  <w:tcW w:w="857" w:type="pct"/>
                  <w:vMerge w:val="continue"/>
                  <w:shd w:val="clear" w:color="auto" w:fill="FFFFFF" w:themeFill="background1"/>
                  <w:vAlign w:val="center"/>
                </w:tcPr>
                <w:p w14:paraId="52513C22">
                  <w:pPr>
                    <w:spacing w:line="240" w:lineRule="auto"/>
                    <w:jc w:val="center"/>
                    <w:rPr>
                      <w:rFonts w:hint="eastAsia"/>
                      <w:color w:val="auto"/>
                      <w:sz w:val="18"/>
                      <w:szCs w:val="18"/>
                    </w:rPr>
                  </w:pPr>
                </w:p>
              </w:tc>
              <w:tc>
                <w:tcPr>
                  <w:tcW w:w="1226" w:type="pct"/>
                  <w:shd w:val="clear" w:color="auto" w:fill="FFFFFF" w:themeFill="background1"/>
                  <w:vAlign w:val="center"/>
                </w:tcPr>
                <w:p w14:paraId="6B9B523A">
                  <w:pPr>
                    <w:spacing w:line="240" w:lineRule="auto"/>
                    <w:jc w:val="center"/>
                    <w:rPr>
                      <w:rFonts w:hint="eastAsia"/>
                      <w:color w:val="auto"/>
                      <w:sz w:val="18"/>
                      <w:szCs w:val="18"/>
                    </w:rPr>
                  </w:pPr>
                  <w:r>
                    <w:rPr>
                      <w:rFonts w:hint="eastAsia"/>
                      <w:color w:val="auto"/>
                      <w:sz w:val="18"/>
                      <w:szCs w:val="18"/>
                      <w:lang w:val="en-US" w:eastAsia="zh-CN"/>
                    </w:rPr>
                    <w:t>仕高码</w:t>
                  </w:r>
                </w:p>
              </w:tc>
            </w:tr>
            <w:tr w14:paraId="63195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320" w:type="pct"/>
                  <w:shd w:val="clear" w:color="auto" w:fill="FFFFFF" w:themeFill="background1"/>
                  <w:vAlign w:val="center"/>
                </w:tcPr>
                <w:p w14:paraId="1AF8324E">
                  <w:pPr>
                    <w:spacing w:line="240" w:lineRule="auto"/>
                    <w:jc w:val="center"/>
                    <w:rPr>
                      <w:rFonts w:hint="default"/>
                      <w:color w:val="auto"/>
                      <w:sz w:val="18"/>
                      <w:szCs w:val="18"/>
                      <w:lang w:val="en-US"/>
                    </w:rPr>
                  </w:pPr>
                  <w:r>
                    <w:rPr>
                      <w:rFonts w:hint="eastAsia"/>
                      <w:color w:val="auto"/>
                      <w:sz w:val="18"/>
                      <w:szCs w:val="18"/>
                      <w:lang w:val="en-US" w:eastAsia="zh-CN"/>
                    </w:rPr>
                    <w:t>3.3</w:t>
                  </w:r>
                </w:p>
              </w:tc>
              <w:tc>
                <w:tcPr>
                  <w:tcW w:w="849" w:type="pct"/>
                  <w:shd w:val="clear" w:color="auto" w:fill="FFFFFF" w:themeFill="background1"/>
                  <w:vAlign w:val="center"/>
                </w:tcPr>
                <w:p w14:paraId="140B0E9C">
                  <w:pPr>
                    <w:spacing w:line="240" w:lineRule="auto"/>
                    <w:jc w:val="center"/>
                    <w:rPr>
                      <w:rFonts w:hint="eastAsia"/>
                      <w:color w:val="auto"/>
                      <w:sz w:val="18"/>
                      <w:szCs w:val="18"/>
                    </w:rPr>
                  </w:pPr>
                  <w:r>
                    <w:rPr>
                      <w:rFonts w:hint="eastAsia"/>
                      <w:color w:val="auto"/>
                      <w:sz w:val="18"/>
                      <w:szCs w:val="18"/>
                      <w:lang w:val="en-US" w:eastAsia="zh-CN"/>
                    </w:rPr>
                    <w:t>称量斗</w:t>
                  </w:r>
                </w:p>
              </w:tc>
              <w:tc>
                <w:tcPr>
                  <w:tcW w:w="1190" w:type="pct"/>
                  <w:shd w:val="clear" w:color="auto" w:fill="FFFFFF" w:themeFill="background1"/>
                  <w:vAlign w:val="center"/>
                </w:tcPr>
                <w:p w14:paraId="74441537">
                  <w:pPr>
                    <w:spacing w:line="240" w:lineRule="auto"/>
                    <w:jc w:val="center"/>
                    <w:rPr>
                      <w:rFonts w:hint="eastAsia"/>
                      <w:color w:val="auto"/>
                      <w:sz w:val="18"/>
                      <w:szCs w:val="18"/>
                    </w:rPr>
                  </w:pPr>
                  <w:r>
                    <w:rPr>
                      <w:rFonts w:hint="eastAsia"/>
                      <w:color w:val="auto"/>
                      <w:sz w:val="18"/>
                      <w:szCs w:val="18"/>
                      <w:lang w:val="en-US" w:eastAsia="zh-CN"/>
                    </w:rPr>
                    <w:t>量程：（60-3000）Kg</w:t>
                  </w:r>
                </w:p>
              </w:tc>
              <w:tc>
                <w:tcPr>
                  <w:tcW w:w="290" w:type="pct"/>
                  <w:shd w:val="clear" w:color="auto" w:fill="FFFFFF" w:themeFill="background1"/>
                  <w:vAlign w:val="center"/>
                </w:tcPr>
                <w:p w14:paraId="2C50294F">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0D786E20">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continue"/>
                  <w:shd w:val="clear" w:color="auto" w:fill="FFFFFF" w:themeFill="background1"/>
                  <w:vAlign w:val="center"/>
                </w:tcPr>
                <w:p w14:paraId="2FEB5027">
                  <w:pPr>
                    <w:spacing w:line="240" w:lineRule="auto"/>
                    <w:jc w:val="center"/>
                    <w:rPr>
                      <w:rFonts w:hint="eastAsia"/>
                      <w:color w:val="auto"/>
                      <w:sz w:val="18"/>
                      <w:szCs w:val="18"/>
                    </w:rPr>
                  </w:pPr>
                </w:p>
              </w:tc>
              <w:tc>
                <w:tcPr>
                  <w:tcW w:w="1226" w:type="pct"/>
                  <w:shd w:val="clear" w:color="auto" w:fill="FFFFFF" w:themeFill="background1"/>
                  <w:vAlign w:val="center"/>
                </w:tcPr>
                <w:p w14:paraId="0798CA2F">
                  <w:pPr>
                    <w:spacing w:line="240" w:lineRule="auto"/>
                    <w:jc w:val="center"/>
                    <w:rPr>
                      <w:rFonts w:hint="eastAsia"/>
                      <w:color w:val="auto"/>
                      <w:sz w:val="18"/>
                      <w:szCs w:val="18"/>
                    </w:rPr>
                  </w:pPr>
                  <w:r>
                    <w:rPr>
                      <w:rFonts w:hint="eastAsia"/>
                      <w:color w:val="auto"/>
                      <w:sz w:val="18"/>
                      <w:szCs w:val="18"/>
                      <w:lang w:val="en-US" w:eastAsia="zh-CN"/>
                    </w:rPr>
                    <w:t>九沃科技</w:t>
                  </w:r>
                </w:p>
              </w:tc>
            </w:tr>
            <w:tr w14:paraId="14FF8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40" w:hRule="atLeast"/>
              </w:trPr>
              <w:tc>
                <w:tcPr>
                  <w:tcW w:w="5000" w:type="pct"/>
                  <w:gridSpan w:val="7"/>
                  <w:shd w:val="clear" w:color="auto" w:fill="FFFFFF" w:themeFill="background1"/>
                  <w:vAlign w:val="center"/>
                </w:tcPr>
                <w:p w14:paraId="6C1DA3EC">
                  <w:pPr>
                    <w:spacing w:line="240" w:lineRule="auto"/>
                    <w:jc w:val="center"/>
                    <w:rPr>
                      <w:rFonts w:hint="eastAsia"/>
                      <w:color w:val="auto"/>
                      <w:sz w:val="18"/>
                      <w:szCs w:val="18"/>
                    </w:rPr>
                  </w:pPr>
                  <w:r>
                    <w:rPr>
                      <w:rFonts w:hint="eastAsia"/>
                      <w:b/>
                      <w:bCs/>
                      <w:color w:val="auto"/>
                      <w:sz w:val="18"/>
                      <w:szCs w:val="18"/>
                      <w:lang w:val="en-US" w:eastAsia="zh-CN"/>
                    </w:rPr>
                    <w:t>4、混合机系统</w:t>
                  </w:r>
                </w:p>
              </w:tc>
            </w:tr>
            <w:tr w14:paraId="51583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PrEx>
              <w:trPr>
                <w:trHeight w:val="1984" w:hRule="atLeast"/>
              </w:trPr>
              <w:tc>
                <w:tcPr>
                  <w:tcW w:w="320" w:type="pct"/>
                  <w:shd w:val="clear" w:color="auto" w:fill="FFFFFF" w:themeFill="background1"/>
                  <w:vAlign w:val="center"/>
                </w:tcPr>
                <w:p w14:paraId="06D995E7">
                  <w:pPr>
                    <w:spacing w:line="240" w:lineRule="auto"/>
                    <w:jc w:val="center"/>
                    <w:rPr>
                      <w:rFonts w:hint="eastAsia"/>
                      <w:color w:val="auto"/>
                      <w:sz w:val="18"/>
                      <w:szCs w:val="18"/>
                    </w:rPr>
                  </w:pPr>
                  <w:r>
                    <w:rPr>
                      <w:rFonts w:hint="eastAsia"/>
                      <w:color w:val="auto"/>
                      <w:sz w:val="18"/>
                      <w:szCs w:val="18"/>
                      <w:lang w:val="en-US" w:eastAsia="zh-CN"/>
                    </w:rPr>
                    <w:t>4.1</w:t>
                  </w:r>
                </w:p>
              </w:tc>
              <w:tc>
                <w:tcPr>
                  <w:tcW w:w="849" w:type="pct"/>
                  <w:shd w:val="clear" w:color="auto" w:fill="FFFFFF" w:themeFill="background1"/>
                  <w:vAlign w:val="center"/>
                </w:tcPr>
                <w:p w14:paraId="5E737C1E">
                  <w:pPr>
                    <w:spacing w:line="240" w:lineRule="auto"/>
                    <w:jc w:val="center"/>
                    <w:rPr>
                      <w:rFonts w:hint="eastAsia"/>
                      <w:color w:val="auto"/>
                      <w:sz w:val="18"/>
                      <w:szCs w:val="18"/>
                    </w:rPr>
                  </w:pPr>
                  <w:r>
                    <w:rPr>
                      <w:rFonts w:hint="eastAsia"/>
                      <w:color w:val="auto"/>
                      <w:sz w:val="18"/>
                      <w:szCs w:val="18"/>
                      <w:lang w:val="en-US" w:eastAsia="zh-CN"/>
                    </w:rPr>
                    <w:t>混合机（德国技术）</w:t>
                  </w:r>
                </w:p>
              </w:tc>
              <w:tc>
                <w:tcPr>
                  <w:tcW w:w="1190" w:type="pct"/>
                  <w:shd w:val="clear" w:color="auto" w:fill="FFFFFF" w:themeFill="background1"/>
                  <w:vAlign w:val="center"/>
                </w:tcPr>
                <w:p w14:paraId="1D5E9E67">
                  <w:pPr>
                    <w:spacing w:line="240" w:lineRule="auto"/>
                    <w:jc w:val="center"/>
                    <w:rPr>
                      <w:rFonts w:hint="eastAsia"/>
                      <w:color w:val="auto"/>
                      <w:sz w:val="18"/>
                      <w:szCs w:val="18"/>
                    </w:rPr>
                  </w:pPr>
                  <w:r>
                    <w:rPr>
                      <w:color w:val="auto"/>
                      <w:sz w:val="18"/>
                      <w:szCs w:val="18"/>
                      <w:lang w:val="en-US" w:eastAsia="zh-CN"/>
                    </w:rPr>
                    <w:t>①2000型，几何容积2m³，有效容积1.5m³，37Kw，不配飞刀；②主轴转速120转/分，卸料门采用全开门结构。③腻子粉线主机变频，瓷砖胶线主机工频。</w:t>
                  </w:r>
                </w:p>
              </w:tc>
              <w:tc>
                <w:tcPr>
                  <w:tcW w:w="290" w:type="pct"/>
                  <w:shd w:val="clear" w:color="auto" w:fill="FFFFFF" w:themeFill="background1"/>
                  <w:vAlign w:val="center"/>
                </w:tcPr>
                <w:p w14:paraId="1F319EA3">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427BC8A6">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restart"/>
                  <w:shd w:val="clear" w:color="auto" w:fill="FFFFFF" w:themeFill="background1"/>
                  <w:vAlign w:val="center"/>
                </w:tcPr>
                <w:p w14:paraId="41CE1D5F">
                  <w:pPr>
                    <w:spacing w:line="240" w:lineRule="auto"/>
                    <w:jc w:val="center"/>
                    <w:rPr>
                      <w:rFonts w:hint="eastAsia"/>
                      <w:color w:val="auto"/>
                      <w:sz w:val="18"/>
                      <w:szCs w:val="18"/>
                    </w:rPr>
                  </w:pPr>
                  <w:r>
                    <w:rPr>
                      <w:rFonts w:hint="eastAsia"/>
                      <w:color w:val="auto"/>
                      <w:sz w:val="18"/>
                      <w:szCs w:val="18"/>
                      <w:lang w:val="en-US" w:eastAsia="zh-CN"/>
                    </w:rPr>
                    <w:t>主轴转速约120转/分，搅拌效率高；</w:t>
                  </w:r>
                </w:p>
              </w:tc>
              <w:tc>
                <w:tcPr>
                  <w:tcW w:w="1226" w:type="pct"/>
                  <w:shd w:val="clear" w:color="auto" w:fill="FFFFFF" w:themeFill="background1"/>
                  <w:vAlign w:val="center"/>
                </w:tcPr>
                <w:p w14:paraId="546B6D3A">
                  <w:pPr>
                    <w:spacing w:line="240" w:lineRule="auto"/>
                    <w:jc w:val="center"/>
                    <w:rPr>
                      <w:rFonts w:hint="eastAsia"/>
                      <w:color w:val="auto"/>
                      <w:sz w:val="18"/>
                      <w:szCs w:val="18"/>
                    </w:rPr>
                  </w:pPr>
                  <w:r>
                    <w:rPr>
                      <w:rFonts w:hint="eastAsia"/>
                      <w:color w:val="auto"/>
                      <w:sz w:val="18"/>
                      <w:szCs w:val="18"/>
                      <w:lang w:val="en-US" w:eastAsia="zh-CN"/>
                    </w:rPr>
                    <w:t>九沃科技</w:t>
                  </w:r>
                </w:p>
              </w:tc>
            </w:tr>
            <w:tr w14:paraId="0768B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320" w:type="pct"/>
                  <w:shd w:val="clear" w:color="auto" w:fill="FFFFFF" w:themeFill="background1"/>
                  <w:vAlign w:val="center"/>
                </w:tcPr>
                <w:p w14:paraId="2B46716C">
                  <w:pPr>
                    <w:spacing w:line="240" w:lineRule="auto"/>
                    <w:jc w:val="center"/>
                    <w:rPr>
                      <w:rFonts w:hint="eastAsia"/>
                      <w:color w:val="auto"/>
                      <w:sz w:val="18"/>
                      <w:szCs w:val="18"/>
                    </w:rPr>
                  </w:pPr>
                  <w:r>
                    <w:rPr>
                      <w:rFonts w:hint="eastAsia"/>
                      <w:color w:val="auto"/>
                      <w:sz w:val="18"/>
                      <w:szCs w:val="18"/>
                      <w:lang w:val="en-US" w:eastAsia="zh-CN"/>
                    </w:rPr>
                    <w:t>4.3.3</w:t>
                  </w:r>
                </w:p>
              </w:tc>
              <w:tc>
                <w:tcPr>
                  <w:tcW w:w="849" w:type="pct"/>
                  <w:shd w:val="clear" w:color="auto" w:fill="FFFFFF" w:themeFill="background1"/>
                  <w:vAlign w:val="center"/>
                </w:tcPr>
                <w:p w14:paraId="02CADEE9">
                  <w:pPr>
                    <w:spacing w:line="240" w:lineRule="auto"/>
                    <w:jc w:val="center"/>
                    <w:rPr>
                      <w:rFonts w:hint="eastAsia"/>
                      <w:color w:val="auto"/>
                      <w:sz w:val="18"/>
                      <w:szCs w:val="18"/>
                    </w:rPr>
                  </w:pPr>
                  <w:r>
                    <w:rPr>
                      <w:rFonts w:hint="eastAsia"/>
                      <w:color w:val="auto"/>
                      <w:sz w:val="18"/>
                      <w:szCs w:val="18"/>
                      <w:lang w:val="en-US" w:eastAsia="zh-CN"/>
                    </w:rPr>
                    <w:t>人工投料装置、管道、锁扣等</w:t>
                  </w:r>
                </w:p>
              </w:tc>
              <w:tc>
                <w:tcPr>
                  <w:tcW w:w="1190" w:type="pct"/>
                  <w:shd w:val="clear" w:color="auto" w:fill="FFFFFF" w:themeFill="background1"/>
                  <w:vAlign w:val="center"/>
                </w:tcPr>
                <w:p w14:paraId="6F33F3CC">
                  <w:pPr>
                    <w:spacing w:line="240" w:lineRule="auto"/>
                    <w:jc w:val="center"/>
                    <w:rPr>
                      <w:rFonts w:hint="eastAsia"/>
                      <w:color w:val="auto"/>
                      <w:sz w:val="18"/>
                      <w:szCs w:val="18"/>
                    </w:rPr>
                  </w:pPr>
                  <w:r>
                    <w:rPr>
                      <w:rFonts w:hint="eastAsia"/>
                      <w:color w:val="auto"/>
                      <w:sz w:val="18"/>
                      <w:szCs w:val="18"/>
                      <w:lang w:val="en-US" w:eastAsia="zh-CN"/>
                    </w:rPr>
                    <w:t>内部镜面不锈钢，外表面喷砂</w:t>
                  </w:r>
                </w:p>
              </w:tc>
              <w:tc>
                <w:tcPr>
                  <w:tcW w:w="290" w:type="pct"/>
                  <w:shd w:val="clear" w:color="auto" w:fill="FFFFFF" w:themeFill="background1"/>
                  <w:vAlign w:val="center"/>
                </w:tcPr>
                <w:p w14:paraId="738FF5DB">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4F5CE520">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continue"/>
                  <w:shd w:val="clear" w:color="auto" w:fill="FFFFFF" w:themeFill="background1"/>
                  <w:vAlign w:val="center"/>
                </w:tcPr>
                <w:p w14:paraId="313A7B0C">
                  <w:pPr>
                    <w:spacing w:line="240" w:lineRule="auto"/>
                    <w:jc w:val="center"/>
                    <w:rPr>
                      <w:rFonts w:hint="eastAsia"/>
                      <w:color w:val="auto"/>
                      <w:sz w:val="18"/>
                      <w:szCs w:val="18"/>
                    </w:rPr>
                  </w:pPr>
                </w:p>
              </w:tc>
              <w:tc>
                <w:tcPr>
                  <w:tcW w:w="1226" w:type="pct"/>
                  <w:shd w:val="clear" w:color="auto" w:fill="FFFFFF" w:themeFill="background1"/>
                  <w:vAlign w:val="center"/>
                </w:tcPr>
                <w:p w14:paraId="08BE21F7">
                  <w:pPr>
                    <w:spacing w:line="240" w:lineRule="auto"/>
                    <w:jc w:val="center"/>
                    <w:rPr>
                      <w:rFonts w:hint="eastAsia"/>
                      <w:color w:val="auto"/>
                      <w:sz w:val="18"/>
                      <w:szCs w:val="18"/>
                    </w:rPr>
                  </w:pPr>
                  <w:r>
                    <w:rPr>
                      <w:rFonts w:hint="eastAsia"/>
                      <w:color w:val="auto"/>
                      <w:sz w:val="18"/>
                      <w:szCs w:val="18"/>
                      <w:lang w:val="en-US" w:eastAsia="zh-CN"/>
                    </w:rPr>
                    <w:t>九沃科技</w:t>
                  </w:r>
                </w:p>
              </w:tc>
            </w:tr>
            <w:tr w14:paraId="5C620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40" w:hRule="atLeast"/>
              </w:trPr>
              <w:tc>
                <w:tcPr>
                  <w:tcW w:w="5000" w:type="pct"/>
                  <w:gridSpan w:val="7"/>
                  <w:shd w:val="clear" w:color="auto" w:fill="FFFFFF" w:themeFill="background1"/>
                  <w:vAlign w:val="center"/>
                </w:tcPr>
                <w:p w14:paraId="756B399E">
                  <w:pPr>
                    <w:spacing w:line="240" w:lineRule="auto"/>
                    <w:jc w:val="center"/>
                    <w:rPr>
                      <w:rFonts w:hint="eastAsia"/>
                      <w:color w:val="auto"/>
                      <w:sz w:val="18"/>
                      <w:szCs w:val="18"/>
                    </w:rPr>
                  </w:pPr>
                  <w:r>
                    <w:rPr>
                      <w:rFonts w:hint="eastAsia"/>
                      <w:b/>
                      <w:bCs/>
                      <w:color w:val="auto"/>
                      <w:sz w:val="18"/>
                      <w:szCs w:val="18"/>
                      <w:lang w:val="en-US" w:eastAsia="zh-CN"/>
                    </w:rPr>
                    <w:t>5、主楼钢结构系统</w:t>
                  </w:r>
                </w:p>
              </w:tc>
            </w:tr>
            <w:tr w14:paraId="503A5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40" w:hRule="atLeast"/>
              </w:trPr>
              <w:tc>
                <w:tcPr>
                  <w:tcW w:w="320" w:type="pct"/>
                  <w:shd w:val="clear" w:color="auto" w:fill="FFFFFF" w:themeFill="background1"/>
                  <w:vAlign w:val="center"/>
                </w:tcPr>
                <w:p w14:paraId="03BC77A5">
                  <w:pPr>
                    <w:spacing w:line="240" w:lineRule="auto"/>
                    <w:jc w:val="center"/>
                    <w:rPr>
                      <w:rFonts w:hint="eastAsia"/>
                      <w:color w:val="auto"/>
                      <w:sz w:val="18"/>
                      <w:szCs w:val="18"/>
                    </w:rPr>
                  </w:pPr>
                  <w:r>
                    <w:rPr>
                      <w:rFonts w:hint="eastAsia"/>
                      <w:color w:val="auto"/>
                      <w:sz w:val="18"/>
                      <w:szCs w:val="18"/>
                      <w:lang w:val="en-US" w:eastAsia="zh-CN"/>
                    </w:rPr>
                    <w:t>5.1</w:t>
                  </w:r>
                </w:p>
              </w:tc>
              <w:tc>
                <w:tcPr>
                  <w:tcW w:w="849" w:type="pct"/>
                  <w:shd w:val="clear" w:color="auto" w:fill="FFFFFF" w:themeFill="background1"/>
                  <w:vAlign w:val="center"/>
                </w:tcPr>
                <w:p w14:paraId="5F6391A1">
                  <w:pPr>
                    <w:spacing w:line="240" w:lineRule="auto"/>
                    <w:jc w:val="center"/>
                    <w:rPr>
                      <w:rFonts w:hint="eastAsia"/>
                      <w:color w:val="auto"/>
                      <w:sz w:val="18"/>
                      <w:szCs w:val="18"/>
                    </w:rPr>
                  </w:pPr>
                  <w:r>
                    <w:rPr>
                      <w:color w:val="auto"/>
                      <w:sz w:val="18"/>
                      <w:szCs w:val="18"/>
                      <w:lang w:val="en-US" w:eastAsia="zh-CN"/>
                    </w:rPr>
                    <w:t>主楼钢结构-主梁H型钢/立柱圆管</w:t>
                  </w:r>
                </w:p>
              </w:tc>
              <w:tc>
                <w:tcPr>
                  <w:tcW w:w="1190" w:type="pct"/>
                  <w:shd w:val="clear" w:color="auto" w:fill="FFFFFF" w:themeFill="background1"/>
                  <w:vAlign w:val="center"/>
                </w:tcPr>
                <w:p w14:paraId="12B9734A">
                  <w:pPr>
                    <w:spacing w:line="240" w:lineRule="auto"/>
                    <w:jc w:val="center"/>
                    <w:rPr>
                      <w:rFonts w:hint="eastAsia"/>
                      <w:color w:val="auto"/>
                      <w:sz w:val="18"/>
                      <w:szCs w:val="18"/>
                    </w:rPr>
                  </w:pPr>
                  <w:r>
                    <w:rPr>
                      <w:rFonts w:hint="eastAsia"/>
                      <w:color w:val="auto"/>
                      <w:sz w:val="18"/>
                      <w:szCs w:val="18"/>
                      <w:lang w:val="en-US" w:eastAsia="zh-CN"/>
                    </w:rPr>
                    <w:t>框架尺寸:17.4*6*7.5立柱：φ325×5/273×4;横梁:H300*200/H200*200;</w:t>
                  </w:r>
                  <w:r>
                    <w:rPr>
                      <w:rFonts w:hint="eastAsia"/>
                      <w:color w:val="auto"/>
                      <w:sz w:val="18"/>
                      <w:szCs w:val="18"/>
                      <w:lang w:val="en-US" w:eastAsia="zh-CN"/>
                    </w:rPr>
                    <w:br w:type="textWrapping"/>
                  </w:r>
                  <w:r>
                    <w:rPr>
                      <w:rFonts w:hint="eastAsia"/>
                      <w:color w:val="auto"/>
                      <w:sz w:val="18"/>
                      <w:szCs w:val="18"/>
                      <w:lang w:val="en-US" w:eastAsia="zh-CN"/>
                    </w:rPr>
                    <w:t>斜撑:H200*100/U160；</w:t>
                  </w:r>
                </w:p>
              </w:tc>
              <w:tc>
                <w:tcPr>
                  <w:tcW w:w="290" w:type="pct"/>
                  <w:shd w:val="clear" w:color="auto" w:fill="FFFFFF" w:themeFill="background1"/>
                  <w:vAlign w:val="center"/>
                </w:tcPr>
                <w:p w14:paraId="3AD186A1">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3FF99A18">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restart"/>
                  <w:shd w:val="clear" w:color="auto" w:fill="FFFFFF" w:themeFill="background1"/>
                  <w:vAlign w:val="center"/>
                </w:tcPr>
                <w:p w14:paraId="64A61BA5">
                  <w:pPr>
                    <w:spacing w:line="240" w:lineRule="auto"/>
                    <w:jc w:val="center"/>
                    <w:rPr>
                      <w:rFonts w:hint="eastAsia"/>
                      <w:color w:val="auto"/>
                      <w:sz w:val="18"/>
                      <w:szCs w:val="18"/>
                    </w:rPr>
                  </w:pPr>
                  <w:r>
                    <w:rPr>
                      <w:rFonts w:hint="eastAsia"/>
                      <w:color w:val="auto"/>
                      <w:sz w:val="18"/>
                      <w:szCs w:val="18"/>
                      <w:lang w:val="en-US" w:eastAsia="zh-CN"/>
                    </w:rPr>
                    <w:t>包含楼梯、主楼钢结构以及二三层中间连接平台</w:t>
                  </w:r>
                </w:p>
              </w:tc>
              <w:tc>
                <w:tcPr>
                  <w:tcW w:w="1226" w:type="pct"/>
                  <w:shd w:val="clear" w:color="auto" w:fill="FFFFFF" w:themeFill="background1"/>
                  <w:vAlign w:val="center"/>
                </w:tcPr>
                <w:p w14:paraId="184B7E9E">
                  <w:pPr>
                    <w:spacing w:line="240" w:lineRule="auto"/>
                    <w:jc w:val="center"/>
                    <w:rPr>
                      <w:rFonts w:hint="eastAsia"/>
                      <w:color w:val="auto"/>
                      <w:sz w:val="18"/>
                      <w:szCs w:val="18"/>
                    </w:rPr>
                  </w:pPr>
                  <w:r>
                    <w:rPr>
                      <w:rFonts w:hint="eastAsia"/>
                      <w:color w:val="auto"/>
                      <w:sz w:val="18"/>
                      <w:szCs w:val="18"/>
                      <w:lang w:val="en-US" w:eastAsia="zh-CN"/>
                    </w:rPr>
                    <w:t>九沃科技</w:t>
                  </w:r>
                </w:p>
              </w:tc>
            </w:tr>
            <w:tr w14:paraId="2FE8D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0" w:type="pct"/>
                  <w:shd w:val="clear" w:color="auto" w:fill="FFFFFF" w:themeFill="background1"/>
                  <w:vAlign w:val="center"/>
                </w:tcPr>
                <w:p w14:paraId="6F3533E0">
                  <w:pPr>
                    <w:spacing w:line="240" w:lineRule="auto"/>
                    <w:jc w:val="center"/>
                    <w:rPr>
                      <w:rFonts w:hint="eastAsia"/>
                      <w:color w:val="auto"/>
                      <w:sz w:val="18"/>
                      <w:szCs w:val="18"/>
                    </w:rPr>
                  </w:pPr>
                  <w:r>
                    <w:rPr>
                      <w:rFonts w:hint="eastAsia"/>
                      <w:color w:val="auto"/>
                      <w:sz w:val="18"/>
                      <w:szCs w:val="18"/>
                      <w:lang w:val="en-US" w:eastAsia="zh-CN"/>
                    </w:rPr>
                    <w:t>5.2</w:t>
                  </w:r>
                </w:p>
              </w:tc>
              <w:tc>
                <w:tcPr>
                  <w:tcW w:w="849" w:type="pct"/>
                  <w:shd w:val="clear" w:color="auto" w:fill="FFFFFF" w:themeFill="background1"/>
                  <w:vAlign w:val="center"/>
                </w:tcPr>
                <w:p w14:paraId="7C32C9D8">
                  <w:pPr>
                    <w:spacing w:line="240" w:lineRule="auto"/>
                    <w:jc w:val="center"/>
                    <w:rPr>
                      <w:rFonts w:hint="eastAsia"/>
                      <w:color w:val="auto"/>
                      <w:sz w:val="18"/>
                      <w:szCs w:val="18"/>
                    </w:rPr>
                  </w:pPr>
                  <w:r>
                    <w:rPr>
                      <w:rFonts w:hint="eastAsia"/>
                      <w:color w:val="auto"/>
                      <w:sz w:val="18"/>
                      <w:szCs w:val="18"/>
                      <w:lang w:val="en-US" w:eastAsia="zh-CN"/>
                    </w:rPr>
                    <w:t>平台、楼梯、护栏等配套件</w:t>
                  </w:r>
                </w:p>
              </w:tc>
              <w:tc>
                <w:tcPr>
                  <w:tcW w:w="1190" w:type="pct"/>
                  <w:shd w:val="clear" w:color="auto" w:fill="FFFFFF" w:themeFill="background1"/>
                  <w:vAlign w:val="center"/>
                </w:tcPr>
                <w:p w14:paraId="653603C5">
                  <w:pPr>
                    <w:spacing w:line="240" w:lineRule="auto"/>
                    <w:jc w:val="center"/>
                    <w:rPr>
                      <w:rFonts w:hint="eastAsia"/>
                      <w:color w:val="auto"/>
                      <w:sz w:val="18"/>
                      <w:szCs w:val="18"/>
                    </w:rPr>
                  </w:pPr>
                  <w:r>
                    <w:rPr>
                      <w:rFonts w:hint="eastAsia"/>
                      <w:color w:val="auto"/>
                      <w:sz w:val="18"/>
                      <w:szCs w:val="18"/>
                      <w:lang w:val="en-US" w:eastAsia="zh-CN"/>
                    </w:rPr>
                    <w:t>型材符合国标（.75）要求</w:t>
                  </w:r>
                </w:p>
              </w:tc>
              <w:tc>
                <w:tcPr>
                  <w:tcW w:w="290" w:type="pct"/>
                  <w:shd w:val="clear" w:color="auto" w:fill="FFFFFF" w:themeFill="background1"/>
                  <w:vAlign w:val="center"/>
                </w:tcPr>
                <w:p w14:paraId="673E41FF">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49D82E25">
                  <w:pPr>
                    <w:spacing w:line="240" w:lineRule="auto"/>
                    <w:jc w:val="center"/>
                    <w:rPr>
                      <w:rFonts w:hint="eastAsia"/>
                      <w:color w:val="auto"/>
                      <w:sz w:val="18"/>
                      <w:szCs w:val="18"/>
                    </w:rPr>
                  </w:pPr>
                  <w:r>
                    <w:rPr>
                      <w:rFonts w:hint="eastAsia"/>
                      <w:color w:val="auto"/>
                      <w:sz w:val="18"/>
                      <w:szCs w:val="18"/>
                      <w:lang w:val="en-US" w:eastAsia="zh-CN"/>
                    </w:rPr>
                    <w:t>1</w:t>
                  </w:r>
                </w:p>
              </w:tc>
              <w:tc>
                <w:tcPr>
                  <w:tcW w:w="857" w:type="pct"/>
                  <w:vMerge w:val="continue"/>
                  <w:shd w:val="clear" w:color="auto" w:fill="FFFFFF" w:themeFill="background1"/>
                  <w:vAlign w:val="center"/>
                </w:tcPr>
                <w:p w14:paraId="41318058">
                  <w:pPr>
                    <w:spacing w:line="240" w:lineRule="auto"/>
                    <w:jc w:val="center"/>
                    <w:rPr>
                      <w:rFonts w:hint="eastAsia"/>
                      <w:color w:val="auto"/>
                      <w:sz w:val="18"/>
                      <w:szCs w:val="18"/>
                    </w:rPr>
                  </w:pPr>
                </w:p>
              </w:tc>
              <w:tc>
                <w:tcPr>
                  <w:tcW w:w="1226" w:type="pct"/>
                  <w:shd w:val="clear" w:color="auto" w:fill="FFFFFF" w:themeFill="background1"/>
                  <w:vAlign w:val="center"/>
                </w:tcPr>
                <w:p w14:paraId="1338D80E">
                  <w:pPr>
                    <w:spacing w:line="240" w:lineRule="auto"/>
                    <w:jc w:val="center"/>
                    <w:rPr>
                      <w:rFonts w:hint="eastAsia"/>
                      <w:color w:val="auto"/>
                      <w:sz w:val="18"/>
                      <w:szCs w:val="18"/>
                    </w:rPr>
                  </w:pPr>
                  <w:r>
                    <w:rPr>
                      <w:rFonts w:hint="eastAsia"/>
                      <w:color w:val="auto"/>
                      <w:sz w:val="18"/>
                      <w:szCs w:val="18"/>
                      <w:lang w:val="en-US" w:eastAsia="zh-CN"/>
                    </w:rPr>
                    <w:t>九沃科技</w:t>
                  </w:r>
                </w:p>
              </w:tc>
            </w:tr>
            <w:tr w14:paraId="74BDE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5000" w:type="pct"/>
                  <w:gridSpan w:val="7"/>
                  <w:shd w:val="clear" w:color="auto" w:fill="FFFFFF" w:themeFill="background1"/>
                  <w:vAlign w:val="center"/>
                </w:tcPr>
                <w:p w14:paraId="3F0C24EF">
                  <w:pPr>
                    <w:spacing w:line="240" w:lineRule="auto"/>
                    <w:jc w:val="center"/>
                    <w:rPr>
                      <w:rFonts w:hint="eastAsia"/>
                      <w:color w:val="auto"/>
                      <w:sz w:val="18"/>
                      <w:szCs w:val="18"/>
                    </w:rPr>
                  </w:pPr>
                  <w:r>
                    <w:rPr>
                      <w:rFonts w:hint="eastAsia"/>
                      <w:b/>
                      <w:bCs/>
                      <w:color w:val="auto"/>
                      <w:sz w:val="18"/>
                      <w:szCs w:val="18"/>
                      <w:lang w:val="en-US" w:eastAsia="zh-CN"/>
                    </w:rPr>
                    <w:t>6、气路系统</w:t>
                  </w:r>
                </w:p>
              </w:tc>
            </w:tr>
            <w:tr w14:paraId="2E75B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320" w:type="pct"/>
                  <w:shd w:val="clear" w:color="auto" w:fill="FFFFFF" w:themeFill="background1"/>
                  <w:vAlign w:val="center"/>
                </w:tcPr>
                <w:p w14:paraId="15B06409">
                  <w:pPr>
                    <w:spacing w:line="240" w:lineRule="auto"/>
                    <w:jc w:val="center"/>
                    <w:rPr>
                      <w:rFonts w:hint="default"/>
                      <w:color w:val="auto"/>
                      <w:sz w:val="18"/>
                      <w:szCs w:val="18"/>
                      <w:lang w:val="en-US"/>
                    </w:rPr>
                  </w:pPr>
                  <w:r>
                    <w:rPr>
                      <w:rFonts w:hint="eastAsia"/>
                      <w:color w:val="auto"/>
                      <w:sz w:val="18"/>
                      <w:szCs w:val="18"/>
                      <w:lang w:val="en-US" w:eastAsia="zh-CN"/>
                    </w:rPr>
                    <w:t>6.1</w:t>
                  </w:r>
                </w:p>
              </w:tc>
              <w:tc>
                <w:tcPr>
                  <w:tcW w:w="849" w:type="pct"/>
                  <w:shd w:val="clear" w:color="auto" w:fill="FFFFFF" w:themeFill="background1"/>
                  <w:vAlign w:val="center"/>
                </w:tcPr>
                <w:p w14:paraId="389F2936">
                  <w:pPr>
                    <w:spacing w:line="240" w:lineRule="auto"/>
                    <w:jc w:val="center"/>
                    <w:rPr>
                      <w:rFonts w:hint="eastAsia"/>
                      <w:color w:val="auto"/>
                      <w:sz w:val="18"/>
                      <w:szCs w:val="18"/>
                    </w:rPr>
                  </w:pPr>
                  <w:r>
                    <w:rPr>
                      <w:rFonts w:hint="eastAsia"/>
                      <w:color w:val="auto"/>
                      <w:sz w:val="18"/>
                      <w:szCs w:val="18"/>
                      <w:lang w:val="en-US" w:eastAsia="zh-CN"/>
                    </w:rPr>
                    <w:t>螺杆式空压机</w:t>
                  </w:r>
                </w:p>
              </w:tc>
              <w:tc>
                <w:tcPr>
                  <w:tcW w:w="1190" w:type="pct"/>
                  <w:shd w:val="clear" w:color="auto" w:fill="FFFFFF" w:themeFill="background1"/>
                  <w:vAlign w:val="center"/>
                </w:tcPr>
                <w:p w14:paraId="4B1DF2E8">
                  <w:pPr>
                    <w:spacing w:line="240" w:lineRule="auto"/>
                    <w:jc w:val="center"/>
                    <w:rPr>
                      <w:rFonts w:hint="eastAsia"/>
                      <w:color w:val="auto"/>
                      <w:sz w:val="18"/>
                      <w:szCs w:val="18"/>
                    </w:rPr>
                  </w:pPr>
                  <w:r>
                    <w:rPr>
                      <w:color w:val="auto"/>
                      <w:sz w:val="18"/>
                      <w:szCs w:val="18"/>
                      <w:lang w:val="en-US" w:eastAsia="zh-CN"/>
                    </w:rPr>
                    <w:t>6m³供气量，0.6-0.8MPa，37KW</w:t>
                  </w:r>
                </w:p>
              </w:tc>
              <w:tc>
                <w:tcPr>
                  <w:tcW w:w="290" w:type="pct"/>
                  <w:shd w:val="clear" w:color="auto" w:fill="FFFFFF" w:themeFill="background1"/>
                  <w:vAlign w:val="center"/>
                </w:tcPr>
                <w:p w14:paraId="07F8CF5D">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21653583">
                  <w:pPr>
                    <w:spacing w:line="240" w:lineRule="auto"/>
                    <w:jc w:val="center"/>
                    <w:rPr>
                      <w:rFonts w:hint="eastAsia"/>
                      <w:color w:val="auto"/>
                      <w:sz w:val="18"/>
                      <w:szCs w:val="18"/>
                    </w:rPr>
                  </w:pPr>
                  <w:r>
                    <w:rPr>
                      <w:rFonts w:hint="eastAsia"/>
                      <w:color w:val="auto"/>
                      <w:sz w:val="18"/>
                      <w:szCs w:val="18"/>
                      <w:lang w:val="en-US" w:eastAsia="zh-CN"/>
                    </w:rPr>
                    <w:t>1</w:t>
                  </w:r>
                </w:p>
              </w:tc>
              <w:tc>
                <w:tcPr>
                  <w:tcW w:w="857" w:type="pct"/>
                  <w:shd w:val="clear" w:color="auto" w:fill="FFFFFF" w:themeFill="background1"/>
                  <w:vAlign w:val="center"/>
                </w:tcPr>
                <w:p w14:paraId="43D8C67A">
                  <w:pPr>
                    <w:spacing w:line="240" w:lineRule="auto"/>
                    <w:jc w:val="center"/>
                    <w:rPr>
                      <w:rFonts w:hint="eastAsia"/>
                      <w:color w:val="auto"/>
                      <w:sz w:val="18"/>
                      <w:szCs w:val="18"/>
                    </w:rPr>
                  </w:pPr>
                  <w:r>
                    <w:rPr>
                      <w:rFonts w:hint="eastAsia"/>
                      <w:color w:val="auto"/>
                      <w:sz w:val="18"/>
                      <w:szCs w:val="18"/>
                      <w:lang w:val="en-US" w:eastAsia="zh-CN"/>
                    </w:rPr>
                    <w:t>螺杆式空压机，配置冷干机与储气罐，保证设备供气</w:t>
                  </w:r>
                </w:p>
              </w:tc>
              <w:tc>
                <w:tcPr>
                  <w:tcW w:w="1226" w:type="pct"/>
                  <w:shd w:val="clear" w:color="auto" w:fill="FFFFFF" w:themeFill="background1"/>
                  <w:vAlign w:val="center"/>
                </w:tcPr>
                <w:p w14:paraId="6C333B7D">
                  <w:pPr>
                    <w:spacing w:line="240" w:lineRule="auto"/>
                    <w:jc w:val="center"/>
                    <w:rPr>
                      <w:rFonts w:hint="eastAsia"/>
                      <w:color w:val="auto"/>
                      <w:sz w:val="18"/>
                      <w:szCs w:val="18"/>
                    </w:rPr>
                  </w:pPr>
                  <w:r>
                    <w:rPr>
                      <w:rFonts w:hint="eastAsia"/>
                      <w:color w:val="auto"/>
                      <w:sz w:val="18"/>
                      <w:szCs w:val="18"/>
                      <w:lang w:val="en-US" w:eastAsia="zh-CN"/>
                    </w:rPr>
                    <w:t>浙江开山</w:t>
                  </w:r>
                </w:p>
              </w:tc>
            </w:tr>
            <w:tr w14:paraId="4C38F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5000" w:type="pct"/>
                  <w:gridSpan w:val="7"/>
                  <w:shd w:val="clear" w:color="auto" w:fill="FFFFFF" w:themeFill="background1"/>
                  <w:vAlign w:val="center"/>
                </w:tcPr>
                <w:p w14:paraId="43214CF4">
                  <w:pPr>
                    <w:spacing w:line="240" w:lineRule="auto"/>
                    <w:jc w:val="center"/>
                    <w:rPr>
                      <w:rFonts w:hint="eastAsia"/>
                      <w:color w:val="auto"/>
                      <w:sz w:val="18"/>
                      <w:szCs w:val="18"/>
                    </w:rPr>
                  </w:pPr>
                  <w:r>
                    <w:rPr>
                      <w:rFonts w:hint="eastAsia"/>
                      <w:b/>
                      <w:bCs/>
                      <w:color w:val="auto"/>
                      <w:sz w:val="18"/>
                      <w:szCs w:val="18"/>
                      <w:lang w:val="en-US" w:eastAsia="zh-CN"/>
                    </w:rPr>
                    <w:t>7、收尘系统</w:t>
                  </w:r>
                </w:p>
              </w:tc>
            </w:tr>
            <w:tr w14:paraId="029CF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320" w:type="pct"/>
                  <w:shd w:val="clear" w:color="auto" w:fill="FFFFFF" w:themeFill="background1"/>
                  <w:vAlign w:val="center"/>
                </w:tcPr>
                <w:p w14:paraId="4F42F17C">
                  <w:pPr>
                    <w:spacing w:line="240" w:lineRule="auto"/>
                    <w:jc w:val="center"/>
                    <w:rPr>
                      <w:rFonts w:hint="default"/>
                      <w:color w:val="auto"/>
                      <w:sz w:val="18"/>
                      <w:szCs w:val="18"/>
                      <w:lang w:val="en-US"/>
                    </w:rPr>
                  </w:pPr>
                  <w:r>
                    <w:rPr>
                      <w:rFonts w:hint="eastAsia"/>
                      <w:color w:val="auto"/>
                      <w:sz w:val="18"/>
                      <w:szCs w:val="18"/>
                      <w:lang w:val="en-US" w:eastAsia="zh-CN"/>
                    </w:rPr>
                    <w:t>7.1</w:t>
                  </w:r>
                </w:p>
              </w:tc>
              <w:tc>
                <w:tcPr>
                  <w:tcW w:w="849" w:type="pct"/>
                  <w:shd w:val="clear" w:color="auto" w:fill="FFFFFF" w:themeFill="background1"/>
                  <w:vAlign w:val="center"/>
                </w:tcPr>
                <w:p w14:paraId="770C3321">
                  <w:pPr>
                    <w:spacing w:line="240" w:lineRule="auto"/>
                    <w:jc w:val="center"/>
                    <w:rPr>
                      <w:rFonts w:hint="eastAsia"/>
                      <w:color w:val="auto"/>
                      <w:sz w:val="18"/>
                      <w:szCs w:val="18"/>
                    </w:rPr>
                  </w:pPr>
                  <w:r>
                    <w:rPr>
                      <w:rFonts w:hint="eastAsia"/>
                      <w:color w:val="auto"/>
                      <w:sz w:val="18"/>
                      <w:szCs w:val="18"/>
                      <w:lang w:val="en-US" w:eastAsia="zh-CN"/>
                    </w:rPr>
                    <w:t>集中除尘器</w:t>
                  </w:r>
                </w:p>
              </w:tc>
              <w:tc>
                <w:tcPr>
                  <w:tcW w:w="1190" w:type="pct"/>
                  <w:shd w:val="clear" w:color="auto" w:fill="FFFFFF" w:themeFill="background1"/>
                  <w:vAlign w:val="center"/>
                </w:tcPr>
                <w:p w14:paraId="25134D95">
                  <w:pPr>
                    <w:spacing w:line="240" w:lineRule="auto"/>
                    <w:jc w:val="center"/>
                    <w:rPr>
                      <w:rFonts w:hint="eastAsia"/>
                      <w:color w:val="auto"/>
                      <w:sz w:val="18"/>
                      <w:szCs w:val="18"/>
                    </w:rPr>
                  </w:pPr>
                  <w:r>
                    <w:rPr>
                      <w:color w:val="auto"/>
                      <w:sz w:val="18"/>
                      <w:szCs w:val="18"/>
                      <w:lang w:val="en-US" w:eastAsia="zh-CN"/>
                    </w:rPr>
                    <w:t>除尘器风量约9000-12000m³/h,风机11KW</w:t>
                  </w:r>
                </w:p>
              </w:tc>
              <w:tc>
                <w:tcPr>
                  <w:tcW w:w="290" w:type="pct"/>
                  <w:shd w:val="clear" w:color="auto" w:fill="FFFFFF" w:themeFill="background1"/>
                  <w:vAlign w:val="center"/>
                </w:tcPr>
                <w:p w14:paraId="3F9A9184">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67B98A30">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shd w:val="clear" w:color="auto" w:fill="FFFFFF" w:themeFill="background1"/>
                  <w:vAlign w:val="center"/>
                </w:tcPr>
                <w:p w14:paraId="550B13D0">
                  <w:pPr>
                    <w:spacing w:line="240" w:lineRule="auto"/>
                    <w:jc w:val="center"/>
                    <w:rPr>
                      <w:rFonts w:hint="eastAsia"/>
                      <w:color w:val="auto"/>
                      <w:sz w:val="18"/>
                      <w:szCs w:val="18"/>
                    </w:rPr>
                  </w:pPr>
                  <w:r>
                    <w:rPr>
                      <w:color w:val="auto"/>
                      <w:sz w:val="18"/>
                      <w:szCs w:val="18"/>
                      <w:lang w:val="en-US" w:eastAsia="zh-CN"/>
                    </w:rPr>
                    <w:t>集中除尘，带风机，除尘回收料不落地，可输送至混合机</w:t>
                  </w:r>
                </w:p>
              </w:tc>
              <w:tc>
                <w:tcPr>
                  <w:tcW w:w="1226" w:type="pct"/>
                  <w:shd w:val="clear" w:color="auto" w:fill="FFFFFF" w:themeFill="background1"/>
                  <w:vAlign w:val="center"/>
                </w:tcPr>
                <w:p w14:paraId="7D21650D">
                  <w:pPr>
                    <w:spacing w:line="240" w:lineRule="auto"/>
                    <w:jc w:val="center"/>
                    <w:rPr>
                      <w:rFonts w:hint="eastAsia"/>
                      <w:color w:val="auto"/>
                      <w:sz w:val="18"/>
                      <w:szCs w:val="18"/>
                    </w:rPr>
                  </w:pPr>
                  <w:r>
                    <w:rPr>
                      <w:rFonts w:hint="eastAsia"/>
                      <w:color w:val="auto"/>
                      <w:sz w:val="18"/>
                      <w:szCs w:val="18"/>
                      <w:lang w:val="en-US" w:eastAsia="zh-CN"/>
                    </w:rPr>
                    <w:t>九沃科技</w:t>
                  </w:r>
                </w:p>
              </w:tc>
            </w:tr>
            <w:tr w14:paraId="236EC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5000" w:type="pct"/>
                  <w:gridSpan w:val="7"/>
                  <w:shd w:val="clear" w:color="auto" w:fill="FFFFFF" w:themeFill="background1"/>
                  <w:vAlign w:val="center"/>
                </w:tcPr>
                <w:p w14:paraId="1A48501F">
                  <w:pPr>
                    <w:spacing w:line="240" w:lineRule="auto"/>
                    <w:jc w:val="center"/>
                    <w:rPr>
                      <w:rFonts w:hint="eastAsia"/>
                      <w:b/>
                      <w:bCs/>
                      <w:color w:val="auto"/>
                      <w:sz w:val="18"/>
                      <w:szCs w:val="18"/>
                    </w:rPr>
                  </w:pPr>
                  <w:r>
                    <w:rPr>
                      <w:rFonts w:hint="eastAsia"/>
                      <w:b/>
                      <w:bCs/>
                      <w:color w:val="auto"/>
                      <w:sz w:val="18"/>
                      <w:szCs w:val="18"/>
                      <w:lang w:val="en-US" w:eastAsia="zh-CN"/>
                    </w:rPr>
                    <w:t>8、包装系统（含安装）</w:t>
                  </w:r>
                </w:p>
              </w:tc>
            </w:tr>
            <w:tr w14:paraId="1AEC1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20" w:type="pct"/>
                  <w:shd w:val="clear" w:color="auto" w:fill="FFFFFF" w:themeFill="background1"/>
                  <w:vAlign w:val="center"/>
                </w:tcPr>
                <w:p w14:paraId="43F6CAF3">
                  <w:pPr>
                    <w:spacing w:line="240" w:lineRule="auto"/>
                    <w:jc w:val="center"/>
                    <w:rPr>
                      <w:rFonts w:hint="eastAsia"/>
                      <w:color w:val="auto"/>
                      <w:sz w:val="18"/>
                      <w:szCs w:val="18"/>
                    </w:rPr>
                  </w:pPr>
                  <w:r>
                    <w:rPr>
                      <w:rFonts w:hint="eastAsia"/>
                      <w:color w:val="auto"/>
                      <w:sz w:val="18"/>
                      <w:szCs w:val="18"/>
                      <w:lang w:val="en-US" w:eastAsia="zh-CN"/>
                    </w:rPr>
                    <w:t>8.1</w:t>
                  </w:r>
                </w:p>
              </w:tc>
              <w:tc>
                <w:tcPr>
                  <w:tcW w:w="849" w:type="pct"/>
                  <w:shd w:val="clear" w:color="auto" w:fill="FFFFFF" w:themeFill="background1"/>
                  <w:vAlign w:val="center"/>
                </w:tcPr>
                <w:p w14:paraId="44CC2B02">
                  <w:pPr>
                    <w:spacing w:line="240" w:lineRule="auto"/>
                    <w:jc w:val="center"/>
                    <w:rPr>
                      <w:rFonts w:hint="eastAsia"/>
                      <w:color w:val="auto"/>
                      <w:sz w:val="18"/>
                      <w:szCs w:val="18"/>
                    </w:rPr>
                  </w:pPr>
                  <w:r>
                    <w:rPr>
                      <w:rFonts w:hint="eastAsia"/>
                      <w:color w:val="auto"/>
                      <w:sz w:val="18"/>
                      <w:szCs w:val="18"/>
                      <w:lang w:val="en-US" w:eastAsia="zh-CN"/>
                    </w:rPr>
                    <w:t>包装机</w:t>
                  </w:r>
                </w:p>
              </w:tc>
              <w:tc>
                <w:tcPr>
                  <w:tcW w:w="1190" w:type="pct"/>
                  <w:shd w:val="clear" w:color="auto" w:fill="FFFFFF" w:themeFill="background1"/>
                  <w:vAlign w:val="center"/>
                </w:tcPr>
                <w:p w14:paraId="6025BD06">
                  <w:pPr>
                    <w:spacing w:line="240" w:lineRule="auto"/>
                    <w:jc w:val="center"/>
                    <w:rPr>
                      <w:rFonts w:hint="eastAsia"/>
                      <w:color w:val="auto"/>
                      <w:sz w:val="18"/>
                      <w:szCs w:val="18"/>
                    </w:rPr>
                  </w:pPr>
                  <w:r>
                    <w:rPr>
                      <w:rFonts w:hint="eastAsia"/>
                      <w:color w:val="auto"/>
                      <w:sz w:val="18"/>
                      <w:szCs w:val="18"/>
                      <w:lang w:val="en-US" w:eastAsia="zh-CN"/>
                    </w:rPr>
                    <w:t>6口（叶轮式）+6口（气吹式）</w:t>
                  </w:r>
                </w:p>
              </w:tc>
              <w:tc>
                <w:tcPr>
                  <w:tcW w:w="290" w:type="pct"/>
                  <w:shd w:val="clear" w:color="auto" w:fill="FFFFFF" w:themeFill="background1"/>
                  <w:vAlign w:val="center"/>
                </w:tcPr>
                <w:p w14:paraId="5A859AB0">
                  <w:pPr>
                    <w:spacing w:line="240" w:lineRule="auto"/>
                    <w:jc w:val="center"/>
                    <w:rPr>
                      <w:rFonts w:hint="eastAsia"/>
                      <w:color w:val="auto"/>
                      <w:sz w:val="18"/>
                      <w:szCs w:val="18"/>
                    </w:rPr>
                  </w:pPr>
                  <w:r>
                    <w:rPr>
                      <w:rFonts w:hint="eastAsia"/>
                      <w:color w:val="auto"/>
                      <w:sz w:val="18"/>
                      <w:szCs w:val="18"/>
                      <w:lang w:val="en-US" w:eastAsia="zh-CN"/>
                    </w:rPr>
                    <w:t>台</w:t>
                  </w:r>
                </w:p>
              </w:tc>
              <w:tc>
                <w:tcPr>
                  <w:tcW w:w="264" w:type="pct"/>
                  <w:shd w:val="clear" w:color="auto" w:fill="FFFFFF" w:themeFill="background1"/>
                  <w:vAlign w:val="center"/>
                </w:tcPr>
                <w:p w14:paraId="46D3E7FE">
                  <w:pPr>
                    <w:spacing w:line="240" w:lineRule="auto"/>
                    <w:jc w:val="center"/>
                    <w:rPr>
                      <w:rFonts w:hint="eastAsia"/>
                      <w:color w:val="auto"/>
                      <w:sz w:val="18"/>
                      <w:szCs w:val="18"/>
                    </w:rPr>
                  </w:pPr>
                  <w:r>
                    <w:rPr>
                      <w:rFonts w:hint="eastAsia"/>
                      <w:color w:val="auto"/>
                      <w:sz w:val="18"/>
                      <w:szCs w:val="18"/>
                      <w:lang w:val="en-US" w:eastAsia="zh-CN"/>
                    </w:rPr>
                    <w:t>6</w:t>
                  </w:r>
                </w:p>
              </w:tc>
              <w:tc>
                <w:tcPr>
                  <w:tcW w:w="857" w:type="pct"/>
                  <w:shd w:val="clear" w:color="auto" w:fill="FFFFFF" w:themeFill="background1"/>
                  <w:vAlign w:val="center"/>
                </w:tcPr>
                <w:p w14:paraId="03B618F8">
                  <w:pPr>
                    <w:spacing w:line="240" w:lineRule="auto"/>
                    <w:jc w:val="center"/>
                    <w:rPr>
                      <w:rFonts w:hint="eastAsia"/>
                      <w:color w:val="auto"/>
                      <w:sz w:val="18"/>
                      <w:szCs w:val="18"/>
                    </w:rPr>
                  </w:pPr>
                  <w:r>
                    <w:rPr>
                      <w:rFonts w:hint="eastAsia"/>
                      <w:color w:val="auto"/>
                      <w:sz w:val="18"/>
                      <w:szCs w:val="18"/>
                      <w:lang w:val="en-US" w:eastAsia="zh-CN"/>
                    </w:rPr>
                    <w:t>人工套袋，自动翻袋</w:t>
                  </w:r>
                </w:p>
              </w:tc>
              <w:tc>
                <w:tcPr>
                  <w:tcW w:w="1226" w:type="pct"/>
                  <w:shd w:val="clear" w:color="auto" w:fill="FFFFFF" w:themeFill="background1"/>
                  <w:vAlign w:val="center"/>
                </w:tcPr>
                <w:p w14:paraId="0DFF75BA">
                  <w:pPr>
                    <w:spacing w:line="240" w:lineRule="auto"/>
                    <w:jc w:val="center"/>
                    <w:rPr>
                      <w:rFonts w:hint="eastAsia"/>
                      <w:color w:val="auto"/>
                      <w:sz w:val="18"/>
                      <w:szCs w:val="18"/>
                    </w:rPr>
                  </w:pPr>
                  <w:r>
                    <w:rPr>
                      <w:rFonts w:hint="eastAsia"/>
                      <w:color w:val="auto"/>
                      <w:sz w:val="18"/>
                      <w:szCs w:val="18"/>
                      <w:lang w:val="en-US" w:eastAsia="zh-CN"/>
                    </w:rPr>
                    <w:t>客户自备</w:t>
                  </w:r>
                </w:p>
              </w:tc>
            </w:tr>
            <w:tr w14:paraId="6DE98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23" w:hRule="atLeast"/>
              </w:trPr>
              <w:tc>
                <w:tcPr>
                  <w:tcW w:w="320" w:type="pct"/>
                  <w:shd w:val="clear" w:color="auto" w:fill="FFFFFF" w:themeFill="background1"/>
                  <w:vAlign w:val="center"/>
                </w:tcPr>
                <w:p w14:paraId="009159CA">
                  <w:pPr>
                    <w:spacing w:line="240" w:lineRule="auto"/>
                    <w:jc w:val="center"/>
                    <w:rPr>
                      <w:rFonts w:hint="default"/>
                      <w:color w:val="auto"/>
                      <w:sz w:val="18"/>
                      <w:szCs w:val="18"/>
                      <w:lang w:val="en-US"/>
                    </w:rPr>
                  </w:pPr>
                  <w:r>
                    <w:rPr>
                      <w:rFonts w:hint="eastAsia"/>
                      <w:color w:val="auto"/>
                      <w:sz w:val="18"/>
                      <w:szCs w:val="18"/>
                      <w:lang w:val="en-US" w:eastAsia="zh-CN"/>
                    </w:rPr>
                    <w:t>8.2</w:t>
                  </w:r>
                </w:p>
              </w:tc>
              <w:tc>
                <w:tcPr>
                  <w:tcW w:w="849" w:type="pct"/>
                  <w:shd w:val="clear" w:color="auto" w:fill="FFFFFF" w:themeFill="background1"/>
                  <w:vAlign w:val="center"/>
                </w:tcPr>
                <w:p w14:paraId="0352EE7C">
                  <w:pPr>
                    <w:spacing w:line="240" w:lineRule="auto"/>
                    <w:jc w:val="center"/>
                    <w:rPr>
                      <w:rFonts w:hint="eastAsia"/>
                      <w:color w:val="auto"/>
                      <w:sz w:val="18"/>
                      <w:szCs w:val="18"/>
                    </w:rPr>
                  </w:pPr>
                  <w:r>
                    <w:rPr>
                      <w:rFonts w:hint="eastAsia"/>
                      <w:color w:val="auto"/>
                      <w:sz w:val="18"/>
                      <w:szCs w:val="18"/>
                      <w:lang w:val="en-US" w:eastAsia="zh-CN"/>
                    </w:rPr>
                    <w:t>接包输送机</w:t>
                  </w:r>
                </w:p>
              </w:tc>
              <w:tc>
                <w:tcPr>
                  <w:tcW w:w="1190" w:type="pct"/>
                  <w:shd w:val="clear" w:color="auto" w:fill="FFFFFF" w:themeFill="background1"/>
                  <w:vAlign w:val="center"/>
                </w:tcPr>
                <w:p w14:paraId="3C29EFA6">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290" w:type="pct"/>
                  <w:shd w:val="clear" w:color="auto" w:fill="FFFFFF" w:themeFill="background1"/>
                  <w:vAlign w:val="center"/>
                </w:tcPr>
                <w:p w14:paraId="2377D6A8">
                  <w:pPr>
                    <w:spacing w:line="240" w:lineRule="auto"/>
                    <w:jc w:val="center"/>
                    <w:rPr>
                      <w:rFonts w:hint="eastAsia"/>
                      <w:color w:val="auto"/>
                      <w:sz w:val="18"/>
                      <w:szCs w:val="18"/>
                    </w:rPr>
                  </w:pPr>
                  <w:r>
                    <w:rPr>
                      <w:rFonts w:hint="eastAsia"/>
                      <w:color w:val="auto"/>
                      <w:sz w:val="18"/>
                      <w:szCs w:val="18"/>
                      <w:lang w:val="en-US" w:eastAsia="zh-CN"/>
                    </w:rPr>
                    <w:t>台</w:t>
                  </w:r>
                </w:p>
              </w:tc>
              <w:tc>
                <w:tcPr>
                  <w:tcW w:w="264" w:type="pct"/>
                  <w:shd w:val="clear" w:color="auto" w:fill="FFFFFF" w:themeFill="background1"/>
                  <w:vAlign w:val="center"/>
                </w:tcPr>
                <w:p w14:paraId="678619E8">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restart"/>
                  <w:shd w:val="clear" w:color="auto" w:fill="FFFFFF" w:themeFill="background1"/>
                  <w:vAlign w:val="center"/>
                </w:tcPr>
                <w:p w14:paraId="4619A821">
                  <w:pPr>
                    <w:spacing w:line="240" w:lineRule="auto"/>
                    <w:jc w:val="center"/>
                    <w:rPr>
                      <w:rFonts w:hint="eastAsia"/>
                      <w:color w:val="auto"/>
                      <w:sz w:val="18"/>
                      <w:szCs w:val="18"/>
                    </w:rPr>
                  </w:pPr>
                  <w:r>
                    <w:rPr>
                      <w:rFonts w:hint="eastAsia"/>
                      <w:color w:val="auto"/>
                      <w:sz w:val="18"/>
                      <w:szCs w:val="18"/>
                      <w:lang w:val="en-US" w:eastAsia="zh-CN"/>
                    </w:rPr>
                    <w:t>智能化控制</w:t>
                  </w:r>
                </w:p>
              </w:tc>
              <w:tc>
                <w:tcPr>
                  <w:tcW w:w="1226" w:type="pct"/>
                  <w:shd w:val="clear" w:color="auto" w:fill="FFFFFF" w:themeFill="background1"/>
                  <w:vAlign w:val="center"/>
                </w:tcPr>
                <w:p w14:paraId="1E241341">
                  <w:pPr>
                    <w:spacing w:line="240" w:lineRule="auto"/>
                    <w:jc w:val="center"/>
                    <w:rPr>
                      <w:rFonts w:hint="eastAsia"/>
                      <w:color w:val="auto"/>
                      <w:sz w:val="18"/>
                      <w:szCs w:val="18"/>
                    </w:rPr>
                  </w:pPr>
                  <w:r>
                    <w:rPr>
                      <w:rFonts w:hint="eastAsia"/>
                      <w:color w:val="auto"/>
                      <w:sz w:val="18"/>
                      <w:szCs w:val="18"/>
                      <w:lang w:val="en-US" w:eastAsia="zh-CN"/>
                    </w:rPr>
                    <w:t>客户自备</w:t>
                  </w:r>
                </w:p>
              </w:tc>
            </w:tr>
            <w:tr w14:paraId="0D03C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20" w:type="pct"/>
                  <w:shd w:val="clear" w:color="auto" w:fill="FFFFFF" w:themeFill="background1"/>
                  <w:vAlign w:val="center"/>
                </w:tcPr>
                <w:p w14:paraId="1AEBD6D3">
                  <w:pPr>
                    <w:spacing w:line="240" w:lineRule="auto"/>
                    <w:jc w:val="center"/>
                    <w:rPr>
                      <w:rFonts w:hint="default"/>
                      <w:color w:val="auto"/>
                      <w:sz w:val="18"/>
                      <w:szCs w:val="18"/>
                      <w:lang w:val="en-US"/>
                    </w:rPr>
                  </w:pPr>
                  <w:r>
                    <w:rPr>
                      <w:rFonts w:hint="eastAsia"/>
                      <w:color w:val="auto"/>
                      <w:sz w:val="18"/>
                      <w:szCs w:val="18"/>
                      <w:lang w:val="en-US" w:eastAsia="zh-CN"/>
                    </w:rPr>
                    <w:t>8.3</w:t>
                  </w:r>
                </w:p>
              </w:tc>
              <w:tc>
                <w:tcPr>
                  <w:tcW w:w="849" w:type="pct"/>
                  <w:shd w:val="clear" w:color="auto" w:fill="FFFFFF" w:themeFill="background1"/>
                  <w:vAlign w:val="center"/>
                </w:tcPr>
                <w:p w14:paraId="12EBB79B">
                  <w:pPr>
                    <w:spacing w:line="240" w:lineRule="auto"/>
                    <w:jc w:val="center"/>
                    <w:rPr>
                      <w:rFonts w:hint="eastAsia"/>
                      <w:color w:val="auto"/>
                      <w:sz w:val="18"/>
                      <w:szCs w:val="18"/>
                    </w:rPr>
                  </w:pPr>
                  <w:r>
                    <w:rPr>
                      <w:rFonts w:hint="eastAsia"/>
                      <w:color w:val="auto"/>
                      <w:sz w:val="18"/>
                      <w:szCs w:val="18"/>
                      <w:lang w:val="en-US" w:eastAsia="zh-CN"/>
                    </w:rPr>
                    <w:t>转弯输送皮带</w:t>
                  </w:r>
                </w:p>
              </w:tc>
              <w:tc>
                <w:tcPr>
                  <w:tcW w:w="1190" w:type="pct"/>
                  <w:shd w:val="clear" w:color="auto" w:fill="FFFFFF" w:themeFill="background1"/>
                  <w:vAlign w:val="center"/>
                </w:tcPr>
                <w:p w14:paraId="7686FBF3">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290" w:type="pct"/>
                  <w:shd w:val="clear" w:color="auto" w:fill="FFFFFF" w:themeFill="background1"/>
                  <w:vAlign w:val="center"/>
                </w:tcPr>
                <w:p w14:paraId="2D0C15A6">
                  <w:pPr>
                    <w:spacing w:line="240" w:lineRule="auto"/>
                    <w:jc w:val="center"/>
                    <w:rPr>
                      <w:rFonts w:hint="eastAsia"/>
                      <w:color w:val="auto"/>
                      <w:sz w:val="18"/>
                      <w:szCs w:val="18"/>
                    </w:rPr>
                  </w:pPr>
                  <w:r>
                    <w:rPr>
                      <w:rFonts w:hint="eastAsia"/>
                      <w:color w:val="auto"/>
                      <w:sz w:val="18"/>
                      <w:szCs w:val="18"/>
                      <w:lang w:val="en-US" w:eastAsia="zh-CN"/>
                    </w:rPr>
                    <w:t>套</w:t>
                  </w:r>
                </w:p>
              </w:tc>
              <w:tc>
                <w:tcPr>
                  <w:tcW w:w="264" w:type="pct"/>
                  <w:shd w:val="clear" w:color="auto" w:fill="FFFFFF" w:themeFill="background1"/>
                  <w:vAlign w:val="center"/>
                </w:tcPr>
                <w:p w14:paraId="7979DEC2">
                  <w:pPr>
                    <w:spacing w:line="240" w:lineRule="auto"/>
                    <w:jc w:val="center"/>
                    <w:rPr>
                      <w:rFonts w:hint="eastAsia"/>
                      <w:color w:val="auto"/>
                      <w:sz w:val="18"/>
                      <w:szCs w:val="18"/>
                    </w:rPr>
                  </w:pPr>
                  <w:r>
                    <w:rPr>
                      <w:rFonts w:hint="eastAsia"/>
                      <w:color w:val="auto"/>
                      <w:sz w:val="18"/>
                      <w:szCs w:val="18"/>
                      <w:lang w:val="en-US" w:eastAsia="zh-CN"/>
                    </w:rPr>
                    <w:t>2</w:t>
                  </w:r>
                </w:p>
              </w:tc>
              <w:tc>
                <w:tcPr>
                  <w:tcW w:w="857" w:type="pct"/>
                  <w:vMerge w:val="continue"/>
                  <w:shd w:val="clear" w:color="auto" w:fill="FFFFFF" w:themeFill="background1"/>
                  <w:vAlign w:val="center"/>
                </w:tcPr>
                <w:p w14:paraId="0F7C342E">
                  <w:pPr>
                    <w:spacing w:line="240" w:lineRule="auto"/>
                    <w:jc w:val="center"/>
                    <w:rPr>
                      <w:rFonts w:hint="eastAsia"/>
                      <w:color w:val="auto"/>
                      <w:sz w:val="18"/>
                      <w:szCs w:val="18"/>
                    </w:rPr>
                  </w:pPr>
                </w:p>
              </w:tc>
              <w:tc>
                <w:tcPr>
                  <w:tcW w:w="1226" w:type="pct"/>
                  <w:shd w:val="clear" w:color="auto" w:fill="FFFFFF" w:themeFill="background1"/>
                  <w:vAlign w:val="center"/>
                </w:tcPr>
                <w:p w14:paraId="3855B8F5">
                  <w:pPr>
                    <w:spacing w:line="240" w:lineRule="auto"/>
                    <w:jc w:val="center"/>
                    <w:rPr>
                      <w:rFonts w:hint="eastAsia"/>
                      <w:color w:val="auto"/>
                      <w:sz w:val="18"/>
                      <w:szCs w:val="18"/>
                    </w:rPr>
                  </w:pPr>
                  <w:r>
                    <w:rPr>
                      <w:rFonts w:hint="eastAsia"/>
                      <w:color w:val="auto"/>
                      <w:sz w:val="18"/>
                      <w:szCs w:val="18"/>
                      <w:lang w:val="en-US" w:eastAsia="zh-CN"/>
                    </w:rPr>
                    <w:t>客户自备</w:t>
                  </w:r>
                </w:p>
              </w:tc>
            </w:tr>
          </w:tbl>
          <w:p w14:paraId="56A2BED6">
            <w:pPr>
              <w:pStyle w:val="24"/>
              <w:bidi w:val="0"/>
              <w:spacing w:line="360" w:lineRule="auto"/>
              <w:ind w:left="0" w:leftChars="0" w:firstLine="0" w:firstLineChars="0"/>
              <w:rPr>
                <w:rFonts w:hint="eastAsia" w:ascii="Times New Roman" w:hAnsi="Times New Roman" w:eastAsia="宋体" w:cs="黑体"/>
                <w:b/>
                <w:color w:val="auto"/>
                <w:sz w:val="28"/>
                <w:szCs w:val="30"/>
                <w:lang w:val="en-US" w:eastAsia="zh-CN" w:bidi="ar-SA"/>
              </w:rPr>
            </w:pPr>
            <w:r>
              <w:rPr>
                <w:rFonts w:hint="eastAsia" w:eastAsia="宋体" w:cs="黑体"/>
                <w:b/>
                <w:color w:val="auto"/>
                <w:sz w:val="28"/>
                <w:szCs w:val="30"/>
                <w:lang w:val="en-US" w:eastAsia="zh-CN" w:bidi="ar-SA"/>
              </w:rPr>
              <w:t>4、产品</w:t>
            </w:r>
            <w:r>
              <w:rPr>
                <w:rFonts w:hint="eastAsia" w:ascii="Times New Roman" w:hAnsi="Times New Roman" w:eastAsia="宋体" w:cs="黑体"/>
                <w:b/>
                <w:color w:val="auto"/>
                <w:sz w:val="28"/>
                <w:szCs w:val="30"/>
                <w:lang w:val="en-US" w:eastAsia="zh-CN" w:bidi="ar-SA"/>
              </w:rPr>
              <w:t xml:space="preserve">方案 </w:t>
            </w:r>
          </w:p>
          <w:p w14:paraId="5A1FBAFC">
            <w:pPr>
              <w:widowControl w:val="0"/>
              <w:spacing w:line="360" w:lineRule="exact"/>
              <w:ind w:firstLine="480" w:firstLineChars="200"/>
              <w:jc w:val="both"/>
              <w:rPr>
                <w:rFonts w:hint="eastAsia" w:ascii="Times New Roman" w:hAnsi="Times New Roman" w:eastAsia="宋体" w:cs="宋体"/>
                <w:snapToGrid w:val="0"/>
                <w:color w:val="auto"/>
                <w:sz w:val="24"/>
                <w:szCs w:val="21"/>
                <w:lang w:val="en-US" w:eastAsia="zh-CN" w:bidi="ar-SA"/>
              </w:rPr>
            </w:pPr>
            <w:r>
              <w:rPr>
                <w:rFonts w:hint="eastAsia" w:ascii="Times New Roman" w:hAnsi="Times New Roman" w:eastAsia="宋体" w:cs="宋体"/>
                <w:snapToGrid w:val="0"/>
                <w:color w:val="auto"/>
                <w:sz w:val="24"/>
                <w:szCs w:val="21"/>
                <w:lang w:val="en-US" w:eastAsia="zh-CN" w:bidi="ar-SA"/>
              </w:rPr>
              <w:t>本项目产品方案见表2.</w:t>
            </w:r>
            <w:r>
              <w:rPr>
                <w:rFonts w:hint="eastAsia" w:eastAsia="宋体" w:cs="宋体"/>
                <w:snapToGrid w:val="0"/>
                <w:color w:val="auto"/>
                <w:sz w:val="24"/>
                <w:szCs w:val="21"/>
                <w:lang w:val="en-US" w:eastAsia="zh-CN" w:bidi="ar-SA"/>
              </w:rPr>
              <w:t>4-1</w:t>
            </w:r>
            <w:r>
              <w:rPr>
                <w:rFonts w:hint="eastAsia" w:ascii="Times New Roman" w:hAnsi="Times New Roman" w:eastAsia="宋体" w:cs="宋体"/>
                <w:snapToGrid w:val="0"/>
                <w:color w:val="auto"/>
                <w:sz w:val="24"/>
                <w:szCs w:val="21"/>
                <w:lang w:val="en-US" w:eastAsia="zh-CN" w:bidi="ar-SA"/>
              </w:rPr>
              <w:t>。</w:t>
            </w:r>
          </w:p>
          <w:p w14:paraId="1DF60772">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宋体"/>
                <w:color w:val="auto"/>
                <w:lang w:val="en-US" w:eastAsia="zh-CN"/>
              </w:rPr>
            </w:pPr>
            <w:r>
              <w:rPr>
                <w:rFonts w:ascii="Times New Roman" w:hAnsi="Times New Roman" w:eastAsia="宋体" w:cs="宋体"/>
                <w:b/>
                <w:color w:val="auto"/>
                <w:sz w:val="24"/>
                <w:szCs w:val="24"/>
                <w:lang w:val="en-US" w:eastAsia="zh-CN" w:bidi="ar-SA"/>
              </w:rPr>
              <w:t>表</w:t>
            </w:r>
            <w:r>
              <w:rPr>
                <w:rFonts w:hint="eastAsia" w:ascii="Times New Roman" w:hAnsi="Times New Roman" w:eastAsia="宋体" w:cs="宋体"/>
                <w:b/>
                <w:color w:val="auto"/>
                <w:sz w:val="24"/>
                <w:szCs w:val="24"/>
                <w:lang w:val="en-US" w:eastAsia="zh-CN" w:bidi="ar-SA"/>
              </w:rPr>
              <w:t>2.</w:t>
            </w:r>
            <w:r>
              <w:rPr>
                <w:rFonts w:hint="eastAsia" w:eastAsia="宋体" w:cs="宋体"/>
                <w:b/>
                <w:color w:val="auto"/>
                <w:sz w:val="24"/>
                <w:szCs w:val="24"/>
                <w:lang w:val="en-US" w:eastAsia="zh-CN" w:bidi="ar-SA"/>
              </w:rPr>
              <w:t>4-1</w:t>
            </w:r>
            <w:r>
              <w:rPr>
                <w:rFonts w:ascii="Times New Roman" w:hAnsi="Times New Roman" w:eastAsia="宋体" w:cs="宋体"/>
                <w:b/>
                <w:color w:val="auto"/>
                <w:sz w:val="24"/>
                <w:szCs w:val="24"/>
                <w:lang w:val="en-US" w:eastAsia="zh-CN" w:bidi="ar-SA"/>
              </w:rPr>
              <w:t>本项目</w:t>
            </w:r>
            <w:r>
              <w:rPr>
                <w:rFonts w:hint="eastAsia" w:ascii="Times New Roman" w:hAnsi="Times New Roman" w:eastAsia="宋体" w:cs="宋体"/>
                <w:b/>
                <w:color w:val="auto"/>
                <w:sz w:val="24"/>
                <w:szCs w:val="24"/>
                <w:lang w:val="en-US" w:eastAsia="zh-CN" w:bidi="ar-SA"/>
              </w:rPr>
              <w:t>产品方案</w:t>
            </w:r>
            <w:r>
              <w:rPr>
                <w:rFonts w:ascii="Times New Roman" w:hAnsi="Times New Roman" w:eastAsia="宋体" w:cs="宋体"/>
                <w:b/>
                <w:color w:val="auto"/>
                <w:sz w:val="24"/>
                <w:szCs w:val="24"/>
                <w:lang w:val="en-US" w:eastAsia="zh-CN" w:bidi="ar-SA"/>
              </w:rPr>
              <w:t>一览表</w:t>
            </w:r>
          </w:p>
          <w:tbl>
            <w:tblPr>
              <w:tblStyle w:val="1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749"/>
              <w:gridCol w:w="2280"/>
              <w:gridCol w:w="3475"/>
            </w:tblGrid>
            <w:tr w14:paraId="22554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16" w:type="pct"/>
                  <w:tcBorders>
                    <w:tl2br w:val="nil"/>
                    <w:tr2bl w:val="nil"/>
                  </w:tcBorders>
                  <w:noWrap w:val="0"/>
                  <w:vAlign w:val="center"/>
                </w:tcPr>
                <w:p w14:paraId="64133B85">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产品名称</w:t>
                  </w:r>
                </w:p>
              </w:tc>
              <w:tc>
                <w:tcPr>
                  <w:tcW w:w="1340" w:type="pct"/>
                  <w:tcBorders>
                    <w:tl2br w:val="nil"/>
                    <w:tr2bl w:val="nil"/>
                  </w:tcBorders>
                  <w:noWrap w:val="0"/>
                  <w:vAlign w:val="center"/>
                </w:tcPr>
                <w:p w14:paraId="4BE3103D">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产量</w:t>
                  </w:r>
                </w:p>
              </w:tc>
              <w:tc>
                <w:tcPr>
                  <w:tcW w:w="2042" w:type="pct"/>
                  <w:tcBorders>
                    <w:tl2br w:val="nil"/>
                    <w:tr2bl w:val="nil"/>
                  </w:tcBorders>
                  <w:noWrap w:val="0"/>
                  <w:vAlign w:val="center"/>
                </w:tcPr>
                <w:p w14:paraId="47DDE81F">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eastAsia="宋体" w:cs="宋体"/>
                      <w:color w:val="auto"/>
                      <w:sz w:val="21"/>
                      <w:szCs w:val="22"/>
                      <w:lang w:val="en-US" w:eastAsia="zh-CN" w:bidi="ar-SA"/>
                    </w:rPr>
                    <w:t>备注</w:t>
                  </w:r>
                </w:p>
              </w:tc>
            </w:tr>
            <w:tr w14:paraId="11255E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16" w:type="pct"/>
                  <w:tcBorders>
                    <w:tl2br w:val="nil"/>
                    <w:tr2bl w:val="nil"/>
                  </w:tcBorders>
                  <w:noWrap w:val="0"/>
                  <w:vAlign w:val="center"/>
                </w:tcPr>
                <w:p w14:paraId="5BBE7EB0">
                  <w:pPr>
                    <w:numPr>
                      <w:ilvl w:val="0"/>
                      <w:numId w:val="0"/>
                    </w:numPr>
                    <w:spacing w:beforeLines="0" w:afterLines="0"/>
                    <w:ind w:left="0" w:leftChars="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腻子粉</w:t>
                  </w:r>
                </w:p>
              </w:tc>
              <w:tc>
                <w:tcPr>
                  <w:tcW w:w="1340" w:type="pct"/>
                  <w:tcBorders>
                    <w:tl2br w:val="nil"/>
                    <w:tr2bl w:val="nil"/>
                  </w:tcBorders>
                  <w:noWrap w:val="0"/>
                  <w:vAlign w:val="center"/>
                </w:tcPr>
                <w:p w14:paraId="60D6360E">
                  <w:pPr>
                    <w:numPr>
                      <w:ilvl w:val="0"/>
                      <w:numId w:val="0"/>
                    </w:numPr>
                    <w:spacing w:beforeLines="0" w:afterLines="0"/>
                    <w:ind w:left="0" w:leftChars="0" w:firstLine="0" w:firstLineChars="0"/>
                    <w:jc w:val="center"/>
                    <w:rPr>
                      <w:rFonts w:hint="eastAsia" w:ascii="Times New Roman" w:hAnsi="Times New Roman" w:eastAsia="宋体" w:cs="宋体"/>
                      <w:color w:val="auto"/>
                      <w:sz w:val="21"/>
                      <w:szCs w:val="22"/>
                      <w:vertAlign w:val="baseline"/>
                      <w:lang w:val="en-US" w:eastAsia="zh-CN" w:bidi="ar-SA"/>
                    </w:rPr>
                  </w:pPr>
                  <w:r>
                    <w:rPr>
                      <w:rFonts w:hint="eastAsia" w:cs="宋体"/>
                      <w:color w:val="auto"/>
                      <w:sz w:val="21"/>
                      <w:szCs w:val="24"/>
                      <w:lang w:val="en-US" w:eastAsia="zh-CN"/>
                    </w:rPr>
                    <w:t>50000</w:t>
                  </w:r>
                  <w:r>
                    <w:rPr>
                      <w:rFonts w:hint="eastAsia" w:ascii="Times New Roman" w:eastAsia="宋体" w:cs="宋体"/>
                      <w:color w:val="auto"/>
                      <w:sz w:val="21"/>
                      <w:szCs w:val="24"/>
                      <w:lang w:val="en-US" w:eastAsia="zh-CN"/>
                    </w:rPr>
                    <w:t>t/a</w:t>
                  </w:r>
                </w:p>
              </w:tc>
              <w:tc>
                <w:tcPr>
                  <w:tcW w:w="2042" w:type="pct"/>
                  <w:tcBorders>
                    <w:tl2br w:val="nil"/>
                    <w:tr2bl w:val="nil"/>
                  </w:tcBorders>
                  <w:noWrap w:val="0"/>
                  <w:vAlign w:val="center"/>
                </w:tcPr>
                <w:p w14:paraId="29215FAE">
                  <w:pPr>
                    <w:numPr>
                      <w:ilvl w:val="0"/>
                      <w:numId w:val="0"/>
                    </w:numPr>
                    <w:spacing w:beforeLines="0" w:afterLines="0"/>
                    <w:ind w:left="0" w:leftChars="0" w:firstLine="0" w:firstLineChars="0"/>
                    <w:jc w:val="center"/>
                    <w:rPr>
                      <w:rFonts w:hint="default" w:eastAsia="宋体" w:cs="宋体"/>
                      <w:color w:val="auto"/>
                      <w:sz w:val="21"/>
                      <w:szCs w:val="24"/>
                      <w:lang w:val="en-US" w:eastAsia="zh-CN"/>
                    </w:rPr>
                  </w:pPr>
                  <w:r>
                    <w:rPr>
                      <w:rFonts w:hint="eastAsia" w:cs="宋体"/>
                      <w:color w:val="auto"/>
                      <w:sz w:val="21"/>
                      <w:szCs w:val="24"/>
                      <w:lang w:val="en-US" w:eastAsia="zh-CN"/>
                    </w:rPr>
                    <w:t>袋装产品</w:t>
                  </w:r>
                </w:p>
              </w:tc>
            </w:tr>
            <w:tr w14:paraId="0BC32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16" w:type="pct"/>
                  <w:tcBorders>
                    <w:tl2br w:val="nil"/>
                    <w:tr2bl w:val="nil"/>
                  </w:tcBorders>
                  <w:noWrap w:val="0"/>
                  <w:vAlign w:val="center"/>
                </w:tcPr>
                <w:p w14:paraId="22CBA5BB">
                  <w:pPr>
                    <w:numPr>
                      <w:ilvl w:val="0"/>
                      <w:numId w:val="0"/>
                    </w:numPr>
                    <w:spacing w:beforeLines="0" w:afterLines="0"/>
                    <w:ind w:left="0" w:leftChars="0" w:firstLine="0" w:firstLineChars="0"/>
                    <w:jc w:val="center"/>
                    <w:rPr>
                      <w:rFonts w:hint="default" w:eastAsia="宋体" w:cs="宋体"/>
                      <w:color w:val="auto"/>
                      <w:sz w:val="21"/>
                      <w:szCs w:val="22"/>
                      <w:lang w:val="en-US" w:eastAsia="zh-CN" w:bidi="ar-SA"/>
                    </w:rPr>
                  </w:pPr>
                  <w:r>
                    <w:rPr>
                      <w:rFonts w:hint="eastAsia" w:cs="宋体"/>
                      <w:color w:val="auto"/>
                      <w:sz w:val="21"/>
                      <w:szCs w:val="22"/>
                      <w:lang w:val="en-US" w:eastAsia="zh-CN" w:bidi="ar-SA"/>
                    </w:rPr>
                    <w:t>瓷砖胶</w:t>
                  </w:r>
                </w:p>
              </w:tc>
              <w:tc>
                <w:tcPr>
                  <w:tcW w:w="1340" w:type="pct"/>
                  <w:tcBorders>
                    <w:tl2br w:val="nil"/>
                    <w:tr2bl w:val="nil"/>
                  </w:tcBorders>
                  <w:noWrap w:val="0"/>
                  <w:vAlign w:val="center"/>
                </w:tcPr>
                <w:p w14:paraId="2B9779EC">
                  <w:pPr>
                    <w:numPr>
                      <w:ilvl w:val="0"/>
                      <w:numId w:val="0"/>
                    </w:numPr>
                    <w:spacing w:beforeLines="0" w:afterLines="0"/>
                    <w:ind w:left="0" w:leftChars="0" w:firstLine="0" w:firstLineChars="0"/>
                    <w:jc w:val="center"/>
                    <w:rPr>
                      <w:rFonts w:hint="eastAsia" w:ascii="Times New Roman" w:eastAsia="宋体" w:cs="宋体"/>
                      <w:color w:val="auto"/>
                      <w:sz w:val="21"/>
                      <w:szCs w:val="24"/>
                      <w:lang w:val="en-US" w:eastAsia="zh-CN"/>
                    </w:rPr>
                  </w:pPr>
                  <w:r>
                    <w:rPr>
                      <w:rFonts w:hint="eastAsia" w:cs="宋体"/>
                      <w:color w:val="auto"/>
                      <w:sz w:val="21"/>
                      <w:szCs w:val="24"/>
                      <w:lang w:val="en-US" w:eastAsia="zh-CN"/>
                    </w:rPr>
                    <w:t>100000</w:t>
                  </w:r>
                  <w:r>
                    <w:rPr>
                      <w:rFonts w:hint="eastAsia" w:ascii="Times New Roman" w:eastAsia="宋体" w:cs="宋体"/>
                      <w:color w:val="auto"/>
                      <w:sz w:val="21"/>
                      <w:szCs w:val="24"/>
                      <w:lang w:val="en-US" w:eastAsia="zh-CN"/>
                    </w:rPr>
                    <w:t>t/a</w:t>
                  </w:r>
                </w:p>
              </w:tc>
              <w:tc>
                <w:tcPr>
                  <w:tcW w:w="2042" w:type="pct"/>
                  <w:tcBorders>
                    <w:tl2br w:val="nil"/>
                    <w:tr2bl w:val="nil"/>
                  </w:tcBorders>
                  <w:noWrap w:val="0"/>
                  <w:vAlign w:val="center"/>
                </w:tcPr>
                <w:p w14:paraId="76F892F8">
                  <w:pPr>
                    <w:numPr>
                      <w:ilvl w:val="0"/>
                      <w:numId w:val="0"/>
                    </w:numPr>
                    <w:spacing w:beforeLines="0" w:afterLines="0"/>
                    <w:ind w:left="0" w:leftChars="0" w:firstLine="0" w:firstLineChars="0"/>
                    <w:jc w:val="center"/>
                    <w:rPr>
                      <w:rFonts w:hint="eastAsia" w:eastAsia="宋体" w:cs="宋体"/>
                      <w:color w:val="auto"/>
                      <w:sz w:val="21"/>
                      <w:szCs w:val="24"/>
                      <w:lang w:val="en-US" w:eastAsia="zh-CN"/>
                    </w:rPr>
                  </w:pPr>
                  <w:r>
                    <w:rPr>
                      <w:rFonts w:hint="eastAsia" w:cs="宋体"/>
                      <w:color w:val="auto"/>
                      <w:sz w:val="21"/>
                      <w:szCs w:val="24"/>
                      <w:lang w:val="en-US" w:eastAsia="zh-CN"/>
                    </w:rPr>
                    <w:t>袋装产品</w:t>
                  </w:r>
                </w:p>
              </w:tc>
            </w:tr>
          </w:tbl>
          <w:p w14:paraId="5FDD6EF9">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4"/>
                <w:szCs w:val="24"/>
                <w:highlight w:val="none"/>
                <w:lang w:val="en-US" w:eastAsia="zh-CN" w:bidi="ar-SA"/>
              </w:rPr>
              <w:t>表2.4-2物料平衡（三废处理前）</w:t>
            </w:r>
          </w:p>
          <w:tbl>
            <w:tblPr>
              <w:tblStyle w:val="32"/>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40"/>
              <w:gridCol w:w="2600"/>
              <w:gridCol w:w="889"/>
              <w:gridCol w:w="1881"/>
              <w:gridCol w:w="2594"/>
            </w:tblGrid>
            <w:tr w14:paraId="77307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0" w:type="dxa"/>
                  <w:vMerge w:val="restart"/>
                  <w:tcBorders>
                    <w:tl2br w:val="nil"/>
                    <w:tr2bl w:val="nil"/>
                  </w:tcBorders>
                  <w:vAlign w:val="center"/>
                </w:tcPr>
                <w:p w14:paraId="5CC516E5">
                  <w:pPr>
                    <w:spacing w:line="240" w:lineRule="auto"/>
                    <w:jc w:val="center"/>
                    <w:rPr>
                      <w:b w:val="0"/>
                      <w:bCs w:val="0"/>
                      <w:color w:val="auto"/>
                      <w:sz w:val="21"/>
                      <w:szCs w:val="21"/>
                      <w:highlight w:val="none"/>
                    </w:rPr>
                  </w:pPr>
                  <w:r>
                    <w:rPr>
                      <w:b w:val="0"/>
                      <w:bCs w:val="0"/>
                      <w:color w:val="auto"/>
                      <w:sz w:val="21"/>
                      <w:szCs w:val="21"/>
                      <w:highlight w:val="none"/>
                    </w:rPr>
                    <w:t>序号</w:t>
                  </w:r>
                </w:p>
              </w:tc>
              <w:tc>
                <w:tcPr>
                  <w:tcW w:w="3489" w:type="dxa"/>
                  <w:gridSpan w:val="2"/>
                  <w:tcBorders>
                    <w:tl2br w:val="nil"/>
                    <w:tr2bl w:val="nil"/>
                  </w:tcBorders>
                  <w:vAlign w:val="center"/>
                </w:tcPr>
                <w:p w14:paraId="25848133">
                  <w:pPr>
                    <w:spacing w:line="240" w:lineRule="auto"/>
                    <w:jc w:val="center"/>
                    <w:rPr>
                      <w:b w:val="0"/>
                      <w:bCs w:val="0"/>
                      <w:color w:val="auto"/>
                      <w:sz w:val="21"/>
                      <w:szCs w:val="21"/>
                      <w:highlight w:val="none"/>
                    </w:rPr>
                  </w:pPr>
                  <w:r>
                    <w:rPr>
                      <w:b w:val="0"/>
                      <w:bCs w:val="0"/>
                      <w:color w:val="auto"/>
                      <w:sz w:val="21"/>
                      <w:szCs w:val="21"/>
                      <w:highlight w:val="none"/>
                    </w:rPr>
                    <w:t>投入</w:t>
                  </w:r>
                </w:p>
              </w:tc>
              <w:tc>
                <w:tcPr>
                  <w:tcW w:w="4475" w:type="dxa"/>
                  <w:gridSpan w:val="2"/>
                  <w:tcBorders>
                    <w:tl2br w:val="nil"/>
                    <w:tr2bl w:val="nil"/>
                  </w:tcBorders>
                  <w:vAlign w:val="center"/>
                </w:tcPr>
                <w:p w14:paraId="52803C2B">
                  <w:pPr>
                    <w:spacing w:line="240" w:lineRule="auto"/>
                    <w:jc w:val="center"/>
                    <w:rPr>
                      <w:b w:val="0"/>
                      <w:bCs w:val="0"/>
                      <w:color w:val="auto"/>
                      <w:sz w:val="21"/>
                      <w:szCs w:val="21"/>
                      <w:highlight w:val="none"/>
                    </w:rPr>
                  </w:pPr>
                  <w:r>
                    <w:rPr>
                      <w:b w:val="0"/>
                      <w:bCs w:val="0"/>
                      <w:color w:val="auto"/>
                      <w:sz w:val="21"/>
                      <w:szCs w:val="21"/>
                      <w:highlight w:val="none"/>
                    </w:rPr>
                    <w:t>产出</w:t>
                  </w:r>
                </w:p>
              </w:tc>
            </w:tr>
            <w:tr w14:paraId="3C49B4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vMerge w:val="continue"/>
                  <w:tcBorders>
                    <w:tl2br w:val="nil"/>
                    <w:tr2bl w:val="nil"/>
                  </w:tcBorders>
                  <w:vAlign w:val="center"/>
                </w:tcPr>
                <w:p w14:paraId="38D54AA3">
                  <w:pPr>
                    <w:spacing w:line="240" w:lineRule="auto"/>
                    <w:jc w:val="center"/>
                    <w:rPr>
                      <w:b w:val="0"/>
                      <w:bCs w:val="0"/>
                      <w:color w:val="auto"/>
                      <w:sz w:val="21"/>
                      <w:szCs w:val="21"/>
                      <w:highlight w:val="none"/>
                    </w:rPr>
                  </w:pPr>
                </w:p>
              </w:tc>
              <w:tc>
                <w:tcPr>
                  <w:tcW w:w="2600" w:type="dxa"/>
                  <w:tcBorders>
                    <w:tl2br w:val="nil"/>
                    <w:tr2bl w:val="nil"/>
                  </w:tcBorders>
                  <w:vAlign w:val="center"/>
                </w:tcPr>
                <w:p w14:paraId="40233035">
                  <w:pPr>
                    <w:spacing w:line="240" w:lineRule="auto"/>
                    <w:jc w:val="center"/>
                    <w:rPr>
                      <w:b w:val="0"/>
                      <w:bCs w:val="0"/>
                      <w:color w:val="auto"/>
                      <w:sz w:val="21"/>
                      <w:szCs w:val="21"/>
                      <w:highlight w:val="none"/>
                    </w:rPr>
                  </w:pPr>
                  <w:r>
                    <w:rPr>
                      <w:b w:val="0"/>
                      <w:bCs w:val="0"/>
                      <w:color w:val="auto"/>
                      <w:sz w:val="21"/>
                      <w:szCs w:val="21"/>
                      <w:highlight w:val="none"/>
                    </w:rPr>
                    <w:t>原料名称</w:t>
                  </w:r>
                </w:p>
              </w:tc>
              <w:tc>
                <w:tcPr>
                  <w:tcW w:w="889" w:type="dxa"/>
                  <w:tcBorders>
                    <w:tl2br w:val="nil"/>
                    <w:tr2bl w:val="nil"/>
                  </w:tcBorders>
                  <w:vAlign w:val="center"/>
                </w:tcPr>
                <w:p w14:paraId="21ACE1C8">
                  <w:pPr>
                    <w:spacing w:line="240" w:lineRule="auto"/>
                    <w:jc w:val="center"/>
                    <w:rPr>
                      <w:b w:val="0"/>
                      <w:bCs w:val="0"/>
                      <w:color w:val="auto"/>
                      <w:sz w:val="21"/>
                      <w:szCs w:val="21"/>
                      <w:highlight w:val="none"/>
                    </w:rPr>
                  </w:pPr>
                  <w:r>
                    <w:rPr>
                      <w:b w:val="0"/>
                      <w:bCs w:val="0"/>
                      <w:color w:val="auto"/>
                      <w:sz w:val="21"/>
                      <w:szCs w:val="21"/>
                      <w:highlight w:val="none"/>
                    </w:rPr>
                    <w:t>投入量</w:t>
                  </w:r>
                </w:p>
              </w:tc>
              <w:tc>
                <w:tcPr>
                  <w:tcW w:w="1881" w:type="dxa"/>
                  <w:tcBorders>
                    <w:tl2br w:val="nil"/>
                    <w:tr2bl w:val="nil"/>
                  </w:tcBorders>
                  <w:vAlign w:val="center"/>
                </w:tcPr>
                <w:p w14:paraId="19C0AEEA">
                  <w:pPr>
                    <w:spacing w:line="240" w:lineRule="auto"/>
                    <w:jc w:val="center"/>
                    <w:rPr>
                      <w:b w:val="0"/>
                      <w:bCs w:val="0"/>
                      <w:color w:val="auto"/>
                      <w:sz w:val="21"/>
                      <w:szCs w:val="21"/>
                      <w:highlight w:val="none"/>
                    </w:rPr>
                  </w:pPr>
                  <w:r>
                    <w:rPr>
                      <w:b w:val="0"/>
                      <w:bCs w:val="0"/>
                      <w:color w:val="auto"/>
                      <w:sz w:val="21"/>
                      <w:szCs w:val="21"/>
                      <w:highlight w:val="none"/>
                    </w:rPr>
                    <w:t>产品名称</w:t>
                  </w:r>
                </w:p>
              </w:tc>
              <w:tc>
                <w:tcPr>
                  <w:tcW w:w="2594" w:type="dxa"/>
                  <w:tcBorders>
                    <w:tl2br w:val="nil"/>
                    <w:tr2bl w:val="nil"/>
                  </w:tcBorders>
                  <w:vAlign w:val="center"/>
                </w:tcPr>
                <w:p w14:paraId="3BFB91B0">
                  <w:pPr>
                    <w:spacing w:line="240" w:lineRule="auto"/>
                    <w:jc w:val="center"/>
                    <w:rPr>
                      <w:b w:val="0"/>
                      <w:bCs w:val="0"/>
                      <w:color w:val="auto"/>
                      <w:sz w:val="21"/>
                      <w:szCs w:val="21"/>
                      <w:highlight w:val="none"/>
                    </w:rPr>
                  </w:pPr>
                  <w:r>
                    <w:rPr>
                      <w:b w:val="0"/>
                      <w:bCs w:val="0"/>
                      <w:color w:val="auto"/>
                      <w:sz w:val="21"/>
                      <w:szCs w:val="21"/>
                      <w:highlight w:val="none"/>
                    </w:rPr>
                    <w:t>产出量</w:t>
                  </w:r>
                </w:p>
              </w:tc>
            </w:tr>
            <w:tr w14:paraId="4453E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5EA85B09">
                  <w:pPr>
                    <w:spacing w:line="240" w:lineRule="auto"/>
                    <w:jc w:val="center"/>
                    <w:rPr>
                      <w:b w:val="0"/>
                      <w:bCs w:val="0"/>
                      <w:color w:val="auto"/>
                      <w:sz w:val="21"/>
                      <w:szCs w:val="21"/>
                      <w:highlight w:val="none"/>
                    </w:rPr>
                  </w:pPr>
                  <w:r>
                    <w:rPr>
                      <w:rFonts w:hint="eastAsia"/>
                      <w:b w:val="0"/>
                      <w:bCs w:val="0"/>
                      <w:color w:val="auto"/>
                      <w:sz w:val="21"/>
                      <w:szCs w:val="21"/>
                      <w:highlight w:val="none"/>
                    </w:rPr>
                    <w:t>1</w:t>
                  </w:r>
                </w:p>
              </w:tc>
              <w:tc>
                <w:tcPr>
                  <w:tcW w:w="2600" w:type="dxa"/>
                  <w:tcBorders>
                    <w:tl2br w:val="nil"/>
                    <w:tr2bl w:val="nil"/>
                  </w:tcBorders>
                  <w:vAlign w:val="center"/>
                </w:tcPr>
                <w:p w14:paraId="7AF5FBF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val="0"/>
                      <w:bCs w:val="0"/>
                      <w:color w:val="auto"/>
                      <w:sz w:val="21"/>
                      <w:szCs w:val="21"/>
                      <w:highlight w:val="none"/>
                    </w:rPr>
                  </w:pPr>
                  <w:r>
                    <w:rPr>
                      <w:rFonts w:hint="default" w:ascii="Times New Roman" w:hAnsi="Times New Roman" w:eastAsia="宋体" w:cs="Times New Roman"/>
                      <w:color w:val="auto"/>
                      <w:kern w:val="2"/>
                      <w:sz w:val="21"/>
                      <w:szCs w:val="24"/>
                      <w:lang w:val="en-US" w:eastAsia="zh-CN" w:bidi="zh-CN"/>
                    </w:rPr>
                    <w:t>重钙粉</w:t>
                  </w:r>
                </w:p>
              </w:tc>
              <w:tc>
                <w:tcPr>
                  <w:tcW w:w="889" w:type="dxa"/>
                  <w:tcBorders>
                    <w:tl2br w:val="nil"/>
                    <w:tr2bl w:val="nil"/>
                  </w:tcBorders>
                  <w:vAlign w:val="center"/>
                </w:tcPr>
                <w:p w14:paraId="30AEB79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b w:val="0"/>
                      <w:bCs w:val="0"/>
                      <w:color w:val="auto"/>
                      <w:sz w:val="21"/>
                      <w:szCs w:val="21"/>
                      <w:highlight w:val="none"/>
                      <w:lang w:val="en-US"/>
                    </w:rPr>
                  </w:pPr>
                  <w:r>
                    <w:rPr>
                      <w:rFonts w:hint="eastAsia" w:ascii="Times New Roman" w:hAnsi="Times New Roman" w:cs="Times New Roman"/>
                      <w:color w:val="auto"/>
                      <w:kern w:val="2"/>
                      <w:sz w:val="21"/>
                      <w:szCs w:val="24"/>
                      <w:lang w:val="en-US" w:eastAsia="zh-CN" w:bidi="zh-CN"/>
                    </w:rPr>
                    <w:t>22500t</w:t>
                  </w:r>
                </w:p>
              </w:tc>
              <w:tc>
                <w:tcPr>
                  <w:tcW w:w="1881" w:type="dxa"/>
                  <w:tcBorders>
                    <w:tl2br w:val="nil"/>
                    <w:tr2bl w:val="nil"/>
                  </w:tcBorders>
                  <w:vAlign w:val="center"/>
                </w:tcPr>
                <w:p w14:paraId="0FA0DAC9">
                  <w:pPr>
                    <w:spacing w:line="240" w:lineRule="auto"/>
                    <w:jc w:val="center"/>
                    <w:rPr>
                      <w:rFonts w:hint="default" w:ascii="Times New Roman" w:hAnsi="Times New Roman" w:eastAsia="宋体" w:cs="宋体"/>
                      <w:b w:val="0"/>
                      <w:bCs w:val="0"/>
                      <w:color w:val="auto"/>
                      <w:sz w:val="21"/>
                      <w:szCs w:val="21"/>
                      <w:highlight w:val="none"/>
                      <w:lang w:val="en-US" w:eastAsia="zh-CN" w:bidi="ar-SA"/>
                    </w:rPr>
                  </w:pPr>
                  <w:r>
                    <w:rPr>
                      <w:rFonts w:hint="eastAsia" w:cs="宋体"/>
                      <w:color w:val="auto"/>
                      <w:sz w:val="21"/>
                      <w:szCs w:val="22"/>
                      <w:lang w:val="en-US" w:eastAsia="zh-CN" w:bidi="ar-SA"/>
                    </w:rPr>
                    <w:t>腻子粉</w:t>
                  </w:r>
                </w:p>
              </w:tc>
              <w:tc>
                <w:tcPr>
                  <w:tcW w:w="2594" w:type="dxa"/>
                  <w:vMerge w:val="restart"/>
                  <w:tcBorders>
                    <w:tl2br w:val="nil"/>
                    <w:tr2bl w:val="nil"/>
                  </w:tcBorders>
                  <w:vAlign w:val="center"/>
                </w:tcPr>
                <w:p w14:paraId="423CC9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149908.21</w:t>
                  </w:r>
                </w:p>
              </w:tc>
            </w:tr>
            <w:tr w14:paraId="39FA5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4D70CBFF">
                  <w:pPr>
                    <w:spacing w:line="240" w:lineRule="auto"/>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2</w:t>
                  </w:r>
                </w:p>
              </w:tc>
              <w:tc>
                <w:tcPr>
                  <w:tcW w:w="2600" w:type="dxa"/>
                  <w:tcBorders>
                    <w:tl2br w:val="nil"/>
                    <w:tr2bl w:val="nil"/>
                  </w:tcBorders>
                  <w:vAlign w:val="center"/>
                </w:tcPr>
                <w:p w14:paraId="56EC829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val="0"/>
                      <w:bCs w:val="0"/>
                      <w:color w:val="auto"/>
                      <w:sz w:val="21"/>
                      <w:szCs w:val="21"/>
                      <w:highlight w:val="none"/>
                    </w:rPr>
                  </w:pPr>
                  <w:r>
                    <w:rPr>
                      <w:rFonts w:hint="default" w:ascii="Times New Roman" w:hAnsi="Times New Roman" w:eastAsia="宋体" w:cs="Times New Roman"/>
                      <w:color w:val="auto"/>
                      <w:kern w:val="2"/>
                      <w:sz w:val="21"/>
                      <w:szCs w:val="24"/>
                      <w:lang w:val="en-US" w:eastAsia="zh-CN" w:bidi="zh-CN"/>
                    </w:rPr>
                    <w:t>双飞粉</w:t>
                  </w:r>
                </w:p>
              </w:tc>
              <w:tc>
                <w:tcPr>
                  <w:tcW w:w="889" w:type="dxa"/>
                  <w:tcBorders>
                    <w:tl2br w:val="nil"/>
                    <w:tr2bl w:val="nil"/>
                  </w:tcBorders>
                  <w:vAlign w:val="center"/>
                </w:tcPr>
                <w:p w14:paraId="1DDB275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b w:val="0"/>
                      <w:bCs w:val="0"/>
                      <w:color w:val="auto"/>
                      <w:sz w:val="21"/>
                      <w:szCs w:val="21"/>
                      <w:highlight w:val="none"/>
                      <w:lang w:val="en-US"/>
                    </w:rPr>
                  </w:pPr>
                  <w:r>
                    <w:rPr>
                      <w:rFonts w:hint="eastAsia" w:ascii="Times New Roman" w:hAnsi="Times New Roman" w:cs="Times New Roman"/>
                      <w:color w:val="auto"/>
                      <w:kern w:val="2"/>
                      <w:sz w:val="21"/>
                      <w:szCs w:val="24"/>
                      <w:lang w:val="en-US" w:eastAsia="zh-CN" w:bidi="zh-CN"/>
                    </w:rPr>
                    <w:t>22500t</w:t>
                  </w:r>
                </w:p>
              </w:tc>
              <w:tc>
                <w:tcPr>
                  <w:tcW w:w="1881" w:type="dxa"/>
                  <w:tcBorders>
                    <w:tl2br w:val="nil"/>
                    <w:tr2bl w:val="nil"/>
                  </w:tcBorders>
                  <w:vAlign w:val="center"/>
                </w:tcPr>
                <w:p w14:paraId="2842779E">
                  <w:pPr>
                    <w:spacing w:line="240" w:lineRule="auto"/>
                    <w:jc w:val="center"/>
                    <w:rPr>
                      <w:b w:val="0"/>
                      <w:bCs w:val="0"/>
                      <w:color w:val="auto"/>
                      <w:sz w:val="21"/>
                      <w:szCs w:val="21"/>
                      <w:highlight w:val="none"/>
                    </w:rPr>
                  </w:pPr>
                  <w:r>
                    <w:rPr>
                      <w:rFonts w:hint="eastAsia" w:cs="宋体"/>
                      <w:color w:val="auto"/>
                      <w:sz w:val="21"/>
                      <w:szCs w:val="22"/>
                      <w:lang w:val="en-US" w:eastAsia="zh-CN" w:bidi="ar-SA"/>
                    </w:rPr>
                    <w:t>瓷砖胶</w:t>
                  </w:r>
                </w:p>
              </w:tc>
              <w:tc>
                <w:tcPr>
                  <w:tcW w:w="2594" w:type="dxa"/>
                  <w:vMerge w:val="continue"/>
                  <w:tcBorders>
                    <w:tl2br w:val="nil"/>
                    <w:tr2bl w:val="nil"/>
                  </w:tcBorders>
                  <w:vAlign w:val="center"/>
                </w:tcPr>
                <w:p w14:paraId="6411D5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79558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75D32113">
                  <w:pPr>
                    <w:spacing w:line="240" w:lineRule="auto"/>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3</w:t>
                  </w:r>
                </w:p>
              </w:tc>
              <w:tc>
                <w:tcPr>
                  <w:tcW w:w="2600" w:type="dxa"/>
                  <w:tcBorders>
                    <w:tl2br w:val="nil"/>
                    <w:tr2bl w:val="nil"/>
                  </w:tcBorders>
                  <w:vAlign w:val="center"/>
                </w:tcPr>
                <w:p w14:paraId="3EA42AE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val="0"/>
                      <w:bCs w:val="0"/>
                      <w:color w:val="auto"/>
                      <w:sz w:val="21"/>
                      <w:szCs w:val="21"/>
                      <w:highlight w:val="none"/>
                    </w:rPr>
                  </w:pPr>
                  <w:r>
                    <w:rPr>
                      <w:rFonts w:hint="default" w:ascii="Times New Roman" w:hAnsi="Times New Roman" w:eastAsia="宋体" w:cs="Times New Roman"/>
                      <w:color w:val="auto"/>
                      <w:kern w:val="2"/>
                      <w:sz w:val="21"/>
                      <w:szCs w:val="24"/>
                      <w:lang w:val="en-US" w:eastAsia="zh-CN" w:bidi="zh-CN"/>
                    </w:rPr>
                    <w:t>灰水泥</w:t>
                  </w:r>
                </w:p>
              </w:tc>
              <w:tc>
                <w:tcPr>
                  <w:tcW w:w="889" w:type="dxa"/>
                  <w:tcBorders>
                    <w:tl2br w:val="nil"/>
                    <w:tr2bl w:val="nil"/>
                  </w:tcBorders>
                  <w:vAlign w:val="center"/>
                </w:tcPr>
                <w:p w14:paraId="66DB78B9">
                  <w:pPr>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21500t</w:t>
                  </w:r>
                </w:p>
              </w:tc>
              <w:tc>
                <w:tcPr>
                  <w:tcW w:w="1881" w:type="dxa"/>
                  <w:tcBorders>
                    <w:tl2br w:val="nil"/>
                    <w:tr2bl w:val="nil"/>
                  </w:tcBorders>
                  <w:vAlign w:val="center"/>
                </w:tcPr>
                <w:p w14:paraId="37A99463">
                  <w:pPr>
                    <w:spacing w:line="240" w:lineRule="auto"/>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粉尘</w:t>
                  </w:r>
                </w:p>
              </w:tc>
              <w:tc>
                <w:tcPr>
                  <w:tcW w:w="2594" w:type="dxa"/>
                  <w:tcBorders>
                    <w:tl2br w:val="nil"/>
                    <w:tr2bl w:val="nil"/>
                  </w:tcBorders>
                  <w:vAlign w:val="center"/>
                </w:tcPr>
                <w:p w14:paraId="29C1DD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91.79</w:t>
                  </w:r>
                </w:p>
              </w:tc>
            </w:tr>
            <w:tr w14:paraId="3009CD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34A011B7">
                  <w:pPr>
                    <w:spacing w:line="240" w:lineRule="auto"/>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w:t>
                  </w:r>
                </w:p>
              </w:tc>
              <w:tc>
                <w:tcPr>
                  <w:tcW w:w="2600" w:type="dxa"/>
                  <w:tcBorders>
                    <w:tl2br w:val="nil"/>
                    <w:tr2bl w:val="nil"/>
                  </w:tcBorders>
                  <w:vAlign w:val="center"/>
                </w:tcPr>
                <w:p w14:paraId="72792CF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val="0"/>
                      <w:bCs w:val="0"/>
                      <w:color w:val="auto"/>
                      <w:sz w:val="21"/>
                      <w:szCs w:val="21"/>
                      <w:highlight w:val="none"/>
                    </w:rPr>
                  </w:pPr>
                  <w:r>
                    <w:rPr>
                      <w:rFonts w:hint="default" w:ascii="Times New Roman" w:hAnsi="Times New Roman" w:eastAsia="宋体" w:cs="Times New Roman"/>
                      <w:color w:val="auto"/>
                      <w:kern w:val="2"/>
                      <w:sz w:val="21"/>
                      <w:szCs w:val="24"/>
                      <w:lang w:val="en-US" w:eastAsia="zh-CN" w:bidi="zh-CN"/>
                    </w:rPr>
                    <w:t>白水泥</w:t>
                  </w:r>
                </w:p>
              </w:tc>
              <w:tc>
                <w:tcPr>
                  <w:tcW w:w="889" w:type="dxa"/>
                  <w:tcBorders>
                    <w:tl2br w:val="nil"/>
                    <w:tr2bl w:val="nil"/>
                  </w:tcBorders>
                  <w:vAlign w:val="center"/>
                </w:tcPr>
                <w:p w14:paraId="1CA6BA8F">
                  <w:pPr>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16000t</w:t>
                  </w:r>
                </w:p>
              </w:tc>
              <w:tc>
                <w:tcPr>
                  <w:tcW w:w="1881" w:type="dxa"/>
                  <w:tcBorders>
                    <w:tl2br w:val="nil"/>
                    <w:tr2bl w:val="nil"/>
                  </w:tcBorders>
                  <w:vAlign w:val="center"/>
                </w:tcPr>
                <w:p w14:paraId="3041E21B">
                  <w:pPr>
                    <w:spacing w:line="240" w:lineRule="auto"/>
                    <w:jc w:val="center"/>
                    <w:rPr>
                      <w:b w:val="0"/>
                      <w:bCs w:val="0"/>
                      <w:color w:val="auto"/>
                      <w:sz w:val="21"/>
                      <w:szCs w:val="21"/>
                      <w:highlight w:val="none"/>
                    </w:rPr>
                  </w:pPr>
                </w:p>
              </w:tc>
              <w:tc>
                <w:tcPr>
                  <w:tcW w:w="2594" w:type="dxa"/>
                  <w:tcBorders>
                    <w:tl2br w:val="nil"/>
                    <w:tr2bl w:val="nil"/>
                  </w:tcBorders>
                  <w:vAlign w:val="center"/>
                </w:tcPr>
                <w:p w14:paraId="4B1CAC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D0B4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5C499C0E">
                  <w:pPr>
                    <w:spacing w:line="240" w:lineRule="auto"/>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w:t>
                  </w:r>
                </w:p>
              </w:tc>
              <w:tc>
                <w:tcPr>
                  <w:tcW w:w="2600" w:type="dxa"/>
                  <w:tcBorders>
                    <w:tl2br w:val="nil"/>
                    <w:tr2bl w:val="nil"/>
                  </w:tcBorders>
                  <w:vAlign w:val="center"/>
                </w:tcPr>
                <w:p w14:paraId="596B946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val="0"/>
                      <w:bCs w:val="0"/>
                      <w:color w:val="auto"/>
                      <w:sz w:val="21"/>
                      <w:szCs w:val="21"/>
                      <w:highlight w:val="none"/>
                    </w:rPr>
                  </w:pPr>
                  <w:r>
                    <w:rPr>
                      <w:rFonts w:hint="default" w:ascii="Times New Roman" w:hAnsi="Times New Roman" w:eastAsia="宋体" w:cs="Times New Roman"/>
                      <w:color w:val="auto"/>
                      <w:kern w:val="2"/>
                      <w:sz w:val="21"/>
                      <w:szCs w:val="24"/>
                      <w:lang w:val="en-US" w:eastAsia="zh-CN" w:bidi="zh-CN"/>
                    </w:rPr>
                    <w:t>50-100 目砂</w:t>
                  </w:r>
                </w:p>
              </w:tc>
              <w:tc>
                <w:tcPr>
                  <w:tcW w:w="889" w:type="dxa"/>
                  <w:tcBorders>
                    <w:tl2br w:val="nil"/>
                    <w:tr2bl w:val="nil"/>
                  </w:tcBorders>
                  <w:vAlign w:val="center"/>
                </w:tcPr>
                <w:p w14:paraId="02E5F70D">
                  <w:pPr>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65000t</w:t>
                  </w:r>
                </w:p>
              </w:tc>
              <w:tc>
                <w:tcPr>
                  <w:tcW w:w="1881" w:type="dxa"/>
                  <w:tcBorders>
                    <w:tl2br w:val="nil"/>
                    <w:tr2bl w:val="nil"/>
                  </w:tcBorders>
                  <w:vAlign w:val="center"/>
                </w:tcPr>
                <w:p w14:paraId="400020C1">
                  <w:pPr>
                    <w:spacing w:line="240" w:lineRule="auto"/>
                    <w:jc w:val="center"/>
                    <w:rPr>
                      <w:b w:val="0"/>
                      <w:bCs w:val="0"/>
                      <w:color w:val="auto"/>
                      <w:sz w:val="21"/>
                      <w:szCs w:val="21"/>
                      <w:highlight w:val="none"/>
                    </w:rPr>
                  </w:pPr>
                </w:p>
              </w:tc>
              <w:tc>
                <w:tcPr>
                  <w:tcW w:w="2594" w:type="dxa"/>
                  <w:tcBorders>
                    <w:tl2br w:val="nil"/>
                    <w:tr2bl w:val="nil"/>
                  </w:tcBorders>
                  <w:vAlign w:val="center"/>
                </w:tcPr>
                <w:p w14:paraId="277EE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536B0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26716023">
                  <w:pPr>
                    <w:spacing w:line="240" w:lineRule="auto"/>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6</w:t>
                  </w:r>
                </w:p>
              </w:tc>
              <w:tc>
                <w:tcPr>
                  <w:tcW w:w="2600" w:type="dxa"/>
                  <w:tcBorders>
                    <w:tl2br w:val="nil"/>
                    <w:tr2bl w:val="nil"/>
                  </w:tcBorders>
                  <w:vAlign w:val="center"/>
                </w:tcPr>
                <w:p w14:paraId="1CA8E34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val="0"/>
                      <w:bCs w:val="0"/>
                      <w:color w:val="auto"/>
                      <w:sz w:val="21"/>
                      <w:szCs w:val="21"/>
                      <w:highlight w:val="none"/>
                    </w:rPr>
                  </w:pPr>
                  <w:r>
                    <w:rPr>
                      <w:rFonts w:hint="default" w:ascii="Times New Roman" w:hAnsi="Times New Roman" w:eastAsia="宋体" w:cs="Times New Roman"/>
                      <w:color w:val="auto"/>
                      <w:kern w:val="2"/>
                      <w:sz w:val="21"/>
                      <w:szCs w:val="24"/>
                      <w:lang w:val="en-US" w:eastAsia="zh-CN" w:bidi="zh-CN"/>
                    </w:rPr>
                    <w:t>70-140 目砂</w:t>
                  </w:r>
                </w:p>
              </w:tc>
              <w:tc>
                <w:tcPr>
                  <w:tcW w:w="889" w:type="dxa"/>
                  <w:tcBorders>
                    <w:tl2br w:val="nil"/>
                    <w:tr2bl w:val="nil"/>
                  </w:tcBorders>
                  <w:vAlign w:val="center"/>
                </w:tcPr>
                <w:p w14:paraId="6FAC8E16">
                  <w:pPr>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500t</w:t>
                  </w:r>
                </w:p>
              </w:tc>
              <w:tc>
                <w:tcPr>
                  <w:tcW w:w="1881" w:type="dxa"/>
                  <w:tcBorders>
                    <w:tl2br w:val="nil"/>
                    <w:tr2bl w:val="nil"/>
                  </w:tcBorders>
                  <w:vAlign w:val="center"/>
                </w:tcPr>
                <w:p w14:paraId="6C0D42BC">
                  <w:pPr>
                    <w:spacing w:line="240" w:lineRule="auto"/>
                    <w:jc w:val="center"/>
                    <w:rPr>
                      <w:rFonts w:hint="default" w:eastAsia="宋体"/>
                      <w:b w:val="0"/>
                      <w:bCs w:val="0"/>
                      <w:color w:val="auto"/>
                      <w:sz w:val="21"/>
                      <w:szCs w:val="21"/>
                      <w:highlight w:val="none"/>
                      <w:lang w:val="en-US" w:eastAsia="zh-CN"/>
                    </w:rPr>
                  </w:pPr>
                </w:p>
              </w:tc>
              <w:tc>
                <w:tcPr>
                  <w:tcW w:w="2594" w:type="dxa"/>
                  <w:tcBorders>
                    <w:tl2br w:val="nil"/>
                    <w:tr2bl w:val="nil"/>
                  </w:tcBorders>
                  <w:vAlign w:val="center"/>
                </w:tcPr>
                <w:p w14:paraId="601111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39EF0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261DF1D0">
                  <w:pPr>
                    <w:spacing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7</w:t>
                  </w:r>
                </w:p>
              </w:tc>
              <w:tc>
                <w:tcPr>
                  <w:tcW w:w="2600" w:type="dxa"/>
                  <w:tcBorders>
                    <w:tl2br w:val="nil"/>
                    <w:tr2bl w:val="nil"/>
                  </w:tcBorders>
                  <w:vAlign w:val="center"/>
                </w:tcPr>
                <w:p w14:paraId="2717CFB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4"/>
                      <w:lang w:val="en-US" w:eastAsia="zh-CN" w:bidi="zh-CN"/>
                    </w:rPr>
                    <w:t>乳胶粉</w:t>
                  </w:r>
                </w:p>
              </w:tc>
              <w:tc>
                <w:tcPr>
                  <w:tcW w:w="889" w:type="dxa"/>
                  <w:tcBorders>
                    <w:tl2br w:val="nil"/>
                    <w:tr2bl w:val="nil"/>
                  </w:tcBorders>
                  <w:vAlign w:val="center"/>
                </w:tcPr>
                <w:p w14:paraId="37F9E366">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1200t</w:t>
                  </w:r>
                </w:p>
              </w:tc>
              <w:tc>
                <w:tcPr>
                  <w:tcW w:w="1881" w:type="dxa"/>
                  <w:tcBorders>
                    <w:tl2br w:val="nil"/>
                    <w:tr2bl w:val="nil"/>
                  </w:tcBorders>
                  <w:vAlign w:val="center"/>
                </w:tcPr>
                <w:p w14:paraId="23589B0F">
                  <w:pPr>
                    <w:spacing w:line="240" w:lineRule="auto"/>
                    <w:jc w:val="center"/>
                    <w:rPr>
                      <w:rFonts w:hint="default" w:eastAsia="宋体"/>
                      <w:b w:val="0"/>
                      <w:bCs w:val="0"/>
                      <w:color w:val="auto"/>
                      <w:sz w:val="21"/>
                      <w:szCs w:val="21"/>
                      <w:highlight w:val="none"/>
                      <w:lang w:val="en-US" w:eastAsia="zh-CN"/>
                    </w:rPr>
                  </w:pPr>
                </w:p>
              </w:tc>
              <w:tc>
                <w:tcPr>
                  <w:tcW w:w="2594" w:type="dxa"/>
                  <w:tcBorders>
                    <w:tl2br w:val="nil"/>
                    <w:tr2bl w:val="nil"/>
                  </w:tcBorders>
                  <w:vAlign w:val="center"/>
                </w:tcPr>
                <w:p w14:paraId="5B61BA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AE35B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0" w:type="dxa"/>
                  <w:tcBorders>
                    <w:tl2br w:val="nil"/>
                    <w:tr2bl w:val="nil"/>
                  </w:tcBorders>
                  <w:vAlign w:val="center"/>
                </w:tcPr>
                <w:p w14:paraId="115EB13A">
                  <w:pPr>
                    <w:spacing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8</w:t>
                  </w:r>
                </w:p>
              </w:tc>
              <w:tc>
                <w:tcPr>
                  <w:tcW w:w="2600" w:type="dxa"/>
                  <w:tcBorders>
                    <w:tl2br w:val="nil"/>
                    <w:tr2bl w:val="nil"/>
                  </w:tcBorders>
                  <w:vAlign w:val="center"/>
                </w:tcPr>
                <w:p w14:paraId="6A00AC5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4"/>
                      <w:lang w:val="en-US" w:eastAsia="zh-CN" w:bidi="zh-CN"/>
                    </w:rPr>
                    <w:t>纤维素</w:t>
                  </w:r>
                </w:p>
              </w:tc>
              <w:tc>
                <w:tcPr>
                  <w:tcW w:w="889" w:type="dxa"/>
                  <w:tcBorders>
                    <w:tl2br w:val="nil"/>
                    <w:tr2bl w:val="nil"/>
                  </w:tcBorders>
                  <w:vAlign w:val="center"/>
                </w:tcPr>
                <w:p w14:paraId="5FCC6B11">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800t</w:t>
                  </w:r>
                </w:p>
              </w:tc>
              <w:tc>
                <w:tcPr>
                  <w:tcW w:w="1881" w:type="dxa"/>
                  <w:tcBorders>
                    <w:tl2br w:val="nil"/>
                    <w:tr2bl w:val="nil"/>
                  </w:tcBorders>
                  <w:vAlign w:val="center"/>
                </w:tcPr>
                <w:p w14:paraId="358498A5">
                  <w:pPr>
                    <w:spacing w:line="240" w:lineRule="auto"/>
                    <w:jc w:val="center"/>
                    <w:rPr>
                      <w:rFonts w:hint="default" w:eastAsia="宋体"/>
                      <w:b w:val="0"/>
                      <w:bCs w:val="0"/>
                      <w:color w:val="auto"/>
                      <w:sz w:val="21"/>
                      <w:szCs w:val="21"/>
                      <w:highlight w:val="none"/>
                      <w:lang w:val="en-US" w:eastAsia="zh-CN"/>
                    </w:rPr>
                  </w:pPr>
                </w:p>
              </w:tc>
              <w:tc>
                <w:tcPr>
                  <w:tcW w:w="2594" w:type="dxa"/>
                  <w:tcBorders>
                    <w:tl2br w:val="nil"/>
                    <w:tr2bl w:val="nil"/>
                  </w:tcBorders>
                  <w:vAlign w:val="center"/>
                </w:tcPr>
                <w:p w14:paraId="201F20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94B8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140" w:type="dxa"/>
                  <w:gridSpan w:val="2"/>
                  <w:tcBorders>
                    <w:tl2br w:val="nil"/>
                    <w:tr2bl w:val="nil"/>
                  </w:tcBorders>
                  <w:vAlign w:val="center"/>
                </w:tcPr>
                <w:p w14:paraId="1C1924E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合计</w:t>
                  </w:r>
                </w:p>
              </w:tc>
              <w:tc>
                <w:tcPr>
                  <w:tcW w:w="889" w:type="dxa"/>
                  <w:tcBorders>
                    <w:tl2br w:val="nil"/>
                    <w:tr2bl w:val="nil"/>
                  </w:tcBorders>
                  <w:vAlign w:val="center"/>
                </w:tcPr>
                <w:p w14:paraId="69DE545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150000t</w:t>
                  </w:r>
                </w:p>
              </w:tc>
              <w:tc>
                <w:tcPr>
                  <w:tcW w:w="1881" w:type="dxa"/>
                  <w:tcBorders>
                    <w:tl2br w:val="nil"/>
                    <w:tr2bl w:val="nil"/>
                  </w:tcBorders>
                  <w:vAlign w:val="center"/>
                </w:tcPr>
                <w:p w14:paraId="61FF5E6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2594" w:type="dxa"/>
                  <w:tcBorders>
                    <w:tl2br w:val="nil"/>
                    <w:tr2bl w:val="nil"/>
                  </w:tcBorders>
                  <w:vAlign w:val="center"/>
                </w:tcPr>
                <w:p w14:paraId="0BB161E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150000t</w:t>
                  </w:r>
                </w:p>
              </w:tc>
            </w:tr>
          </w:tbl>
          <w:p w14:paraId="12A2AA6D">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5、</w:t>
            </w:r>
            <w:r>
              <w:rPr>
                <w:rFonts w:ascii="Times New Roman" w:hAnsi="Times New Roman" w:eastAsia="宋体" w:cs="黑体"/>
                <w:b/>
                <w:color w:val="auto"/>
                <w:sz w:val="28"/>
                <w:szCs w:val="30"/>
                <w:lang w:val="en-US" w:eastAsia="zh-CN" w:bidi="ar-SA"/>
              </w:rPr>
              <w:t>公用及辅助工程</w:t>
            </w:r>
          </w:p>
          <w:p w14:paraId="7C5B33B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r>
              <w:rPr>
                <w:rFonts w:hint="default" w:ascii="Times New Roman" w:hAnsi="Times New Roman" w:eastAsia="宋体" w:cs="宋体"/>
                <w:color w:val="auto"/>
                <w:lang w:val="en-US" w:eastAsia="zh-CN"/>
              </w:rPr>
              <w:t>供水</w:t>
            </w:r>
          </w:p>
          <w:p w14:paraId="49C5F65D">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本项目供水为生活用水</w:t>
            </w:r>
            <w:r>
              <w:rPr>
                <w:rFonts w:hint="eastAsia"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用水由</w:t>
            </w:r>
            <w:r>
              <w:rPr>
                <w:rFonts w:hint="eastAsia" w:cs="Times New Roman"/>
                <w:color w:val="auto"/>
                <w:sz w:val="24"/>
                <w:szCs w:val="24"/>
                <w:highlight w:val="none"/>
                <w:lang w:val="en-US" w:eastAsia="zh-CN" w:bidi="ar-SA"/>
              </w:rPr>
              <w:t>园区</w:t>
            </w:r>
            <w:r>
              <w:rPr>
                <w:rFonts w:hint="eastAsia" w:ascii="Times New Roman" w:hAnsi="Times New Roman" w:eastAsia="宋体" w:cs="Times New Roman"/>
                <w:color w:val="auto"/>
                <w:sz w:val="24"/>
                <w:szCs w:val="24"/>
                <w:highlight w:val="none"/>
                <w:lang w:val="en-US" w:eastAsia="zh-CN" w:bidi="ar-SA"/>
              </w:rPr>
              <w:t>供水管网提供，水量及水压可满足需求。</w:t>
            </w:r>
          </w:p>
          <w:p w14:paraId="0A2AA353">
            <w:pPr>
              <w:widowControl w:val="0"/>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①生活用水</w:t>
            </w:r>
          </w:p>
          <w:p w14:paraId="17354FF8">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本项目新增员工</w:t>
            </w:r>
            <w:r>
              <w:rPr>
                <w:rFonts w:hint="eastAsia" w:cs="Times New Roman"/>
                <w:color w:val="auto"/>
                <w:sz w:val="24"/>
                <w:szCs w:val="24"/>
                <w:highlight w:val="none"/>
                <w:lang w:val="en-US" w:eastAsia="zh-CN" w:bidi="ar-SA"/>
              </w:rPr>
              <w:t>20</w:t>
            </w:r>
            <w:r>
              <w:rPr>
                <w:rFonts w:hint="default" w:ascii="Times New Roman" w:hAnsi="Times New Roman" w:eastAsia="宋体" w:cs="Times New Roman"/>
                <w:color w:val="auto"/>
                <w:sz w:val="24"/>
                <w:szCs w:val="24"/>
                <w:highlight w:val="none"/>
                <w:lang w:val="en-US" w:eastAsia="zh-CN" w:bidi="ar-SA"/>
              </w:rPr>
              <w:t>人</w:t>
            </w:r>
            <w:r>
              <w:rPr>
                <w:rFonts w:hint="eastAsia"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根据《新疆维吾尔自治区生活用水定额》集体宿舍取80L/人•d，职工生活用水量为</w:t>
            </w:r>
            <w:r>
              <w:rPr>
                <w:rFonts w:hint="eastAsia" w:cs="Times New Roman"/>
                <w:color w:val="auto"/>
                <w:sz w:val="24"/>
                <w:szCs w:val="24"/>
                <w:highlight w:val="none"/>
                <w:lang w:val="en-US" w:eastAsia="zh-CN" w:bidi="ar-SA"/>
              </w:rPr>
              <w:t>1.6</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480</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w:t>
            </w:r>
          </w:p>
          <w:p w14:paraId="60E46DCD">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r>
              <w:rPr>
                <w:rFonts w:hint="default" w:ascii="Times New Roman" w:hAnsi="Times New Roman" w:eastAsia="宋体" w:cs="宋体"/>
                <w:color w:val="auto"/>
                <w:lang w:val="en-US" w:eastAsia="zh-CN"/>
              </w:rPr>
              <w:t>排水</w:t>
            </w:r>
          </w:p>
          <w:p w14:paraId="19379454">
            <w:pPr>
              <w:widowControl w:val="0"/>
              <w:overflowPunct/>
              <w:autoSpaceDE/>
              <w:autoSpaceDN/>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Times New Roman"/>
                <w:color w:val="auto"/>
                <w:kern w:val="0"/>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生活污水排放系数按用水量的0.8计，则排放量为</w:t>
            </w:r>
            <w:r>
              <w:rPr>
                <w:rFonts w:hint="eastAsia" w:cs="Times New Roman"/>
                <w:color w:val="auto"/>
                <w:kern w:val="2"/>
                <w:sz w:val="24"/>
                <w:szCs w:val="24"/>
                <w:highlight w:val="none"/>
                <w:lang w:val="en-US" w:eastAsia="zh-CN" w:bidi="ar-SA"/>
              </w:rPr>
              <w:t>1.28</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eastAsia" w:cs="Times New Roman"/>
                <w:color w:val="auto"/>
                <w:kern w:val="2"/>
                <w:sz w:val="24"/>
                <w:szCs w:val="24"/>
                <w:highlight w:val="none"/>
                <w:vertAlign w:val="baseline"/>
                <w:lang w:val="en-US" w:eastAsia="zh-CN" w:bidi="ar-SA"/>
              </w:rPr>
              <w:t>384</w:t>
            </w:r>
            <w:r>
              <w:rPr>
                <w:rFonts w:hint="eastAsia" w:ascii="Times New Roman" w:hAnsi="Times New Roman" w:eastAsia="宋体" w:cs="Times New Roman"/>
                <w:color w:val="auto"/>
                <w:kern w:val="2"/>
                <w:sz w:val="24"/>
                <w:szCs w:val="24"/>
                <w:highlight w:val="none"/>
                <w:vertAlign w:val="baseli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vertAlign w:val="baseline"/>
                <w:lang w:val="en-US" w:eastAsia="zh-CN" w:bidi="ar-SA"/>
              </w:rPr>
              <w:t>/a）</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排入</w:t>
            </w:r>
            <w:r>
              <w:rPr>
                <w:rFonts w:hint="eastAsia" w:cs="Times New Roman"/>
                <w:color w:val="auto"/>
                <w:kern w:val="2"/>
                <w:sz w:val="24"/>
                <w:szCs w:val="24"/>
                <w:highlight w:val="none"/>
                <w:lang w:val="en-US" w:eastAsia="zh-CN" w:bidi="ar-SA"/>
              </w:rPr>
              <w:t>园区</w:t>
            </w:r>
            <w:r>
              <w:rPr>
                <w:rFonts w:hint="eastAsia" w:ascii="Times New Roman" w:hAnsi="Times New Roman" w:eastAsia="宋体" w:cs="Times New Roman"/>
                <w:color w:val="auto"/>
                <w:kern w:val="2"/>
                <w:sz w:val="24"/>
                <w:szCs w:val="24"/>
                <w:highlight w:val="none"/>
                <w:lang w:val="en-US" w:eastAsia="zh-CN" w:bidi="ar-SA"/>
              </w:rPr>
              <w:t>管网，</w:t>
            </w:r>
            <w:r>
              <w:rPr>
                <w:rFonts w:ascii="Times New Roman" w:hAnsi="Times New Roman" w:eastAsia="宋体" w:cs="宋体"/>
                <w:color w:val="auto"/>
              </w:rPr>
              <w:t>最终排入</w:t>
            </w:r>
            <w:r>
              <w:rPr>
                <w:rFonts w:hint="eastAsia" w:ascii="Times New Roman" w:hAnsi="Times New Roman" w:eastAsia="宋体" w:cs="宋体"/>
                <w:color w:val="auto"/>
              </w:rPr>
              <w:t>污水处理厂处理。</w:t>
            </w:r>
          </w:p>
          <w:p w14:paraId="1BBA5387">
            <w:pPr>
              <w:keepNext/>
              <w:keepLines/>
              <w:pageBreakBefore w:val="0"/>
              <w:widowControl w:val="0"/>
              <w:kinsoku/>
              <w:wordWrap/>
              <w:overflowPunct/>
              <w:topLinePunct w:val="0"/>
              <w:autoSpaceDE/>
              <w:autoSpaceDN/>
              <w:bidi w:val="0"/>
              <w:spacing w:line="360" w:lineRule="auto"/>
              <w:ind w:firstLine="480" w:firstLineChars="200"/>
              <w:jc w:val="both"/>
              <w:textAlignment w:val="auto"/>
              <w:outlineLvl w:val="2"/>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本项目水</w:t>
            </w:r>
            <w:r>
              <w:rPr>
                <w:rFonts w:hint="eastAsia" w:ascii="Times New Roman" w:hAnsi="Times New Roman" w:eastAsia="宋体" w:cs="宋体"/>
                <w:color w:val="auto"/>
                <w:kern w:val="2"/>
                <w:sz w:val="24"/>
                <w:szCs w:val="24"/>
                <w:highlight w:val="none"/>
                <w:lang w:val="en-US" w:eastAsia="zh-CN"/>
              </w:rPr>
              <w:t>平衡见</w:t>
            </w:r>
            <w:r>
              <w:rPr>
                <w:rFonts w:hint="eastAsia" w:ascii="Times New Roman" w:hAnsi="Times New Roman" w:eastAsia="宋体" w:cs="Times New Roman"/>
                <w:color w:val="auto"/>
                <w:kern w:val="2"/>
                <w:sz w:val="24"/>
                <w:szCs w:val="24"/>
                <w:highlight w:val="none"/>
              </w:rPr>
              <w:t>表</w:t>
            </w:r>
            <w:r>
              <w:rPr>
                <w:rFonts w:hint="eastAsia" w:ascii="Times New Roman" w:hAnsi="Times New Roman" w:cs="Times New Roman"/>
                <w:color w:val="auto"/>
                <w:kern w:val="2"/>
                <w:sz w:val="24"/>
                <w:szCs w:val="24"/>
                <w:highlight w:val="none"/>
                <w:lang w:val="en-US" w:eastAsia="zh-CN"/>
              </w:rPr>
              <w:t>2.5-1</w:t>
            </w:r>
            <w:r>
              <w:rPr>
                <w:rFonts w:hint="eastAsia" w:ascii="Times New Roman" w:hAnsi="Times New Roman" w:eastAsia="宋体" w:cs="Times New Roman"/>
                <w:color w:val="auto"/>
                <w:kern w:val="2"/>
                <w:sz w:val="24"/>
                <w:szCs w:val="24"/>
                <w:highlight w:val="none"/>
                <w:lang w:val="en-US" w:eastAsia="zh-CN"/>
              </w:rPr>
              <w:t>和图</w:t>
            </w:r>
            <w:r>
              <w:rPr>
                <w:rFonts w:hint="eastAsia" w:ascii="Times New Roman" w:hAnsi="Times New Roman" w:cs="Times New Roman"/>
                <w:color w:val="auto"/>
                <w:kern w:val="2"/>
                <w:sz w:val="24"/>
                <w:szCs w:val="24"/>
                <w:highlight w:val="none"/>
                <w:lang w:val="en-US" w:eastAsia="zh-CN"/>
              </w:rPr>
              <w:t>2.5-1</w:t>
            </w:r>
            <w:r>
              <w:rPr>
                <w:rFonts w:hint="eastAsia" w:ascii="Times New Roman" w:hAnsi="Times New Roman" w:eastAsia="宋体" w:cs="Times New Roman"/>
                <w:color w:val="auto"/>
                <w:kern w:val="2"/>
                <w:sz w:val="24"/>
                <w:szCs w:val="24"/>
                <w:highlight w:val="none"/>
                <w:lang w:val="en-US" w:eastAsia="zh-CN"/>
              </w:rPr>
              <w:t>。</w:t>
            </w:r>
          </w:p>
          <w:p w14:paraId="1274296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0" w:firstLineChars="0"/>
              <w:jc w:val="center"/>
              <w:textAlignment w:val="auto"/>
              <w:rPr>
                <w:rFonts w:hint="default"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4"/>
                <w:szCs w:val="24"/>
                <w:highlight w:val="none"/>
                <w:lang w:val="en-US" w:eastAsia="zh-CN" w:bidi="ar-SA"/>
              </w:rPr>
              <w:t>表2.</w:t>
            </w:r>
            <w:r>
              <w:rPr>
                <w:rFonts w:hint="eastAsia" w:ascii="Times New Roman" w:hAnsi="Times New Roman" w:cs="宋体"/>
                <w:b/>
                <w:color w:val="auto"/>
                <w:sz w:val="24"/>
                <w:szCs w:val="24"/>
                <w:highlight w:val="none"/>
                <w:lang w:val="en-US" w:eastAsia="zh-CN" w:bidi="ar-SA"/>
              </w:rPr>
              <w:t>5</w:t>
            </w:r>
            <w:r>
              <w:rPr>
                <w:rFonts w:hint="eastAsia" w:ascii="Times New Roman" w:hAnsi="Times New Roman" w:eastAsia="宋体" w:cs="宋体"/>
                <w:b/>
                <w:color w:val="auto"/>
                <w:sz w:val="24"/>
                <w:szCs w:val="24"/>
                <w:highlight w:val="none"/>
                <w:lang w:val="en-US" w:eastAsia="zh-CN" w:bidi="ar-SA"/>
              </w:rPr>
              <w:t>-1本项目</w:t>
            </w:r>
            <w:r>
              <w:rPr>
                <w:rFonts w:hint="eastAsia" w:cs="宋体"/>
                <w:b/>
                <w:color w:val="auto"/>
                <w:sz w:val="24"/>
                <w:szCs w:val="24"/>
                <w:highlight w:val="none"/>
                <w:lang w:val="en-US" w:eastAsia="zh-CN" w:bidi="ar-SA"/>
              </w:rPr>
              <w:t>生活用</w:t>
            </w:r>
            <w:r>
              <w:rPr>
                <w:rFonts w:hint="eastAsia" w:ascii="Times New Roman" w:hAnsi="Times New Roman" w:eastAsia="宋体" w:cs="宋体"/>
                <w:b/>
                <w:color w:val="auto"/>
                <w:sz w:val="24"/>
                <w:szCs w:val="24"/>
                <w:highlight w:val="none"/>
                <w:lang w:val="en-US" w:eastAsia="zh-CN" w:bidi="ar-SA"/>
              </w:rPr>
              <w:t>水水</w:t>
            </w:r>
            <w:r>
              <w:rPr>
                <w:rFonts w:hint="default" w:ascii="Times New Roman" w:hAnsi="Times New Roman" w:eastAsia="宋体" w:cs="宋体"/>
                <w:b/>
                <w:color w:val="auto"/>
                <w:sz w:val="24"/>
                <w:szCs w:val="24"/>
                <w:highlight w:val="none"/>
                <w:lang w:val="en-US" w:eastAsia="zh-CN" w:bidi="ar-SA"/>
              </w:rPr>
              <w:t>平衡表</w:t>
            </w:r>
          </w:p>
          <w:tbl>
            <w:tblPr>
              <w:tblStyle w:val="15"/>
              <w:tblW w:w="83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2625"/>
              <w:gridCol w:w="2405"/>
              <w:gridCol w:w="1085"/>
              <w:gridCol w:w="1439"/>
            </w:tblGrid>
            <w:tr w14:paraId="6105A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vMerge w:val="restart"/>
                  <w:tcBorders>
                    <w:tl2br w:val="nil"/>
                    <w:tr2bl w:val="nil"/>
                  </w:tcBorders>
                  <w:noWrap w:val="0"/>
                  <w:vAlign w:val="center"/>
                </w:tcPr>
                <w:p w14:paraId="52E7DC11">
                  <w:pPr>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序号</w:t>
                  </w:r>
                </w:p>
              </w:tc>
              <w:tc>
                <w:tcPr>
                  <w:tcW w:w="2625" w:type="dxa"/>
                  <w:vMerge w:val="restart"/>
                  <w:tcBorders>
                    <w:tl2br w:val="nil"/>
                    <w:tr2bl w:val="nil"/>
                  </w:tcBorders>
                  <w:noWrap w:val="0"/>
                  <w:vAlign w:val="center"/>
                </w:tcPr>
                <w:p w14:paraId="25657130">
                  <w:pPr>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用水工序</w:t>
                  </w:r>
                </w:p>
              </w:tc>
              <w:tc>
                <w:tcPr>
                  <w:tcW w:w="2405" w:type="dxa"/>
                  <w:tcBorders>
                    <w:tl2br w:val="nil"/>
                    <w:tr2bl w:val="nil"/>
                  </w:tcBorders>
                  <w:noWrap w:val="0"/>
                  <w:vAlign w:val="center"/>
                </w:tcPr>
                <w:p w14:paraId="353B4F3A">
                  <w:pPr>
                    <w:spacing w:line="240" w:lineRule="auto"/>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进水</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m</w:t>
                  </w:r>
                  <w:r>
                    <w:rPr>
                      <w:rFonts w:hint="eastAsia" w:ascii="Times New Roman" w:hAnsi="Times New Roman" w:cs="Times New Roman"/>
                      <w:color w:val="auto"/>
                      <w:kern w:val="2"/>
                      <w:sz w:val="21"/>
                      <w:szCs w:val="21"/>
                      <w:highlight w:val="none"/>
                      <w:vertAlign w:val="superscript"/>
                      <w:lang w:val="en-US" w:eastAsia="zh-CN"/>
                    </w:rPr>
                    <w:t>3</w:t>
                  </w:r>
                  <w:r>
                    <w:rPr>
                      <w:rFonts w:hint="eastAsia" w:ascii="Times New Roman" w:hAnsi="Times New Roman" w:cs="Times New Roman"/>
                      <w:color w:val="auto"/>
                      <w:kern w:val="2"/>
                      <w:sz w:val="21"/>
                      <w:szCs w:val="21"/>
                      <w:highlight w:val="none"/>
                      <w:vertAlign w:val="baseline"/>
                      <w:lang w:val="en-US" w:eastAsia="zh-CN"/>
                    </w:rPr>
                    <w:t>/a</w:t>
                  </w:r>
                  <w:r>
                    <w:rPr>
                      <w:rFonts w:hint="eastAsia" w:ascii="Times New Roman" w:hAnsi="Times New Roman" w:cs="Times New Roman"/>
                      <w:color w:val="auto"/>
                      <w:kern w:val="2"/>
                      <w:sz w:val="21"/>
                      <w:szCs w:val="21"/>
                      <w:highlight w:val="none"/>
                      <w:lang w:eastAsia="zh-CN"/>
                    </w:rPr>
                    <w:t>）</w:t>
                  </w:r>
                </w:p>
              </w:tc>
              <w:tc>
                <w:tcPr>
                  <w:tcW w:w="2524" w:type="dxa"/>
                  <w:gridSpan w:val="2"/>
                  <w:tcBorders>
                    <w:tl2br w:val="nil"/>
                    <w:tr2bl w:val="nil"/>
                  </w:tcBorders>
                  <w:noWrap w:val="0"/>
                  <w:vAlign w:val="center"/>
                </w:tcPr>
                <w:p w14:paraId="0B0832BA">
                  <w:pPr>
                    <w:spacing w:line="240" w:lineRule="auto"/>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出水</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m</w:t>
                  </w:r>
                  <w:r>
                    <w:rPr>
                      <w:rFonts w:hint="eastAsia" w:ascii="Times New Roman" w:hAnsi="Times New Roman" w:cs="Times New Roman"/>
                      <w:color w:val="auto"/>
                      <w:kern w:val="2"/>
                      <w:sz w:val="21"/>
                      <w:szCs w:val="21"/>
                      <w:highlight w:val="none"/>
                      <w:vertAlign w:val="superscript"/>
                      <w:lang w:val="en-US" w:eastAsia="zh-CN"/>
                    </w:rPr>
                    <w:t>3</w:t>
                  </w:r>
                  <w:r>
                    <w:rPr>
                      <w:rFonts w:hint="eastAsia" w:ascii="Times New Roman" w:hAnsi="Times New Roman" w:cs="Times New Roman"/>
                      <w:color w:val="auto"/>
                      <w:kern w:val="2"/>
                      <w:sz w:val="21"/>
                      <w:szCs w:val="21"/>
                      <w:highlight w:val="none"/>
                      <w:vertAlign w:val="baseline"/>
                      <w:lang w:val="en-US" w:eastAsia="zh-CN"/>
                    </w:rPr>
                    <w:t>/a</w:t>
                  </w:r>
                  <w:r>
                    <w:rPr>
                      <w:rFonts w:hint="eastAsia" w:ascii="Times New Roman" w:hAnsi="Times New Roman" w:cs="Times New Roman"/>
                      <w:color w:val="auto"/>
                      <w:kern w:val="2"/>
                      <w:sz w:val="21"/>
                      <w:szCs w:val="21"/>
                      <w:highlight w:val="none"/>
                      <w:lang w:eastAsia="zh-CN"/>
                    </w:rPr>
                    <w:t>）</w:t>
                  </w:r>
                </w:p>
              </w:tc>
            </w:tr>
            <w:tr w14:paraId="038C4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vMerge w:val="continue"/>
                  <w:tcBorders>
                    <w:tl2br w:val="nil"/>
                    <w:tr2bl w:val="nil"/>
                  </w:tcBorders>
                  <w:noWrap w:val="0"/>
                  <w:vAlign w:val="center"/>
                </w:tcPr>
                <w:p w14:paraId="0518B693">
                  <w:pPr>
                    <w:spacing w:line="240" w:lineRule="auto"/>
                    <w:jc w:val="center"/>
                    <w:rPr>
                      <w:rFonts w:ascii="Times New Roman" w:hAnsi="Times New Roman" w:cs="Times New Roman"/>
                      <w:color w:val="auto"/>
                      <w:kern w:val="2"/>
                      <w:sz w:val="21"/>
                      <w:szCs w:val="21"/>
                      <w:highlight w:val="none"/>
                    </w:rPr>
                  </w:pPr>
                </w:p>
              </w:tc>
              <w:tc>
                <w:tcPr>
                  <w:tcW w:w="2625" w:type="dxa"/>
                  <w:vMerge w:val="continue"/>
                  <w:tcBorders>
                    <w:tl2br w:val="nil"/>
                    <w:tr2bl w:val="nil"/>
                  </w:tcBorders>
                  <w:noWrap w:val="0"/>
                  <w:vAlign w:val="center"/>
                </w:tcPr>
                <w:p w14:paraId="078BBD82">
                  <w:pPr>
                    <w:spacing w:line="240" w:lineRule="auto"/>
                    <w:jc w:val="center"/>
                    <w:rPr>
                      <w:rFonts w:ascii="Times New Roman" w:hAnsi="Times New Roman" w:cs="Times New Roman"/>
                      <w:color w:val="auto"/>
                      <w:kern w:val="2"/>
                      <w:sz w:val="21"/>
                      <w:szCs w:val="21"/>
                      <w:highlight w:val="none"/>
                    </w:rPr>
                  </w:pPr>
                </w:p>
              </w:tc>
              <w:tc>
                <w:tcPr>
                  <w:tcW w:w="2405" w:type="dxa"/>
                  <w:tcBorders>
                    <w:tl2br w:val="nil"/>
                    <w:tr2bl w:val="nil"/>
                  </w:tcBorders>
                  <w:noWrap w:val="0"/>
                  <w:vAlign w:val="center"/>
                </w:tcPr>
                <w:p w14:paraId="6CBD4C9A">
                  <w:pPr>
                    <w:spacing w:line="240" w:lineRule="auto"/>
                    <w:jc w:val="center"/>
                    <w:rPr>
                      <w:rFonts w:hint="eastAsia" w:ascii="Times New Roman" w:hAnsi="Times New Roman" w:eastAsia="宋体" w:cs="Times New Roman"/>
                      <w:color w:val="auto"/>
                      <w:kern w:val="2"/>
                      <w:sz w:val="21"/>
                      <w:szCs w:val="21"/>
                      <w:highlight w:val="none"/>
                      <w:lang w:val="en-US" w:eastAsia="zh-CN"/>
                    </w:rPr>
                  </w:pPr>
                  <w:r>
                    <w:rPr>
                      <w:rFonts w:ascii="Times New Roman" w:hAnsi="Times New Roman" w:cs="Times New Roman"/>
                      <w:color w:val="auto"/>
                      <w:kern w:val="2"/>
                      <w:sz w:val="21"/>
                      <w:szCs w:val="21"/>
                      <w:highlight w:val="none"/>
                    </w:rPr>
                    <w:t>新鲜水</w:t>
                  </w:r>
                  <w:r>
                    <w:rPr>
                      <w:rFonts w:hint="eastAsia" w:cs="Times New Roman"/>
                      <w:color w:val="auto"/>
                      <w:kern w:val="2"/>
                      <w:sz w:val="21"/>
                      <w:szCs w:val="21"/>
                      <w:highlight w:val="none"/>
                      <w:lang w:val="en-US" w:eastAsia="zh-CN"/>
                    </w:rPr>
                    <w:t>用量</w:t>
                  </w:r>
                </w:p>
              </w:tc>
              <w:tc>
                <w:tcPr>
                  <w:tcW w:w="1085" w:type="dxa"/>
                  <w:tcBorders>
                    <w:tl2br w:val="nil"/>
                    <w:tr2bl w:val="nil"/>
                  </w:tcBorders>
                  <w:noWrap w:val="0"/>
                  <w:vAlign w:val="center"/>
                </w:tcPr>
                <w:p w14:paraId="3BDB517C">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rPr>
                    <w:t>损耗水</w:t>
                  </w:r>
                </w:p>
              </w:tc>
              <w:tc>
                <w:tcPr>
                  <w:tcW w:w="1439" w:type="dxa"/>
                  <w:tcBorders>
                    <w:tl2br w:val="nil"/>
                    <w:tr2bl w:val="nil"/>
                  </w:tcBorders>
                  <w:noWrap w:val="0"/>
                  <w:vAlign w:val="center"/>
                </w:tcPr>
                <w:p w14:paraId="5DD9495E">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rPr>
                    <w:t>外排水</w:t>
                  </w:r>
                </w:p>
              </w:tc>
            </w:tr>
            <w:tr w14:paraId="242B6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tcBorders>
                    <w:tl2br w:val="nil"/>
                    <w:tr2bl w:val="nil"/>
                  </w:tcBorders>
                  <w:noWrap/>
                  <w:vAlign w:val="center"/>
                </w:tcPr>
                <w:p w14:paraId="32FC4B6B">
                  <w:pPr>
                    <w:spacing w:line="240" w:lineRule="auto"/>
                    <w:jc w:val="center"/>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w:t>
                  </w:r>
                </w:p>
              </w:tc>
              <w:tc>
                <w:tcPr>
                  <w:tcW w:w="2625" w:type="dxa"/>
                  <w:tcBorders>
                    <w:tl2br w:val="nil"/>
                    <w:tr2bl w:val="nil"/>
                  </w:tcBorders>
                  <w:noWrap w:val="0"/>
                  <w:vAlign w:val="center"/>
                </w:tcPr>
                <w:p w14:paraId="58A90918">
                  <w:pPr>
                    <w:keepNext w:val="0"/>
                    <w:keepLines w:val="0"/>
                    <w:widowControl/>
                    <w:suppressLineNumbers w:val="0"/>
                    <w:spacing w:line="240" w:lineRule="auto"/>
                    <w:jc w:val="center"/>
                    <w:textAlignment w:val="center"/>
                    <w:rPr>
                      <w:rFonts w:ascii="Times New Roman" w:hAnsi="Times New Roman"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生活用水</w:t>
                  </w:r>
                </w:p>
              </w:tc>
              <w:tc>
                <w:tcPr>
                  <w:tcW w:w="2405" w:type="dxa"/>
                  <w:tcBorders>
                    <w:tl2br w:val="nil"/>
                    <w:tr2bl w:val="nil"/>
                  </w:tcBorders>
                  <w:noWrap/>
                  <w:vAlign w:val="center"/>
                </w:tcPr>
                <w:p w14:paraId="2FC1F17F">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w:t>
                  </w:r>
                </w:p>
              </w:tc>
              <w:tc>
                <w:tcPr>
                  <w:tcW w:w="1085" w:type="dxa"/>
                  <w:tcBorders>
                    <w:tl2br w:val="nil"/>
                    <w:tr2bl w:val="nil"/>
                  </w:tcBorders>
                  <w:noWrap/>
                  <w:vAlign w:val="center"/>
                </w:tcPr>
                <w:p w14:paraId="3E60B60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96</w:t>
                  </w:r>
                </w:p>
              </w:tc>
              <w:tc>
                <w:tcPr>
                  <w:tcW w:w="1439" w:type="dxa"/>
                  <w:tcBorders>
                    <w:tl2br w:val="nil"/>
                    <w:tr2bl w:val="nil"/>
                  </w:tcBorders>
                  <w:noWrap/>
                  <w:vAlign w:val="center"/>
                </w:tcPr>
                <w:p w14:paraId="1394677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384</w:t>
                  </w:r>
                </w:p>
              </w:tc>
            </w:tr>
            <w:tr w14:paraId="73B80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410" w:type="dxa"/>
                  <w:gridSpan w:val="2"/>
                  <w:tcBorders>
                    <w:tl2br w:val="nil"/>
                    <w:tr2bl w:val="nil"/>
                  </w:tcBorders>
                  <w:noWrap/>
                  <w:vAlign w:val="center"/>
                </w:tcPr>
                <w:p w14:paraId="71D36E68">
                  <w:pPr>
                    <w:spacing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小计</w:t>
                  </w:r>
                </w:p>
              </w:tc>
              <w:tc>
                <w:tcPr>
                  <w:tcW w:w="2405" w:type="dxa"/>
                  <w:tcBorders>
                    <w:tl2br w:val="nil"/>
                    <w:tr2bl w:val="nil"/>
                  </w:tcBorders>
                  <w:shd w:val="clear" w:color="auto" w:fill="auto"/>
                  <w:noWrap/>
                  <w:vAlign w:val="center"/>
                </w:tcPr>
                <w:p w14:paraId="20FDCB4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480</w:t>
                  </w:r>
                </w:p>
              </w:tc>
              <w:tc>
                <w:tcPr>
                  <w:tcW w:w="1085" w:type="dxa"/>
                  <w:tcBorders>
                    <w:tl2br w:val="nil"/>
                    <w:tr2bl w:val="nil"/>
                  </w:tcBorders>
                  <w:noWrap/>
                  <w:vAlign w:val="center"/>
                </w:tcPr>
                <w:p w14:paraId="259BDAF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96</w:t>
                  </w:r>
                </w:p>
              </w:tc>
              <w:tc>
                <w:tcPr>
                  <w:tcW w:w="1439" w:type="dxa"/>
                  <w:tcBorders>
                    <w:tl2br w:val="nil"/>
                    <w:tr2bl w:val="nil"/>
                  </w:tcBorders>
                  <w:noWrap/>
                  <w:vAlign w:val="center"/>
                </w:tcPr>
                <w:p w14:paraId="77EE9F1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384</w:t>
                  </w:r>
                </w:p>
              </w:tc>
            </w:tr>
          </w:tbl>
          <w:p w14:paraId="2A2C8C5A">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color w:val="auto"/>
                <w:lang w:val="en-US" w:eastAsia="zh-CN"/>
              </w:rPr>
            </w:pPr>
          </w:p>
          <w:p w14:paraId="44EC0A71">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r>
              <w:rPr>
                <w:color w:val="auto"/>
                <w:sz w:val="24"/>
              </w:rPr>
              <mc:AlternateContent>
                <mc:Choice Requires="wpg">
                  <w:drawing>
                    <wp:anchor distT="0" distB="0" distL="114300" distR="114300" simplePos="0" relativeHeight="251666432" behindDoc="0" locked="0" layoutInCell="1" allowOverlap="1">
                      <wp:simplePos x="0" y="0"/>
                      <wp:positionH relativeFrom="column">
                        <wp:posOffset>521970</wp:posOffset>
                      </wp:positionH>
                      <wp:positionV relativeFrom="paragraph">
                        <wp:posOffset>111125</wp:posOffset>
                      </wp:positionV>
                      <wp:extent cx="5081905" cy="998220"/>
                      <wp:effectExtent l="4445" t="0" r="0" b="0"/>
                      <wp:wrapNone/>
                      <wp:docPr id="11" name="组合 38"/>
                      <wp:cNvGraphicFramePr/>
                      <a:graphic xmlns:a="http://schemas.openxmlformats.org/drawingml/2006/main">
                        <a:graphicData uri="http://schemas.microsoft.com/office/word/2010/wordprocessingGroup">
                          <wpg:wgp>
                            <wpg:cNvGrpSpPr/>
                            <wpg:grpSpPr>
                              <a:xfrm rot="0">
                                <a:off x="1715770" y="3052445"/>
                                <a:ext cx="5081905" cy="998220"/>
                                <a:chOff x="6447" y="259565"/>
                                <a:chExt cx="8003" cy="1572"/>
                              </a:xfrm>
                            </wpg:grpSpPr>
                            <wpg:grpSp>
                              <wpg:cNvPr id="14" name="组合 24"/>
                              <wpg:cNvGrpSpPr/>
                              <wpg:grpSpPr>
                                <a:xfrm rot="0">
                                  <a:off x="6447" y="259565"/>
                                  <a:ext cx="8003" cy="1430"/>
                                  <a:chOff x="5874" y="242144"/>
                                  <a:chExt cx="8003" cy="1430"/>
                                </a:xfrm>
                              </wpg:grpSpPr>
                              <wpg:grpSp>
                                <wpg:cNvPr id="16" name="组合 6"/>
                                <wpg:cNvGrpSpPr/>
                                <wpg:grpSpPr>
                                  <a:xfrm rot="0">
                                    <a:off x="5874" y="242144"/>
                                    <a:ext cx="8003" cy="1430"/>
                                    <a:chOff x="5874" y="267022"/>
                                    <a:chExt cx="8003" cy="1430"/>
                                  </a:xfrm>
                                </wpg:grpSpPr>
                                <wps:wsp>
                                  <wps:cNvPr id="32" name="肘形连接符 2"/>
                                  <wps:cNvCnPr>
                                    <a:stCxn id="39" idx="3"/>
                                    <a:endCxn id="54" idx="1"/>
                                  </wps:cNvCnPr>
                                  <wps:spPr>
                                    <a:xfrm>
                                      <a:off x="6897" y="268055"/>
                                      <a:ext cx="1640" cy="5"/>
                                    </a:xfrm>
                                    <a:prstGeom prst="bentConnector2">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g:grpSp>
                                  <wpg:cNvPr id="31" name="组合 35"/>
                                  <wpg:cNvGrpSpPr/>
                                  <wpg:grpSpPr>
                                    <a:xfrm rot="0">
                                      <a:off x="5874" y="267022"/>
                                      <a:ext cx="8003" cy="1430"/>
                                      <a:chOff x="5522" y="267283"/>
                                      <a:chExt cx="8003" cy="1430"/>
                                    </a:xfrm>
                                  </wpg:grpSpPr>
                                  <wps:wsp>
                                    <wps:cNvPr id="64" name="矩形 64"/>
                                    <wps:cNvSpPr/>
                                    <wps:spPr>
                                      <a:xfrm>
                                        <a:off x="9742" y="267283"/>
                                        <a:ext cx="927" cy="477"/>
                                      </a:xfrm>
                                      <a:prstGeom prst="rect">
                                        <a:avLst/>
                                      </a:prstGeom>
                                      <a:noFill/>
                                      <a:ln>
                                        <a:noFill/>
                                      </a:ln>
                                      <a:effectLst/>
                                    </wps:spPr>
                                    <wps:txbx>
                                      <w:txbxContent>
                                        <w:p w14:paraId="24641FD2">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96</w:t>
                                          </w:r>
                                        </w:p>
                                      </w:txbxContent>
                                    </wps:txbx>
                                    <wps:bodyPr upright="1"/>
                                  </wps:wsp>
                                  <wps:wsp>
                                    <wps:cNvPr id="39" name="矩形 37"/>
                                    <wps:cNvSpPr/>
                                    <wps:spPr>
                                      <a:xfrm>
                                        <a:off x="5522" y="268034"/>
                                        <a:ext cx="1023" cy="564"/>
                                      </a:xfrm>
                                      <a:prstGeom prst="rect">
                                        <a:avLst/>
                                      </a:prstGeom>
                                      <a:noFill/>
                                      <a:ln w="9525" cap="flat" cmpd="sng">
                                        <a:solidFill>
                                          <a:srgbClr val="000000"/>
                                        </a:solidFill>
                                        <a:prstDash val="solid"/>
                                        <a:miter/>
                                        <a:headEnd type="none" w="med" len="med"/>
                                        <a:tailEnd type="none" w="med" len="med"/>
                                      </a:ln>
                                      <a:effectLst/>
                                    </wps:spPr>
                                    <wps:txbx>
                                      <w:txbxContent>
                                        <w:p w14:paraId="0501FA36">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新鲜水</w:t>
                                          </w:r>
                                        </w:p>
                                      </w:txbxContent>
                                    </wps:txbx>
                                    <wps:bodyPr upright="1"/>
                                  </wps:wsp>
                                  <wps:wsp>
                                    <wps:cNvPr id="54" name="矩形 54"/>
                                    <wps:cNvSpPr/>
                                    <wps:spPr>
                                      <a:xfrm>
                                        <a:off x="8185" y="268077"/>
                                        <a:ext cx="1312" cy="477"/>
                                      </a:xfrm>
                                      <a:prstGeom prst="rect">
                                        <a:avLst/>
                                      </a:prstGeom>
                                      <a:noFill/>
                                      <a:ln w="9525" cap="flat" cmpd="sng">
                                        <a:solidFill>
                                          <a:srgbClr val="000000"/>
                                        </a:solidFill>
                                        <a:prstDash val="solid"/>
                                        <a:miter/>
                                        <a:headEnd type="none" w="med" len="med"/>
                                        <a:tailEnd type="none" w="med" len="med"/>
                                      </a:ln>
                                      <a:effectLst/>
                                    </wps:spPr>
                                    <wps:txbx>
                                      <w:txbxContent>
                                        <w:p w14:paraId="62D518F3">
                                          <w:pPr>
                                            <w:widowControl w:val="0"/>
                                            <w:overflowPunct w:val="0"/>
                                            <w:autoSpaceDE w:val="0"/>
                                            <w:autoSpaceDN w:val="0"/>
                                            <w:adjustRightInd w:val="0"/>
                                            <w:snapToGrid w:val="0"/>
                                            <w:spacing w:before="0" w:after="0" w:line="320" w:lineRule="exact"/>
                                            <w:ind w:left="0" w:right="0" w:firstLine="0" w:firstLineChars="0"/>
                                            <w:jc w:val="center"/>
                                            <w:rPr>
                                              <w:rFonts w:hint="eastAsia"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生活用水</w:t>
                                          </w:r>
                                        </w:p>
                                      </w:txbxContent>
                                    </wps:txbx>
                                    <wps:bodyPr upright="1"/>
                                  </wps:wsp>
                                  <wps:wsp>
                                    <wps:cNvPr id="42" name="矩形 42"/>
                                    <wps:cNvSpPr/>
                                    <wps:spPr>
                                      <a:xfrm>
                                        <a:off x="10058" y="267862"/>
                                        <a:ext cx="976" cy="477"/>
                                      </a:xfrm>
                                      <a:prstGeom prst="rect">
                                        <a:avLst/>
                                      </a:prstGeom>
                                      <a:noFill/>
                                      <a:ln>
                                        <a:noFill/>
                                      </a:ln>
                                      <a:effectLst/>
                                    </wps:spPr>
                                    <wps:txbx>
                                      <w:txbxContent>
                                        <w:p w14:paraId="324AF6D8">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384</w:t>
                                          </w:r>
                                        </w:p>
                                      </w:txbxContent>
                                    </wps:txbx>
                                    <wps:bodyPr upright="1"/>
                                  </wps:wsp>
                                  <wps:wsp>
                                    <wps:cNvPr id="45" name="矩形 45"/>
                                    <wps:cNvSpPr/>
                                    <wps:spPr>
                                      <a:xfrm>
                                        <a:off x="11130" y="268074"/>
                                        <a:ext cx="2395" cy="639"/>
                                      </a:xfrm>
                                      <a:prstGeom prst="rect">
                                        <a:avLst/>
                                      </a:prstGeom>
                                      <a:noFill/>
                                      <a:ln>
                                        <a:noFill/>
                                      </a:ln>
                                      <a:effectLst/>
                                    </wps:spPr>
                                    <wps:txbx>
                                      <w:txbxContent>
                                        <w:p w14:paraId="050FF44B">
                                          <w:pPr>
                                            <w:rPr>
                                              <w:rFonts w:hint="default"/>
                                              <w:sz w:val="21"/>
                                              <w:szCs w:val="21"/>
                                              <w:lang w:val="en-US" w:eastAsia="zh-CN"/>
                                            </w:rPr>
                                          </w:pPr>
                                          <w:r>
                                            <w:rPr>
                                              <w:rFonts w:hint="eastAsia" w:cs="Times New Roman"/>
                                              <w:color w:val="000000"/>
                                              <w:kern w:val="2"/>
                                              <w:sz w:val="21"/>
                                              <w:szCs w:val="21"/>
                                              <w:highlight w:val="none"/>
                                              <w:lang w:val="en-US" w:eastAsia="zh-CN" w:bidi="ar-SA"/>
                                            </w:rPr>
                                            <w:t>园区管网</w:t>
                                          </w:r>
                                        </w:p>
                                      </w:txbxContent>
                                    </wps:txbx>
                                    <wps:bodyPr upright="1"/>
                                  </wps:wsp>
                                </wpg:grpSp>
                              </wpg:grpSp>
                              <wps:wsp>
                                <wps:cNvPr id="84" name="直接连接符 48"/>
                                <wps:cNvCnPr/>
                                <wps:spPr>
                                  <a:xfrm flipV="1">
                                    <a:off x="9844" y="242536"/>
                                    <a:ext cx="390" cy="240"/>
                                  </a:xfrm>
                                  <a:prstGeom prst="line">
                                    <a:avLst/>
                                  </a:prstGeom>
                                  <a:ln w="9525" cap="sq" cmpd="sng">
                                    <a:solidFill>
                                      <a:srgbClr val="000000"/>
                                    </a:solidFill>
                                    <a:prstDash val="sysDot"/>
                                    <a:headEnd type="none" w="med" len="med"/>
                                    <a:tailEnd type="triangle" w="med" len="med"/>
                                  </a:ln>
                                  <a:effectLst/>
                                </wps:spPr>
                                <wps:bodyPr upright="1"/>
                              </wps:wsp>
                            </wpg:grpSp>
                            <wps:wsp>
                              <wps:cNvPr id="36" name="矩形 43"/>
                              <wps:cNvSpPr/>
                              <wps:spPr>
                                <a:xfrm>
                                  <a:off x="7419" y="260614"/>
                                  <a:ext cx="877" cy="523"/>
                                </a:xfrm>
                                <a:prstGeom prst="rect">
                                  <a:avLst/>
                                </a:prstGeom>
                                <a:noFill/>
                                <a:ln>
                                  <a:noFill/>
                                </a:ln>
                                <a:effectLst/>
                              </wps:spPr>
                              <wps:txbx>
                                <w:txbxContent>
                                  <w:p w14:paraId="6B14B6E9">
                                    <w:pPr>
                                      <w:rPr>
                                        <w:rFonts w:hint="default"/>
                                        <w:lang w:val="en-US" w:eastAsia="zh-CN"/>
                                      </w:rPr>
                                    </w:pPr>
                                    <w:r>
                                      <w:rPr>
                                        <w:rFonts w:hint="eastAsia" w:cs="Times New Roman"/>
                                        <w:sz w:val="21"/>
                                        <w:szCs w:val="21"/>
                                        <w:highlight w:val="none"/>
                                        <w:lang w:val="en-US" w:eastAsia="zh-CN" w:bidi="ar-SA"/>
                                      </w:rPr>
                                      <w:t>480</w:t>
                                    </w:r>
                                  </w:p>
                                </w:txbxContent>
                              </wps:txbx>
                              <wps:bodyPr upright="1"/>
                            </wps:wsp>
                          </wpg:wgp>
                        </a:graphicData>
                      </a:graphic>
                    </wp:anchor>
                  </w:drawing>
                </mc:Choice>
                <mc:Fallback>
                  <w:pict>
                    <v:group id="组合 38" o:spid="_x0000_s1026" o:spt="203" style="position:absolute;left:0pt;margin-left:41.1pt;margin-top:8.75pt;height:78.6pt;width:400.15pt;z-index:251666432;mso-width-relative:page;mso-height-relative:page;" coordorigin="6447,259565" coordsize="8003,1572" o:gfxdata="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AAAAABkcnMvUEsBAhQAFAAAAAgAh07iQDdTUi7Y&#10;AAAACQEAAA8AAAAAAAAAAQAgAAAAIgAAAGRycy9kb3ducmV2LnhtbFBLAQIUABQAAAAIAIdO4kAK&#10;/DZTBQUAALUVAAAOAAAAAAAAAAEAIAAAACcBAABkcnMvZTJvRG9jLnhtbFBLBQYAAAAABgAGAFkB&#10;AACeCAAAAAA=&#10;">
                      <o:lock v:ext="edit" aspectratio="f"/>
                      <v:group id="组合 24" o:spid="_x0000_s1026" o:spt="203" style="position:absolute;left:6447;top:259565;height:1430;width:8003;" coordorigin="5874,242144" coordsize="8003,143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group id="组合 6" o:spid="_x0000_s1026" o:spt="203" style="position:absolute;left:5874;top:242144;height:1430;width:8003;" coordorigin="5874,267022" coordsize="8003,143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肘形连接符 2" o:spid="_x0000_s1026" o:spt="33" type="#_x0000_t33" style="position:absolute;left:6897;top:268055;height:5;width:1640;" filled="f" stroked="t" coordsize="21600,21600" o:gfxdata="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Tpq8AAAA&#10;2wAAAA8AAAAAAAAAAQAgAAAAIgAAAGRycy9kb3ducmV2LnhtbFBLAQIUABQAAAAIAIdO4kAzLwWe&#10;OwAAADkAAAAQAAAAAAAAAAEAIAAAAAsBAABkcnMvc2hhcGV4bWwueG1sUEsFBgAAAAAGAAYAWwEA&#10;ALUDAAAAAA==&#10;">
                            <v:fill on="f" focussize="0,0"/>
                            <v:stroke weight="0.5pt" color="#000000 [3204]" miterlimit="8" joinstyle="miter" endarrow="block"/>
                            <v:imagedata o:title=""/>
                            <o:lock v:ext="edit" aspectratio="f"/>
                          </v:shape>
                          <v:group id="组合 35" o:spid="_x0000_s1026" o:spt="203" style="position:absolute;left:5874;top:267022;height:1430;width:8003;" coordorigin="5522,267283" coordsize="8003,143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rect id="_x0000_s1026" o:spid="_x0000_s1026" o:spt="1" style="position:absolute;left:9742;top:267283;height:477;width:927;" filled="f" stroked="f" coordsize="21600,21600" o:gfxdata="UEsDBAoAAAAAAIdO4kAAAAAAAAAAAAAAAAAEAAAAZHJzL1BLAwQUAAAACACHTuJANwLRbr0AAADb&#10;AAAADwAAAGRycy9kb3ducmV2LnhtbEWPQYvCMBSE78L+h/AWvMiaKiJ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tF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4641FD2">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96</w:t>
                                    </w:r>
                                  </w:p>
                                </w:txbxContent>
                              </v:textbox>
                            </v:rect>
                            <v:rect id="矩形 37" o:spid="_x0000_s1026" o:spt="1" style="position:absolute;left:5522;top:268034;height:564;width:1023;" filled="f" stroked="t" coordsize="21600,21600" o:gfxdata="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d+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501FA36">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新鲜水</w:t>
                                    </w:r>
                                  </w:p>
                                </w:txbxContent>
                              </v:textbox>
                            </v:rect>
                            <v:rect id="_x0000_s1026" o:spid="_x0000_s1026" o:spt="1" style="position:absolute;left:8185;top:268077;height:477;width:1312;" filled="f" stroked="t" coordsize="21600,21600" o:gfxdata="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5Wc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62D518F3">
                                    <w:pPr>
                                      <w:widowControl w:val="0"/>
                                      <w:overflowPunct w:val="0"/>
                                      <w:autoSpaceDE w:val="0"/>
                                      <w:autoSpaceDN w:val="0"/>
                                      <w:adjustRightInd w:val="0"/>
                                      <w:snapToGrid w:val="0"/>
                                      <w:spacing w:before="0" w:after="0" w:line="320" w:lineRule="exact"/>
                                      <w:ind w:left="0" w:right="0" w:firstLine="0" w:firstLineChars="0"/>
                                      <w:jc w:val="center"/>
                                      <w:rPr>
                                        <w:rFonts w:hint="eastAsia" w:ascii="Times New Roman" w:hAnsi="Times New Roman" w:eastAsia="宋体" w:cs="Times New Roman"/>
                                        <w:kern w:val="0"/>
                                        <w:sz w:val="21"/>
                                        <w:szCs w:val="24"/>
                                        <w:lang w:val="en-US" w:eastAsia="zh-CN" w:bidi="ar-SA"/>
                                      </w:rPr>
                                    </w:pPr>
                                    <w:r>
                                      <w:rPr>
                                        <w:rFonts w:hint="eastAsia" w:ascii="Times New Roman" w:hAnsi="Times New Roman" w:eastAsia="宋体" w:cs="Times New Roman"/>
                                        <w:kern w:val="0"/>
                                        <w:sz w:val="21"/>
                                        <w:szCs w:val="24"/>
                                        <w:lang w:val="en-US" w:eastAsia="zh-CN" w:bidi="ar-SA"/>
                                      </w:rPr>
                                      <w:t>生活用水</w:t>
                                    </w:r>
                                  </w:p>
                                </w:txbxContent>
                              </v:textbox>
                            </v:rect>
                            <v:rect id="_x0000_s1026" o:spid="_x0000_s1026" o:spt="1" style="position:absolute;left:10058;top:267862;height:477;width:976;" filled="f" stroked="f" coordsize="21600,21600" o:gfxdata="UEsDBAoAAAAAAIdO4kAAAAAAAAAAAAAAAAAEAAAAZHJzL1BLAwQUAAAACACHTuJAnBKw4b0AAADb&#10;AAAADwAAAGRycy9kb3ducmV2LnhtbEWPQYvCMBSE7wv+h/CEvSyaKot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D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24AF6D8">
                                    <w:pPr>
                                      <w:widowControl w:val="0"/>
                                      <w:overflowPunct w:val="0"/>
                                      <w:autoSpaceDE w:val="0"/>
                                      <w:autoSpaceDN w:val="0"/>
                                      <w:adjustRightInd w:val="0"/>
                                      <w:snapToGrid w:val="0"/>
                                      <w:spacing w:before="0" w:after="0" w:line="320" w:lineRule="exact"/>
                                      <w:ind w:left="0" w:right="0" w:firstLine="0" w:firstLineChars="0"/>
                                      <w:jc w:val="center"/>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384</w:t>
                                    </w:r>
                                  </w:p>
                                </w:txbxContent>
                              </v:textbox>
                            </v:rect>
                            <v:rect id="_x0000_s1026" o:spid="_x0000_s1026" o:spt="1" style="position:absolute;left:11130;top:268074;height:639;width:2395;"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50FF44B">
                                    <w:pPr>
                                      <w:rPr>
                                        <w:rFonts w:hint="default"/>
                                        <w:sz w:val="21"/>
                                        <w:szCs w:val="21"/>
                                        <w:lang w:val="en-US" w:eastAsia="zh-CN"/>
                                      </w:rPr>
                                    </w:pPr>
                                    <w:r>
                                      <w:rPr>
                                        <w:rFonts w:hint="eastAsia" w:cs="Times New Roman"/>
                                        <w:color w:val="000000"/>
                                        <w:kern w:val="2"/>
                                        <w:sz w:val="21"/>
                                        <w:szCs w:val="21"/>
                                        <w:highlight w:val="none"/>
                                        <w:lang w:val="en-US" w:eastAsia="zh-CN" w:bidi="ar-SA"/>
                                      </w:rPr>
                                      <w:t>园区管网</w:t>
                                    </w:r>
                                  </w:p>
                                </w:txbxContent>
                              </v:textbox>
                            </v:rect>
                          </v:group>
                        </v:group>
                        <v:line id="直接连接符 48" o:spid="_x0000_s1026" o:spt="20" style="position:absolute;left:9844;top:242536;flip:y;height:240;width:390;" filled="f" stroked="t" coordsize="21600,21600" o:gfxdata="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JxRL4A&#10;AADbAAAADwAAAAAAAAABACAAAAAiAAAAZHJzL2Rvd25yZXYueG1sUEsBAhQAFAAAAAgAh07iQDMv&#10;BZ47AAAAOQAAABAAAAAAAAAAAQAgAAAADQEAAGRycy9zaGFwZXhtbC54bWxQSwUGAAAAAAYABgBb&#10;AQAAtwMAAAAA&#10;">
                          <v:fill on="f" focussize="0,0"/>
                          <v:stroke color="#000000" joinstyle="round" dashstyle="1 1" endcap="square" endarrow="block"/>
                          <v:imagedata o:title=""/>
                          <o:lock v:ext="edit" aspectratio="f"/>
                        </v:line>
                      </v:group>
                      <v:rect id="矩形 43" o:spid="_x0000_s1026" o:spt="1" style="position:absolute;left:7419;top:260614;height:523;width:877;"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B14B6E9">
                              <w:pPr>
                                <w:rPr>
                                  <w:rFonts w:hint="default"/>
                                  <w:lang w:val="en-US" w:eastAsia="zh-CN"/>
                                </w:rPr>
                              </w:pPr>
                              <w:r>
                                <w:rPr>
                                  <w:rFonts w:hint="eastAsia" w:cs="Times New Roman"/>
                                  <w:sz w:val="21"/>
                                  <w:szCs w:val="21"/>
                                  <w:highlight w:val="none"/>
                                  <w:lang w:val="en-US" w:eastAsia="zh-CN" w:bidi="ar-SA"/>
                                </w:rPr>
                                <w:t>480</w:t>
                              </w:r>
                            </w:p>
                          </w:txbxContent>
                        </v:textbox>
                      </v:rect>
                    </v:group>
                  </w:pict>
                </mc:Fallback>
              </mc:AlternateContent>
            </w:r>
          </w:p>
          <w:p w14:paraId="3B12519E">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p>
          <w:p w14:paraId="48A9F2A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r>
              <w:rPr>
                <w:color w:val="auto"/>
              </w:rPr>
              <mc:AlternateContent>
                <mc:Choice Requires="wps">
                  <w:drawing>
                    <wp:anchor distT="0" distB="0" distL="114300" distR="114300" simplePos="0" relativeHeight="251667456" behindDoc="0" locked="0" layoutInCell="1" allowOverlap="1">
                      <wp:simplePos x="0" y="0"/>
                      <wp:positionH relativeFrom="column">
                        <wp:posOffset>3064510</wp:posOffset>
                      </wp:positionH>
                      <wp:positionV relativeFrom="paragraph">
                        <wp:posOffset>228600</wp:posOffset>
                      </wp:positionV>
                      <wp:extent cx="1041400" cy="3175"/>
                      <wp:effectExtent l="0" t="38100" r="6350" b="34925"/>
                      <wp:wrapNone/>
                      <wp:docPr id="34" name="肘形连接符 2"/>
                      <wp:cNvGraphicFramePr/>
                      <a:graphic xmlns:a="http://schemas.openxmlformats.org/drawingml/2006/main">
                        <a:graphicData uri="http://schemas.microsoft.com/office/word/2010/wordprocessingShape">
                          <wps:wsp>
                            <wps:cNvCnPr/>
                            <wps:spPr>
                              <a:xfrm>
                                <a:off x="0" y="0"/>
                                <a:ext cx="1041400" cy="3175"/>
                              </a:xfrm>
                              <a:prstGeom prst="bentConnector2">
                                <a:avLst/>
                              </a:prstGeom>
                              <a:noFill/>
                              <a:ln w="6350" cap="flat" cmpd="sng" algn="ctr">
                                <a:solidFill>
                                  <a:sysClr val="windowText" lastClr="00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2" o:spid="_x0000_s1026" o:spt="33" type="#_x0000_t33" style="position:absolute;left:0pt;margin-left:241.3pt;margin-top:18pt;height:0.25pt;width:82pt;z-index:251667456;mso-width-relative:page;mso-height-relative:page;" filled="f" stroked="t" coordsize="21600,21600" o:gfxdata="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DEsyXUAAAACQEAAA8AAAAAAAAA&#10;AQAgAAAAIgAAAGRycy9kb3ducmV2LnhtbFBLAQIUABQAAAAIAIdO4kBKoRETFQIAAP0DAAAOAAAA&#10;AAAAAAEAIAAAACMBAABkcnMvZTJvRG9jLnhtbFBLBQYAAAAABgAGAFkBAACqBQAAAAA=&#10;">
                      <v:fill on="f" focussize="0,0"/>
                      <v:stroke weight="0.5pt" color="#000000 [3204]" miterlimit="8" joinstyle="miter" endarrow="block"/>
                      <v:imagedata o:title=""/>
                      <o:lock v:ext="edit" aspectratio="f"/>
                    </v:shape>
                  </w:pict>
                </mc:Fallback>
              </mc:AlternateContent>
            </w:r>
          </w:p>
          <w:p w14:paraId="2640D138">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b/>
                <w:color w:val="auto"/>
                <w:sz w:val="24"/>
                <w:szCs w:val="24"/>
                <w:highlight w:val="none"/>
                <w:lang w:val="en-US" w:eastAsia="zh-CN" w:bidi="ar-SA"/>
              </w:rPr>
            </w:pPr>
          </w:p>
          <w:p w14:paraId="7B67F324">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both"/>
              <w:textAlignment w:val="auto"/>
              <w:rPr>
                <w:rFonts w:hint="eastAsia" w:ascii="Times New Roman" w:hAnsi="Times New Roman" w:eastAsia="宋体" w:cs="宋体"/>
                <w:b/>
                <w:color w:val="auto"/>
                <w:sz w:val="24"/>
                <w:szCs w:val="24"/>
                <w:highlight w:val="none"/>
                <w:lang w:val="en-US" w:eastAsia="zh-CN" w:bidi="ar-SA"/>
              </w:rPr>
            </w:pPr>
          </w:p>
          <w:p w14:paraId="6CC9BEE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default"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4"/>
                <w:szCs w:val="24"/>
                <w:highlight w:val="none"/>
                <w:lang w:val="en-US" w:eastAsia="zh-CN" w:bidi="ar-SA"/>
              </w:rPr>
              <w:t>图2.</w:t>
            </w:r>
            <w:r>
              <w:rPr>
                <w:rFonts w:hint="eastAsia" w:ascii="Times New Roman" w:hAnsi="Times New Roman" w:cs="宋体"/>
                <w:b/>
                <w:color w:val="auto"/>
                <w:sz w:val="24"/>
                <w:szCs w:val="24"/>
                <w:highlight w:val="none"/>
                <w:lang w:val="en-US" w:eastAsia="zh-CN" w:bidi="ar-SA"/>
              </w:rPr>
              <w:t>5</w:t>
            </w:r>
            <w:r>
              <w:rPr>
                <w:rFonts w:hint="eastAsia" w:ascii="Times New Roman" w:hAnsi="Times New Roman" w:eastAsia="宋体" w:cs="宋体"/>
                <w:b/>
                <w:color w:val="auto"/>
                <w:sz w:val="24"/>
                <w:szCs w:val="24"/>
                <w:highlight w:val="none"/>
                <w:lang w:val="en-US" w:eastAsia="zh-CN" w:bidi="ar-SA"/>
              </w:rPr>
              <w:t>-1本项目</w:t>
            </w:r>
            <w:r>
              <w:rPr>
                <w:rFonts w:hint="eastAsia" w:cs="宋体"/>
                <w:b/>
                <w:color w:val="auto"/>
                <w:sz w:val="24"/>
                <w:szCs w:val="24"/>
                <w:highlight w:val="none"/>
                <w:lang w:val="en-US" w:eastAsia="zh-CN" w:bidi="ar-SA"/>
              </w:rPr>
              <w:t>生活用水</w:t>
            </w:r>
            <w:r>
              <w:rPr>
                <w:rFonts w:hint="eastAsia" w:ascii="Times New Roman" w:hAnsi="Times New Roman" w:eastAsia="宋体" w:cs="宋体"/>
                <w:b/>
                <w:color w:val="auto"/>
                <w:sz w:val="24"/>
                <w:szCs w:val="24"/>
                <w:highlight w:val="none"/>
                <w:lang w:val="en-US" w:eastAsia="zh-CN" w:bidi="ar-SA"/>
              </w:rPr>
              <w:t>水</w:t>
            </w:r>
            <w:r>
              <w:rPr>
                <w:rFonts w:hint="default" w:ascii="Times New Roman" w:hAnsi="Times New Roman" w:eastAsia="宋体" w:cs="宋体"/>
                <w:b/>
                <w:color w:val="auto"/>
                <w:sz w:val="24"/>
                <w:szCs w:val="24"/>
                <w:highlight w:val="none"/>
                <w:lang w:val="en-US" w:eastAsia="zh-CN" w:bidi="ar-SA"/>
              </w:rPr>
              <w:t>平衡</w:t>
            </w:r>
            <w:r>
              <w:rPr>
                <w:rFonts w:hint="eastAsia" w:ascii="Times New Roman" w:hAnsi="Times New Roman" w:eastAsia="宋体" w:cs="宋体"/>
                <w:b/>
                <w:color w:val="auto"/>
                <w:sz w:val="24"/>
                <w:szCs w:val="24"/>
                <w:highlight w:val="none"/>
                <w:lang w:val="en-US" w:eastAsia="zh-CN" w:bidi="ar-SA"/>
              </w:rPr>
              <w:t>图（</w:t>
            </w:r>
            <w:r>
              <w:rPr>
                <w:rFonts w:hint="eastAsia" w:cs="宋体"/>
                <w:b/>
                <w:color w:val="auto"/>
                <w:sz w:val="24"/>
                <w:szCs w:val="24"/>
                <w:highlight w:val="none"/>
                <w:lang w:val="en-US" w:eastAsia="zh-CN" w:bidi="ar-SA"/>
              </w:rPr>
              <w:t>m</w:t>
            </w:r>
            <w:r>
              <w:rPr>
                <w:rFonts w:hint="eastAsia" w:cs="宋体"/>
                <w:b/>
                <w:color w:val="auto"/>
                <w:sz w:val="24"/>
                <w:szCs w:val="24"/>
                <w:highlight w:val="none"/>
                <w:vertAlign w:val="superscript"/>
                <w:lang w:val="en-US" w:eastAsia="zh-CN" w:bidi="ar-SA"/>
              </w:rPr>
              <w:t>3</w:t>
            </w:r>
            <w:r>
              <w:rPr>
                <w:rFonts w:hint="eastAsia" w:ascii="Times New Roman" w:hAnsi="Times New Roman" w:eastAsia="宋体" w:cs="宋体"/>
                <w:b/>
                <w:color w:val="auto"/>
                <w:sz w:val="24"/>
                <w:szCs w:val="24"/>
                <w:highlight w:val="none"/>
                <w:lang w:val="en-US" w:eastAsia="zh-CN" w:bidi="ar-SA"/>
              </w:rPr>
              <w:t>/a）</w:t>
            </w:r>
          </w:p>
          <w:p w14:paraId="1D4F38F7">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firstLine="480" w:firstLineChars="200"/>
              <w:jc w:val="left"/>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r>
              <w:rPr>
                <w:rFonts w:hint="default" w:ascii="Times New Roman" w:hAnsi="Times New Roman" w:eastAsia="宋体" w:cs="宋体"/>
                <w:color w:val="auto"/>
                <w:lang w:val="en-US" w:eastAsia="zh-CN"/>
              </w:rPr>
              <w:t>供电</w:t>
            </w:r>
          </w:p>
          <w:p w14:paraId="65969B51">
            <w:pPr>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bidi="ar-SA"/>
              </w:rPr>
              <w:t>本项目供电由</w:t>
            </w:r>
            <w:r>
              <w:rPr>
                <w:rFonts w:hint="eastAsia" w:cs="Times New Roman"/>
                <w:color w:val="auto"/>
                <w:kern w:val="2"/>
                <w:sz w:val="24"/>
                <w:szCs w:val="24"/>
                <w:lang w:val="en-US" w:eastAsia="zh-CN" w:bidi="ar-SA"/>
              </w:rPr>
              <w:t>园区电网供电</w:t>
            </w:r>
            <w:r>
              <w:rPr>
                <w:rFonts w:hint="default" w:ascii="Times New Roman" w:hAnsi="Times New Roman" w:eastAsia="宋体" w:cs="Times New Roman"/>
                <w:color w:val="auto"/>
                <w:kern w:val="2"/>
                <w:sz w:val="24"/>
                <w:szCs w:val="24"/>
                <w:lang w:val="en-US" w:eastAsia="zh-CN" w:bidi="ar-SA"/>
              </w:rPr>
              <w:t>。</w:t>
            </w:r>
          </w:p>
          <w:p w14:paraId="6BFAAD3A">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（4）</w:t>
            </w:r>
            <w:r>
              <w:rPr>
                <w:rFonts w:hint="default" w:ascii="Times New Roman" w:hAnsi="Times New Roman" w:eastAsia="宋体" w:cs="宋体"/>
                <w:color w:val="auto"/>
                <w:lang w:val="en-US" w:eastAsia="zh-CN"/>
              </w:rPr>
              <w:t>供热</w:t>
            </w:r>
          </w:p>
          <w:p w14:paraId="78960446">
            <w:pPr>
              <w:widowControl w:val="0"/>
              <w:overflowPunct w:val="0"/>
              <w:autoSpaceDE w:val="0"/>
              <w:autoSpaceDN w:val="0"/>
              <w:adjustRightInd w:val="0"/>
              <w:snapToGrid w:val="0"/>
              <w:spacing w:before="0" w:after="0" w:line="360" w:lineRule="auto"/>
              <w:ind w:right="0" w:firstLine="480" w:firstLineChars="200"/>
              <w:jc w:val="both"/>
              <w:rPr>
                <w:rFonts w:hint="default" w:ascii="Times New Roman" w:hAnsi="Times New Roman" w:eastAsia="宋体" w:cs="Times New Roman"/>
                <w:color w:val="auto"/>
                <w:kern w:val="2"/>
                <w:sz w:val="24"/>
                <w:szCs w:val="28"/>
                <w:lang w:val="en-US" w:eastAsia="zh-CN" w:bidi="ar-SA"/>
              </w:rPr>
            </w:pPr>
            <w:r>
              <w:rPr>
                <w:rFonts w:hint="default" w:ascii="Times New Roman" w:hAnsi="Times New Roman" w:eastAsia="宋体" w:cs="Times New Roman"/>
                <w:color w:val="auto"/>
                <w:kern w:val="2"/>
                <w:sz w:val="24"/>
                <w:szCs w:val="28"/>
                <w:lang w:val="en-US" w:eastAsia="zh-CN" w:bidi="ar-SA"/>
              </w:rPr>
              <w:t>本项目运营期</w:t>
            </w:r>
            <w:r>
              <w:rPr>
                <w:rFonts w:hint="eastAsia" w:cs="Times New Roman"/>
                <w:color w:val="auto"/>
                <w:kern w:val="2"/>
                <w:sz w:val="24"/>
                <w:szCs w:val="28"/>
                <w:lang w:val="en-US" w:eastAsia="zh-CN" w:bidi="ar-SA"/>
              </w:rPr>
              <w:t>造粒为</w:t>
            </w:r>
            <w:r>
              <w:rPr>
                <w:rFonts w:hint="default" w:ascii="Times New Roman" w:hAnsi="Times New Roman" w:eastAsia="宋体" w:cs="Times New Roman"/>
                <w:color w:val="auto"/>
                <w:kern w:val="2"/>
                <w:sz w:val="24"/>
                <w:szCs w:val="28"/>
                <w:lang w:val="en-US" w:eastAsia="zh-CN" w:bidi="ar-SA"/>
              </w:rPr>
              <w:t>电加热设备，</w:t>
            </w:r>
            <w:r>
              <w:rPr>
                <w:rFonts w:hint="default" w:ascii="Times New Roman" w:hAnsi="Times New Roman" w:eastAsia="宋体" w:cs="Times New Roman"/>
                <w:color w:val="auto"/>
                <w:kern w:val="2"/>
                <w:sz w:val="24"/>
                <w:szCs w:val="28"/>
                <w:highlight w:val="none"/>
                <w:lang w:val="en-US" w:eastAsia="zh-CN" w:bidi="ar-SA"/>
              </w:rPr>
              <w:t>冬季车间</w:t>
            </w:r>
            <w:r>
              <w:rPr>
                <w:rFonts w:hint="eastAsia" w:cs="Times New Roman"/>
                <w:color w:val="auto"/>
                <w:kern w:val="2"/>
                <w:sz w:val="24"/>
                <w:szCs w:val="28"/>
                <w:highlight w:val="none"/>
                <w:lang w:val="en-US" w:eastAsia="zh-CN" w:bidi="ar-SA"/>
              </w:rPr>
              <w:t>以及</w:t>
            </w:r>
            <w:r>
              <w:rPr>
                <w:rFonts w:hint="default" w:ascii="Times New Roman" w:hAnsi="Times New Roman" w:eastAsia="宋体" w:cs="Times New Roman"/>
                <w:color w:val="auto"/>
                <w:kern w:val="2"/>
                <w:sz w:val="24"/>
                <w:szCs w:val="28"/>
                <w:highlight w:val="none"/>
                <w:lang w:val="en-US" w:eastAsia="zh-CN" w:bidi="ar-SA"/>
              </w:rPr>
              <w:t>生活办公区取暖均由</w:t>
            </w:r>
            <w:r>
              <w:rPr>
                <w:rFonts w:hint="eastAsia" w:cs="Times New Roman"/>
                <w:color w:val="auto"/>
                <w:kern w:val="2"/>
                <w:sz w:val="24"/>
                <w:szCs w:val="28"/>
                <w:highlight w:val="none"/>
                <w:lang w:val="en-US" w:eastAsia="zh-CN" w:bidi="ar-SA"/>
              </w:rPr>
              <w:t>园区集中供热</w:t>
            </w:r>
            <w:r>
              <w:rPr>
                <w:rFonts w:hint="default" w:ascii="Times New Roman" w:hAnsi="Times New Roman" w:eastAsia="宋体" w:cs="Times New Roman"/>
                <w:color w:val="auto"/>
                <w:kern w:val="2"/>
                <w:sz w:val="24"/>
                <w:szCs w:val="28"/>
                <w:highlight w:val="none"/>
                <w:lang w:val="en-US" w:eastAsia="zh-CN" w:bidi="ar-SA"/>
              </w:rPr>
              <w:t>供给</w:t>
            </w:r>
            <w:r>
              <w:rPr>
                <w:rFonts w:hint="default" w:ascii="Times New Roman" w:hAnsi="Times New Roman" w:eastAsia="宋体" w:cs="Times New Roman"/>
                <w:color w:val="auto"/>
                <w:kern w:val="2"/>
                <w:sz w:val="24"/>
                <w:szCs w:val="28"/>
                <w:lang w:val="en-US" w:eastAsia="zh-CN" w:bidi="ar-SA"/>
              </w:rPr>
              <w:t>。</w:t>
            </w:r>
          </w:p>
          <w:p w14:paraId="1894AAB7">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6、</w:t>
            </w:r>
            <w:r>
              <w:rPr>
                <w:rFonts w:ascii="Times New Roman" w:hAnsi="Times New Roman" w:eastAsia="宋体" w:cs="黑体"/>
                <w:b/>
                <w:color w:val="auto"/>
                <w:sz w:val="28"/>
                <w:szCs w:val="30"/>
                <w:lang w:val="en-US" w:eastAsia="zh-CN" w:bidi="ar-SA"/>
              </w:rPr>
              <w:t>厂区平面布置</w:t>
            </w:r>
          </w:p>
          <w:p w14:paraId="24B40591">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本项目</w:t>
            </w:r>
            <w:r>
              <w:rPr>
                <w:rFonts w:hint="eastAsia" w:cs="Times New Roman"/>
                <w:b w:val="0"/>
                <w:bCs w:val="0"/>
                <w:color w:val="auto"/>
                <w:sz w:val="24"/>
                <w:szCs w:val="24"/>
                <w:highlight w:val="none"/>
                <w:lang w:val="en-US" w:eastAsia="zh-CN" w:bidi="ar-SA"/>
              </w:rPr>
              <w:t>所在车间位于阜康市新疆东方启辰工贸有限公司</w:t>
            </w:r>
            <w:r>
              <w:rPr>
                <w:rFonts w:hint="default" w:ascii="Times New Roman" w:hAnsi="Times New Roman" w:eastAsia="宋体" w:cs="Times New Roman"/>
                <w:b w:val="0"/>
                <w:bCs w:val="0"/>
                <w:color w:val="auto"/>
                <w:kern w:val="2"/>
                <w:sz w:val="24"/>
                <w:szCs w:val="24"/>
                <w:highlight w:val="none"/>
                <w:lang w:val="en-US" w:eastAsia="zh-CN" w:bidi="ar-SA"/>
              </w:rPr>
              <w:t>厂区</w:t>
            </w:r>
            <w:r>
              <w:rPr>
                <w:rFonts w:hint="eastAsia" w:cs="Times New Roman"/>
                <w:b w:val="0"/>
                <w:bCs w:val="0"/>
                <w:color w:val="auto"/>
                <w:kern w:val="2"/>
                <w:sz w:val="24"/>
                <w:szCs w:val="24"/>
                <w:highlight w:val="none"/>
                <w:lang w:val="en-US" w:eastAsia="zh-CN" w:bidi="ar-SA"/>
              </w:rPr>
              <w:t>北侧</w:t>
            </w:r>
            <w:r>
              <w:rPr>
                <w:rFonts w:hint="default" w:ascii="Times New Roman" w:hAnsi="Times New Roman" w:eastAsia="宋体" w:cs="Times New Roman"/>
                <w:b w:val="0"/>
                <w:bCs w:val="0"/>
                <w:color w:val="auto"/>
                <w:kern w:val="2"/>
                <w:sz w:val="24"/>
                <w:szCs w:val="24"/>
                <w:highlight w:val="none"/>
                <w:lang w:val="en-US" w:eastAsia="zh-CN" w:bidi="ar-SA"/>
              </w:rPr>
              <w:t>，靠近厂区主入口和主要道路，便于人员出入。厂区内道路为混凝土地面，道路环状布置，可以满足消防车辆及其</w:t>
            </w:r>
            <w:r>
              <w:rPr>
                <w:rFonts w:hint="eastAsia" w:cs="Times New Roman"/>
                <w:b w:val="0"/>
                <w:bCs w:val="0"/>
                <w:color w:val="auto"/>
                <w:kern w:val="2"/>
                <w:sz w:val="24"/>
                <w:szCs w:val="24"/>
                <w:highlight w:val="none"/>
                <w:lang w:val="en-US" w:eastAsia="zh-CN" w:bidi="ar-SA"/>
              </w:rPr>
              <w:t>他</w:t>
            </w:r>
            <w:r>
              <w:rPr>
                <w:rFonts w:hint="default" w:ascii="Times New Roman" w:hAnsi="Times New Roman" w:eastAsia="宋体" w:cs="Times New Roman"/>
                <w:b w:val="0"/>
                <w:bCs w:val="0"/>
                <w:color w:val="auto"/>
                <w:kern w:val="2"/>
                <w:sz w:val="24"/>
                <w:szCs w:val="24"/>
                <w:highlight w:val="none"/>
                <w:lang w:val="en-US" w:eastAsia="zh-CN" w:bidi="ar-SA"/>
              </w:rPr>
              <w:t>车辆通行要求。</w:t>
            </w:r>
          </w:p>
          <w:p w14:paraId="61871BEB">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项目所处位置地势平坦，根据本产品的工艺、运输、消防、安全的要求，结合地形等因素，按照国家有关标准和规定，对生产、运输、绿化进行了优化，并供有完善的供水、供电、排水等设施。</w:t>
            </w:r>
          </w:p>
          <w:p w14:paraId="67BACC26">
            <w:pPr>
              <w:widowControl w:val="0"/>
              <w:overflowPunct w:val="0"/>
              <w:autoSpaceDE/>
              <w:autoSpaceDN/>
              <w:adjustRightInd/>
              <w:snapToGrid w:val="0"/>
              <w:spacing w:before="0" w:after="120" w:line="360" w:lineRule="auto"/>
              <w:ind w:left="0" w:leftChars="0" w:right="0" w:firstLine="480" w:firstLineChars="200"/>
              <w:jc w:val="both"/>
              <w:textAlignment w:val="auto"/>
              <w:rPr>
                <w:rFonts w:hint="default" w:ascii="Times New Roman" w:hAnsi="Times New Roman" w:eastAsia="宋体" w:cs="宋体"/>
                <w:snapToGrid w:val="0"/>
                <w:color w:val="auto"/>
                <w:sz w:val="24"/>
                <w:szCs w:val="21"/>
                <w:lang w:val="en-US" w:eastAsia="zh-CN" w:bidi="ar-SA"/>
              </w:rPr>
            </w:pPr>
            <w:r>
              <w:rPr>
                <w:rFonts w:hint="default" w:ascii="Times New Roman" w:hAnsi="Times New Roman" w:eastAsia="宋体" w:cs="Times New Roman"/>
                <w:color w:val="auto"/>
                <w:kern w:val="0"/>
                <w:sz w:val="24"/>
                <w:szCs w:val="22"/>
                <w:lang w:val="en-US" w:eastAsia="zh-CN" w:bidi="ar-SA"/>
              </w:rPr>
              <w:t>因此，本项目布置功能布置明确，各单元由厂内道路衔接。平面布置按照企业生产要求，合理划分场内的功能区域，布置紧凑合理，生产线结构紧凑，工艺流程顺畅，交通运输安全方便。项目总平面布置图见图</w:t>
            </w:r>
            <w:r>
              <w:rPr>
                <w:rFonts w:hint="eastAsia" w:ascii="Times New Roman" w:hAnsi="Times New Roman" w:eastAsia="宋体" w:cs="Times New Roman"/>
                <w:color w:val="auto"/>
                <w:kern w:val="0"/>
                <w:sz w:val="24"/>
                <w:szCs w:val="22"/>
                <w:lang w:val="en-US" w:eastAsia="zh-CN" w:bidi="ar-SA"/>
              </w:rPr>
              <w:t>2.</w:t>
            </w:r>
            <w:r>
              <w:rPr>
                <w:rFonts w:hint="eastAsia" w:cs="Times New Roman"/>
                <w:color w:val="auto"/>
                <w:kern w:val="0"/>
                <w:sz w:val="24"/>
                <w:szCs w:val="22"/>
                <w:lang w:val="en-US" w:eastAsia="zh-CN" w:bidi="ar-SA"/>
              </w:rPr>
              <w:t>6</w:t>
            </w:r>
            <w:r>
              <w:rPr>
                <w:rFonts w:hint="eastAsia" w:ascii="Times New Roman" w:hAnsi="Times New Roman" w:eastAsia="宋体" w:cs="Times New Roman"/>
                <w:color w:val="auto"/>
                <w:kern w:val="0"/>
                <w:sz w:val="24"/>
                <w:szCs w:val="22"/>
                <w:lang w:val="en-US" w:eastAsia="zh-CN" w:bidi="ar-SA"/>
              </w:rPr>
              <w:t>-1。</w:t>
            </w:r>
          </w:p>
        </w:tc>
      </w:tr>
      <w:tr w14:paraId="29A0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3" w:hRule="atLeast"/>
          <w:jc w:val="center"/>
        </w:trPr>
        <w:tc>
          <w:tcPr>
            <w:tcW w:w="486" w:type="dxa"/>
            <w:vAlign w:val="center"/>
          </w:tcPr>
          <w:p w14:paraId="02C03F3B">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5E56FF92">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0686FA1A">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32647871">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119EE99F">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1EF6A9D3">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24ECBB42">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2FC1035A">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5DF92592">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5BF72BF3">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68A03AC4">
            <w:pPr>
              <w:widowControl w:val="0"/>
              <w:overflowPunct w:val="0"/>
              <w:autoSpaceDE w:val="0"/>
              <w:autoSpaceDN w:val="0"/>
              <w:adjustRightInd w:val="0"/>
              <w:snapToGrid w:val="0"/>
              <w:spacing w:before="0" w:after="0" w:line="400" w:lineRule="exact"/>
              <w:ind w:left="0" w:leftChars="0" w:right="0" w:rightChars="0" w:firstLine="0" w:firstLineChars="0"/>
              <w:jc w:val="both"/>
              <w:rPr>
                <w:rFonts w:hint="eastAsia" w:ascii="Times New Roman" w:hAnsi="Times New Roman" w:eastAsia="宋体" w:cs="宋体"/>
                <w:color w:val="auto"/>
                <w:lang w:val="en-US" w:eastAsia="zh-Hans"/>
              </w:rPr>
            </w:pPr>
          </w:p>
          <w:p w14:paraId="0D307AA1">
            <w:pPr>
              <w:widowControl w:val="0"/>
              <w:overflowPunct w:val="0"/>
              <w:autoSpaceDE w:val="0"/>
              <w:autoSpaceDN w:val="0"/>
              <w:adjustRightInd w:val="0"/>
              <w:snapToGrid w:val="0"/>
              <w:spacing w:before="0" w:after="0" w:line="400" w:lineRule="exact"/>
              <w:ind w:left="0" w:leftChars="0" w:right="0" w:rightChars="0" w:firstLine="0" w:firstLineChars="0"/>
              <w:jc w:val="both"/>
              <w:rPr>
                <w:rFonts w:ascii="Times New Roman" w:hAnsi="Times New Roman" w:eastAsia="宋体" w:cs="宋体"/>
                <w:color w:val="auto"/>
              </w:rPr>
            </w:pPr>
            <w:r>
              <w:rPr>
                <w:rFonts w:hint="eastAsia" w:ascii="Times New Roman" w:hAnsi="Times New Roman" w:eastAsia="宋体" w:cs="宋体"/>
                <w:color w:val="auto"/>
                <w:lang w:val="en-US" w:eastAsia="zh-Hans"/>
              </w:rPr>
              <w:t>工</w:t>
            </w:r>
            <w:r>
              <w:rPr>
                <w:rFonts w:ascii="Times New Roman" w:hAnsi="Times New Roman" w:eastAsia="宋体" w:cs="宋体"/>
                <w:color w:val="auto"/>
              </w:rPr>
              <w:t>艺流程和产排污环节</w:t>
            </w:r>
          </w:p>
          <w:p w14:paraId="22461A58">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2768FE3D">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75F32947">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03973AF0">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71406997">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29919613">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73AC4569">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694C40E2">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3E1D2FF8">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58B7D1D0">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6BAFD209">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52E4B63E">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0BEF11CA">
            <w:pPr>
              <w:keepNext/>
              <w:keepLines/>
              <w:widowControl w:val="0"/>
              <w:overflowPunct w:val="0"/>
              <w:autoSpaceDE w:val="0"/>
              <w:autoSpaceDN w:val="0"/>
              <w:adjustRightInd w:val="0"/>
              <w:snapToGrid w:val="0"/>
              <w:spacing w:before="0" w:beforeLines="0" w:beforeAutospacing="0" w:after="0" w:afterLines="0" w:afterAutospacing="0" w:line="560" w:lineRule="atLeast"/>
              <w:ind w:left="0" w:leftChars="0" w:right="0" w:rightChars="0" w:firstLine="0" w:firstLineChars="0"/>
              <w:jc w:val="center"/>
              <w:outlineLvl w:val="9"/>
              <w:rPr>
                <w:rFonts w:ascii="Times New Roman" w:hAnsi="Times New Roman" w:eastAsia="宋体" w:cs="宋体"/>
                <w:b/>
                <w:color w:val="auto"/>
                <w:sz w:val="28"/>
                <w:szCs w:val="22"/>
                <w:vertAlign w:val="baseline"/>
                <w:lang w:val="en-US" w:eastAsia="zh-CN" w:bidi="ar-SA"/>
              </w:rPr>
            </w:pPr>
          </w:p>
        </w:tc>
        <w:tc>
          <w:tcPr>
            <w:tcW w:w="8585" w:type="dxa"/>
            <w:vAlign w:val="top"/>
          </w:tcPr>
          <w:p w14:paraId="3F623C92">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7、</w:t>
            </w:r>
            <w:r>
              <w:rPr>
                <w:rFonts w:hint="eastAsia" w:ascii="Times New Roman" w:hAnsi="Times New Roman" w:eastAsia="宋体" w:cs="黑体"/>
                <w:b/>
                <w:color w:val="auto"/>
                <w:sz w:val="28"/>
                <w:szCs w:val="30"/>
                <w:lang w:val="en-US" w:eastAsia="zh-CN" w:bidi="ar-SA"/>
              </w:rPr>
              <w:t>施工期工艺流程及产污环节</w:t>
            </w:r>
          </w:p>
          <w:p w14:paraId="51AA2C0D">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outlineLvl w:val="1"/>
              <w:rPr>
                <w:rFonts w:hint="eastAsia" w:ascii="Times New Roman" w:hAnsi="Times New Roman" w:eastAsia="宋体" w:cs="宋体"/>
                <w:color w:val="auto"/>
                <w:lang w:val="en-US" w:eastAsia="zh-CN"/>
              </w:rPr>
            </w:pPr>
            <w:r>
              <w:rPr>
                <w:rFonts w:hint="default" w:ascii="Times New Roman" w:hAnsi="Times New Roman" w:eastAsia="宋体" w:cs="宋体"/>
                <w:color w:val="auto"/>
                <w:lang w:val="en-US" w:eastAsia="zh-CN"/>
              </w:rPr>
              <w:drawing>
                <wp:anchor distT="0" distB="0" distL="114300" distR="114300" simplePos="0" relativeHeight="251663360" behindDoc="1" locked="0" layoutInCell="1" allowOverlap="1">
                  <wp:simplePos x="0" y="0"/>
                  <wp:positionH relativeFrom="column">
                    <wp:posOffset>131445</wp:posOffset>
                  </wp:positionH>
                  <wp:positionV relativeFrom="paragraph">
                    <wp:posOffset>581660</wp:posOffset>
                  </wp:positionV>
                  <wp:extent cx="4705350" cy="2190750"/>
                  <wp:effectExtent l="0" t="0" r="0" b="0"/>
                  <wp:wrapNone/>
                  <wp:docPr id="52" name="图片 52" descr="172251370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22513707443"/>
                          <pic:cNvPicPr>
                            <a:picLocks noChangeAspect="1"/>
                          </pic:cNvPicPr>
                        </pic:nvPicPr>
                        <pic:blipFill>
                          <a:blip r:embed="rId34"/>
                          <a:stretch>
                            <a:fillRect/>
                          </a:stretch>
                        </pic:blipFill>
                        <pic:spPr>
                          <a:xfrm>
                            <a:off x="0" y="0"/>
                            <a:ext cx="4705350" cy="2190750"/>
                          </a:xfrm>
                          <a:prstGeom prst="rect">
                            <a:avLst/>
                          </a:prstGeom>
                        </pic:spPr>
                      </pic:pic>
                    </a:graphicData>
                  </a:graphic>
                </wp:anchor>
              </w:drawing>
            </w:r>
            <w:r>
              <w:rPr>
                <w:rFonts w:hint="eastAsia" w:ascii="Times New Roman" w:hAnsi="Times New Roman" w:eastAsia="宋体" w:cs="宋体"/>
                <w:color w:val="auto"/>
              </w:rPr>
              <w:t>本项目</w:t>
            </w:r>
            <w:r>
              <w:rPr>
                <w:rFonts w:hint="eastAsia" w:cs="宋体"/>
                <w:color w:val="auto"/>
                <w:lang w:val="en-US" w:eastAsia="zh-CN"/>
              </w:rPr>
              <w:t>在现有工程已租赁厂房内</w:t>
            </w:r>
            <w:r>
              <w:rPr>
                <w:rFonts w:hint="eastAsia" w:ascii="Times New Roman" w:hAnsi="Times New Roman" w:eastAsia="宋体" w:cs="宋体"/>
                <w:color w:val="auto"/>
                <w:lang w:val="en-US" w:eastAsia="zh-CN"/>
              </w:rPr>
              <w:t>建设</w:t>
            </w:r>
            <w:r>
              <w:rPr>
                <w:rFonts w:hint="eastAsia" w:ascii="Times New Roman" w:hAnsi="Times New Roman" w:eastAsia="宋体" w:cs="宋体"/>
                <w:color w:val="auto"/>
              </w:rPr>
              <w:t>，</w:t>
            </w:r>
            <w:r>
              <w:rPr>
                <w:rFonts w:hint="eastAsia" w:ascii="Times New Roman" w:hAnsi="Times New Roman" w:eastAsia="宋体" w:cs="宋体"/>
                <w:color w:val="auto"/>
                <w:lang w:val="en-US" w:eastAsia="zh-CN"/>
              </w:rPr>
              <w:t>经现场踏勘，</w:t>
            </w:r>
            <w:r>
              <w:rPr>
                <w:rFonts w:hint="eastAsia" w:ascii="Times New Roman" w:hAnsi="Times New Roman" w:eastAsia="宋体" w:cs="宋体"/>
                <w:color w:val="auto"/>
              </w:rPr>
              <w:t>本项目</w:t>
            </w:r>
            <w:r>
              <w:rPr>
                <w:rFonts w:hint="eastAsia" w:ascii="Times New Roman" w:hAnsi="Times New Roman" w:eastAsia="宋体" w:cs="宋体"/>
                <w:color w:val="auto"/>
                <w:lang w:val="en-US" w:eastAsia="zh-CN"/>
              </w:rPr>
              <w:t>需进行少量装饰工程、设备安装、环保措施的建设。</w:t>
            </w:r>
            <w:r>
              <w:rPr>
                <w:rFonts w:hint="eastAsia" w:ascii="Times New Roman" w:hAnsi="Times New Roman" w:eastAsia="宋体" w:cs="宋体"/>
                <w:color w:val="auto"/>
              </w:rPr>
              <w:t>期</w:t>
            </w:r>
            <w:r>
              <w:rPr>
                <w:rFonts w:ascii="Times New Roman" w:hAnsi="Times New Roman" w:eastAsia="宋体" w:cs="宋体"/>
                <w:color w:val="auto"/>
              </w:rPr>
              <w:t>间产生施工</w:t>
            </w:r>
            <w:r>
              <w:rPr>
                <w:rFonts w:hint="eastAsia" w:ascii="Times New Roman" w:hAnsi="Times New Roman" w:eastAsia="宋体" w:cs="宋体"/>
                <w:color w:val="auto"/>
              </w:rPr>
              <w:t>扬尘、装修废气，</w:t>
            </w:r>
            <w:r>
              <w:rPr>
                <w:rFonts w:ascii="Times New Roman" w:hAnsi="Times New Roman" w:eastAsia="宋体" w:cs="宋体"/>
                <w:color w:val="auto"/>
              </w:rPr>
              <w:t>噪声、</w:t>
            </w:r>
            <w:r>
              <w:rPr>
                <w:rFonts w:hint="eastAsia" w:ascii="Times New Roman" w:hAnsi="Times New Roman" w:eastAsia="宋体" w:cs="宋体"/>
                <w:color w:val="auto"/>
                <w:lang w:val="en-US" w:eastAsia="zh-CN"/>
              </w:rPr>
              <w:t>少量施工</w:t>
            </w:r>
            <w:r>
              <w:rPr>
                <w:rFonts w:ascii="Times New Roman" w:hAnsi="Times New Roman" w:eastAsia="宋体" w:cs="宋体"/>
                <w:color w:val="auto"/>
              </w:rPr>
              <w:t>垃圾</w:t>
            </w:r>
            <w:r>
              <w:rPr>
                <w:rFonts w:hint="eastAsia" w:ascii="Times New Roman" w:hAnsi="Times New Roman" w:eastAsia="宋体" w:cs="宋体"/>
                <w:color w:val="auto"/>
              </w:rPr>
              <w:t>等，其生产工艺流程及产污节点见图</w:t>
            </w:r>
            <w:r>
              <w:rPr>
                <w:rFonts w:hint="eastAsia" w:ascii="Times New Roman" w:hAnsi="Times New Roman" w:eastAsia="宋体" w:cs="宋体"/>
                <w:color w:val="auto"/>
                <w:lang w:val="en-US" w:eastAsia="zh-CN"/>
              </w:rPr>
              <w:t>2.</w:t>
            </w:r>
            <w:r>
              <w:rPr>
                <w:rFonts w:hint="eastAsia" w:cs="宋体"/>
                <w:color w:val="auto"/>
                <w:lang w:val="en-US" w:eastAsia="zh-CN"/>
              </w:rPr>
              <w:t>7</w:t>
            </w:r>
            <w:r>
              <w:rPr>
                <w:rFonts w:hint="eastAsia" w:ascii="Times New Roman" w:hAnsi="Times New Roman" w:eastAsia="宋体" w:cs="宋体"/>
                <w:color w:val="auto"/>
                <w:lang w:val="en-US" w:eastAsia="zh-CN"/>
              </w:rPr>
              <w:t>-1。</w:t>
            </w:r>
          </w:p>
          <w:p w14:paraId="03C86CF3">
            <w:pPr>
              <w:overflowPunct w:val="0"/>
              <w:autoSpaceDE w:val="0"/>
              <w:autoSpaceDN w:val="0"/>
              <w:adjustRightInd w:val="0"/>
              <w:snapToGrid w:val="0"/>
              <w:spacing w:before="0" w:after="0" w:line="500" w:lineRule="exact"/>
              <w:ind w:left="0" w:right="0" w:firstLine="480" w:firstLineChars="200"/>
              <w:jc w:val="left"/>
              <w:rPr>
                <w:rFonts w:hint="default" w:ascii="Times New Roman" w:hAnsi="Times New Roman" w:eastAsia="宋体" w:cs="宋体"/>
                <w:color w:val="auto"/>
                <w:lang w:val="en-US" w:eastAsia="zh-CN"/>
              </w:rPr>
            </w:pPr>
          </w:p>
          <w:p w14:paraId="5CA3BE20">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color w:val="auto"/>
              </w:rPr>
            </w:pPr>
          </w:p>
          <w:p w14:paraId="3E075962">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color w:val="auto"/>
              </w:rPr>
            </w:pPr>
          </w:p>
          <w:p w14:paraId="646CDBC9">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color w:val="auto"/>
              </w:rPr>
            </w:pPr>
          </w:p>
          <w:p w14:paraId="1F9DA83C">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lang w:val="en-US" w:eastAsia="zh-CN"/>
              </w:rPr>
            </w:pPr>
          </w:p>
          <w:p w14:paraId="0596E0A1">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lang w:val="en-US" w:eastAsia="zh-CN"/>
              </w:rPr>
            </w:pPr>
          </w:p>
          <w:p w14:paraId="7D0EF9ED">
            <w:pPr>
              <w:widowControl w:val="0"/>
              <w:overflowPunct w:val="0"/>
              <w:autoSpaceDE w:val="0"/>
              <w:autoSpaceDN w:val="0"/>
              <w:bidi w:val="0"/>
              <w:adjustRightInd w:val="0"/>
              <w:snapToGrid w:val="0"/>
              <w:spacing w:before="0" w:after="0" w:line="360" w:lineRule="auto"/>
              <w:ind w:left="0" w:right="0" w:firstLine="0" w:firstLineChars="0"/>
              <w:jc w:val="center"/>
              <w:rPr>
                <w:rFonts w:hint="default" w:ascii="Times New Roman" w:hAnsi="Times New Roman" w:eastAsia="宋体" w:cs="宋体"/>
                <w:b/>
                <w:bCs/>
                <w:color w:val="auto"/>
                <w:lang w:val="en-US" w:eastAsia="zh-CN"/>
              </w:rPr>
            </w:pPr>
            <w:r>
              <w:rPr>
                <w:rFonts w:hint="default" w:ascii="Times New Roman" w:hAnsi="Times New Roman" w:eastAsia="宋体" w:cs="宋体"/>
                <w:b/>
                <w:bCs/>
                <w:color w:val="auto"/>
                <w:lang w:val="en-US" w:eastAsia="zh-CN"/>
              </w:rPr>
              <w:t>图</w:t>
            </w:r>
            <w:r>
              <w:rPr>
                <w:rFonts w:hint="eastAsia" w:ascii="Times New Roman" w:hAnsi="Times New Roman" w:eastAsia="宋体" w:cs="宋体"/>
                <w:b/>
                <w:bCs/>
                <w:color w:val="auto"/>
                <w:lang w:val="en-US" w:eastAsia="zh-CN"/>
              </w:rPr>
              <w:t>2.</w:t>
            </w:r>
            <w:r>
              <w:rPr>
                <w:rFonts w:hint="eastAsia" w:cs="宋体"/>
                <w:b/>
                <w:bCs/>
                <w:color w:val="auto"/>
                <w:lang w:val="en-US" w:eastAsia="zh-CN"/>
              </w:rPr>
              <w:t>7</w:t>
            </w:r>
            <w:r>
              <w:rPr>
                <w:rFonts w:hint="eastAsia" w:ascii="Times New Roman" w:hAnsi="Times New Roman" w:eastAsia="宋体" w:cs="宋体"/>
                <w:b/>
                <w:bCs/>
                <w:color w:val="auto"/>
                <w:lang w:val="en-US" w:eastAsia="zh-CN"/>
              </w:rPr>
              <w:t xml:space="preserve">-1 </w:t>
            </w:r>
            <w:r>
              <w:rPr>
                <w:rFonts w:hint="default" w:ascii="Times New Roman" w:hAnsi="Times New Roman" w:eastAsia="宋体" w:cs="宋体"/>
                <w:b/>
                <w:bCs/>
                <w:color w:val="auto"/>
                <w:lang w:val="en-US" w:eastAsia="zh-CN"/>
              </w:rPr>
              <w:t xml:space="preserve"> 施工期工艺流程及产污节点图</w:t>
            </w:r>
          </w:p>
          <w:p w14:paraId="5F802091">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color w:val="auto"/>
              </w:rPr>
            </w:pPr>
            <w:r>
              <w:rPr>
                <w:rFonts w:hint="default" w:ascii="Times New Roman" w:hAnsi="Times New Roman" w:eastAsia="宋体" w:cs="宋体"/>
                <w:color w:val="auto"/>
              </w:rPr>
              <w:t>废气：运输过程产生的扬尘、装修废气及施工设备和运输设备产生的废气。</w:t>
            </w:r>
          </w:p>
          <w:p w14:paraId="39F38767">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color w:val="auto"/>
              </w:rPr>
            </w:pPr>
            <w:r>
              <w:rPr>
                <w:rFonts w:hint="default" w:ascii="Times New Roman" w:hAnsi="Times New Roman" w:eastAsia="宋体" w:cs="宋体"/>
                <w:color w:val="auto"/>
              </w:rPr>
              <w:t>废水：主要为</w:t>
            </w:r>
            <w:r>
              <w:rPr>
                <w:rFonts w:hint="eastAsia" w:ascii="Times New Roman" w:hAnsi="Times New Roman" w:eastAsia="宋体" w:cs="宋体"/>
                <w:color w:val="auto"/>
                <w:lang w:val="en-US" w:eastAsia="zh-CN"/>
              </w:rPr>
              <w:t>生活污水</w:t>
            </w:r>
            <w:r>
              <w:rPr>
                <w:rFonts w:hint="default" w:ascii="Times New Roman" w:hAnsi="Times New Roman" w:eastAsia="宋体" w:cs="宋体"/>
                <w:color w:val="auto"/>
              </w:rPr>
              <w:t>。</w:t>
            </w:r>
          </w:p>
          <w:p w14:paraId="491B03F8">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color w:val="auto"/>
              </w:rPr>
            </w:pPr>
            <w:r>
              <w:rPr>
                <w:rFonts w:hint="default" w:ascii="Times New Roman" w:hAnsi="Times New Roman" w:eastAsia="宋体" w:cs="宋体"/>
                <w:color w:val="auto"/>
              </w:rPr>
              <w:t>噪声：</w:t>
            </w:r>
            <w:r>
              <w:rPr>
                <w:rFonts w:hint="eastAsia" w:ascii="Times New Roman" w:hAnsi="Times New Roman" w:eastAsia="宋体" w:cs="宋体"/>
                <w:color w:val="auto"/>
                <w:lang w:val="en-US" w:eastAsia="zh-CN"/>
              </w:rPr>
              <w:t>设备安装阶段使用</w:t>
            </w:r>
            <w:r>
              <w:rPr>
                <w:rFonts w:hint="default" w:ascii="Times New Roman" w:hAnsi="Times New Roman" w:eastAsia="宋体" w:cs="宋体"/>
                <w:color w:val="auto"/>
              </w:rPr>
              <w:t>的电焊机、空压机等，运输车辆产生的噪声、设备安装过程中产生的噪声。</w:t>
            </w:r>
          </w:p>
          <w:p w14:paraId="04117451">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color w:val="auto"/>
              </w:rPr>
            </w:pPr>
            <w:r>
              <w:rPr>
                <w:rFonts w:hint="default" w:ascii="Times New Roman" w:hAnsi="Times New Roman" w:eastAsia="宋体" w:cs="宋体"/>
                <w:color w:val="auto"/>
              </w:rPr>
              <w:t>废渣：主要来源于</w:t>
            </w:r>
            <w:r>
              <w:rPr>
                <w:rFonts w:hint="eastAsia" w:ascii="Times New Roman" w:hAnsi="Times New Roman" w:eastAsia="宋体" w:cs="宋体"/>
                <w:color w:val="auto"/>
                <w:lang w:val="en-US" w:eastAsia="zh-CN"/>
              </w:rPr>
              <w:t>废弃包装材料</w:t>
            </w:r>
            <w:r>
              <w:rPr>
                <w:rFonts w:hint="default" w:ascii="Times New Roman" w:hAnsi="Times New Roman" w:eastAsia="宋体" w:cs="宋体"/>
                <w:color w:val="auto"/>
              </w:rPr>
              <w:t>及施工人员产生的生活垃圾。</w:t>
            </w:r>
          </w:p>
          <w:p w14:paraId="525085B4">
            <w:pPr>
              <w:overflowPunct w:val="0"/>
              <w:autoSpaceDE w:val="0"/>
              <w:autoSpaceDN w:val="0"/>
              <w:bidi w:val="0"/>
              <w:adjustRightInd w:val="0"/>
              <w:snapToGrid w:val="0"/>
              <w:spacing w:before="0" w:after="0" w:line="360" w:lineRule="auto"/>
              <w:ind w:left="0" w:right="0" w:firstLine="480" w:firstLineChars="200"/>
              <w:jc w:val="left"/>
              <w:rPr>
                <w:rFonts w:hint="default" w:ascii="Times New Roman" w:hAnsi="Times New Roman" w:eastAsia="宋体" w:cs="宋体"/>
                <w:color w:val="auto"/>
              </w:rPr>
            </w:pPr>
            <w:r>
              <w:rPr>
                <w:rFonts w:hint="default" w:ascii="Times New Roman" w:hAnsi="Times New Roman" w:eastAsia="宋体" w:cs="宋体"/>
                <w:color w:val="auto"/>
              </w:rPr>
              <w:t>项目施工期主要污染源分析如表</w:t>
            </w:r>
            <w:r>
              <w:rPr>
                <w:rFonts w:hint="eastAsia" w:ascii="Times New Roman" w:hAnsi="Times New Roman" w:eastAsia="宋体" w:cs="宋体"/>
                <w:color w:val="auto"/>
                <w:lang w:val="en-US" w:eastAsia="zh-CN"/>
              </w:rPr>
              <w:t>2.</w:t>
            </w:r>
            <w:r>
              <w:rPr>
                <w:rFonts w:hint="eastAsia" w:cs="宋体"/>
                <w:color w:val="auto"/>
                <w:lang w:val="en-US" w:eastAsia="zh-CN"/>
              </w:rPr>
              <w:t>7</w:t>
            </w:r>
            <w:r>
              <w:rPr>
                <w:rFonts w:hint="eastAsia" w:ascii="Times New Roman" w:hAnsi="Times New Roman" w:eastAsia="宋体" w:cs="宋体"/>
                <w:color w:val="auto"/>
                <w:lang w:val="en-US" w:eastAsia="zh-CN"/>
              </w:rPr>
              <w:t>-1</w:t>
            </w:r>
            <w:r>
              <w:rPr>
                <w:rFonts w:hint="default" w:ascii="Times New Roman" w:hAnsi="Times New Roman" w:eastAsia="宋体" w:cs="宋体"/>
                <w:color w:val="auto"/>
              </w:rPr>
              <w:t>。</w:t>
            </w:r>
          </w:p>
          <w:p w14:paraId="17D5445E">
            <w:pPr>
              <w:widowControl w:val="0"/>
              <w:overflowPunct w:val="0"/>
              <w:autoSpaceDE w:val="0"/>
              <w:autoSpaceDN w:val="0"/>
              <w:bidi w:val="0"/>
              <w:adjustRightInd w:val="0"/>
              <w:snapToGrid w:val="0"/>
              <w:spacing w:before="0" w:after="0" w:line="360" w:lineRule="auto"/>
              <w:ind w:left="0" w:right="0" w:firstLine="0" w:firstLineChars="0"/>
              <w:jc w:val="center"/>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表2.</w:t>
            </w:r>
            <w:r>
              <w:rPr>
                <w:rFonts w:hint="eastAsia" w:cs="宋体"/>
                <w:b/>
                <w:bCs/>
                <w:color w:val="auto"/>
                <w:lang w:val="en-US" w:eastAsia="zh-CN"/>
              </w:rPr>
              <w:t>7</w:t>
            </w:r>
            <w:r>
              <w:rPr>
                <w:rFonts w:hint="eastAsia" w:ascii="Times New Roman" w:hAnsi="Times New Roman" w:eastAsia="宋体" w:cs="宋体"/>
                <w:b/>
                <w:bCs/>
                <w:color w:val="auto"/>
                <w:lang w:val="en-US" w:eastAsia="zh-CN"/>
              </w:rPr>
              <w:t>-1施工期主要污染工序一览表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041"/>
              <w:gridCol w:w="2002"/>
              <w:gridCol w:w="3376"/>
            </w:tblGrid>
            <w:tr w14:paraId="312BB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tcBorders>
                    <w:tl2br w:val="nil"/>
                    <w:tr2bl w:val="nil"/>
                  </w:tcBorders>
                  <w:vAlign w:val="center"/>
                </w:tcPr>
                <w:p w14:paraId="129C257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污染类别</w:t>
                  </w:r>
                </w:p>
              </w:tc>
              <w:tc>
                <w:tcPr>
                  <w:tcW w:w="2041" w:type="dxa"/>
                  <w:tcBorders>
                    <w:tl2br w:val="nil"/>
                    <w:tr2bl w:val="nil"/>
                  </w:tcBorders>
                  <w:vAlign w:val="center"/>
                </w:tcPr>
                <w:p w14:paraId="645D32E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污染源名称</w:t>
                  </w:r>
                </w:p>
              </w:tc>
              <w:tc>
                <w:tcPr>
                  <w:tcW w:w="2002" w:type="dxa"/>
                  <w:tcBorders>
                    <w:tl2br w:val="nil"/>
                    <w:tr2bl w:val="nil"/>
                  </w:tcBorders>
                  <w:vAlign w:val="center"/>
                </w:tcPr>
                <w:p w14:paraId="215CB9D4">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产生工序</w:t>
                  </w:r>
                </w:p>
              </w:tc>
              <w:tc>
                <w:tcPr>
                  <w:tcW w:w="3376" w:type="dxa"/>
                  <w:tcBorders>
                    <w:tl2br w:val="nil"/>
                    <w:tr2bl w:val="nil"/>
                  </w:tcBorders>
                  <w:vAlign w:val="center"/>
                </w:tcPr>
                <w:p w14:paraId="3A46F98A">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主要污染因子</w:t>
                  </w:r>
                </w:p>
              </w:tc>
            </w:tr>
            <w:tr w14:paraId="1C32C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restart"/>
                  <w:tcBorders>
                    <w:tl2br w:val="nil"/>
                    <w:tr2bl w:val="nil"/>
                  </w:tcBorders>
                  <w:vAlign w:val="center"/>
                </w:tcPr>
                <w:p w14:paraId="30F71EA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废气</w:t>
                  </w:r>
                </w:p>
              </w:tc>
              <w:tc>
                <w:tcPr>
                  <w:tcW w:w="2041" w:type="dxa"/>
                  <w:tcBorders>
                    <w:tl2br w:val="nil"/>
                    <w:tr2bl w:val="nil"/>
                  </w:tcBorders>
                  <w:vAlign w:val="center"/>
                </w:tcPr>
                <w:p w14:paraId="35FB0260">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施工场地</w:t>
                  </w:r>
                </w:p>
              </w:tc>
              <w:tc>
                <w:tcPr>
                  <w:tcW w:w="2002" w:type="dxa"/>
                  <w:tcBorders>
                    <w:tl2br w:val="nil"/>
                    <w:tr2bl w:val="nil"/>
                  </w:tcBorders>
                  <w:vAlign w:val="center"/>
                </w:tcPr>
                <w:p w14:paraId="6859E84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施工过程</w:t>
                  </w:r>
                </w:p>
              </w:tc>
              <w:tc>
                <w:tcPr>
                  <w:tcW w:w="3376" w:type="dxa"/>
                  <w:tcBorders>
                    <w:tl2br w:val="nil"/>
                    <w:tr2bl w:val="nil"/>
                  </w:tcBorders>
                  <w:vAlign w:val="center"/>
                </w:tcPr>
                <w:p w14:paraId="2D886C8A">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扬尘</w:t>
                  </w:r>
                </w:p>
              </w:tc>
            </w:tr>
            <w:tr w14:paraId="76A73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14:paraId="7085DA43">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p>
              </w:tc>
              <w:tc>
                <w:tcPr>
                  <w:tcW w:w="2041" w:type="dxa"/>
                  <w:tcBorders>
                    <w:tl2br w:val="nil"/>
                    <w:tr2bl w:val="nil"/>
                  </w:tcBorders>
                  <w:vAlign w:val="center"/>
                </w:tcPr>
                <w:p w14:paraId="0FDCA9D7">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机械动力设备</w:t>
                  </w:r>
                </w:p>
              </w:tc>
              <w:tc>
                <w:tcPr>
                  <w:tcW w:w="2002" w:type="dxa"/>
                  <w:tcBorders>
                    <w:tl2br w:val="nil"/>
                    <w:tr2bl w:val="nil"/>
                  </w:tcBorders>
                  <w:vAlign w:val="center"/>
                </w:tcPr>
                <w:p w14:paraId="18B36F0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机械设备运行</w:t>
                  </w:r>
                </w:p>
              </w:tc>
              <w:tc>
                <w:tcPr>
                  <w:tcW w:w="3376" w:type="dxa"/>
                  <w:tcBorders>
                    <w:tl2br w:val="nil"/>
                    <w:tr2bl w:val="nil"/>
                  </w:tcBorders>
                  <w:vAlign w:val="center"/>
                </w:tcPr>
                <w:p w14:paraId="3E491CDD">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尾气</w:t>
                  </w:r>
                  <w:r>
                    <w:rPr>
                      <w:rFonts w:hint="default" w:ascii="Times New Roman" w:hAnsi="Times New Roman" w:eastAsia="宋体" w:cs="宋体"/>
                      <w:color w:val="auto"/>
                      <w:sz w:val="21"/>
                      <w:szCs w:val="21"/>
                      <w:lang w:val="en-US" w:eastAsia="zh-CN"/>
                    </w:rPr>
                    <w:t>(SO</w:t>
                  </w:r>
                  <w:r>
                    <w:rPr>
                      <w:rFonts w:hint="default" w:ascii="Times New Roman" w:hAnsi="Times New Roman" w:eastAsia="宋体" w:cs="宋体"/>
                      <w:color w:val="auto"/>
                      <w:sz w:val="21"/>
                      <w:szCs w:val="21"/>
                      <w:vertAlign w:val="subscript"/>
                      <w:lang w:val="en-US" w:eastAsia="zh-CN"/>
                    </w:rPr>
                    <w:t>2</w:t>
                  </w:r>
                  <w:r>
                    <w:rPr>
                      <w:rFonts w:hint="eastAsia" w:ascii="Times New Roman" w:hAnsi="Times New Roman" w:eastAsia="宋体" w:cs="宋体"/>
                      <w:color w:val="auto"/>
                      <w:sz w:val="21"/>
                      <w:szCs w:val="21"/>
                      <w:lang w:val="en-US" w:eastAsia="zh-CN"/>
                    </w:rPr>
                    <w:t>、颗粒物、总烃、</w:t>
                  </w:r>
                  <w:r>
                    <w:rPr>
                      <w:rFonts w:hint="default" w:ascii="Times New Roman" w:hAnsi="Times New Roman" w:eastAsia="宋体" w:cs="宋体"/>
                      <w:color w:val="auto"/>
                      <w:sz w:val="21"/>
                      <w:szCs w:val="21"/>
                      <w:lang w:val="en-US" w:eastAsia="zh-CN"/>
                    </w:rPr>
                    <w:t>CO</w:t>
                  </w:r>
                  <w:r>
                    <w:rPr>
                      <w:rFonts w:hint="eastAsia" w:ascii="Times New Roman" w:hAnsi="Times New Roman" w:eastAsia="宋体" w:cs="宋体"/>
                      <w:color w:val="auto"/>
                      <w:sz w:val="21"/>
                      <w:szCs w:val="21"/>
                      <w:lang w:val="en-US" w:eastAsia="zh-CN"/>
                    </w:rPr>
                    <w:t>、</w:t>
                  </w:r>
                  <w:r>
                    <w:rPr>
                      <w:rFonts w:hint="default" w:ascii="Times New Roman" w:hAnsi="Times New Roman" w:eastAsia="宋体" w:cs="宋体"/>
                      <w:color w:val="auto"/>
                      <w:sz w:val="21"/>
                      <w:szCs w:val="21"/>
                      <w:lang w:val="en-US" w:eastAsia="zh-CN"/>
                    </w:rPr>
                    <w:t>NOx)</w:t>
                  </w:r>
                </w:p>
              </w:tc>
            </w:tr>
            <w:tr w14:paraId="0F224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tcBorders>
                    <w:tl2br w:val="nil"/>
                    <w:tr2bl w:val="nil"/>
                  </w:tcBorders>
                  <w:vAlign w:val="center"/>
                </w:tcPr>
                <w:p w14:paraId="5D3DD568">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w:t>
                  </w:r>
                </w:p>
              </w:tc>
              <w:tc>
                <w:tcPr>
                  <w:tcW w:w="2041" w:type="dxa"/>
                  <w:tcBorders>
                    <w:tl2br w:val="nil"/>
                    <w:tr2bl w:val="nil"/>
                  </w:tcBorders>
                  <w:vAlign w:val="center"/>
                </w:tcPr>
                <w:p w14:paraId="37CDFEFC">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生活污水</w:t>
                  </w:r>
                </w:p>
              </w:tc>
              <w:tc>
                <w:tcPr>
                  <w:tcW w:w="2002" w:type="dxa"/>
                  <w:tcBorders>
                    <w:tl2br w:val="nil"/>
                    <w:tr2bl w:val="nil"/>
                  </w:tcBorders>
                  <w:vAlign w:val="center"/>
                </w:tcPr>
                <w:p w14:paraId="2C29E78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人员施工、生活</w:t>
                  </w:r>
                </w:p>
              </w:tc>
              <w:tc>
                <w:tcPr>
                  <w:tcW w:w="3376" w:type="dxa"/>
                  <w:tcBorders>
                    <w:tl2br w:val="nil"/>
                    <w:tr2bl w:val="nil"/>
                  </w:tcBorders>
                  <w:vAlign w:val="center"/>
                </w:tcPr>
                <w:p w14:paraId="3A74449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pH、COD、BOD</w:t>
                  </w:r>
                  <w:r>
                    <w:rPr>
                      <w:rFonts w:hint="eastAsia" w:ascii="Times New Roman" w:hAnsi="Times New Roman" w:eastAsia="宋体" w:cs="宋体"/>
                      <w:color w:val="auto"/>
                      <w:sz w:val="21"/>
                      <w:szCs w:val="21"/>
                      <w:vertAlign w:val="subscript"/>
                      <w:lang w:val="en-US" w:eastAsia="zh-CN"/>
                    </w:rPr>
                    <w:t>5</w:t>
                  </w:r>
                  <w:r>
                    <w:rPr>
                      <w:rFonts w:hint="eastAsia" w:ascii="Times New Roman" w:hAnsi="Times New Roman" w:eastAsia="宋体" w:cs="宋体"/>
                      <w:color w:val="auto"/>
                      <w:sz w:val="21"/>
                      <w:szCs w:val="21"/>
                      <w:lang w:val="en-US" w:eastAsia="zh-CN"/>
                    </w:rPr>
                    <w:t>、SS、氨氮</w:t>
                  </w:r>
                </w:p>
              </w:tc>
            </w:tr>
            <w:tr w14:paraId="68CFC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restart"/>
                  <w:tcBorders>
                    <w:tl2br w:val="nil"/>
                    <w:tr2bl w:val="nil"/>
                  </w:tcBorders>
                  <w:vAlign w:val="center"/>
                </w:tcPr>
                <w:p w14:paraId="6D496A3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噪声</w:t>
                  </w:r>
                </w:p>
              </w:tc>
              <w:tc>
                <w:tcPr>
                  <w:tcW w:w="2041" w:type="dxa"/>
                  <w:tcBorders>
                    <w:tl2br w:val="nil"/>
                    <w:tr2bl w:val="nil"/>
                  </w:tcBorders>
                  <w:vAlign w:val="center"/>
                </w:tcPr>
                <w:p w14:paraId="3350D4E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施工设备</w:t>
                  </w:r>
                </w:p>
              </w:tc>
              <w:tc>
                <w:tcPr>
                  <w:tcW w:w="2002" w:type="dxa"/>
                  <w:tcBorders>
                    <w:tl2br w:val="nil"/>
                    <w:tr2bl w:val="nil"/>
                  </w:tcBorders>
                  <w:vAlign w:val="center"/>
                </w:tcPr>
                <w:p w14:paraId="0E162AB8">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施工设备运行</w:t>
                  </w:r>
                </w:p>
              </w:tc>
              <w:tc>
                <w:tcPr>
                  <w:tcW w:w="3376" w:type="dxa"/>
                  <w:tcBorders>
                    <w:tl2br w:val="nil"/>
                    <w:tr2bl w:val="nil"/>
                  </w:tcBorders>
                  <w:vAlign w:val="center"/>
                </w:tcPr>
                <w:p w14:paraId="27A2B27F">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机械噪声</w:t>
                  </w:r>
                </w:p>
              </w:tc>
            </w:tr>
            <w:tr w14:paraId="772F5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14:paraId="0EF0DE7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p>
              </w:tc>
              <w:tc>
                <w:tcPr>
                  <w:tcW w:w="2041" w:type="dxa"/>
                  <w:tcBorders>
                    <w:tl2br w:val="nil"/>
                    <w:tr2bl w:val="nil"/>
                  </w:tcBorders>
                  <w:vAlign w:val="center"/>
                </w:tcPr>
                <w:p w14:paraId="13C5E793">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运输车辆</w:t>
                  </w:r>
                </w:p>
              </w:tc>
              <w:tc>
                <w:tcPr>
                  <w:tcW w:w="2002" w:type="dxa"/>
                  <w:tcBorders>
                    <w:tl2br w:val="nil"/>
                    <w:tr2bl w:val="nil"/>
                  </w:tcBorders>
                  <w:vAlign w:val="center"/>
                </w:tcPr>
                <w:p w14:paraId="6911F23C">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运输车辆行驶</w:t>
                  </w:r>
                </w:p>
              </w:tc>
              <w:tc>
                <w:tcPr>
                  <w:tcW w:w="3376" w:type="dxa"/>
                  <w:tcBorders>
                    <w:tl2br w:val="nil"/>
                    <w:tr2bl w:val="nil"/>
                  </w:tcBorders>
                  <w:vAlign w:val="center"/>
                </w:tcPr>
                <w:p w14:paraId="3C163A4C">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交通噪声</w:t>
                  </w:r>
                </w:p>
              </w:tc>
            </w:tr>
            <w:tr w14:paraId="74DF8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14:paraId="6E2563D8">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p>
              </w:tc>
              <w:tc>
                <w:tcPr>
                  <w:tcW w:w="2041" w:type="dxa"/>
                  <w:tcBorders>
                    <w:tl2br w:val="nil"/>
                    <w:tr2bl w:val="nil"/>
                  </w:tcBorders>
                  <w:vAlign w:val="center"/>
                </w:tcPr>
                <w:p w14:paraId="75A8694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施工人员</w:t>
                  </w:r>
                </w:p>
              </w:tc>
              <w:tc>
                <w:tcPr>
                  <w:tcW w:w="2002" w:type="dxa"/>
                  <w:tcBorders>
                    <w:tl2br w:val="nil"/>
                    <w:tr2bl w:val="nil"/>
                  </w:tcBorders>
                  <w:vAlign w:val="center"/>
                </w:tcPr>
                <w:p w14:paraId="084D4BD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人员施工、生活</w:t>
                  </w:r>
                </w:p>
              </w:tc>
              <w:tc>
                <w:tcPr>
                  <w:tcW w:w="3376" w:type="dxa"/>
                  <w:tcBorders>
                    <w:tl2br w:val="nil"/>
                    <w:tr2bl w:val="nil"/>
                  </w:tcBorders>
                  <w:vAlign w:val="center"/>
                </w:tcPr>
                <w:p w14:paraId="101DD23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生活噪声</w:t>
                  </w:r>
                </w:p>
              </w:tc>
            </w:tr>
            <w:tr w14:paraId="619CE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restart"/>
                  <w:tcBorders>
                    <w:tl2br w:val="nil"/>
                    <w:tr2bl w:val="nil"/>
                  </w:tcBorders>
                  <w:vAlign w:val="center"/>
                </w:tcPr>
                <w:p w14:paraId="407F395D">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固体废物</w:t>
                  </w:r>
                </w:p>
              </w:tc>
              <w:tc>
                <w:tcPr>
                  <w:tcW w:w="2041" w:type="dxa"/>
                  <w:tcBorders>
                    <w:tl2br w:val="nil"/>
                    <w:tr2bl w:val="nil"/>
                  </w:tcBorders>
                  <w:vAlign w:val="center"/>
                </w:tcPr>
                <w:p w14:paraId="3B1D454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施工垃圾</w:t>
                  </w:r>
                </w:p>
              </w:tc>
              <w:tc>
                <w:tcPr>
                  <w:tcW w:w="2002" w:type="dxa"/>
                  <w:tcBorders>
                    <w:tl2br w:val="nil"/>
                    <w:tr2bl w:val="nil"/>
                  </w:tcBorders>
                  <w:vAlign w:val="center"/>
                </w:tcPr>
                <w:p w14:paraId="3A18E817">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施工过程</w:t>
                  </w:r>
                </w:p>
              </w:tc>
              <w:tc>
                <w:tcPr>
                  <w:tcW w:w="3376" w:type="dxa"/>
                  <w:tcBorders>
                    <w:tl2br w:val="nil"/>
                    <w:tr2bl w:val="nil"/>
                  </w:tcBorders>
                  <w:vAlign w:val="center"/>
                </w:tcPr>
                <w:p w14:paraId="34457426">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废弃包装材料</w:t>
                  </w:r>
                </w:p>
              </w:tc>
            </w:tr>
            <w:tr w14:paraId="28D40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vMerge w:val="continue"/>
                  <w:tcBorders>
                    <w:tl2br w:val="nil"/>
                    <w:tr2bl w:val="nil"/>
                  </w:tcBorders>
                  <w:vAlign w:val="center"/>
                </w:tcPr>
                <w:p w14:paraId="4ACAA9CA">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p>
              </w:tc>
              <w:tc>
                <w:tcPr>
                  <w:tcW w:w="2041" w:type="dxa"/>
                  <w:tcBorders>
                    <w:tl2br w:val="nil"/>
                    <w:tr2bl w:val="nil"/>
                  </w:tcBorders>
                  <w:vAlign w:val="center"/>
                </w:tcPr>
                <w:p w14:paraId="2E34BC54">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生活固废</w:t>
                  </w:r>
                </w:p>
              </w:tc>
              <w:tc>
                <w:tcPr>
                  <w:tcW w:w="2002" w:type="dxa"/>
                  <w:tcBorders>
                    <w:tl2br w:val="nil"/>
                    <w:tr2bl w:val="nil"/>
                  </w:tcBorders>
                  <w:vAlign w:val="center"/>
                </w:tcPr>
                <w:p w14:paraId="1EF91CA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施工人员生活</w:t>
                  </w:r>
                </w:p>
              </w:tc>
              <w:tc>
                <w:tcPr>
                  <w:tcW w:w="3376" w:type="dxa"/>
                  <w:tcBorders>
                    <w:tl2br w:val="nil"/>
                    <w:tr2bl w:val="nil"/>
                  </w:tcBorders>
                  <w:vAlign w:val="center"/>
                </w:tcPr>
                <w:p w14:paraId="592B5D4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生活垃圾</w:t>
                  </w:r>
                </w:p>
              </w:tc>
            </w:tr>
            <w:tr w14:paraId="2C19C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dxa"/>
                  <w:tcBorders>
                    <w:tl2br w:val="nil"/>
                    <w:tr2bl w:val="nil"/>
                  </w:tcBorders>
                  <w:vAlign w:val="center"/>
                </w:tcPr>
                <w:p w14:paraId="508655B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生态</w:t>
                  </w:r>
                </w:p>
              </w:tc>
              <w:tc>
                <w:tcPr>
                  <w:tcW w:w="7419" w:type="dxa"/>
                  <w:gridSpan w:val="3"/>
                  <w:tcBorders>
                    <w:tl2br w:val="nil"/>
                    <w:tr2bl w:val="nil"/>
                  </w:tcBorders>
                  <w:vAlign w:val="center"/>
                </w:tcPr>
                <w:p w14:paraId="753B8357">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本项目场地已基本完成场地平整，生态现状植被覆盖率低，野生动物少</w:t>
                  </w:r>
                </w:p>
              </w:tc>
            </w:tr>
          </w:tbl>
          <w:p w14:paraId="26D8F97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562" w:firstLineChars="200"/>
              <w:jc w:val="left"/>
              <w:textAlignment w:val="auto"/>
              <w:outlineLvl w:val="1"/>
              <w:rPr>
                <w:rFonts w:hint="eastAsia" w:ascii="Times New Roman" w:hAnsi="Times New Roman" w:eastAsia="宋体" w:cs="黑体"/>
                <w:b/>
                <w:color w:val="auto"/>
                <w:sz w:val="28"/>
                <w:szCs w:val="30"/>
                <w:lang w:val="en-US" w:eastAsia="zh-CN" w:bidi="ar-SA"/>
              </w:rPr>
            </w:pPr>
          </w:p>
          <w:p w14:paraId="68D7782E">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default" w:ascii="Times New Roman" w:hAnsi="Times New Roman" w:eastAsia="宋体" w:cs="黑体"/>
                <w:b/>
                <w:color w:val="auto"/>
                <w:sz w:val="28"/>
                <w:szCs w:val="30"/>
                <w:highlight w:val="none"/>
                <w:lang w:val="en-US" w:eastAsia="zh-CN" w:bidi="ar-SA"/>
              </w:rPr>
            </w:pPr>
            <w:r>
              <w:rPr>
                <w:rFonts w:hint="eastAsia" w:cs="黑体"/>
                <w:b/>
                <w:color w:val="auto"/>
                <w:sz w:val="28"/>
                <w:szCs w:val="30"/>
                <w:highlight w:val="none"/>
                <w:lang w:val="en-US" w:eastAsia="zh-CN" w:bidi="ar-SA"/>
              </w:rPr>
              <w:t>8、</w:t>
            </w:r>
            <w:r>
              <w:rPr>
                <w:rFonts w:hint="eastAsia" w:ascii="Times New Roman" w:hAnsi="Times New Roman" w:eastAsia="宋体" w:cs="黑体"/>
                <w:b/>
                <w:color w:val="auto"/>
                <w:sz w:val="28"/>
                <w:szCs w:val="30"/>
                <w:highlight w:val="none"/>
                <w:lang w:val="en-US" w:eastAsia="zh-CN" w:bidi="ar-SA"/>
              </w:rPr>
              <w:t>运营期</w:t>
            </w:r>
            <w:r>
              <w:rPr>
                <w:rFonts w:hint="default" w:ascii="Times New Roman" w:hAnsi="Times New Roman" w:eastAsia="宋体" w:cs="黑体"/>
                <w:b/>
                <w:color w:val="auto"/>
                <w:sz w:val="28"/>
                <w:szCs w:val="30"/>
                <w:highlight w:val="none"/>
                <w:lang w:val="en-US" w:eastAsia="zh-CN" w:bidi="ar-SA"/>
              </w:rPr>
              <w:t>工艺流程简述</w:t>
            </w:r>
          </w:p>
          <w:p w14:paraId="49233C7C">
            <w:pPr>
              <w:keepNext w:val="0"/>
              <w:keepLines w:val="0"/>
              <w:pageBreakBefore w:val="0"/>
              <w:widowControl w:val="0"/>
              <w:kinsoku/>
              <w:wordWrap/>
              <w:overflowPunct w:val="0"/>
              <w:topLinePunct w:val="0"/>
              <w:autoSpaceDE w:val="0"/>
              <w:autoSpaceDN w:val="0"/>
              <w:bidi w:val="0"/>
              <w:adjustRightInd w:val="0"/>
              <w:snapToGrid w:val="0"/>
              <w:spacing w:line="480" w:lineRule="exact"/>
              <w:ind w:firstLine="482" w:firstLineChars="200"/>
              <w:textAlignment w:val="auto"/>
              <w:rPr>
                <w:rFonts w:hint="default" w:cs="Times New Roman"/>
                <w:b/>
                <w:bCs/>
                <w:color w:val="auto"/>
                <w:kern w:val="2"/>
                <w:highlight w:val="none"/>
                <w:lang w:val="en-US" w:eastAsia="zh-CN"/>
              </w:rPr>
            </w:pPr>
            <w:r>
              <w:rPr>
                <w:rFonts w:hint="eastAsia" w:cs="Times New Roman"/>
                <w:b/>
                <w:bCs/>
                <w:color w:val="auto"/>
                <w:kern w:val="2"/>
                <w:highlight w:val="none"/>
                <w:lang w:val="en-US" w:eastAsia="zh-CN"/>
              </w:rPr>
              <w:t>8.1腻子粉生产工艺流程</w:t>
            </w:r>
          </w:p>
          <w:p w14:paraId="0385BD02">
            <w:pPr>
              <w:pStyle w:val="8"/>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①筒仓卸料</w:t>
            </w:r>
            <w:r>
              <w:rPr>
                <w:rFonts w:hint="eastAsia"/>
                <w:color w:val="auto"/>
                <w:sz w:val="24"/>
                <w:szCs w:val="24"/>
                <w:highlight w:val="none"/>
              </w:rPr>
              <w:t>：</w:t>
            </w:r>
            <w:r>
              <w:rPr>
                <w:rFonts w:hint="default"/>
                <w:color w:val="auto"/>
                <w:sz w:val="24"/>
                <w:szCs w:val="24"/>
                <w:highlight w:val="none"/>
                <w:lang w:val="en-US" w:eastAsia="zh-CN"/>
              </w:rPr>
              <w:t>项目特种腻子粉工序为外购双飞粉、重钙</w:t>
            </w:r>
            <w:r>
              <w:rPr>
                <w:rFonts w:hint="eastAsia"/>
                <w:color w:val="auto"/>
                <w:sz w:val="24"/>
                <w:szCs w:val="24"/>
                <w:highlight w:val="none"/>
                <w:lang w:val="en-US" w:eastAsia="zh-CN"/>
              </w:rPr>
              <w:t>粉</w:t>
            </w:r>
            <w:r>
              <w:rPr>
                <w:rFonts w:hint="default"/>
                <w:color w:val="auto"/>
                <w:sz w:val="24"/>
                <w:szCs w:val="24"/>
                <w:highlight w:val="none"/>
                <w:lang w:val="en-US" w:eastAsia="zh-CN"/>
              </w:rPr>
              <w:t>、白水泥、灰水泥、砂（50-100目砂、70-140目砂）、添加剂（乳胶粉、纤维素），粉料均有专用汽车运输至本项目，通过真空泵打入料仓</w:t>
            </w:r>
            <w:r>
              <w:rPr>
                <w:rFonts w:hint="eastAsia"/>
                <w:color w:val="auto"/>
                <w:sz w:val="24"/>
                <w:szCs w:val="24"/>
                <w:highlight w:val="none"/>
                <w:lang w:val="en-US" w:eastAsia="zh-CN"/>
              </w:rPr>
              <w:t>，该工段会有废气（</w:t>
            </w:r>
            <w:r>
              <w:rPr>
                <w:rFonts w:hint="eastAsia" w:ascii="Times New Roman" w:eastAsia="宋体"/>
                <w:color w:val="auto"/>
                <w:sz w:val="24"/>
                <w:szCs w:val="24"/>
                <w:highlight w:val="none"/>
                <w:lang w:val="en-US" w:eastAsia="zh-CN"/>
              </w:rPr>
              <w:t>G</w:t>
            </w:r>
            <w:r>
              <w:rPr>
                <w:rFonts w:hint="eastAsia"/>
                <w:color w:val="auto"/>
                <w:sz w:val="24"/>
                <w:szCs w:val="24"/>
                <w:highlight w:val="none"/>
                <w:lang w:val="en-US" w:eastAsia="zh-CN"/>
              </w:rPr>
              <w:t>1卸料废气、</w:t>
            </w:r>
            <w:r>
              <w:rPr>
                <w:rFonts w:hint="eastAsia" w:ascii="Times New Roman" w:eastAsia="宋体"/>
                <w:color w:val="auto"/>
                <w:sz w:val="24"/>
                <w:szCs w:val="24"/>
                <w:highlight w:val="none"/>
                <w:lang w:val="en-US" w:eastAsia="zh-CN"/>
              </w:rPr>
              <w:t>G2筒仓废气</w:t>
            </w:r>
            <w:r>
              <w:rPr>
                <w:rFonts w:hint="eastAsia"/>
                <w:color w:val="auto"/>
                <w:sz w:val="24"/>
                <w:szCs w:val="24"/>
                <w:highlight w:val="none"/>
                <w:lang w:val="en-US" w:eastAsia="zh-CN"/>
              </w:rPr>
              <w:t>）、噪声（</w:t>
            </w:r>
            <w:r>
              <w:rPr>
                <w:rFonts w:hint="eastAsia" w:ascii="Times New Roman" w:eastAsia="宋体"/>
                <w:color w:val="auto"/>
                <w:sz w:val="24"/>
                <w:szCs w:val="24"/>
                <w:highlight w:val="none"/>
                <w:lang w:val="en-US" w:eastAsia="zh-CN"/>
              </w:rPr>
              <w:t>N1运输噪声、N2卸料噪声</w:t>
            </w:r>
            <w:r>
              <w:rPr>
                <w:rFonts w:hint="eastAsia"/>
                <w:color w:val="auto"/>
                <w:sz w:val="24"/>
                <w:szCs w:val="24"/>
                <w:highlight w:val="none"/>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highlight w:val="none"/>
                <w:lang w:val="en-US" w:eastAsia="zh-CN"/>
              </w:rPr>
              <w:t>）产生，废气通过仓顶式除尘器处置，除尘灰通过筒仓自收集。</w:t>
            </w:r>
          </w:p>
          <w:p w14:paraId="21C1BB79">
            <w:pPr>
              <w:keepNext w:val="0"/>
              <w:keepLines w:val="0"/>
              <w:pageBreakBefore w:val="0"/>
              <w:widowControl w:val="0"/>
              <w:kinsoku/>
              <w:wordWrap/>
              <w:topLinePunct w:val="0"/>
              <w:bidi w:val="0"/>
              <w:spacing w:line="480" w:lineRule="exact"/>
              <w:ind w:firstLine="482"/>
              <w:jc w:val="both"/>
              <w:textAlignment w:val="auto"/>
              <w:rPr>
                <w:rFonts w:hint="default"/>
                <w:color w:val="auto"/>
                <w:sz w:val="24"/>
                <w:szCs w:val="24"/>
                <w:lang w:val="en-US" w:eastAsia="zh-CN"/>
              </w:rPr>
            </w:pPr>
            <w:r>
              <w:rPr>
                <w:rFonts w:hint="eastAsia"/>
                <w:color w:val="auto"/>
                <w:sz w:val="24"/>
                <w:szCs w:val="24"/>
                <w:highlight w:val="none"/>
                <w:lang w:val="en-US" w:eastAsia="zh-CN"/>
              </w:rPr>
              <w:t>②计量称重投料：干砂、</w:t>
            </w:r>
            <w:r>
              <w:rPr>
                <w:rFonts w:hint="default"/>
                <w:color w:val="auto"/>
                <w:sz w:val="24"/>
                <w:szCs w:val="24"/>
                <w:highlight w:val="none"/>
                <w:lang w:val="en-US" w:eastAsia="zh-CN"/>
              </w:rPr>
              <w:t>双飞粉、重钙</w:t>
            </w:r>
            <w:r>
              <w:rPr>
                <w:rFonts w:hint="eastAsia"/>
                <w:color w:val="auto"/>
                <w:sz w:val="24"/>
                <w:szCs w:val="24"/>
                <w:highlight w:val="none"/>
                <w:lang w:val="en-US" w:eastAsia="zh-CN"/>
              </w:rPr>
              <w:t>粉</w:t>
            </w:r>
            <w:r>
              <w:rPr>
                <w:rFonts w:hint="default"/>
                <w:color w:val="auto"/>
                <w:sz w:val="24"/>
                <w:szCs w:val="24"/>
                <w:highlight w:val="none"/>
                <w:lang w:val="en-US" w:eastAsia="zh-CN"/>
              </w:rPr>
              <w:t>、白水泥、灰水泥</w:t>
            </w:r>
            <w:r>
              <w:rPr>
                <w:rFonts w:hint="eastAsia"/>
                <w:color w:val="auto"/>
                <w:sz w:val="24"/>
                <w:szCs w:val="24"/>
                <w:highlight w:val="none"/>
                <w:lang w:val="en-US" w:eastAsia="zh-CN"/>
              </w:rPr>
              <w:t>等物料在筒仓内通过密闭式绞龙输送至计量斗，计量完成后通过绞龙进入搅拌主机</w:t>
            </w:r>
            <w:r>
              <w:rPr>
                <w:rFonts w:hint="default"/>
                <w:color w:val="auto"/>
                <w:sz w:val="24"/>
                <w:szCs w:val="24"/>
                <w:highlight w:val="none"/>
                <w:lang w:val="en-US" w:eastAsia="zh-CN"/>
              </w:rPr>
              <w:t>、添加剂（乳胶粉、纤维素）按照比例计量称重</w:t>
            </w:r>
            <w:r>
              <w:rPr>
                <w:rFonts w:hint="eastAsia"/>
                <w:color w:val="auto"/>
                <w:sz w:val="24"/>
                <w:szCs w:val="24"/>
                <w:highlight w:val="none"/>
                <w:lang w:val="en-US" w:eastAsia="zh-CN"/>
              </w:rPr>
              <w:t>，通过人工投料口投入，后通过绞龙运输至</w:t>
            </w:r>
            <w:r>
              <w:rPr>
                <w:rFonts w:hint="default"/>
                <w:color w:val="auto"/>
                <w:sz w:val="24"/>
                <w:szCs w:val="24"/>
                <w:highlight w:val="none"/>
                <w:lang w:val="en-US" w:eastAsia="zh-CN"/>
              </w:rPr>
              <w:t>搅拌</w:t>
            </w:r>
            <w:r>
              <w:rPr>
                <w:rFonts w:hint="eastAsia"/>
                <w:color w:val="auto"/>
                <w:sz w:val="24"/>
                <w:szCs w:val="24"/>
                <w:highlight w:val="none"/>
                <w:lang w:val="en-US" w:eastAsia="zh-CN"/>
              </w:rPr>
              <w:t>机</w:t>
            </w:r>
            <w:r>
              <w:rPr>
                <w:rFonts w:hint="default"/>
                <w:color w:val="auto"/>
                <w:sz w:val="24"/>
                <w:szCs w:val="24"/>
                <w:highlight w:val="none"/>
                <w:lang w:val="en-US" w:eastAsia="zh-CN"/>
              </w:rPr>
              <w:t>搅拌</w:t>
            </w:r>
            <w:r>
              <w:rPr>
                <w:rFonts w:hint="eastAsia"/>
                <w:color w:val="auto"/>
                <w:sz w:val="24"/>
                <w:szCs w:val="24"/>
                <w:highlight w:val="none"/>
                <w:lang w:val="en-US" w:eastAsia="zh-CN"/>
              </w:rPr>
              <w:t>，该工段会有废气（</w:t>
            </w:r>
            <w:r>
              <w:rPr>
                <w:rFonts w:hint="eastAsia" w:ascii="Times New Roman" w:eastAsia="宋体"/>
                <w:color w:val="auto"/>
                <w:sz w:val="24"/>
                <w:szCs w:val="24"/>
                <w:highlight w:val="none"/>
                <w:lang w:val="en-US" w:eastAsia="zh-CN"/>
              </w:rPr>
              <w:t>G3投料废气、G4输送废气</w:t>
            </w:r>
            <w:r>
              <w:rPr>
                <w:rFonts w:hint="eastAsia"/>
                <w:color w:val="auto"/>
                <w:sz w:val="24"/>
                <w:szCs w:val="24"/>
                <w:highlight w:val="none"/>
                <w:lang w:val="en-US" w:eastAsia="zh-CN"/>
              </w:rPr>
              <w:t>）、噪声（</w:t>
            </w:r>
            <w:r>
              <w:rPr>
                <w:rFonts w:hint="eastAsia" w:ascii="Times New Roman" w:eastAsia="宋体"/>
                <w:color w:val="auto"/>
                <w:sz w:val="24"/>
                <w:szCs w:val="24"/>
                <w:highlight w:val="none"/>
                <w:lang w:val="en-US" w:eastAsia="zh-CN"/>
              </w:rPr>
              <w:t>N3输送噪声</w:t>
            </w:r>
            <w:r>
              <w:rPr>
                <w:rFonts w:hint="eastAsia"/>
                <w:color w:val="auto"/>
                <w:sz w:val="24"/>
                <w:szCs w:val="24"/>
                <w:highlight w:val="none"/>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highlight w:val="none"/>
                <w:lang w:val="en-US" w:eastAsia="zh-CN"/>
              </w:rPr>
              <w:t>S3废包装袋）产生，投料、输送废气通过2台集气罩收集后通过1台布袋除尘器处置后通过15m排气筒有组织排放，除尘灰收集后作为原料用</w:t>
            </w:r>
            <w:r>
              <w:rPr>
                <w:rFonts w:hint="eastAsia"/>
                <w:color w:val="auto"/>
                <w:sz w:val="24"/>
                <w:szCs w:val="24"/>
                <w:lang w:val="en-US" w:eastAsia="zh-CN"/>
              </w:rPr>
              <w:t>包装袋收集，从投料口投入回用。</w:t>
            </w:r>
          </w:p>
          <w:p w14:paraId="08C91A17">
            <w:pPr>
              <w:pStyle w:val="8"/>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③原料搅拌</w:t>
            </w:r>
            <w:r>
              <w:rPr>
                <w:rFonts w:hint="eastAsia"/>
                <w:color w:val="auto"/>
                <w:sz w:val="24"/>
                <w:szCs w:val="24"/>
              </w:rPr>
              <w:t>：</w:t>
            </w:r>
            <w:r>
              <w:rPr>
                <w:rFonts w:hint="eastAsia"/>
                <w:color w:val="auto"/>
                <w:sz w:val="24"/>
                <w:szCs w:val="24"/>
                <w:lang w:val="en-US" w:eastAsia="zh-CN"/>
              </w:rPr>
              <w:t>混料</w:t>
            </w:r>
            <w:r>
              <w:rPr>
                <w:rFonts w:hint="eastAsia"/>
                <w:color w:val="auto"/>
                <w:sz w:val="24"/>
                <w:szCs w:val="24"/>
                <w:lang w:eastAsia="zh-CN"/>
              </w:rPr>
              <w:t>：</w:t>
            </w:r>
            <w:r>
              <w:rPr>
                <w:rFonts w:hint="default" w:ascii="Times New Roman" w:hAnsi="Times New Roman" w:eastAsia="宋体" w:cs="宋体"/>
                <w:color w:val="auto"/>
                <w:sz w:val="24"/>
                <w:szCs w:val="24"/>
                <w:highlight w:val="none"/>
                <w:lang w:val="en-US" w:eastAsia="zh-CN"/>
              </w:rPr>
              <w:t>根据工艺要求，</w:t>
            </w:r>
            <w:r>
              <w:rPr>
                <w:rFonts w:hint="eastAsia" w:ascii="Times New Roman" w:hAnsi="Times New Roman" w:eastAsia="宋体" w:cs="宋体"/>
                <w:color w:val="auto"/>
                <w:sz w:val="24"/>
                <w:szCs w:val="24"/>
                <w:highlight w:val="none"/>
                <w:lang w:val="en-US" w:eastAsia="zh-CN"/>
              </w:rPr>
              <w:t>将投入搅拌主机内的物料进行机械搅拌，该过程</w:t>
            </w:r>
            <w:r>
              <w:rPr>
                <w:rFonts w:hint="default" w:ascii="Times New Roman" w:hAnsi="Times New Roman" w:eastAsia="宋体" w:cs="宋体"/>
                <w:color w:val="auto"/>
                <w:sz w:val="24"/>
                <w:szCs w:val="24"/>
                <w:highlight w:val="none"/>
                <w:lang w:val="en-US" w:eastAsia="zh-CN"/>
              </w:rPr>
              <w:t>。</w:t>
            </w:r>
            <w:r>
              <w:rPr>
                <w:rFonts w:hint="eastAsia"/>
                <w:color w:val="auto"/>
                <w:sz w:val="24"/>
                <w:szCs w:val="24"/>
                <w:lang w:val="en-US" w:eastAsia="zh-CN"/>
              </w:rPr>
              <w:t>由于本项目生产过程中仅采用物理搅拌，不存在加热、反应等过程。因此仅产生颗粒物，该工段会有废气（</w:t>
            </w:r>
            <w:r>
              <w:rPr>
                <w:rFonts w:hint="eastAsia" w:ascii="Times New Roman" w:eastAsia="宋体"/>
                <w:color w:val="auto"/>
                <w:sz w:val="24"/>
                <w:szCs w:val="24"/>
                <w:highlight w:val="none"/>
                <w:lang w:val="en-US" w:eastAsia="zh-CN"/>
              </w:rPr>
              <w:t>G5搅拌废气</w:t>
            </w:r>
            <w:r>
              <w:rPr>
                <w:rFonts w:hint="eastAsia"/>
                <w:color w:val="auto"/>
                <w:sz w:val="24"/>
                <w:szCs w:val="24"/>
                <w:lang w:val="en-US" w:eastAsia="zh-CN"/>
              </w:rPr>
              <w:t>）、噪声（</w:t>
            </w:r>
            <w:r>
              <w:rPr>
                <w:rFonts w:hint="eastAsia" w:ascii="Times New Roman" w:eastAsia="宋体"/>
                <w:color w:val="auto"/>
                <w:sz w:val="24"/>
                <w:szCs w:val="24"/>
                <w:highlight w:val="none"/>
                <w:lang w:val="en-US" w:eastAsia="zh-CN"/>
              </w:rPr>
              <w:t>N4搅拌噪声</w:t>
            </w:r>
            <w:r>
              <w:rPr>
                <w:rFonts w:hint="eastAsia"/>
                <w:color w:val="auto"/>
                <w:sz w:val="24"/>
                <w:szCs w:val="24"/>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lang w:val="en-US" w:eastAsia="zh-CN"/>
              </w:rPr>
              <w:t>）产生，搅拌废气经过管道收集后通过1台布袋除尘器处置后通过15m排气筒有组织排放，除尘灰收集后作为原料用包装袋收集，从投料口投入回用。</w:t>
            </w:r>
          </w:p>
          <w:p w14:paraId="6E7386D6">
            <w:pPr>
              <w:pStyle w:val="8"/>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④成品</w:t>
            </w:r>
            <w:r>
              <w:rPr>
                <w:rFonts w:hint="default"/>
                <w:color w:val="auto"/>
                <w:sz w:val="24"/>
                <w:szCs w:val="24"/>
                <w:lang w:val="en-US" w:eastAsia="zh-CN"/>
              </w:rPr>
              <w:t>包装</w:t>
            </w:r>
            <w:r>
              <w:rPr>
                <w:rFonts w:hint="eastAsia"/>
                <w:color w:val="auto"/>
                <w:sz w:val="24"/>
                <w:szCs w:val="24"/>
              </w:rPr>
              <w:t>：</w:t>
            </w:r>
            <w:r>
              <w:rPr>
                <w:rFonts w:hint="default"/>
                <w:color w:val="auto"/>
                <w:sz w:val="24"/>
                <w:szCs w:val="24"/>
                <w:lang w:val="en-US" w:eastAsia="zh-CN"/>
              </w:rPr>
              <w:t>成品通过包装机包装为袋装规格15kg/包、20kg/包、25kg/包</w:t>
            </w:r>
            <w:r>
              <w:rPr>
                <w:rFonts w:hint="eastAsia"/>
                <w:color w:val="auto"/>
                <w:sz w:val="24"/>
                <w:szCs w:val="24"/>
                <w:lang w:val="en-US" w:eastAsia="zh-CN"/>
              </w:rPr>
              <w:t>，该工段会有废气（</w:t>
            </w:r>
            <w:r>
              <w:rPr>
                <w:rFonts w:hint="eastAsia" w:ascii="Times New Roman" w:eastAsia="宋体"/>
                <w:color w:val="auto"/>
                <w:sz w:val="24"/>
                <w:szCs w:val="24"/>
                <w:highlight w:val="none"/>
                <w:lang w:val="en-US" w:eastAsia="zh-CN"/>
              </w:rPr>
              <w:t>G6包装废气</w:t>
            </w:r>
            <w:r>
              <w:rPr>
                <w:rFonts w:hint="eastAsia"/>
                <w:color w:val="auto"/>
                <w:sz w:val="24"/>
                <w:szCs w:val="24"/>
                <w:lang w:val="en-US" w:eastAsia="zh-CN"/>
              </w:rPr>
              <w:t>）、噪声（</w:t>
            </w:r>
            <w:r>
              <w:rPr>
                <w:rFonts w:hint="eastAsia" w:ascii="Times New Roman" w:eastAsia="宋体"/>
                <w:color w:val="auto"/>
                <w:sz w:val="24"/>
                <w:szCs w:val="24"/>
                <w:highlight w:val="none"/>
                <w:lang w:val="en-US" w:eastAsia="zh-CN"/>
              </w:rPr>
              <w:t>N5包装噪声</w:t>
            </w:r>
            <w:r>
              <w:rPr>
                <w:rFonts w:hint="eastAsia"/>
                <w:color w:val="auto"/>
                <w:sz w:val="24"/>
                <w:szCs w:val="24"/>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lang w:val="en-US" w:eastAsia="zh-CN"/>
              </w:rPr>
              <w:t>）产生，包装废气通过1台集气罩收集后通过1台布袋除尘器处置后通过15m排气筒有组织排放，除尘灰收集后作为原料用包装袋收集，从投料口投入回用。</w:t>
            </w:r>
          </w:p>
          <w:p w14:paraId="6C2862B6">
            <w:pPr>
              <w:keepNext w:val="0"/>
              <w:keepLines w:val="0"/>
              <w:pageBreakBefore w:val="0"/>
              <w:widowControl w:val="0"/>
              <w:kinsoku/>
              <w:wordWrap/>
              <w:overflowPunct w:val="0"/>
              <w:topLinePunct w:val="0"/>
              <w:autoSpaceDE w:val="0"/>
              <w:autoSpaceDN w:val="0"/>
              <w:bidi w:val="0"/>
              <w:adjustRightInd w:val="0"/>
              <w:snapToGrid w:val="0"/>
              <w:spacing w:line="460" w:lineRule="exact"/>
              <w:ind w:firstLine="480" w:firstLineChars="200"/>
              <w:jc w:val="left"/>
              <w:textAlignment w:val="auto"/>
              <w:rPr>
                <w:rFonts w:hint="eastAsia" w:eastAsia="宋体"/>
                <w:color w:val="auto"/>
                <w:sz w:val="24"/>
                <w:szCs w:val="24"/>
                <w:lang w:eastAsia="zh-CN"/>
              </w:rPr>
            </w:pPr>
            <w:r>
              <w:rPr>
                <w:rFonts w:hint="eastAsia"/>
                <w:color w:val="auto"/>
                <w:sz w:val="24"/>
                <w:szCs w:val="24"/>
                <w:lang w:val="en-US" w:eastAsia="zh-CN"/>
              </w:rPr>
              <w:t>⑤</w:t>
            </w:r>
            <w:r>
              <w:rPr>
                <w:rFonts w:hint="eastAsia"/>
                <w:color w:val="auto"/>
                <w:sz w:val="24"/>
                <w:szCs w:val="24"/>
              </w:rPr>
              <w:t>包装入库：成品入库</w:t>
            </w:r>
            <w:r>
              <w:rPr>
                <w:rFonts w:hint="eastAsia"/>
                <w:color w:val="auto"/>
                <w:sz w:val="24"/>
                <w:szCs w:val="24"/>
                <w:lang w:eastAsia="zh-CN"/>
              </w:rPr>
              <w:t>，</w:t>
            </w:r>
            <w:r>
              <w:rPr>
                <w:rFonts w:hint="eastAsia"/>
                <w:color w:val="auto"/>
                <w:sz w:val="24"/>
                <w:szCs w:val="24"/>
                <w:lang w:val="en-US" w:eastAsia="zh-CN"/>
              </w:rPr>
              <w:t>采用包装袋袋装储存于成品区内</w:t>
            </w:r>
            <w:r>
              <w:rPr>
                <w:rFonts w:hint="eastAsia"/>
                <w:color w:val="auto"/>
                <w:sz w:val="24"/>
                <w:szCs w:val="24"/>
              </w:rPr>
              <w:t>，准备外售</w:t>
            </w:r>
            <w:r>
              <w:rPr>
                <w:rFonts w:hint="eastAsia"/>
                <w:color w:val="auto"/>
                <w:sz w:val="24"/>
                <w:szCs w:val="24"/>
                <w:lang w:eastAsia="zh-CN"/>
              </w:rPr>
              <w:t>。</w:t>
            </w:r>
          </w:p>
          <w:p w14:paraId="0E2244AE">
            <w:pPr>
              <w:keepNext w:val="0"/>
              <w:keepLines w:val="0"/>
              <w:pageBreakBefore w:val="0"/>
              <w:widowControl w:val="0"/>
              <w:kinsoku/>
              <w:wordWrap/>
              <w:overflowPunct/>
              <w:topLinePunct w:val="0"/>
              <w:autoSpaceDE/>
              <w:autoSpaceDN/>
              <w:bidi w:val="0"/>
              <w:adjustRightInd w:val="0"/>
              <w:snapToGrid w:val="0"/>
              <w:spacing w:before="0" w:line="480" w:lineRule="exact"/>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该项目各项物料车间内运输均采用密闭运输，</w:t>
            </w:r>
            <w:r>
              <w:rPr>
                <w:rFonts w:hint="default"/>
                <w:color w:val="auto"/>
                <w:sz w:val="24"/>
                <w:szCs w:val="24"/>
                <w:lang w:val="en-US" w:eastAsia="zh-CN"/>
              </w:rPr>
              <w:t>项目搅拌仓用高压气枪进行冲洗，无废水产生</w:t>
            </w:r>
            <w:r>
              <w:rPr>
                <w:rFonts w:hint="eastAsia"/>
                <w:color w:val="auto"/>
                <w:sz w:val="24"/>
                <w:szCs w:val="24"/>
                <w:lang w:val="en-US" w:eastAsia="zh-CN"/>
              </w:rPr>
              <w:t>，S4废机油为厂区设备检修产生，S5生活垃圾为员工生活产生。</w:t>
            </w:r>
          </w:p>
          <w:p w14:paraId="1A7FCD9C">
            <w:pPr>
              <w:pStyle w:val="18"/>
              <w:rPr>
                <w:rFonts w:hint="default"/>
                <w:color w:val="auto"/>
                <w:lang w:val="en-US" w:eastAsia="zh-CN"/>
              </w:rPr>
            </w:pPr>
            <w:r>
              <w:rPr>
                <w:color w:val="auto"/>
              </w:rPr>
              <w:drawing>
                <wp:inline distT="0" distB="0" distL="114300" distR="114300">
                  <wp:extent cx="3348355" cy="3744595"/>
                  <wp:effectExtent l="0" t="0" r="444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5"/>
                          <a:stretch>
                            <a:fillRect/>
                          </a:stretch>
                        </pic:blipFill>
                        <pic:spPr>
                          <a:xfrm>
                            <a:off x="0" y="0"/>
                            <a:ext cx="3348355" cy="3744595"/>
                          </a:xfrm>
                          <a:prstGeom prst="rect">
                            <a:avLst/>
                          </a:prstGeom>
                          <a:noFill/>
                          <a:ln>
                            <a:noFill/>
                          </a:ln>
                        </pic:spPr>
                      </pic:pic>
                    </a:graphicData>
                  </a:graphic>
                </wp:inline>
              </w:drawing>
            </w:r>
          </w:p>
          <w:p w14:paraId="0C7EC89E">
            <w:pPr>
              <w:overflowPunct w:val="0"/>
              <w:autoSpaceDE w:val="0"/>
              <w:autoSpaceDN w:val="0"/>
              <w:bidi w:val="0"/>
              <w:adjustRightInd w:val="0"/>
              <w:snapToGrid w:val="0"/>
              <w:spacing w:line="360" w:lineRule="auto"/>
              <w:jc w:val="center"/>
              <w:rPr>
                <w:rFonts w:hint="eastAsia" w:ascii="Times New Roman" w:hAnsi="Times New Roman" w:eastAsia="宋体" w:cs="宋体"/>
                <w:color w:val="auto"/>
                <w:lang w:val="en-US" w:eastAsia="zh-CN"/>
              </w:rPr>
            </w:pPr>
            <w:r>
              <w:rPr>
                <w:rFonts w:eastAsia="宋体" w:cs="Times New Roman"/>
                <w:b/>
                <w:color w:val="auto"/>
                <w:kern w:val="2"/>
                <w:sz w:val="24"/>
                <w:szCs w:val="24"/>
              </w:rPr>
              <w:t>图</w:t>
            </w:r>
            <w:r>
              <w:rPr>
                <w:rFonts w:hint="eastAsia" w:eastAsia="宋体" w:cs="Times New Roman"/>
                <w:b/>
                <w:color w:val="auto"/>
                <w:kern w:val="2"/>
                <w:sz w:val="24"/>
                <w:szCs w:val="24"/>
                <w:lang w:val="en-US" w:eastAsia="zh-CN"/>
              </w:rPr>
              <w:t>2.</w:t>
            </w:r>
            <w:r>
              <w:rPr>
                <w:rFonts w:hint="eastAsia" w:cs="Times New Roman"/>
                <w:b/>
                <w:color w:val="auto"/>
                <w:kern w:val="2"/>
                <w:sz w:val="24"/>
                <w:szCs w:val="24"/>
                <w:lang w:val="en-US" w:eastAsia="zh-CN"/>
              </w:rPr>
              <w:t>8</w:t>
            </w:r>
            <w:r>
              <w:rPr>
                <w:rFonts w:hint="eastAsia" w:eastAsia="宋体" w:cs="Times New Roman"/>
                <w:b/>
                <w:color w:val="auto"/>
                <w:kern w:val="2"/>
                <w:sz w:val="24"/>
                <w:szCs w:val="24"/>
                <w:lang w:val="en-US" w:eastAsia="zh-CN"/>
              </w:rPr>
              <w:t xml:space="preserve">-1 </w:t>
            </w:r>
            <w:r>
              <w:rPr>
                <w:rFonts w:hint="eastAsia" w:cs="Times New Roman"/>
                <w:b/>
                <w:bCs/>
                <w:color w:val="auto"/>
                <w:kern w:val="2"/>
                <w:highlight w:val="none"/>
                <w:lang w:val="en-US" w:eastAsia="zh-CN"/>
              </w:rPr>
              <w:t>腻子粉</w:t>
            </w:r>
            <w:r>
              <w:rPr>
                <w:rFonts w:eastAsia="宋体" w:cs="Times New Roman"/>
                <w:b/>
                <w:color w:val="auto"/>
                <w:kern w:val="2"/>
                <w:sz w:val="24"/>
                <w:szCs w:val="24"/>
              </w:rPr>
              <w:t>生产工艺流程及产污环节图</w:t>
            </w:r>
          </w:p>
          <w:p w14:paraId="063A2759">
            <w:pPr>
              <w:keepNext w:val="0"/>
              <w:keepLines w:val="0"/>
              <w:pageBreakBefore w:val="0"/>
              <w:widowControl w:val="0"/>
              <w:kinsoku/>
              <w:wordWrap/>
              <w:overflowPunct w:val="0"/>
              <w:topLinePunct w:val="0"/>
              <w:autoSpaceDE w:val="0"/>
              <w:autoSpaceDN w:val="0"/>
              <w:bidi w:val="0"/>
              <w:adjustRightInd w:val="0"/>
              <w:snapToGrid w:val="0"/>
              <w:spacing w:line="480" w:lineRule="exact"/>
              <w:ind w:firstLine="482" w:firstLineChars="200"/>
              <w:textAlignment w:val="auto"/>
              <w:rPr>
                <w:rFonts w:hint="eastAsia" w:cs="Times New Roman"/>
                <w:b/>
                <w:bCs/>
                <w:color w:val="auto"/>
                <w:kern w:val="2"/>
                <w:highlight w:val="none"/>
                <w:lang w:val="en-US" w:eastAsia="zh-CN"/>
              </w:rPr>
            </w:pPr>
            <w:r>
              <w:rPr>
                <w:rFonts w:hint="eastAsia" w:cs="Times New Roman"/>
                <w:b/>
                <w:bCs/>
                <w:color w:val="auto"/>
                <w:kern w:val="2"/>
                <w:highlight w:val="none"/>
                <w:lang w:val="en-US" w:eastAsia="zh-CN"/>
              </w:rPr>
              <w:t>8.2瓷砖胶生产工艺流程</w:t>
            </w:r>
          </w:p>
          <w:p w14:paraId="763589D8">
            <w:pPr>
              <w:pStyle w:val="8"/>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①筒仓卸料</w:t>
            </w:r>
            <w:r>
              <w:rPr>
                <w:rFonts w:hint="eastAsia"/>
                <w:color w:val="auto"/>
                <w:sz w:val="24"/>
                <w:szCs w:val="24"/>
              </w:rPr>
              <w:t>：</w:t>
            </w:r>
            <w:r>
              <w:rPr>
                <w:rFonts w:hint="default"/>
                <w:color w:val="auto"/>
                <w:sz w:val="24"/>
                <w:szCs w:val="24"/>
                <w:lang w:val="en-US" w:eastAsia="zh-CN"/>
              </w:rPr>
              <w:t>项目</w:t>
            </w:r>
            <w:r>
              <w:rPr>
                <w:rFonts w:hint="eastAsia"/>
                <w:color w:val="auto"/>
                <w:sz w:val="24"/>
                <w:szCs w:val="24"/>
                <w:lang w:val="en-US" w:eastAsia="zh-CN"/>
              </w:rPr>
              <w:t>瓷砖胶</w:t>
            </w:r>
            <w:r>
              <w:rPr>
                <w:rFonts w:hint="default"/>
                <w:color w:val="auto"/>
                <w:sz w:val="24"/>
                <w:szCs w:val="24"/>
                <w:lang w:val="en-US" w:eastAsia="zh-CN"/>
              </w:rPr>
              <w:t>工序为外购白水泥、灰水泥、砂（50-100目砂）、添加剂（乳胶粉、纤维素），粉料均有专用汽车运输至本项目，通过真空泵打入料仓</w:t>
            </w:r>
            <w:r>
              <w:rPr>
                <w:rFonts w:hint="eastAsia"/>
                <w:color w:val="auto"/>
                <w:sz w:val="24"/>
                <w:szCs w:val="24"/>
                <w:lang w:val="en-US" w:eastAsia="zh-CN"/>
              </w:rPr>
              <w:t>，该工段会有废气（</w:t>
            </w:r>
            <w:r>
              <w:rPr>
                <w:rFonts w:hint="eastAsia" w:ascii="Times New Roman" w:eastAsia="宋体"/>
                <w:color w:val="auto"/>
                <w:sz w:val="24"/>
                <w:szCs w:val="24"/>
                <w:highlight w:val="none"/>
                <w:lang w:val="en-US" w:eastAsia="zh-CN"/>
              </w:rPr>
              <w:t>G</w:t>
            </w:r>
            <w:r>
              <w:rPr>
                <w:rFonts w:hint="eastAsia"/>
                <w:color w:val="auto"/>
                <w:sz w:val="24"/>
                <w:szCs w:val="24"/>
                <w:highlight w:val="none"/>
                <w:lang w:val="en-US" w:eastAsia="zh-CN"/>
              </w:rPr>
              <w:t>1卸料废气、</w:t>
            </w:r>
            <w:r>
              <w:rPr>
                <w:rFonts w:hint="eastAsia" w:ascii="Times New Roman" w:eastAsia="宋体"/>
                <w:color w:val="auto"/>
                <w:sz w:val="24"/>
                <w:szCs w:val="24"/>
                <w:highlight w:val="none"/>
                <w:lang w:val="en-US" w:eastAsia="zh-CN"/>
              </w:rPr>
              <w:t>G2筒仓废气</w:t>
            </w:r>
            <w:r>
              <w:rPr>
                <w:rFonts w:hint="eastAsia"/>
                <w:color w:val="auto"/>
                <w:sz w:val="24"/>
                <w:szCs w:val="24"/>
                <w:lang w:val="en-US" w:eastAsia="zh-CN"/>
              </w:rPr>
              <w:t>）、噪声（</w:t>
            </w:r>
            <w:r>
              <w:rPr>
                <w:rFonts w:hint="eastAsia" w:ascii="Times New Roman" w:eastAsia="宋体"/>
                <w:color w:val="auto"/>
                <w:sz w:val="24"/>
                <w:szCs w:val="24"/>
                <w:highlight w:val="none"/>
                <w:lang w:val="en-US" w:eastAsia="zh-CN"/>
              </w:rPr>
              <w:t>N1运输噪声、N2卸料噪声</w:t>
            </w:r>
            <w:r>
              <w:rPr>
                <w:rFonts w:hint="eastAsia"/>
                <w:color w:val="auto"/>
                <w:sz w:val="24"/>
                <w:szCs w:val="24"/>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lang w:val="en-US" w:eastAsia="zh-CN"/>
              </w:rPr>
              <w:t>）产生，废气通过仓顶式除尘器处置，除尘灰通过筒仓自收集。</w:t>
            </w:r>
          </w:p>
          <w:p w14:paraId="33B88669">
            <w:pPr>
              <w:keepNext w:val="0"/>
              <w:keepLines w:val="0"/>
              <w:pageBreakBefore w:val="0"/>
              <w:widowControl w:val="0"/>
              <w:kinsoku/>
              <w:wordWrap/>
              <w:topLinePunct w:val="0"/>
              <w:bidi w:val="0"/>
              <w:spacing w:line="480" w:lineRule="exact"/>
              <w:ind w:firstLine="482"/>
              <w:jc w:val="both"/>
              <w:textAlignment w:val="auto"/>
              <w:rPr>
                <w:rFonts w:hint="default"/>
                <w:color w:val="auto"/>
                <w:sz w:val="24"/>
                <w:szCs w:val="24"/>
                <w:lang w:val="en-US" w:eastAsia="zh-CN"/>
              </w:rPr>
            </w:pPr>
            <w:r>
              <w:rPr>
                <w:rFonts w:hint="eastAsia"/>
                <w:color w:val="auto"/>
                <w:sz w:val="24"/>
                <w:szCs w:val="24"/>
                <w:lang w:val="en-US" w:eastAsia="zh-CN"/>
              </w:rPr>
              <w:t>②计量称重投料：干砂、</w:t>
            </w:r>
            <w:r>
              <w:rPr>
                <w:rFonts w:hint="default"/>
                <w:color w:val="auto"/>
                <w:sz w:val="24"/>
                <w:szCs w:val="24"/>
                <w:lang w:val="en-US" w:eastAsia="zh-CN"/>
              </w:rPr>
              <w:t>白水泥、灰水泥</w:t>
            </w:r>
            <w:r>
              <w:rPr>
                <w:rFonts w:hint="eastAsia"/>
                <w:color w:val="auto"/>
                <w:sz w:val="24"/>
                <w:szCs w:val="24"/>
                <w:lang w:val="en-US" w:eastAsia="zh-CN"/>
              </w:rPr>
              <w:t>等物料在筒仓内通过密闭式绞龙输送至计量斗，计量完成后通过绞龙进入搅拌主机</w:t>
            </w:r>
            <w:r>
              <w:rPr>
                <w:rFonts w:hint="default"/>
                <w:color w:val="auto"/>
                <w:sz w:val="24"/>
                <w:szCs w:val="24"/>
                <w:lang w:val="en-US" w:eastAsia="zh-CN"/>
              </w:rPr>
              <w:t>、添加剂（乳胶粉、纤维素）按照比例计量称重</w:t>
            </w:r>
            <w:r>
              <w:rPr>
                <w:rFonts w:hint="eastAsia"/>
                <w:color w:val="auto"/>
                <w:sz w:val="24"/>
                <w:szCs w:val="24"/>
                <w:lang w:val="en-US" w:eastAsia="zh-CN"/>
              </w:rPr>
              <w:t>，通过人工投料口投入，后通过绞龙运输至</w:t>
            </w:r>
            <w:r>
              <w:rPr>
                <w:rFonts w:hint="default"/>
                <w:color w:val="auto"/>
                <w:sz w:val="24"/>
                <w:szCs w:val="24"/>
                <w:lang w:val="en-US" w:eastAsia="zh-CN"/>
              </w:rPr>
              <w:t>搅拌</w:t>
            </w:r>
            <w:r>
              <w:rPr>
                <w:rFonts w:hint="eastAsia"/>
                <w:color w:val="auto"/>
                <w:sz w:val="24"/>
                <w:szCs w:val="24"/>
                <w:lang w:val="en-US" w:eastAsia="zh-CN"/>
              </w:rPr>
              <w:t>机</w:t>
            </w:r>
            <w:r>
              <w:rPr>
                <w:rFonts w:hint="default"/>
                <w:color w:val="auto"/>
                <w:sz w:val="24"/>
                <w:szCs w:val="24"/>
                <w:lang w:val="en-US" w:eastAsia="zh-CN"/>
              </w:rPr>
              <w:t>搅拌</w:t>
            </w:r>
            <w:r>
              <w:rPr>
                <w:rFonts w:hint="eastAsia"/>
                <w:color w:val="auto"/>
                <w:sz w:val="24"/>
                <w:szCs w:val="24"/>
                <w:lang w:val="en-US" w:eastAsia="zh-CN"/>
              </w:rPr>
              <w:t>，该工段会有废气（</w:t>
            </w:r>
            <w:r>
              <w:rPr>
                <w:rFonts w:hint="eastAsia" w:ascii="Times New Roman" w:eastAsia="宋体"/>
                <w:color w:val="auto"/>
                <w:sz w:val="24"/>
                <w:szCs w:val="24"/>
                <w:highlight w:val="none"/>
                <w:lang w:val="en-US" w:eastAsia="zh-CN"/>
              </w:rPr>
              <w:t>G3投料废气、G4输送废气</w:t>
            </w:r>
            <w:r>
              <w:rPr>
                <w:rFonts w:hint="eastAsia"/>
                <w:color w:val="auto"/>
                <w:sz w:val="24"/>
                <w:szCs w:val="24"/>
                <w:lang w:val="en-US" w:eastAsia="zh-CN"/>
              </w:rPr>
              <w:t>）、噪声（</w:t>
            </w:r>
            <w:r>
              <w:rPr>
                <w:rFonts w:hint="eastAsia" w:ascii="Times New Roman" w:eastAsia="宋体"/>
                <w:color w:val="auto"/>
                <w:sz w:val="24"/>
                <w:szCs w:val="24"/>
                <w:highlight w:val="none"/>
                <w:lang w:val="en-US" w:eastAsia="zh-CN"/>
              </w:rPr>
              <w:t>N3输送噪声</w:t>
            </w:r>
            <w:r>
              <w:rPr>
                <w:rFonts w:hint="eastAsia"/>
                <w:color w:val="auto"/>
                <w:sz w:val="24"/>
                <w:szCs w:val="24"/>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highlight w:val="none"/>
                <w:lang w:val="en-US" w:eastAsia="zh-CN"/>
              </w:rPr>
              <w:t>S3废包装袋</w:t>
            </w:r>
            <w:r>
              <w:rPr>
                <w:rFonts w:hint="eastAsia"/>
                <w:color w:val="auto"/>
                <w:sz w:val="24"/>
                <w:szCs w:val="24"/>
                <w:lang w:val="en-US" w:eastAsia="zh-CN"/>
              </w:rPr>
              <w:t>）产生，投料、输送废气通过2台集气罩收集后通过1台布袋除尘器处置后通过15m排气筒有组织排放，除尘灰收集后作为原料用包装袋收集，从投料口投入回用。</w:t>
            </w:r>
          </w:p>
          <w:p w14:paraId="1898018D">
            <w:pPr>
              <w:pStyle w:val="8"/>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③原料搅拌</w:t>
            </w:r>
            <w:r>
              <w:rPr>
                <w:rFonts w:hint="eastAsia"/>
                <w:color w:val="auto"/>
                <w:sz w:val="24"/>
                <w:szCs w:val="24"/>
              </w:rPr>
              <w:t>：</w:t>
            </w:r>
            <w:r>
              <w:rPr>
                <w:rFonts w:hint="eastAsia"/>
                <w:color w:val="auto"/>
                <w:sz w:val="24"/>
                <w:szCs w:val="24"/>
                <w:lang w:val="en-US" w:eastAsia="zh-CN"/>
              </w:rPr>
              <w:t>混料</w:t>
            </w:r>
            <w:r>
              <w:rPr>
                <w:rFonts w:hint="eastAsia"/>
                <w:color w:val="auto"/>
                <w:sz w:val="24"/>
                <w:szCs w:val="24"/>
                <w:lang w:eastAsia="zh-CN"/>
              </w:rPr>
              <w:t>：</w:t>
            </w:r>
            <w:r>
              <w:rPr>
                <w:rFonts w:hint="default" w:ascii="Times New Roman" w:hAnsi="Times New Roman" w:eastAsia="宋体" w:cs="宋体"/>
                <w:color w:val="auto"/>
                <w:sz w:val="24"/>
                <w:szCs w:val="24"/>
                <w:highlight w:val="none"/>
                <w:lang w:val="en-US" w:eastAsia="zh-CN"/>
              </w:rPr>
              <w:t>根据工艺要求，</w:t>
            </w:r>
            <w:r>
              <w:rPr>
                <w:rFonts w:hint="eastAsia" w:ascii="Times New Roman" w:hAnsi="Times New Roman" w:eastAsia="宋体" w:cs="宋体"/>
                <w:color w:val="auto"/>
                <w:sz w:val="24"/>
                <w:szCs w:val="24"/>
                <w:highlight w:val="none"/>
                <w:lang w:val="en-US" w:eastAsia="zh-CN"/>
              </w:rPr>
              <w:t>将投入搅拌主机内的物料进行机械搅拌，该过程</w:t>
            </w:r>
            <w:r>
              <w:rPr>
                <w:rFonts w:hint="default" w:ascii="Times New Roman" w:hAnsi="Times New Roman" w:eastAsia="宋体" w:cs="宋体"/>
                <w:color w:val="auto"/>
                <w:sz w:val="24"/>
                <w:szCs w:val="24"/>
                <w:highlight w:val="none"/>
                <w:lang w:val="en-US" w:eastAsia="zh-CN"/>
              </w:rPr>
              <w:t>。</w:t>
            </w:r>
            <w:r>
              <w:rPr>
                <w:rFonts w:hint="eastAsia"/>
                <w:color w:val="auto"/>
                <w:sz w:val="24"/>
                <w:szCs w:val="24"/>
                <w:lang w:val="en-US" w:eastAsia="zh-CN"/>
              </w:rPr>
              <w:t>由于本项目生产过程中仅采用物理搅拌，不存在加热、反应等过程。因此仅产生颗粒物，该工段会有废气（</w:t>
            </w:r>
            <w:r>
              <w:rPr>
                <w:rFonts w:hint="eastAsia" w:ascii="Times New Roman" w:eastAsia="宋体"/>
                <w:color w:val="auto"/>
                <w:sz w:val="24"/>
                <w:szCs w:val="24"/>
                <w:highlight w:val="none"/>
                <w:lang w:val="en-US" w:eastAsia="zh-CN"/>
              </w:rPr>
              <w:t>G5搅拌废气</w:t>
            </w:r>
            <w:r>
              <w:rPr>
                <w:rFonts w:hint="eastAsia"/>
                <w:color w:val="auto"/>
                <w:sz w:val="24"/>
                <w:szCs w:val="24"/>
                <w:lang w:val="en-US" w:eastAsia="zh-CN"/>
              </w:rPr>
              <w:t>）、噪声（</w:t>
            </w:r>
            <w:r>
              <w:rPr>
                <w:rFonts w:hint="eastAsia" w:ascii="Times New Roman" w:eastAsia="宋体"/>
                <w:color w:val="auto"/>
                <w:sz w:val="24"/>
                <w:szCs w:val="24"/>
                <w:highlight w:val="none"/>
                <w:lang w:val="en-US" w:eastAsia="zh-CN"/>
              </w:rPr>
              <w:t>N4搅拌噪声</w:t>
            </w:r>
            <w:r>
              <w:rPr>
                <w:rFonts w:hint="eastAsia"/>
                <w:color w:val="auto"/>
                <w:sz w:val="24"/>
                <w:szCs w:val="24"/>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lang w:val="en-US" w:eastAsia="zh-CN"/>
              </w:rPr>
              <w:t>）产生，搅拌废气经过管道收集后通过1台布袋除尘器处置后通过15m排气筒有组织排放，除尘灰收集后作为原料用包装袋收集，从投料口投入回用。</w:t>
            </w:r>
          </w:p>
          <w:p w14:paraId="60B8CCFE">
            <w:pPr>
              <w:pStyle w:val="8"/>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④成品</w:t>
            </w:r>
            <w:r>
              <w:rPr>
                <w:rFonts w:hint="default"/>
                <w:color w:val="auto"/>
                <w:sz w:val="24"/>
                <w:szCs w:val="24"/>
                <w:lang w:val="en-US" w:eastAsia="zh-CN"/>
              </w:rPr>
              <w:t>包装</w:t>
            </w:r>
            <w:r>
              <w:rPr>
                <w:rFonts w:hint="eastAsia"/>
                <w:color w:val="auto"/>
                <w:sz w:val="24"/>
                <w:szCs w:val="24"/>
              </w:rPr>
              <w:t>：</w:t>
            </w:r>
            <w:r>
              <w:rPr>
                <w:rFonts w:hint="default"/>
                <w:color w:val="auto"/>
                <w:sz w:val="24"/>
                <w:szCs w:val="24"/>
                <w:lang w:val="en-US" w:eastAsia="zh-CN"/>
              </w:rPr>
              <w:t>成品通过包装机包装为袋装规格15kg/包、20kg/包、25kg/包</w:t>
            </w:r>
            <w:r>
              <w:rPr>
                <w:rFonts w:hint="eastAsia"/>
                <w:color w:val="auto"/>
                <w:sz w:val="24"/>
                <w:szCs w:val="24"/>
                <w:lang w:val="en-US" w:eastAsia="zh-CN"/>
              </w:rPr>
              <w:t>，该工段会有废气（</w:t>
            </w:r>
            <w:r>
              <w:rPr>
                <w:rFonts w:hint="eastAsia" w:ascii="Times New Roman" w:eastAsia="宋体"/>
                <w:color w:val="auto"/>
                <w:sz w:val="24"/>
                <w:szCs w:val="24"/>
                <w:highlight w:val="none"/>
                <w:lang w:val="en-US" w:eastAsia="zh-CN"/>
              </w:rPr>
              <w:t>G6包装废气</w:t>
            </w:r>
            <w:r>
              <w:rPr>
                <w:rFonts w:hint="eastAsia"/>
                <w:color w:val="auto"/>
                <w:sz w:val="24"/>
                <w:szCs w:val="24"/>
                <w:lang w:val="en-US" w:eastAsia="zh-CN"/>
              </w:rPr>
              <w:t>）、噪声（</w:t>
            </w:r>
            <w:r>
              <w:rPr>
                <w:rFonts w:hint="eastAsia" w:ascii="Times New Roman" w:eastAsia="宋体"/>
                <w:color w:val="auto"/>
                <w:sz w:val="24"/>
                <w:szCs w:val="24"/>
                <w:highlight w:val="none"/>
                <w:lang w:val="en-US" w:eastAsia="zh-CN"/>
              </w:rPr>
              <w:t>N5包装噪声</w:t>
            </w:r>
            <w:r>
              <w:rPr>
                <w:rFonts w:hint="eastAsia"/>
                <w:color w:val="auto"/>
                <w:sz w:val="24"/>
                <w:szCs w:val="24"/>
                <w:lang w:val="en-US" w:eastAsia="zh-CN"/>
              </w:rPr>
              <w:t>）、固废（</w:t>
            </w:r>
            <w:r>
              <w:rPr>
                <w:rFonts w:hint="eastAsia" w:ascii="Times New Roman" w:eastAsia="宋体"/>
                <w:color w:val="auto"/>
                <w:sz w:val="24"/>
                <w:szCs w:val="24"/>
                <w:highlight w:val="none"/>
                <w:lang w:val="en-US" w:eastAsia="zh-CN"/>
              </w:rPr>
              <w:t>S2除尘灰</w:t>
            </w:r>
            <w:r>
              <w:rPr>
                <w:rFonts w:hint="eastAsia"/>
                <w:color w:val="auto"/>
                <w:sz w:val="24"/>
                <w:szCs w:val="24"/>
                <w:lang w:val="en-US" w:eastAsia="zh-CN"/>
              </w:rPr>
              <w:t>）产生，包装废气通过1台集气罩收集后通过1台布袋除尘器处置后通过15m排气筒有组织排放，除尘灰收集后作为原料用包装袋收集，从投料口投入回用。</w:t>
            </w:r>
          </w:p>
          <w:p w14:paraId="19D8A57F">
            <w:pPr>
              <w:keepNext w:val="0"/>
              <w:keepLines w:val="0"/>
              <w:pageBreakBefore w:val="0"/>
              <w:widowControl w:val="0"/>
              <w:kinsoku/>
              <w:wordWrap/>
              <w:overflowPunct w:val="0"/>
              <w:topLinePunct w:val="0"/>
              <w:autoSpaceDE w:val="0"/>
              <w:autoSpaceDN w:val="0"/>
              <w:bidi w:val="0"/>
              <w:adjustRightInd w:val="0"/>
              <w:snapToGrid w:val="0"/>
              <w:spacing w:line="460" w:lineRule="exact"/>
              <w:ind w:firstLine="480" w:firstLineChars="200"/>
              <w:jc w:val="left"/>
              <w:textAlignment w:val="auto"/>
              <w:rPr>
                <w:rFonts w:hint="eastAsia" w:eastAsia="宋体"/>
                <w:color w:val="auto"/>
                <w:sz w:val="24"/>
                <w:szCs w:val="24"/>
                <w:lang w:eastAsia="zh-CN"/>
              </w:rPr>
            </w:pPr>
            <w:r>
              <w:rPr>
                <w:rFonts w:hint="eastAsia"/>
                <w:color w:val="auto"/>
                <w:sz w:val="24"/>
                <w:szCs w:val="24"/>
                <w:lang w:val="en-US" w:eastAsia="zh-CN"/>
              </w:rPr>
              <w:t>⑤</w:t>
            </w:r>
            <w:r>
              <w:rPr>
                <w:rFonts w:hint="eastAsia"/>
                <w:color w:val="auto"/>
                <w:sz w:val="24"/>
                <w:szCs w:val="24"/>
              </w:rPr>
              <w:t>包装入库：成品入库</w:t>
            </w:r>
            <w:r>
              <w:rPr>
                <w:rFonts w:hint="eastAsia"/>
                <w:color w:val="auto"/>
                <w:sz w:val="24"/>
                <w:szCs w:val="24"/>
                <w:lang w:eastAsia="zh-CN"/>
              </w:rPr>
              <w:t>，</w:t>
            </w:r>
            <w:r>
              <w:rPr>
                <w:rFonts w:hint="eastAsia"/>
                <w:color w:val="auto"/>
                <w:sz w:val="24"/>
                <w:szCs w:val="24"/>
                <w:lang w:val="en-US" w:eastAsia="zh-CN"/>
              </w:rPr>
              <w:t>采用包装袋袋装储存于成品区内</w:t>
            </w:r>
            <w:r>
              <w:rPr>
                <w:rFonts w:hint="eastAsia"/>
                <w:color w:val="auto"/>
                <w:sz w:val="24"/>
                <w:szCs w:val="24"/>
              </w:rPr>
              <w:t>，准备外售</w:t>
            </w:r>
            <w:r>
              <w:rPr>
                <w:rFonts w:hint="eastAsia"/>
                <w:color w:val="auto"/>
                <w:sz w:val="24"/>
                <w:szCs w:val="24"/>
                <w:lang w:eastAsia="zh-CN"/>
              </w:rPr>
              <w:t>。</w:t>
            </w:r>
          </w:p>
          <w:p w14:paraId="583BBA6E">
            <w:pPr>
              <w:keepNext w:val="0"/>
              <w:keepLines w:val="0"/>
              <w:pageBreakBefore w:val="0"/>
              <w:widowControl w:val="0"/>
              <w:kinsoku/>
              <w:wordWrap/>
              <w:overflowPunct/>
              <w:topLinePunct w:val="0"/>
              <w:autoSpaceDE/>
              <w:autoSpaceDN/>
              <w:bidi w:val="0"/>
              <w:adjustRightInd w:val="0"/>
              <w:snapToGrid w:val="0"/>
              <w:spacing w:before="0" w:line="480" w:lineRule="exact"/>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该项目各项物料车间内运输均采用密闭运输，</w:t>
            </w:r>
            <w:r>
              <w:rPr>
                <w:rFonts w:hint="default"/>
                <w:color w:val="auto"/>
                <w:sz w:val="24"/>
                <w:szCs w:val="24"/>
                <w:lang w:val="en-US" w:eastAsia="zh-CN"/>
              </w:rPr>
              <w:t>项目搅拌仓用高压气枪进行冲洗，无废水产生</w:t>
            </w:r>
            <w:r>
              <w:rPr>
                <w:rFonts w:hint="eastAsia"/>
                <w:color w:val="auto"/>
                <w:sz w:val="24"/>
                <w:szCs w:val="24"/>
                <w:lang w:val="en-US" w:eastAsia="zh-CN"/>
              </w:rPr>
              <w:t>，S4废机油为厂区设备检修产生，S5生活垃圾为员工生活产生。</w:t>
            </w:r>
          </w:p>
          <w:p w14:paraId="3C607279">
            <w:pPr>
              <w:keepNext w:val="0"/>
              <w:keepLines w:val="0"/>
              <w:pageBreakBefore w:val="0"/>
              <w:widowControl w:val="0"/>
              <w:kinsoku/>
              <w:wordWrap/>
              <w:overflowPunct/>
              <w:topLinePunct w:val="0"/>
              <w:autoSpaceDE/>
              <w:autoSpaceDN/>
              <w:bidi w:val="0"/>
              <w:adjustRightInd w:val="0"/>
              <w:snapToGrid w:val="0"/>
              <w:spacing w:before="0" w:line="480" w:lineRule="exact"/>
              <w:ind w:left="0" w:right="0" w:firstLine="480" w:firstLineChars="200"/>
              <w:jc w:val="both"/>
              <w:textAlignment w:val="auto"/>
              <w:rPr>
                <w:rFonts w:hint="default"/>
                <w:color w:val="auto"/>
                <w:sz w:val="24"/>
                <w:szCs w:val="24"/>
                <w:lang w:val="en-US" w:eastAsia="zh-CN"/>
              </w:rPr>
            </w:pPr>
          </w:p>
          <w:p w14:paraId="6FF61849">
            <w:pPr>
              <w:overflowPunct w:val="0"/>
              <w:autoSpaceDE w:val="0"/>
              <w:autoSpaceDN w:val="0"/>
              <w:bidi w:val="0"/>
              <w:adjustRightInd w:val="0"/>
              <w:snapToGrid w:val="0"/>
              <w:spacing w:line="360" w:lineRule="auto"/>
              <w:jc w:val="center"/>
              <w:rPr>
                <w:color w:val="auto"/>
              </w:rPr>
            </w:pPr>
            <w:r>
              <w:rPr>
                <w:color w:val="auto"/>
              </w:rPr>
              <w:drawing>
                <wp:inline distT="0" distB="0" distL="114300" distR="114300">
                  <wp:extent cx="3767455" cy="4584700"/>
                  <wp:effectExtent l="0" t="0" r="4445" b="63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6"/>
                          <a:stretch>
                            <a:fillRect/>
                          </a:stretch>
                        </pic:blipFill>
                        <pic:spPr>
                          <a:xfrm>
                            <a:off x="0" y="0"/>
                            <a:ext cx="3767455" cy="4584700"/>
                          </a:xfrm>
                          <a:prstGeom prst="rect">
                            <a:avLst/>
                          </a:prstGeom>
                          <a:noFill/>
                          <a:ln>
                            <a:noFill/>
                          </a:ln>
                        </pic:spPr>
                      </pic:pic>
                    </a:graphicData>
                  </a:graphic>
                </wp:inline>
              </w:drawing>
            </w:r>
          </w:p>
          <w:p w14:paraId="4C9BECD7">
            <w:pPr>
              <w:overflowPunct w:val="0"/>
              <w:autoSpaceDE w:val="0"/>
              <w:autoSpaceDN w:val="0"/>
              <w:bidi w:val="0"/>
              <w:adjustRightInd w:val="0"/>
              <w:snapToGrid w:val="0"/>
              <w:spacing w:line="360" w:lineRule="auto"/>
              <w:jc w:val="center"/>
              <w:rPr>
                <w:rFonts w:hint="eastAsia" w:ascii="Times New Roman" w:hAnsi="Times New Roman" w:eastAsia="宋体" w:cs="宋体"/>
                <w:color w:val="auto"/>
                <w:lang w:val="en-US" w:eastAsia="zh-CN"/>
              </w:rPr>
            </w:pPr>
            <w:r>
              <w:rPr>
                <w:rFonts w:eastAsia="宋体" w:cs="Times New Roman"/>
                <w:b/>
                <w:color w:val="auto"/>
                <w:kern w:val="2"/>
                <w:sz w:val="24"/>
                <w:szCs w:val="24"/>
              </w:rPr>
              <w:t>图</w:t>
            </w:r>
            <w:r>
              <w:rPr>
                <w:rFonts w:hint="eastAsia" w:eastAsia="宋体" w:cs="Times New Roman"/>
                <w:b/>
                <w:color w:val="auto"/>
                <w:kern w:val="2"/>
                <w:sz w:val="24"/>
                <w:szCs w:val="24"/>
                <w:lang w:val="en-US" w:eastAsia="zh-CN"/>
              </w:rPr>
              <w:t>2.</w:t>
            </w:r>
            <w:r>
              <w:rPr>
                <w:rFonts w:hint="eastAsia" w:cs="Times New Roman"/>
                <w:b/>
                <w:color w:val="auto"/>
                <w:kern w:val="2"/>
                <w:sz w:val="24"/>
                <w:szCs w:val="24"/>
                <w:lang w:val="en-US" w:eastAsia="zh-CN"/>
              </w:rPr>
              <w:t>8</w:t>
            </w:r>
            <w:r>
              <w:rPr>
                <w:rFonts w:hint="eastAsia" w:eastAsia="宋体" w:cs="Times New Roman"/>
                <w:b/>
                <w:color w:val="auto"/>
                <w:kern w:val="2"/>
                <w:sz w:val="24"/>
                <w:szCs w:val="24"/>
                <w:lang w:val="en-US" w:eastAsia="zh-CN"/>
              </w:rPr>
              <w:t xml:space="preserve">-1 </w:t>
            </w:r>
            <w:r>
              <w:rPr>
                <w:rFonts w:hint="eastAsia" w:cs="Times New Roman"/>
                <w:b/>
                <w:bCs/>
                <w:color w:val="auto"/>
                <w:kern w:val="2"/>
                <w:highlight w:val="none"/>
                <w:lang w:val="en-US" w:eastAsia="zh-CN"/>
              </w:rPr>
              <w:t>瓷砖胶</w:t>
            </w:r>
            <w:r>
              <w:rPr>
                <w:rFonts w:eastAsia="宋体" w:cs="Times New Roman"/>
                <w:b/>
                <w:color w:val="auto"/>
                <w:kern w:val="2"/>
                <w:sz w:val="24"/>
                <w:szCs w:val="24"/>
              </w:rPr>
              <w:t>生产工艺流程及产污环节图</w:t>
            </w:r>
          </w:p>
          <w:p w14:paraId="7854E390">
            <w:pPr>
              <w:widowControl w:val="0"/>
              <w:overflowPunct w:val="0"/>
              <w:autoSpaceDE w:val="0"/>
              <w:autoSpaceDN w:val="0"/>
              <w:bidi w:val="0"/>
              <w:adjustRightInd w:val="0"/>
              <w:snapToGrid w:val="0"/>
              <w:spacing w:before="0" w:after="0" w:line="240" w:lineRule="auto"/>
              <w:ind w:left="0" w:right="0" w:firstLine="0" w:firstLineChars="0"/>
              <w:jc w:val="center"/>
              <w:rPr>
                <w:rFonts w:hint="eastAsia"/>
                <w:b/>
                <w:bCs/>
                <w:color w:val="auto"/>
                <w:highlight w:val="none"/>
                <w:lang w:val="en-US" w:eastAsia="zh-CN"/>
              </w:rPr>
            </w:pPr>
            <w:r>
              <w:rPr>
                <w:rFonts w:hint="eastAsia" w:ascii="Times New Roman" w:eastAsia="宋体"/>
                <w:b/>
                <w:bCs/>
                <w:color w:val="auto"/>
                <w:highlight w:val="none"/>
                <w:lang w:val="en-US" w:eastAsia="zh-CN"/>
              </w:rPr>
              <w:t>表2.8-1运营期主要污染工序一览表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1797"/>
              <w:gridCol w:w="1599"/>
              <w:gridCol w:w="3870"/>
            </w:tblGrid>
            <w:tr w14:paraId="3890D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tcBorders>
                    <w:tl2br w:val="nil"/>
                    <w:tr2bl w:val="nil"/>
                  </w:tcBorders>
                  <w:vAlign w:val="center"/>
                </w:tcPr>
                <w:p w14:paraId="7ECE89B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污染类别</w:t>
                  </w:r>
                </w:p>
              </w:tc>
              <w:tc>
                <w:tcPr>
                  <w:tcW w:w="1797" w:type="dxa"/>
                  <w:tcBorders>
                    <w:tl2br w:val="nil"/>
                    <w:tr2bl w:val="nil"/>
                  </w:tcBorders>
                  <w:vAlign w:val="center"/>
                </w:tcPr>
                <w:p w14:paraId="59F4CCBA">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污染源名称</w:t>
                  </w:r>
                </w:p>
              </w:tc>
              <w:tc>
                <w:tcPr>
                  <w:tcW w:w="1599" w:type="dxa"/>
                  <w:tcBorders>
                    <w:tl2br w:val="nil"/>
                    <w:tr2bl w:val="nil"/>
                  </w:tcBorders>
                  <w:vAlign w:val="center"/>
                </w:tcPr>
                <w:p w14:paraId="2F4ACA46">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产生工序</w:t>
                  </w:r>
                </w:p>
              </w:tc>
              <w:tc>
                <w:tcPr>
                  <w:tcW w:w="3870" w:type="dxa"/>
                  <w:tcBorders>
                    <w:tl2br w:val="nil"/>
                    <w:tr2bl w:val="nil"/>
                  </w:tcBorders>
                  <w:vAlign w:val="center"/>
                </w:tcPr>
                <w:p w14:paraId="0FF7906F">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主要污染因子</w:t>
                  </w:r>
                </w:p>
              </w:tc>
            </w:tr>
            <w:tr w14:paraId="6DE70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8" w:type="dxa"/>
                  <w:vMerge w:val="restart"/>
                  <w:tcBorders>
                    <w:tl2br w:val="nil"/>
                    <w:tr2bl w:val="nil"/>
                  </w:tcBorders>
                  <w:vAlign w:val="center"/>
                </w:tcPr>
                <w:p w14:paraId="6C597850">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废气</w:t>
                  </w:r>
                </w:p>
              </w:tc>
              <w:tc>
                <w:tcPr>
                  <w:tcW w:w="1797" w:type="dxa"/>
                  <w:tcBorders>
                    <w:tl2br w:val="nil"/>
                    <w:tr2bl w:val="nil"/>
                  </w:tcBorders>
                  <w:vAlign w:val="center"/>
                </w:tcPr>
                <w:p w14:paraId="0DEAAA3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G</w:t>
                  </w:r>
                  <w:r>
                    <w:rPr>
                      <w:rFonts w:hint="eastAsia"/>
                      <w:color w:val="auto"/>
                      <w:sz w:val="21"/>
                      <w:szCs w:val="21"/>
                      <w:highlight w:val="none"/>
                      <w:lang w:val="en-US" w:eastAsia="zh-CN"/>
                    </w:rPr>
                    <w:t>1卸料废气</w:t>
                  </w:r>
                </w:p>
              </w:tc>
              <w:tc>
                <w:tcPr>
                  <w:tcW w:w="1599" w:type="dxa"/>
                  <w:tcBorders>
                    <w:tl2br w:val="nil"/>
                    <w:tr2bl w:val="nil"/>
                  </w:tcBorders>
                  <w:vAlign w:val="center"/>
                </w:tcPr>
                <w:p w14:paraId="1F9F02C7">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卸料入筒仓</w:t>
                  </w:r>
                </w:p>
              </w:tc>
              <w:tc>
                <w:tcPr>
                  <w:tcW w:w="3870" w:type="dxa"/>
                  <w:tcBorders>
                    <w:tl2br w:val="nil"/>
                    <w:tr2bl w:val="nil"/>
                  </w:tcBorders>
                  <w:vAlign w:val="center"/>
                </w:tcPr>
                <w:p w14:paraId="0B56C74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eastAsia="宋体"/>
                      <w:color w:val="auto"/>
                      <w:sz w:val="21"/>
                      <w:szCs w:val="21"/>
                      <w:highlight w:val="none"/>
                      <w:lang w:val="en-US" w:eastAsia="zh-CN"/>
                    </w:rPr>
                  </w:pPr>
                  <w:r>
                    <w:rPr>
                      <w:rFonts w:hint="eastAsia"/>
                      <w:color w:val="auto"/>
                      <w:sz w:val="21"/>
                      <w:szCs w:val="21"/>
                      <w:highlight w:val="none"/>
                      <w:lang w:val="en-US" w:eastAsia="zh-CN"/>
                    </w:rPr>
                    <w:t>颗粒物</w:t>
                  </w:r>
                </w:p>
              </w:tc>
            </w:tr>
            <w:tr w14:paraId="5F42A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5802A457">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06F10368">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G2筒仓废气</w:t>
                  </w:r>
                </w:p>
              </w:tc>
              <w:tc>
                <w:tcPr>
                  <w:tcW w:w="1599" w:type="dxa"/>
                  <w:tcBorders>
                    <w:tl2br w:val="nil"/>
                    <w:tr2bl w:val="nil"/>
                  </w:tcBorders>
                  <w:vAlign w:val="center"/>
                </w:tcPr>
                <w:p w14:paraId="71B502F4">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筒仓呼吸</w:t>
                  </w:r>
                </w:p>
              </w:tc>
              <w:tc>
                <w:tcPr>
                  <w:tcW w:w="3870" w:type="dxa"/>
                  <w:tcBorders>
                    <w:tl2br w:val="nil"/>
                    <w:tr2bl w:val="nil"/>
                  </w:tcBorders>
                  <w:vAlign w:val="center"/>
                </w:tcPr>
                <w:p w14:paraId="36A5670F">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颗粒物</w:t>
                  </w:r>
                </w:p>
              </w:tc>
            </w:tr>
            <w:tr w14:paraId="5C4FA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4353046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497E06C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G3投料废气</w:t>
                  </w:r>
                </w:p>
              </w:tc>
              <w:tc>
                <w:tcPr>
                  <w:tcW w:w="1599" w:type="dxa"/>
                  <w:tcBorders>
                    <w:tl2br w:val="nil"/>
                    <w:tr2bl w:val="nil"/>
                  </w:tcBorders>
                  <w:vAlign w:val="center"/>
                </w:tcPr>
                <w:p w14:paraId="0210D856">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人工投料</w:t>
                  </w:r>
                </w:p>
              </w:tc>
              <w:tc>
                <w:tcPr>
                  <w:tcW w:w="3870" w:type="dxa"/>
                  <w:tcBorders>
                    <w:tl2br w:val="nil"/>
                    <w:tr2bl w:val="nil"/>
                  </w:tcBorders>
                  <w:vAlign w:val="center"/>
                </w:tcPr>
                <w:p w14:paraId="1C5CDF00">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颗粒物</w:t>
                  </w:r>
                </w:p>
              </w:tc>
            </w:tr>
            <w:tr w14:paraId="35DAA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7531C2E3">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44DBC623">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G4输送废气</w:t>
                  </w:r>
                </w:p>
              </w:tc>
              <w:tc>
                <w:tcPr>
                  <w:tcW w:w="1599" w:type="dxa"/>
                  <w:tcBorders>
                    <w:tl2br w:val="nil"/>
                    <w:tr2bl w:val="nil"/>
                  </w:tcBorders>
                  <w:vAlign w:val="center"/>
                </w:tcPr>
                <w:p w14:paraId="7C49BAD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物料输送</w:t>
                  </w:r>
                </w:p>
              </w:tc>
              <w:tc>
                <w:tcPr>
                  <w:tcW w:w="3870" w:type="dxa"/>
                  <w:tcBorders>
                    <w:tl2br w:val="nil"/>
                    <w:tr2bl w:val="nil"/>
                  </w:tcBorders>
                  <w:vAlign w:val="center"/>
                </w:tcPr>
                <w:p w14:paraId="2871BF0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颗粒物</w:t>
                  </w:r>
                </w:p>
              </w:tc>
            </w:tr>
            <w:tr w14:paraId="6137B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694D650F">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7E82BAB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G5搅拌废气</w:t>
                  </w:r>
                </w:p>
              </w:tc>
              <w:tc>
                <w:tcPr>
                  <w:tcW w:w="1599" w:type="dxa"/>
                  <w:tcBorders>
                    <w:tl2br w:val="nil"/>
                    <w:tr2bl w:val="nil"/>
                  </w:tcBorders>
                  <w:vAlign w:val="center"/>
                </w:tcPr>
                <w:p w14:paraId="4E678392">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物料搅拌</w:t>
                  </w:r>
                </w:p>
              </w:tc>
              <w:tc>
                <w:tcPr>
                  <w:tcW w:w="3870" w:type="dxa"/>
                  <w:tcBorders>
                    <w:tl2br w:val="nil"/>
                    <w:tr2bl w:val="nil"/>
                  </w:tcBorders>
                  <w:vAlign w:val="center"/>
                </w:tcPr>
                <w:p w14:paraId="7C73A61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w:t>
                  </w:r>
                </w:p>
              </w:tc>
            </w:tr>
            <w:tr w14:paraId="5C324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3C74957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138000D4">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G6包装废气</w:t>
                  </w:r>
                </w:p>
              </w:tc>
              <w:tc>
                <w:tcPr>
                  <w:tcW w:w="1599" w:type="dxa"/>
                  <w:tcBorders>
                    <w:tl2br w:val="nil"/>
                    <w:tr2bl w:val="nil"/>
                  </w:tcBorders>
                  <w:vAlign w:val="center"/>
                </w:tcPr>
                <w:p w14:paraId="2786172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产品包装</w:t>
                  </w:r>
                </w:p>
              </w:tc>
              <w:tc>
                <w:tcPr>
                  <w:tcW w:w="3870" w:type="dxa"/>
                  <w:tcBorders>
                    <w:tl2br w:val="nil"/>
                    <w:tr2bl w:val="nil"/>
                  </w:tcBorders>
                  <w:vAlign w:val="center"/>
                </w:tcPr>
                <w:p w14:paraId="71571E6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颗粒物</w:t>
                  </w:r>
                </w:p>
              </w:tc>
            </w:tr>
            <w:tr w14:paraId="40634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8" w:type="dxa"/>
                  <w:vMerge w:val="restart"/>
                  <w:tcBorders>
                    <w:tl2br w:val="nil"/>
                    <w:tr2bl w:val="nil"/>
                  </w:tcBorders>
                  <w:vAlign w:val="center"/>
                </w:tcPr>
                <w:p w14:paraId="74D3F577">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废水</w:t>
                  </w:r>
                </w:p>
              </w:tc>
              <w:tc>
                <w:tcPr>
                  <w:tcW w:w="1797" w:type="dxa"/>
                  <w:tcBorders>
                    <w:tl2br w:val="nil"/>
                    <w:tr2bl w:val="nil"/>
                  </w:tcBorders>
                  <w:vAlign w:val="center"/>
                </w:tcPr>
                <w:p w14:paraId="2804963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W</w:t>
                  </w:r>
                  <w:r>
                    <w:rPr>
                      <w:rFonts w:hint="eastAsia"/>
                      <w:color w:val="auto"/>
                      <w:sz w:val="21"/>
                      <w:szCs w:val="21"/>
                      <w:highlight w:val="none"/>
                      <w:lang w:val="en-US" w:eastAsia="zh-CN"/>
                    </w:rPr>
                    <w:t>1</w:t>
                  </w:r>
                  <w:r>
                    <w:rPr>
                      <w:rFonts w:hint="eastAsia" w:ascii="Times New Roman" w:eastAsia="宋体"/>
                      <w:color w:val="auto"/>
                      <w:sz w:val="21"/>
                      <w:szCs w:val="21"/>
                      <w:highlight w:val="none"/>
                      <w:lang w:val="en-US" w:eastAsia="zh-CN"/>
                    </w:rPr>
                    <w:t>生活污水</w:t>
                  </w:r>
                </w:p>
              </w:tc>
              <w:tc>
                <w:tcPr>
                  <w:tcW w:w="1599" w:type="dxa"/>
                  <w:tcBorders>
                    <w:tl2br w:val="nil"/>
                    <w:tr2bl w:val="nil"/>
                  </w:tcBorders>
                  <w:vAlign w:val="center"/>
                </w:tcPr>
                <w:p w14:paraId="5D595A4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员工办公、生活</w:t>
                  </w:r>
                </w:p>
              </w:tc>
              <w:tc>
                <w:tcPr>
                  <w:tcW w:w="3870" w:type="dxa"/>
                  <w:tcBorders>
                    <w:tl2br w:val="nil"/>
                    <w:tr2bl w:val="nil"/>
                  </w:tcBorders>
                  <w:vAlign w:val="center"/>
                </w:tcPr>
                <w:p w14:paraId="69622A7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pH、COD、BOD</w:t>
                  </w:r>
                  <w:r>
                    <w:rPr>
                      <w:rFonts w:hint="eastAsia" w:ascii="Times New Roman" w:eastAsia="宋体"/>
                      <w:color w:val="auto"/>
                      <w:sz w:val="21"/>
                      <w:szCs w:val="21"/>
                      <w:highlight w:val="none"/>
                      <w:vertAlign w:val="subscript"/>
                      <w:lang w:val="en-US" w:eastAsia="zh-CN"/>
                    </w:rPr>
                    <w:t>5</w:t>
                  </w:r>
                  <w:r>
                    <w:rPr>
                      <w:rFonts w:hint="eastAsia" w:ascii="Times New Roman" w:eastAsia="宋体"/>
                      <w:color w:val="auto"/>
                      <w:sz w:val="21"/>
                      <w:szCs w:val="21"/>
                      <w:highlight w:val="none"/>
                      <w:lang w:val="en-US" w:eastAsia="zh-CN"/>
                    </w:rPr>
                    <w:t>、SS、氨氮</w:t>
                  </w:r>
                </w:p>
              </w:tc>
            </w:tr>
            <w:tr w14:paraId="14839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restart"/>
                  <w:tcBorders>
                    <w:tl2br w:val="nil"/>
                    <w:tr2bl w:val="nil"/>
                  </w:tcBorders>
                  <w:vAlign w:val="center"/>
                </w:tcPr>
                <w:p w14:paraId="49A17A0D">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噪声</w:t>
                  </w:r>
                </w:p>
              </w:tc>
              <w:tc>
                <w:tcPr>
                  <w:tcW w:w="1797" w:type="dxa"/>
                  <w:tcBorders>
                    <w:tl2br w:val="nil"/>
                    <w:tr2bl w:val="nil"/>
                  </w:tcBorders>
                  <w:vAlign w:val="center"/>
                </w:tcPr>
                <w:p w14:paraId="292E12CC">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N1运输噪声</w:t>
                  </w:r>
                </w:p>
              </w:tc>
              <w:tc>
                <w:tcPr>
                  <w:tcW w:w="1599" w:type="dxa"/>
                  <w:tcBorders>
                    <w:tl2br w:val="nil"/>
                    <w:tr2bl w:val="nil"/>
                  </w:tcBorders>
                  <w:vAlign w:val="center"/>
                </w:tcPr>
                <w:p w14:paraId="4495DC1D">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原料运输入场</w:t>
                  </w:r>
                </w:p>
              </w:tc>
              <w:tc>
                <w:tcPr>
                  <w:tcW w:w="3870" w:type="dxa"/>
                  <w:tcBorders>
                    <w:tl2br w:val="nil"/>
                    <w:tr2bl w:val="nil"/>
                  </w:tcBorders>
                  <w:vAlign w:val="center"/>
                </w:tcPr>
                <w:p w14:paraId="24FCA6C3">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机械噪声</w:t>
                  </w:r>
                </w:p>
              </w:tc>
            </w:tr>
            <w:tr w14:paraId="2BA72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2D0B5A3A">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0871542C">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N2卸料噪声</w:t>
                  </w:r>
                </w:p>
              </w:tc>
              <w:tc>
                <w:tcPr>
                  <w:tcW w:w="1599" w:type="dxa"/>
                  <w:tcBorders>
                    <w:tl2br w:val="nil"/>
                    <w:tr2bl w:val="nil"/>
                  </w:tcBorders>
                  <w:vAlign w:val="center"/>
                </w:tcPr>
                <w:p w14:paraId="6394A222">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原料卸料入场</w:t>
                  </w:r>
                </w:p>
              </w:tc>
              <w:tc>
                <w:tcPr>
                  <w:tcW w:w="3870" w:type="dxa"/>
                  <w:tcBorders>
                    <w:tl2br w:val="nil"/>
                    <w:tr2bl w:val="nil"/>
                  </w:tcBorders>
                  <w:vAlign w:val="center"/>
                </w:tcPr>
                <w:p w14:paraId="673ABA9A">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机械噪声</w:t>
                  </w:r>
                </w:p>
              </w:tc>
            </w:tr>
            <w:tr w14:paraId="28DD4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5544B29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0A3849F8">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N3输送噪声</w:t>
                  </w:r>
                </w:p>
              </w:tc>
              <w:tc>
                <w:tcPr>
                  <w:tcW w:w="1599" w:type="dxa"/>
                  <w:tcBorders>
                    <w:tl2br w:val="nil"/>
                    <w:tr2bl w:val="nil"/>
                  </w:tcBorders>
                  <w:vAlign w:val="center"/>
                </w:tcPr>
                <w:p w14:paraId="45004C8D">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物料输送</w:t>
                  </w:r>
                </w:p>
              </w:tc>
              <w:tc>
                <w:tcPr>
                  <w:tcW w:w="3870" w:type="dxa"/>
                  <w:tcBorders>
                    <w:tl2br w:val="nil"/>
                    <w:tr2bl w:val="nil"/>
                  </w:tcBorders>
                  <w:vAlign w:val="center"/>
                </w:tcPr>
                <w:p w14:paraId="3D68EE90">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机械噪声</w:t>
                  </w:r>
                </w:p>
              </w:tc>
            </w:tr>
            <w:tr w14:paraId="6D6AE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03E39F17">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5EB80A88">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N4搅拌噪声</w:t>
                  </w:r>
                </w:p>
              </w:tc>
              <w:tc>
                <w:tcPr>
                  <w:tcW w:w="1599" w:type="dxa"/>
                  <w:tcBorders>
                    <w:tl2br w:val="nil"/>
                    <w:tr2bl w:val="nil"/>
                  </w:tcBorders>
                  <w:vAlign w:val="center"/>
                </w:tcPr>
                <w:p w14:paraId="4C5DF1D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物料搅拌</w:t>
                  </w:r>
                </w:p>
              </w:tc>
              <w:tc>
                <w:tcPr>
                  <w:tcW w:w="3870" w:type="dxa"/>
                  <w:tcBorders>
                    <w:tl2br w:val="nil"/>
                    <w:tr2bl w:val="nil"/>
                  </w:tcBorders>
                  <w:vAlign w:val="center"/>
                </w:tcPr>
                <w:p w14:paraId="05F4C4C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机械噪声</w:t>
                  </w:r>
                </w:p>
              </w:tc>
            </w:tr>
            <w:tr w14:paraId="0B325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310B3596">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781DA524">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N5包装噪声</w:t>
                  </w:r>
                </w:p>
              </w:tc>
              <w:tc>
                <w:tcPr>
                  <w:tcW w:w="1599" w:type="dxa"/>
                  <w:tcBorders>
                    <w:tl2br w:val="nil"/>
                    <w:tr2bl w:val="nil"/>
                  </w:tcBorders>
                  <w:vAlign w:val="center"/>
                </w:tcPr>
                <w:p w14:paraId="69D9425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产品包装</w:t>
                  </w:r>
                </w:p>
              </w:tc>
              <w:tc>
                <w:tcPr>
                  <w:tcW w:w="3870" w:type="dxa"/>
                  <w:tcBorders>
                    <w:tl2br w:val="nil"/>
                    <w:tr2bl w:val="nil"/>
                  </w:tcBorders>
                  <w:vAlign w:val="center"/>
                </w:tcPr>
                <w:p w14:paraId="5F7697E5">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机械噪声</w:t>
                  </w:r>
                </w:p>
              </w:tc>
            </w:tr>
            <w:tr w14:paraId="41702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8" w:type="dxa"/>
                  <w:vMerge w:val="restart"/>
                  <w:tcBorders>
                    <w:tl2br w:val="nil"/>
                    <w:tr2bl w:val="nil"/>
                  </w:tcBorders>
                  <w:vAlign w:val="center"/>
                </w:tcPr>
                <w:p w14:paraId="331E6E5D">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固体废物</w:t>
                  </w:r>
                </w:p>
              </w:tc>
              <w:tc>
                <w:tcPr>
                  <w:tcW w:w="1797" w:type="dxa"/>
                  <w:tcBorders>
                    <w:tl2br w:val="nil"/>
                    <w:tr2bl w:val="nil"/>
                  </w:tcBorders>
                  <w:vAlign w:val="center"/>
                </w:tcPr>
                <w:p w14:paraId="3392CF48">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S1</w:t>
                  </w:r>
                  <w:r>
                    <w:rPr>
                      <w:rFonts w:hint="eastAsia"/>
                      <w:color w:val="auto"/>
                      <w:sz w:val="21"/>
                      <w:szCs w:val="21"/>
                      <w:highlight w:val="none"/>
                      <w:lang w:val="en-US" w:eastAsia="zh-CN"/>
                    </w:rPr>
                    <w:t>废布袋</w:t>
                  </w:r>
                </w:p>
              </w:tc>
              <w:tc>
                <w:tcPr>
                  <w:tcW w:w="1599" w:type="dxa"/>
                  <w:tcBorders>
                    <w:tl2br w:val="nil"/>
                    <w:tr2bl w:val="nil"/>
                  </w:tcBorders>
                  <w:vAlign w:val="center"/>
                </w:tcPr>
                <w:p w14:paraId="52EC3D76">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设备检修</w:t>
                  </w:r>
                </w:p>
              </w:tc>
              <w:tc>
                <w:tcPr>
                  <w:tcW w:w="3870" w:type="dxa"/>
                  <w:tcBorders>
                    <w:tl2br w:val="nil"/>
                    <w:tr2bl w:val="nil"/>
                  </w:tcBorders>
                  <w:vAlign w:val="center"/>
                </w:tcPr>
                <w:p w14:paraId="0CDEAF9B">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废布袋</w:t>
                  </w:r>
                </w:p>
              </w:tc>
            </w:tr>
            <w:tr w14:paraId="65208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567ECD6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4D14964D">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S2除尘灰</w:t>
                  </w:r>
                </w:p>
              </w:tc>
              <w:tc>
                <w:tcPr>
                  <w:tcW w:w="1599" w:type="dxa"/>
                  <w:tcBorders>
                    <w:tl2br w:val="nil"/>
                    <w:tr2bl w:val="nil"/>
                  </w:tcBorders>
                  <w:vAlign w:val="center"/>
                </w:tcPr>
                <w:p w14:paraId="38F6CAD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废气处理</w:t>
                  </w:r>
                </w:p>
              </w:tc>
              <w:tc>
                <w:tcPr>
                  <w:tcW w:w="3870" w:type="dxa"/>
                  <w:tcBorders>
                    <w:tl2br w:val="nil"/>
                    <w:tr2bl w:val="nil"/>
                  </w:tcBorders>
                  <w:vAlign w:val="center"/>
                </w:tcPr>
                <w:p w14:paraId="631CB64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除尘灰</w:t>
                  </w:r>
                </w:p>
              </w:tc>
            </w:tr>
            <w:tr w14:paraId="2EACE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66E772F6">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04F7D7CC">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S3废包装袋</w:t>
                  </w:r>
                </w:p>
              </w:tc>
              <w:tc>
                <w:tcPr>
                  <w:tcW w:w="1599" w:type="dxa"/>
                  <w:tcBorders>
                    <w:tl2br w:val="nil"/>
                    <w:tr2bl w:val="nil"/>
                  </w:tcBorders>
                  <w:vAlign w:val="center"/>
                </w:tcPr>
                <w:p w14:paraId="343C7774">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投料</w:t>
                  </w:r>
                </w:p>
              </w:tc>
              <w:tc>
                <w:tcPr>
                  <w:tcW w:w="3870" w:type="dxa"/>
                  <w:tcBorders>
                    <w:tl2br w:val="nil"/>
                    <w:tr2bl w:val="nil"/>
                  </w:tcBorders>
                  <w:vAlign w:val="center"/>
                </w:tcPr>
                <w:p w14:paraId="4E12CFD1">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废包装袋</w:t>
                  </w:r>
                </w:p>
              </w:tc>
            </w:tr>
            <w:tr w14:paraId="1183C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44A0BAF4">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36227D4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S</w:t>
                  </w:r>
                  <w:r>
                    <w:rPr>
                      <w:rFonts w:hint="eastAsia"/>
                      <w:color w:val="auto"/>
                      <w:sz w:val="21"/>
                      <w:szCs w:val="21"/>
                      <w:highlight w:val="none"/>
                      <w:lang w:val="en-US" w:eastAsia="zh-CN"/>
                    </w:rPr>
                    <w:t>4废机油</w:t>
                  </w:r>
                </w:p>
              </w:tc>
              <w:tc>
                <w:tcPr>
                  <w:tcW w:w="1599" w:type="dxa"/>
                  <w:tcBorders>
                    <w:tl2br w:val="nil"/>
                    <w:tr2bl w:val="nil"/>
                  </w:tcBorders>
                  <w:vAlign w:val="center"/>
                </w:tcPr>
                <w:p w14:paraId="7DC4D98F">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设备检修</w:t>
                  </w:r>
                </w:p>
              </w:tc>
              <w:tc>
                <w:tcPr>
                  <w:tcW w:w="3870" w:type="dxa"/>
                  <w:tcBorders>
                    <w:tl2br w:val="nil"/>
                    <w:tr2bl w:val="nil"/>
                  </w:tcBorders>
                  <w:vAlign w:val="center"/>
                </w:tcPr>
                <w:p w14:paraId="16C712A3">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eastAsia" w:ascii="Times New Roman" w:eastAsia="宋体"/>
                      <w:color w:val="auto"/>
                      <w:sz w:val="21"/>
                      <w:szCs w:val="21"/>
                      <w:highlight w:val="none"/>
                      <w:lang w:val="en-US" w:eastAsia="zh-CN"/>
                    </w:rPr>
                  </w:pPr>
                  <w:r>
                    <w:rPr>
                      <w:rFonts w:hint="eastAsia"/>
                      <w:color w:val="auto"/>
                      <w:sz w:val="21"/>
                      <w:szCs w:val="21"/>
                      <w:highlight w:val="none"/>
                      <w:lang w:val="en-US" w:eastAsia="zh-CN"/>
                    </w:rPr>
                    <w:t>废机油</w:t>
                  </w:r>
                </w:p>
              </w:tc>
            </w:tr>
            <w:tr w14:paraId="474AB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8" w:type="dxa"/>
                  <w:vMerge w:val="continue"/>
                  <w:tcBorders>
                    <w:tl2br w:val="nil"/>
                    <w:tr2bl w:val="nil"/>
                  </w:tcBorders>
                  <w:vAlign w:val="center"/>
                </w:tcPr>
                <w:p w14:paraId="395F3B12">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right="0" w:firstLine="0" w:firstLineChars="0"/>
                    <w:jc w:val="center"/>
                    <w:textAlignment w:val="auto"/>
                    <w:rPr>
                      <w:rFonts w:hint="eastAsia"/>
                      <w:color w:val="auto"/>
                      <w:sz w:val="21"/>
                      <w:szCs w:val="21"/>
                      <w:highlight w:val="none"/>
                      <w:lang w:val="en-US" w:eastAsia="zh-CN"/>
                    </w:rPr>
                  </w:pPr>
                </w:p>
              </w:tc>
              <w:tc>
                <w:tcPr>
                  <w:tcW w:w="1797" w:type="dxa"/>
                  <w:tcBorders>
                    <w:tl2br w:val="nil"/>
                    <w:tr2bl w:val="nil"/>
                  </w:tcBorders>
                  <w:vAlign w:val="center"/>
                </w:tcPr>
                <w:p w14:paraId="6FD3ABC6">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S5</w:t>
                  </w:r>
                  <w:r>
                    <w:rPr>
                      <w:rFonts w:hint="default"/>
                      <w:color w:val="auto"/>
                      <w:sz w:val="21"/>
                      <w:szCs w:val="21"/>
                      <w:highlight w:val="none"/>
                      <w:lang w:val="en-US" w:eastAsia="zh-CN"/>
                    </w:rPr>
                    <w:t>生活垃圾</w:t>
                  </w:r>
                </w:p>
              </w:tc>
              <w:tc>
                <w:tcPr>
                  <w:tcW w:w="1599" w:type="dxa"/>
                  <w:tcBorders>
                    <w:tl2br w:val="nil"/>
                    <w:tr2bl w:val="nil"/>
                  </w:tcBorders>
                  <w:vAlign w:val="center"/>
                </w:tcPr>
                <w:p w14:paraId="512FE13A">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员工生活</w:t>
                  </w:r>
                </w:p>
              </w:tc>
              <w:tc>
                <w:tcPr>
                  <w:tcW w:w="3870" w:type="dxa"/>
                  <w:tcBorders>
                    <w:tl2br w:val="nil"/>
                    <w:tr2bl w:val="nil"/>
                  </w:tcBorders>
                  <w:vAlign w:val="center"/>
                </w:tcPr>
                <w:p w14:paraId="45B5E099">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center"/>
                    <w:textAlignment w:val="auto"/>
                    <w:rPr>
                      <w:rFonts w:hint="default" w:ascii="Times New Roman" w:eastAsia="宋体"/>
                      <w:color w:val="auto"/>
                      <w:sz w:val="21"/>
                      <w:szCs w:val="21"/>
                      <w:highlight w:val="none"/>
                      <w:lang w:val="en-US" w:eastAsia="zh-CN"/>
                    </w:rPr>
                  </w:pPr>
                  <w:r>
                    <w:rPr>
                      <w:rFonts w:hint="default"/>
                      <w:color w:val="auto"/>
                      <w:sz w:val="21"/>
                      <w:szCs w:val="21"/>
                      <w:highlight w:val="none"/>
                      <w:lang w:val="en-US" w:eastAsia="zh-CN"/>
                    </w:rPr>
                    <w:t>生活垃圾</w:t>
                  </w:r>
                </w:p>
              </w:tc>
            </w:tr>
          </w:tbl>
          <w:p w14:paraId="5A92308A">
            <w:pPr>
              <w:pStyle w:val="20"/>
              <w:rPr>
                <w:rFonts w:hint="default"/>
                <w:color w:val="auto"/>
                <w:lang w:val="en-US" w:eastAsia="zh-CN"/>
              </w:rPr>
            </w:pPr>
          </w:p>
        </w:tc>
      </w:tr>
      <w:tr w14:paraId="3797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4" w:hRule="atLeast"/>
          <w:jc w:val="center"/>
        </w:trPr>
        <w:tc>
          <w:tcPr>
            <w:tcW w:w="486" w:type="dxa"/>
            <w:vAlign w:val="center"/>
          </w:tcPr>
          <w:p w14:paraId="690606B4">
            <w:pPr>
              <w:widowControl w:val="0"/>
              <w:overflowPunct w:val="0"/>
              <w:autoSpaceDE w:val="0"/>
              <w:autoSpaceDN w:val="0"/>
              <w:adjustRightInd w:val="0"/>
              <w:snapToGrid w:val="0"/>
              <w:spacing w:before="0" w:after="0" w:line="400" w:lineRule="exact"/>
              <w:ind w:left="0" w:leftChars="0" w:right="0" w:rightChars="0" w:firstLine="0" w:firstLineChars="0"/>
              <w:jc w:val="center"/>
              <w:rPr>
                <w:rFonts w:ascii="Times New Roman" w:hAnsi="Times New Roman" w:eastAsia="宋体" w:cs="宋体"/>
                <w:color w:val="auto"/>
                <w:sz w:val="24"/>
                <w:szCs w:val="24"/>
                <w:vertAlign w:val="baseline"/>
                <w:lang w:val="en-US" w:eastAsia="zh-CN" w:bidi="ar-SA"/>
              </w:rPr>
            </w:pPr>
            <w:r>
              <w:rPr>
                <w:rFonts w:ascii="Times New Roman" w:hAnsi="Times New Roman" w:eastAsia="宋体" w:cs="宋体"/>
                <w:color w:val="auto"/>
                <w:sz w:val="24"/>
                <w:szCs w:val="22"/>
                <w:lang w:val="en-US" w:eastAsia="zh-CN" w:bidi="ar-SA"/>
              </w:rPr>
              <w:t>项目有关的原有环境污染问</w:t>
            </w:r>
            <w:r>
              <w:rPr>
                <w:rFonts w:hint="eastAsia" w:ascii="Times New Roman" w:hAnsi="Times New Roman" w:eastAsia="宋体" w:cs="宋体"/>
                <w:color w:val="auto"/>
                <w:sz w:val="24"/>
                <w:szCs w:val="22"/>
                <w:lang w:val="en-US" w:eastAsia="zh-CN" w:bidi="ar-SA"/>
              </w:rPr>
              <w:t>题</w:t>
            </w:r>
          </w:p>
        </w:tc>
        <w:tc>
          <w:tcPr>
            <w:tcW w:w="8585" w:type="dxa"/>
            <w:vAlign w:val="top"/>
          </w:tcPr>
          <w:p w14:paraId="1A19C65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厂址</w:t>
            </w:r>
            <w:r>
              <w:rPr>
                <w:rFonts w:hint="default" w:ascii="Times New Roman" w:hAnsi="Times New Roman" w:cs="Times New Roman"/>
                <w:b/>
                <w:bCs/>
                <w:color w:val="auto"/>
                <w:sz w:val="24"/>
                <w:szCs w:val="24"/>
                <w:highlight w:val="none"/>
                <w:lang w:val="en-US" w:eastAsia="zh-CN"/>
              </w:rPr>
              <w:t>现有工程环保手续</w:t>
            </w:r>
          </w:p>
          <w:p w14:paraId="17E900A1">
            <w:pPr>
              <w:pStyle w:val="44"/>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2018年8月</w:t>
            </w:r>
            <w:r>
              <w:rPr>
                <w:rFonts w:hint="eastAsia" w:cs="Times New Roman"/>
                <w:color w:val="auto"/>
                <w:highlight w:val="none"/>
                <w:lang w:val="en-US" w:eastAsia="zh-CN"/>
              </w:rPr>
              <w:t>新疆东方启辰工贸有限公司委托</w:t>
            </w:r>
            <w:r>
              <w:rPr>
                <w:rFonts w:hint="eastAsia" w:ascii="Times New Roman" w:hAnsi="Times New Roman" w:cs="Times New Roman"/>
                <w:color w:val="auto"/>
                <w:highlight w:val="none"/>
                <w:lang w:val="en-US" w:eastAsia="zh-CN"/>
              </w:rPr>
              <w:t>河北师大环境科技有限公司编制完成《新疆东方启辰工贸有限公司 EPE 包装材料、海绵、海绵类制品生产及家具组装项目环境影响报告书》。2018年9月，昌吉州环保局以《关于新疆东方启辰工贸有限公司 EPE 包装材料、海绵、海绵类制品生产及家具组装项目环境影响报告书的批复》(昌州环评[2018143号)</w:t>
            </w:r>
            <w:r>
              <w:rPr>
                <w:rFonts w:hint="default" w:ascii="Times New Roman" w:hAnsi="Times New Roman" w:cs="Times New Roman"/>
                <w:color w:val="auto"/>
                <w:highlight w:val="none"/>
                <w:lang w:val="en-US" w:eastAsia="zh-CN"/>
              </w:rPr>
              <w:t>。</w:t>
            </w:r>
          </w:p>
          <w:p w14:paraId="1ECED321">
            <w:pPr>
              <w:pStyle w:val="44"/>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2019年3月开工建设，2019年9月竣工并调试设备。项目共投资2800万元,实际建成1条聚氨酯海绵生产线及配套工程,年产海绵7000吨。</w:t>
            </w:r>
            <w:r>
              <w:rPr>
                <w:rFonts w:hint="eastAsia" w:cs="Times New Roman"/>
                <w:color w:val="auto"/>
                <w:highlight w:val="none"/>
                <w:lang w:val="en-US" w:eastAsia="zh-CN"/>
              </w:rPr>
              <w:t>于</w:t>
            </w:r>
            <w:r>
              <w:rPr>
                <w:rFonts w:hint="default" w:ascii="Times New Roman" w:hAnsi="Times New Roman" w:cs="Times New Roman"/>
                <w:color w:val="auto"/>
                <w:highlight w:val="none"/>
                <w:lang w:val="en-US" w:eastAsia="zh-CN"/>
              </w:rPr>
              <w:t>2019年9月</w:t>
            </w:r>
            <w:r>
              <w:rPr>
                <w:rFonts w:hint="eastAsia" w:cs="Times New Roman"/>
                <w:color w:val="auto"/>
                <w:highlight w:val="none"/>
                <w:lang w:val="en-US" w:eastAsia="zh-CN"/>
              </w:rPr>
              <w:t>完成</w:t>
            </w:r>
            <w:r>
              <w:rPr>
                <w:rFonts w:hint="default" w:ascii="Times New Roman" w:hAnsi="Times New Roman" w:cs="Times New Roman"/>
                <w:color w:val="auto"/>
                <w:highlight w:val="none"/>
                <w:lang w:val="en-US" w:eastAsia="zh-CN"/>
              </w:rPr>
              <w:t>环境保护验收工作</w:t>
            </w:r>
            <w:r>
              <w:rPr>
                <w:rFonts w:hint="eastAsia" w:cs="Times New Roman"/>
                <w:color w:val="auto"/>
                <w:highlight w:val="none"/>
                <w:lang w:val="en-US" w:eastAsia="zh-CN"/>
              </w:rPr>
              <w:t>。</w:t>
            </w:r>
          </w:p>
          <w:p w14:paraId="2D62837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与本项目有关的主要环境问题</w:t>
            </w:r>
          </w:p>
          <w:p w14:paraId="6AC009E3">
            <w:pPr>
              <w:pStyle w:val="18"/>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b w:val="0"/>
                <w:bCs w:val="0"/>
                <w:color w:val="auto"/>
                <w:szCs w:val="21"/>
                <w:highlight w:val="none"/>
              </w:rPr>
              <w:t>本项目为新建项目</w:t>
            </w:r>
            <w:r>
              <w:rPr>
                <w:rFonts w:hint="eastAsia" w:ascii="Times New Roman" w:cs="Times New Roman"/>
                <w:b w:val="0"/>
                <w:bCs w:val="0"/>
                <w:color w:val="auto"/>
                <w:szCs w:val="21"/>
                <w:highlight w:val="none"/>
                <w:lang w:eastAsia="zh-CN"/>
              </w:rPr>
              <w:t>，</w:t>
            </w:r>
            <w:r>
              <w:rPr>
                <w:rFonts w:hint="default" w:ascii="Times New Roman" w:hAnsi="Times New Roman" w:cs="Times New Roman"/>
                <w:b w:val="0"/>
                <w:bCs w:val="0"/>
                <w:color w:val="auto"/>
                <w:szCs w:val="21"/>
                <w:highlight w:val="none"/>
              </w:rPr>
              <w:t>建设单位租赁1栋标准化已建厂房建设本次</w:t>
            </w:r>
            <w:r>
              <w:rPr>
                <w:rFonts w:hint="eastAsia" w:ascii="Times New Roman" w:hAnsi="Times New Roman" w:cs="Times New Roman"/>
                <w:b w:val="0"/>
                <w:bCs w:val="0"/>
                <w:color w:val="auto"/>
                <w:szCs w:val="21"/>
                <w:highlight w:val="none"/>
                <w:lang w:val="en-US" w:eastAsia="zh-CN"/>
              </w:rPr>
              <w:t>项目</w:t>
            </w:r>
            <w:r>
              <w:rPr>
                <w:rFonts w:hint="eastAsia" w:ascii="Times New Roman" w:cs="Times New Roman"/>
                <w:b w:val="0"/>
                <w:bCs w:val="0"/>
                <w:color w:val="auto"/>
                <w:szCs w:val="21"/>
                <w:highlight w:val="none"/>
                <w:lang w:eastAsia="zh-CN"/>
              </w:rPr>
              <w:t>，</w:t>
            </w:r>
            <w:r>
              <w:rPr>
                <w:rFonts w:hint="default" w:ascii="Times New Roman" w:hAnsi="Times New Roman" w:cs="Times New Roman"/>
                <w:b w:val="0"/>
                <w:bCs w:val="0"/>
                <w:color w:val="auto"/>
                <w:szCs w:val="21"/>
                <w:highlight w:val="none"/>
              </w:rPr>
              <w:t>厂房内现状为闲置状态</w:t>
            </w:r>
            <w:r>
              <w:rPr>
                <w:rFonts w:hint="eastAsia" w:ascii="Times New Roman" w:cs="Times New Roman"/>
                <w:b w:val="0"/>
                <w:bCs w:val="0"/>
                <w:color w:val="auto"/>
                <w:szCs w:val="21"/>
                <w:highlight w:val="none"/>
                <w:lang w:eastAsia="zh-CN"/>
              </w:rPr>
              <w:t>，</w:t>
            </w:r>
            <w:r>
              <w:rPr>
                <w:rFonts w:hint="default" w:ascii="Times New Roman" w:hAnsi="Times New Roman" w:cs="Times New Roman"/>
                <w:b w:val="0"/>
                <w:bCs w:val="0"/>
                <w:color w:val="auto"/>
                <w:szCs w:val="21"/>
                <w:highlight w:val="none"/>
              </w:rPr>
              <w:t>不存在与本项目有关的原有污染情况</w:t>
            </w:r>
            <w:r>
              <w:rPr>
                <w:rFonts w:hint="eastAsia" w:ascii="Times New Roman" w:hAnsi="Times New Roman" w:cs="Times New Roman"/>
                <w:b w:val="0"/>
                <w:bCs w:val="0"/>
                <w:color w:val="auto"/>
                <w:szCs w:val="21"/>
                <w:highlight w:val="none"/>
                <w:lang w:eastAsia="zh-CN"/>
              </w:rPr>
              <w:t>。</w:t>
            </w:r>
          </w:p>
          <w:p w14:paraId="2DC675E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color w:val="auto"/>
                <w:highlight w:val="none"/>
                <w:lang w:val="en-US"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本项目对现有厂址区域项目的影响</w:t>
            </w:r>
          </w:p>
          <w:p w14:paraId="289E355B">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color w:val="auto"/>
                <w:sz w:val="24"/>
                <w:szCs w:val="32"/>
                <w:highlight w:val="none"/>
                <w:lang w:val="en-US" w:eastAsia="zh-CN"/>
              </w:rPr>
            </w:pPr>
            <w:r>
              <w:rPr>
                <w:rFonts w:hint="eastAsia" w:cs="Times New Roman"/>
                <w:color w:val="auto"/>
                <w:highlight w:val="none"/>
                <w:lang w:val="en-US" w:eastAsia="zh-CN"/>
              </w:rPr>
              <w:t>新疆东方启辰工贸有限公司</w:t>
            </w:r>
            <w:r>
              <w:rPr>
                <w:rFonts w:hint="eastAsia"/>
                <w:color w:val="auto"/>
                <w:sz w:val="24"/>
                <w:szCs w:val="32"/>
                <w:highlight w:val="none"/>
                <w:lang w:eastAsia="zh-CN"/>
              </w:rPr>
              <w:t>现运行厂房位于项目区</w:t>
            </w:r>
            <w:r>
              <w:rPr>
                <w:rFonts w:hint="eastAsia"/>
                <w:color w:val="auto"/>
                <w:sz w:val="24"/>
                <w:szCs w:val="32"/>
                <w:highlight w:val="none"/>
                <w:lang w:val="en-US" w:eastAsia="zh-CN"/>
              </w:rPr>
              <w:t>南侧12m</w:t>
            </w:r>
            <w:r>
              <w:rPr>
                <w:rFonts w:hint="eastAsia"/>
                <w:color w:val="auto"/>
                <w:sz w:val="24"/>
                <w:szCs w:val="32"/>
                <w:highlight w:val="none"/>
                <w:lang w:eastAsia="zh-CN"/>
              </w:rPr>
              <w:t>处，该厂区地面均为水泥混凝土基础防渗地面，</w:t>
            </w:r>
            <w:r>
              <w:rPr>
                <w:rFonts w:hint="eastAsia"/>
                <w:color w:val="auto"/>
                <w:sz w:val="24"/>
                <w:szCs w:val="32"/>
                <w:highlight w:val="none"/>
                <w:lang w:val="en-US" w:eastAsia="zh-CN"/>
              </w:rPr>
              <w:t>本项目按照要求设置环保设置，</w:t>
            </w:r>
            <w:r>
              <w:rPr>
                <w:rFonts w:hint="eastAsia"/>
                <w:color w:val="auto"/>
                <w:sz w:val="24"/>
                <w:szCs w:val="32"/>
                <w:highlight w:val="none"/>
                <w:lang w:eastAsia="zh-CN"/>
              </w:rPr>
              <w:t>因此，发生非正常工况下，</w:t>
            </w:r>
            <w:r>
              <w:rPr>
                <w:rFonts w:hint="eastAsia"/>
                <w:color w:val="auto"/>
                <w:sz w:val="24"/>
                <w:szCs w:val="32"/>
                <w:highlight w:val="none"/>
                <w:lang w:val="en-US" w:eastAsia="zh-CN"/>
              </w:rPr>
              <w:t>本项目产生的颗粒物</w:t>
            </w:r>
            <w:r>
              <w:rPr>
                <w:rFonts w:hint="eastAsia"/>
                <w:color w:val="auto"/>
                <w:sz w:val="24"/>
                <w:szCs w:val="32"/>
                <w:highlight w:val="none"/>
                <w:lang w:eastAsia="zh-CN"/>
              </w:rPr>
              <w:t>对</w:t>
            </w:r>
            <w:r>
              <w:rPr>
                <w:rFonts w:hint="eastAsia" w:cs="Times New Roman"/>
                <w:color w:val="auto"/>
                <w:highlight w:val="none"/>
                <w:lang w:val="en-US" w:eastAsia="zh-CN"/>
              </w:rPr>
              <w:t>新疆东方启辰工贸有限公司</w:t>
            </w:r>
            <w:r>
              <w:rPr>
                <w:rFonts w:hint="eastAsia"/>
                <w:color w:val="auto"/>
                <w:sz w:val="24"/>
                <w:szCs w:val="32"/>
                <w:highlight w:val="none"/>
                <w:lang w:eastAsia="zh-CN"/>
              </w:rPr>
              <w:t>影响不大。</w:t>
            </w:r>
          </w:p>
          <w:p w14:paraId="01DB6FA0">
            <w:pPr>
              <w:jc w:val="both"/>
              <w:rPr>
                <w:rFonts w:hint="default"/>
                <w:color w:val="auto"/>
                <w:lang w:val="en-US" w:eastAsia="zh-CN"/>
              </w:rPr>
            </w:pPr>
          </w:p>
          <w:p w14:paraId="1D8BAF7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right="0" w:rightChars="0" w:firstLine="480" w:firstLineChars="200"/>
              <w:jc w:val="left"/>
              <w:textAlignment w:val="auto"/>
              <w:rPr>
                <w:rFonts w:hint="default" w:ascii="Times New Roman" w:hAnsi="Times New Roman" w:eastAsia="宋体" w:cs="宋体"/>
                <w:color w:val="auto"/>
                <w:sz w:val="24"/>
                <w:szCs w:val="24"/>
                <w:vertAlign w:val="baseline"/>
                <w:lang w:val="en-US" w:eastAsia="zh-CN" w:bidi="ar-SA"/>
              </w:rPr>
            </w:pPr>
          </w:p>
        </w:tc>
      </w:tr>
    </w:tbl>
    <w:p w14:paraId="268FA434">
      <w:pPr>
        <w:widowControl w:val="0"/>
        <w:numPr>
          <w:ilvl w:val="0"/>
          <w:numId w:val="3"/>
        </w:numPr>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color w:val="auto"/>
          <w:kern w:val="44"/>
          <w:sz w:val="28"/>
          <w:szCs w:val="22"/>
          <w:lang w:val="en-US" w:eastAsia="zh-CN" w:bidi="ar-SA"/>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22B33C3">
      <w:pPr>
        <w:numPr>
          <w:ilvl w:val="0"/>
          <w:numId w:val="3"/>
        </w:numPr>
        <w:overflowPunct w:val="0"/>
        <w:autoSpaceDE w:val="0"/>
        <w:autoSpaceDN w:val="0"/>
        <w:adjustRightInd w:val="0"/>
        <w:snapToGrid w:val="0"/>
        <w:spacing w:line="560" w:lineRule="exact"/>
        <w:jc w:val="center"/>
        <w:outlineLvl w:val="0"/>
        <w:rPr>
          <w:rFonts w:ascii="Times New Roman" w:hAnsi="Times New Roman" w:eastAsia="宋体" w:cs="宋体"/>
          <w:b/>
          <w:color w:val="auto"/>
          <w:kern w:val="44"/>
          <w:sz w:val="28"/>
        </w:rPr>
      </w:pPr>
      <w:bookmarkStart w:id="17" w:name="_Toc32641"/>
      <w:bookmarkStart w:id="18" w:name="_Toc853"/>
      <w:bookmarkStart w:id="19" w:name="_Toc340"/>
      <w:bookmarkStart w:id="20" w:name="_Toc11713"/>
      <w:bookmarkStart w:id="21" w:name="_Toc1394"/>
      <w:r>
        <w:rPr>
          <w:rFonts w:ascii="Times New Roman" w:hAnsi="Times New Roman" w:eastAsia="宋体" w:cs="宋体"/>
          <w:b/>
          <w:color w:val="auto"/>
          <w:kern w:val="44"/>
          <w:sz w:val="28"/>
        </w:rPr>
        <w:t>区域环境质量现状、环境保护目标及评价标准</w:t>
      </w:r>
      <w:bookmarkEnd w:id="17"/>
      <w:bookmarkEnd w:id="18"/>
      <w:bookmarkEnd w:id="19"/>
      <w:bookmarkEnd w:id="20"/>
      <w:bookmarkEnd w:id="21"/>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45"/>
      </w:tblGrid>
      <w:tr w14:paraId="155F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30" w:hRule="atLeast"/>
          <w:jc w:val="center"/>
        </w:trPr>
        <w:tc>
          <w:tcPr>
            <w:tcW w:w="426" w:type="dxa"/>
            <w:vAlign w:val="center"/>
          </w:tcPr>
          <w:p w14:paraId="398BD3EA">
            <w:pPr>
              <w:overflowPunct w:val="0"/>
              <w:autoSpaceDE w:val="0"/>
              <w:autoSpaceDN w:val="0"/>
              <w:adjustRightInd w:val="0"/>
              <w:snapToGrid w:val="0"/>
              <w:spacing w:line="500" w:lineRule="exact"/>
              <w:ind w:firstLine="480" w:firstLineChars="200"/>
              <w:jc w:val="center"/>
              <w:rPr>
                <w:rFonts w:ascii="Times New Roman" w:hAnsi="Times New Roman" w:eastAsia="宋体" w:cs="宋体"/>
                <w:color w:val="auto"/>
              </w:rPr>
            </w:pPr>
            <w:r>
              <w:rPr>
                <w:rFonts w:ascii="Times New Roman" w:hAnsi="Times New Roman" w:eastAsia="宋体" w:cs="宋体"/>
                <w:color w:val="auto"/>
              </w:rPr>
              <w:t>区域环境质量现状</w:t>
            </w:r>
          </w:p>
        </w:tc>
        <w:tc>
          <w:tcPr>
            <w:tcW w:w="8645" w:type="dxa"/>
          </w:tcPr>
          <w:p w14:paraId="48BC9A0A">
            <w:pPr>
              <w:overflowPunct w:val="0"/>
              <w:autoSpaceDE w:val="0"/>
              <w:autoSpaceDN w:val="0"/>
              <w:adjustRightInd w:val="0"/>
              <w:snapToGrid w:val="0"/>
              <w:spacing w:line="560" w:lineRule="exact"/>
              <w:jc w:val="left"/>
              <w:outlineLvl w:val="1"/>
              <w:rPr>
                <w:rFonts w:ascii="Times New Roman" w:hAnsi="Times New Roman" w:eastAsia="宋体" w:cs="黑体"/>
                <w:b/>
                <w:color w:val="auto"/>
                <w:sz w:val="28"/>
                <w:szCs w:val="30"/>
              </w:rPr>
            </w:pPr>
            <w:r>
              <w:rPr>
                <w:rFonts w:hint="eastAsia" w:cs="黑体"/>
                <w:b/>
                <w:color w:val="auto"/>
                <w:sz w:val="28"/>
                <w:szCs w:val="30"/>
                <w:lang w:val="en-US" w:eastAsia="zh-CN"/>
              </w:rPr>
              <w:t>1、</w:t>
            </w:r>
            <w:r>
              <w:rPr>
                <w:rFonts w:hint="eastAsia" w:ascii="Times New Roman" w:hAnsi="Times New Roman" w:eastAsia="宋体" w:cs="黑体"/>
                <w:b/>
                <w:color w:val="auto"/>
                <w:sz w:val="28"/>
                <w:szCs w:val="30"/>
              </w:rPr>
              <w:t>大气环境质量现状</w:t>
            </w:r>
          </w:p>
          <w:p w14:paraId="102DA1D9">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6D521BF5">
            <w:pPr>
              <w:overflowPunct/>
              <w:autoSpaceDE/>
              <w:autoSpaceDN/>
              <w:bidi w:val="0"/>
              <w:adjustRightInd/>
              <w:snapToGrid/>
              <w:spacing w:before="0" w:after="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本项目位于阜康市苏通小微创业园，选取阜康市</w:t>
            </w:r>
            <w:r>
              <w:rPr>
                <w:rFonts w:hint="eastAsia" w:ascii="Times New Roman" w:hAnsi="Times New Roman" w:eastAsia="宋体" w:cs="Times New Roman"/>
                <w:color w:val="auto"/>
                <w:sz w:val="24"/>
                <w:szCs w:val="24"/>
                <w:lang w:val="en-US" w:eastAsia="zh-CN"/>
              </w:rPr>
              <w:t>监测站点</w:t>
            </w:r>
            <w:r>
              <w:rPr>
                <w:rFonts w:hint="eastAsia" w:ascii="Times New Roman" w:hAnsi="Times New Roman" w:cs="Times New Roman"/>
                <w:color w:val="auto"/>
                <w:sz w:val="24"/>
                <w:szCs w:val="24"/>
                <w:lang w:val="en-US" w:eastAsia="zh-CN"/>
              </w:rPr>
              <w:t>2023</w:t>
            </w:r>
            <w:r>
              <w:rPr>
                <w:rFonts w:hint="eastAsia" w:ascii="Times New Roman" w:hAnsi="Times New Roman" w:eastAsia="宋体" w:cs="Times New Roman"/>
                <w:color w:val="auto"/>
                <w:sz w:val="24"/>
                <w:szCs w:val="24"/>
                <w:lang w:val="en-US" w:eastAsia="zh-CN"/>
              </w:rPr>
              <w:t>年基准年连续</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年的监测数据，作为本项目环境空气现状评价基本污染物</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CO</w:t>
            </w:r>
            <w:r>
              <w:rPr>
                <w:rFonts w:hint="eastAsia"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的数据来源。</w:t>
            </w:r>
            <w:r>
              <w:rPr>
                <w:rFonts w:hint="eastAsia" w:cs="Times New Roman"/>
                <w:color w:val="auto"/>
                <w:sz w:val="24"/>
                <w:szCs w:val="24"/>
                <w:lang w:val="en-US" w:eastAsia="zh-CN"/>
              </w:rPr>
              <w:t>阜康市</w:t>
            </w:r>
            <w:r>
              <w:rPr>
                <w:rFonts w:hint="eastAsia" w:ascii="Times New Roman" w:hAnsi="Times New Roman" w:eastAsia="宋体" w:cs="Times New Roman"/>
                <w:color w:val="auto"/>
                <w:sz w:val="24"/>
                <w:szCs w:val="24"/>
                <w:lang w:val="en-US" w:eastAsia="zh-CN"/>
              </w:rPr>
              <w:t>监测点位于项目区东侧约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km</w:t>
            </w:r>
            <w:r>
              <w:rPr>
                <w:rFonts w:hint="eastAsia" w:ascii="Times New Roman" w:hAnsi="Times New Roman" w:eastAsia="宋体" w:cs="Times New Roman"/>
                <w:color w:val="auto"/>
                <w:sz w:val="24"/>
                <w:szCs w:val="24"/>
                <w:lang w:val="en-US" w:eastAsia="zh-CN"/>
              </w:rPr>
              <w:t>处</w:t>
            </w:r>
            <w:r>
              <w:rPr>
                <w:rFonts w:hint="eastAsia" w:cs="Times New Roman"/>
                <w:color w:val="auto"/>
                <w:sz w:val="24"/>
                <w:szCs w:val="24"/>
                <w:lang w:val="en-US" w:eastAsia="zh-CN"/>
              </w:rPr>
              <w:t>，监测点位和项目所在区域地形、气象条件、环境特征、环境功能基本一致，引用数据能客观体现所在区域环境质量，项目引用环境质量资料基本可行</w:t>
            </w:r>
            <w:r>
              <w:rPr>
                <w:rFonts w:hint="eastAsia" w:ascii="Times New Roman" w:hAnsi="Times New Roman" w:eastAsia="宋体" w:cs="Times New Roman"/>
                <w:color w:val="auto"/>
                <w:sz w:val="24"/>
                <w:szCs w:val="24"/>
                <w:lang w:val="en-US" w:eastAsia="zh-CN"/>
              </w:rPr>
              <w:t>。</w:t>
            </w:r>
          </w:p>
          <w:p w14:paraId="30A997B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b w:val="0"/>
                <w:bCs w:val="0"/>
                <w:color w:val="auto"/>
                <w:highlight w:val="yellow"/>
                <w:lang w:val="en-US" w:eastAsia="zh-CN"/>
              </w:rPr>
            </w:pPr>
            <w:r>
              <w:rPr>
                <w:rFonts w:hint="default" w:ascii="Times New Roman" w:hAnsi="Times New Roman" w:eastAsia="宋体" w:cs="宋体"/>
                <w:b w:val="0"/>
                <w:bCs w:val="0"/>
                <w:color w:val="auto"/>
                <w:highlight w:val="none"/>
              </w:rPr>
              <w:t>特征污染因子</w:t>
            </w:r>
            <w:r>
              <w:rPr>
                <w:rFonts w:hint="eastAsia" w:cs="宋体"/>
                <w:b w:val="0"/>
                <w:bCs w:val="0"/>
                <w:color w:val="auto"/>
                <w:highlight w:val="none"/>
                <w:lang w:val="en-US" w:eastAsia="zh-CN"/>
              </w:rPr>
              <w:t>颗粒物引用</w:t>
            </w:r>
            <w:r>
              <w:rPr>
                <w:rFonts w:hint="eastAsia" w:ascii="Times New Roman" w:hAnsi="Times New Roman" w:eastAsia="宋体" w:cs="宋体"/>
                <w:b w:val="0"/>
                <w:bCs w:val="0"/>
                <w:color w:val="auto"/>
                <w:highlight w:val="none"/>
                <w:lang w:val="en-US" w:eastAsia="zh-CN"/>
              </w:rPr>
              <w:t>新疆</w:t>
            </w:r>
            <w:r>
              <w:rPr>
                <w:rFonts w:hint="eastAsia" w:cs="宋体"/>
                <w:b w:val="0"/>
                <w:bCs w:val="0"/>
                <w:color w:val="auto"/>
                <w:highlight w:val="none"/>
                <w:lang w:val="en-US" w:eastAsia="zh-CN"/>
              </w:rPr>
              <w:t>环疆绿源</w:t>
            </w:r>
            <w:r>
              <w:rPr>
                <w:rFonts w:hint="eastAsia" w:ascii="Times New Roman" w:hAnsi="Times New Roman" w:eastAsia="宋体" w:cs="宋体"/>
                <w:b w:val="0"/>
                <w:bCs w:val="0"/>
                <w:color w:val="auto"/>
                <w:highlight w:val="none"/>
                <w:lang w:val="en-US" w:eastAsia="zh-CN"/>
              </w:rPr>
              <w:t>环</w:t>
            </w:r>
            <w:r>
              <w:rPr>
                <w:rFonts w:hint="eastAsia" w:cs="宋体"/>
                <w:b w:val="0"/>
                <w:bCs w:val="0"/>
                <w:color w:val="auto"/>
                <w:highlight w:val="none"/>
                <w:lang w:val="en-US" w:eastAsia="zh-CN"/>
              </w:rPr>
              <w:t>保</w:t>
            </w:r>
            <w:r>
              <w:rPr>
                <w:rFonts w:hint="eastAsia" w:ascii="Times New Roman" w:hAnsi="Times New Roman" w:eastAsia="宋体" w:cs="宋体"/>
                <w:b w:val="0"/>
                <w:bCs w:val="0"/>
                <w:color w:val="auto"/>
                <w:highlight w:val="none"/>
                <w:lang w:val="en-US" w:eastAsia="zh-CN"/>
              </w:rPr>
              <w:t>科技有限公司</w:t>
            </w:r>
            <w:r>
              <w:rPr>
                <w:rFonts w:hint="default" w:ascii="Times New Roman" w:hAnsi="Times New Roman" w:eastAsia="宋体" w:cs="宋体"/>
                <w:b w:val="0"/>
                <w:bCs w:val="0"/>
                <w:color w:val="auto"/>
                <w:highlight w:val="none"/>
              </w:rPr>
              <w:t>于</w:t>
            </w:r>
            <w:r>
              <w:rPr>
                <w:rFonts w:hint="eastAsia" w:cs="宋体"/>
                <w:b w:val="0"/>
                <w:bCs w:val="0"/>
                <w:color w:val="auto"/>
                <w:highlight w:val="none"/>
                <w:lang w:val="en-US" w:eastAsia="zh-CN"/>
              </w:rPr>
              <w:t>2023</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3</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20</w:t>
            </w:r>
            <w:r>
              <w:rPr>
                <w:rFonts w:hint="default" w:ascii="Times New Roman" w:hAnsi="Times New Roman" w:eastAsia="宋体" w:cs="宋体"/>
                <w:b w:val="0"/>
                <w:bCs w:val="0"/>
                <w:color w:val="auto"/>
                <w:highlight w:val="none"/>
              </w:rPr>
              <w:t>日至20</w:t>
            </w:r>
            <w:r>
              <w:rPr>
                <w:rFonts w:hint="eastAsia" w:cs="宋体"/>
                <w:b w:val="0"/>
                <w:bCs w:val="0"/>
                <w:color w:val="auto"/>
                <w:highlight w:val="none"/>
                <w:lang w:val="en-US" w:eastAsia="zh-CN"/>
              </w:rPr>
              <w:t>23</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3</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22</w:t>
            </w:r>
            <w:r>
              <w:rPr>
                <w:rFonts w:hint="default" w:ascii="Times New Roman" w:hAnsi="Times New Roman" w:eastAsia="宋体" w:cs="宋体"/>
                <w:b w:val="0"/>
                <w:bCs w:val="0"/>
                <w:color w:val="auto"/>
                <w:highlight w:val="none"/>
              </w:rPr>
              <w:t>日</w:t>
            </w:r>
            <w:r>
              <w:rPr>
                <w:rFonts w:hint="eastAsia" w:ascii="Times New Roman" w:hAnsi="Times New Roman" w:eastAsia="宋体" w:cs="宋体"/>
                <w:b w:val="0"/>
                <w:bCs w:val="0"/>
                <w:color w:val="auto"/>
                <w:highlight w:val="none"/>
                <w:lang w:val="en-US" w:eastAsia="zh-CN"/>
              </w:rPr>
              <w:t>对</w:t>
            </w:r>
            <w:r>
              <w:rPr>
                <w:rFonts w:hint="eastAsia" w:cs="宋体"/>
                <w:b w:val="0"/>
                <w:bCs w:val="0"/>
                <w:color w:val="auto"/>
                <w:highlight w:val="none"/>
                <w:lang w:val="en-US" w:eastAsia="zh-CN"/>
              </w:rPr>
              <w:t>“新疆熙诚塑料制品有限公司年产2000吨橡塑环保设备项目”监测数据</w:t>
            </w:r>
            <w:r>
              <w:rPr>
                <w:rFonts w:hint="eastAsia" w:eastAsia="宋体" w:cs="宋体"/>
                <w:b w:val="0"/>
                <w:bCs w:val="0"/>
                <w:color w:val="auto"/>
                <w:lang w:val="en-US" w:eastAsia="zh-CN"/>
              </w:rPr>
              <w:t>。</w:t>
            </w:r>
          </w:p>
          <w:p w14:paraId="26AC599E">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（1）</w:t>
            </w:r>
            <w:r>
              <w:rPr>
                <w:rFonts w:ascii="Times New Roman" w:hAnsi="Times New Roman" w:eastAsia="宋体" w:cs="宋体"/>
                <w:color w:val="auto"/>
              </w:rPr>
              <w:t>监测布点</w:t>
            </w:r>
          </w:p>
          <w:p w14:paraId="1CBE03AD">
            <w:pPr>
              <w:spacing w:line="360" w:lineRule="auto"/>
              <w:ind w:firstLine="480" w:firstLineChars="200"/>
              <w:rPr>
                <w:rFonts w:ascii="Times New Roman" w:hAnsi="Times New Roman" w:eastAsia="宋体" w:cs="宋体"/>
                <w:color w:val="auto"/>
              </w:rPr>
            </w:pPr>
            <w:r>
              <w:rPr>
                <w:rFonts w:ascii="Times New Roman" w:hAnsi="Times New Roman" w:eastAsia="宋体" w:cs="宋体"/>
                <w:color w:val="auto"/>
              </w:rPr>
              <w:t>根据项目区气</w:t>
            </w:r>
            <w:r>
              <w:rPr>
                <w:rFonts w:ascii="Times New Roman" w:hAnsi="Times New Roman" w:eastAsia="宋体" w:cs="宋体"/>
                <w:color w:val="auto"/>
                <w:highlight w:val="none"/>
              </w:rPr>
              <w:t>象气候和地形条件，</w:t>
            </w:r>
            <w:r>
              <w:rPr>
                <w:rFonts w:hint="default" w:ascii="Times New Roman" w:hAnsi="Times New Roman" w:eastAsia="宋体" w:cs="宋体"/>
                <w:color w:val="auto"/>
                <w:highlight w:val="none"/>
              </w:rPr>
              <w:t>特征污染因子</w:t>
            </w:r>
            <w:r>
              <w:rPr>
                <w:rFonts w:hint="eastAsia" w:cs="宋体"/>
                <w:color w:val="auto"/>
                <w:highlight w:val="none"/>
                <w:lang w:val="en-US" w:eastAsia="zh-CN"/>
              </w:rPr>
              <w:t>引用</w:t>
            </w:r>
            <w:r>
              <w:rPr>
                <w:rFonts w:hint="default" w:ascii="Times New Roman" w:hAnsi="Times New Roman" w:eastAsia="宋体" w:cs="宋体"/>
                <w:color w:val="auto"/>
                <w:highlight w:val="none"/>
              </w:rPr>
              <w:t>监测</w:t>
            </w:r>
            <w:r>
              <w:rPr>
                <w:rFonts w:hint="eastAsia" w:ascii="Times New Roman" w:hAnsi="Times New Roman" w:eastAsia="宋体" w:cs="宋体"/>
                <w:color w:val="auto"/>
                <w:highlight w:val="none"/>
                <w:lang w:val="en-US" w:eastAsia="zh-CN"/>
              </w:rPr>
              <w:t>1</w:t>
            </w:r>
            <w:r>
              <w:rPr>
                <w:rFonts w:hint="default" w:ascii="Times New Roman" w:hAnsi="Times New Roman" w:eastAsia="宋体" w:cs="宋体"/>
                <w:color w:val="auto"/>
                <w:highlight w:val="none"/>
              </w:rPr>
              <w:t>个监测点</w:t>
            </w:r>
            <w:r>
              <w:rPr>
                <w:rFonts w:hint="eastAsia" w:ascii="Times New Roman" w:hAnsi="Times New Roman" w:eastAsia="宋体" w:cs="宋体"/>
                <w:color w:val="auto"/>
                <w:highlight w:val="none"/>
                <w:lang w:eastAsia="zh-CN"/>
              </w:rPr>
              <w:t>，</w:t>
            </w:r>
            <w:r>
              <w:rPr>
                <w:rFonts w:hint="default" w:ascii="Times New Roman" w:hAnsi="Times New Roman" w:eastAsia="宋体" w:cs="宋体"/>
                <w:color w:val="auto"/>
                <w:highlight w:val="none"/>
                <w:lang w:eastAsia="zh-CN"/>
              </w:rPr>
              <w:t>位于</w:t>
            </w:r>
            <w:r>
              <w:rPr>
                <w:rFonts w:hint="default" w:ascii="Times New Roman" w:hAnsi="Times New Roman" w:eastAsia="宋体" w:cs="宋体"/>
                <w:color w:val="auto"/>
                <w:highlight w:val="none"/>
              </w:rPr>
              <w:t>项目区</w:t>
            </w:r>
            <w:r>
              <w:rPr>
                <w:rFonts w:hint="eastAsia" w:cs="宋体"/>
                <w:color w:val="auto"/>
                <w:highlight w:val="none"/>
                <w:lang w:val="en-US" w:eastAsia="zh-CN"/>
              </w:rPr>
              <w:t>西南侧1.46km处</w:t>
            </w:r>
            <w:r>
              <w:rPr>
                <w:rFonts w:hint="default" w:ascii="Times New Roman" w:hAnsi="Times New Roman" w:eastAsia="宋体" w:cs="宋体"/>
                <w:color w:val="auto"/>
                <w:highlight w:val="none"/>
                <w:lang w:eastAsia="zh-CN"/>
              </w:rPr>
              <w:t>，</w:t>
            </w:r>
            <w:r>
              <w:rPr>
                <w:rFonts w:hint="default" w:ascii="Times New Roman" w:hAnsi="Times New Roman" w:eastAsia="宋体" w:cs="宋体"/>
                <w:color w:val="auto"/>
                <w:highlight w:val="none"/>
              </w:rPr>
              <w:t>能够代表区域特征污染因子</w:t>
            </w:r>
            <w:r>
              <w:rPr>
                <w:rFonts w:hint="default" w:ascii="Times New Roman" w:hAnsi="Times New Roman" w:eastAsia="宋体" w:cs="宋体"/>
                <w:color w:val="auto"/>
                <w:highlight w:val="none"/>
                <w:lang w:eastAsia="zh-CN"/>
              </w:rPr>
              <w:t>污染</w:t>
            </w:r>
            <w:r>
              <w:rPr>
                <w:rFonts w:hint="default" w:ascii="Times New Roman" w:hAnsi="Times New Roman" w:eastAsia="宋体" w:cs="宋体"/>
                <w:color w:val="auto"/>
                <w:highlight w:val="none"/>
              </w:rPr>
              <w:t>状况。</w:t>
            </w:r>
          </w:p>
          <w:p w14:paraId="7CCF547F">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（2）</w:t>
            </w:r>
            <w:r>
              <w:rPr>
                <w:rFonts w:ascii="Times New Roman" w:hAnsi="Times New Roman" w:eastAsia="宋体" w:cs="宋体"/>
                <w:color w:val="auto"/>
              </w:rPr>
              <w:t>采样及分析方法</w:t>
            </w:r>
          </w:p>
          <w:p w14:paraId="797A1450">
            <w:pPr>
              <w:spacing w:line="360" w:lineRule="auto"/>
              <w:ind w:firstLine="480" w:firstLineChars="200"/>
              <w:rPr>
                <w:rFonts w:ascii="Times New Roman" w:hAnsi="Times New Roman" w:eastAsia="宋体" w:cs="宋体"/>
                <w:color w:val="auto"/>
              </w:rPr>
            </w:pPr>
            <w:r>
              <w:rPr>
                <w:rFonts w:ascii="Times New Roman" w:hAnsi="Times New Roman" w:eastAsia="宋体" w:cs="宋体"/>
                <w:color w:val="auto"/>
              </w:rPr>
              <w:t>采样分析方法均按《空气和废气监测分析方法</w:t>
            </w:r>
            <w:r>
              <w:rPr>
                <w:rFonts w:hint="eastAsia" w:cs="宋体"/>
                <w:color w:val="auto"/>
                <w:lang w:eastAsia="zh-CN"/>
              </w:rPr>
              <w:t>》《</w:t>
            </w:r>
            <w:r>
              <w:rPr>
                <w:rFonts w:ascii="Times New Roman" w:hAnsi="Times New Roman" w:eastAsia="宋体" w:cs="宋体"/>
                <w:color w:val="auto"/>
              </w:rPr>
              <w:t>环境监测技术规范》中的有关规定执行。</w:t>
            </w:r>
          </w:p>
          <w:p w14:paraId="52183330">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（3）</w:t>
            </w:r>
            <w:r>
              <w:rPr>
                <w:rFonts w:hint="eastAsia" w:cs="宋体"/>
                <w:color w:val="auto"/>
                <w:lang w:val="en-US" w:eastAsia="zh-CN"/>
              </w:rPr>
              <w:t>环境空气</w:t>
            </w:r>
            <w:r>
              <w:rPr>
                <w:rFonts w:ascii="Times New Roman" w:hAnsi="Times New Roman" w:eastAsia="宋体" w:cs="宋体"/>
                <w:color w:val="auto"/>
              </w:rPr>
              <w:t>质量现状评价</w:t>
            </w:r>
          </w:p>
          <w:p w14:paraId="4D094D8D">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①</w:t>
            </w:r>
            <w:r>
              <w:rPr>
                <w:rFonts w:ascii="Times New Roman" w:hAnsi="Times New Roman" w:eastAsia="宋体" w:cs="宋体"/>
                <w:color w:val="auto"/>
              </w:rPr>
              <w:t>评价标准</w:t>
            </w:r>
          </w:p>
          <w:p w14:paraId="1EEB7BF6">
            <w:pPr>
              <w:spacing w:line="360" w:lineRule="auto"/>
              <w:ind w:firstLine="480" w:firstLineChars="200"/>
              <w:rPr>
                <w:rFonts w:ascii="Times New Roman" w:hAnsi="Times New Roman" w:eastAsia="宋体" w:cs="宋体"/>
                <w:color w:val="auto"/>
              </w:rPr>
            </w:pPr>
            <w:r>
              <w:rPr>
                <w:rFonts w:ascii="Times New Roman" w:hAnsi="Times New Roman" w:eastAsia="宋体" w:cs="宋体"/>
                <w:color w:val="auto"/>
              </w:rPr>
              <w:t>根据本项目所在区域的环境功能区划，常规污染物</w:t>
            </w:r>
            <w:r>
              <w:rPr>
                <w:rFonts w:hint="eastAsia" w:ascii="Times New Roman" w:hAnsi="Times New Roman" w:eastAsia="宋体" w:cs="宋体"/>
                <w:color w:val="auto"/>
              </w:rPr>
              <w:t>均</w:t>
            </w:r>
            <w:r>
              <w:rPr>
                <w:rFonts w:ascii="Times New Roman" w:hAnsi="Times New Roman" w:eastAsia="宋体" w:cs="宋体"/>
                <w:color w:val="auto"/>
              </w:rPr>
              <w:t>执行《环境空气质量标准》（GB3095</w:t>
            </w:r>
            <w:r>
              <w:rPr>
                <w:rFonts w:hint="eastAsia" w:cs="宋体"/>
                <w:color w:val="auto"/>
                <w:lang w:val="en-US" w:eastAsia="zh-CN"/>
              </w:rPr>
              <w:t>-</w:t>
            </w:r>
            <w:r>
              <w:rPr>
                <w:rFonts w:ascii="Times New Roman" w:hAnsi="Times New Roman" w:eastAsia="宋体" w:cs="宋体"/>
                <w:color w:val="auto"/>
              </w:rPr>
              <w:t>2012）中的二级标准。</w:t>
            </w:r>
          </w:p>
          <w:p w14:paraId="2C4A3361">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②</w:t>
            </w:r>
            <w:r>
              <w:rPr>
                <w:rFonts w:ascii="Times New Roman" w:hAnsi="Times New Roman" w:eastAsia="宋体" w:cs="宋体"/>
                <w:color w:val="auto"/>
              </w:rPr>
              <w:t>常规污染物监测结果及评价统计</w:t>
            </w:r>
          </w:p>
          <w:p w14:paraId="76F90424">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lang w:val="en-US" w:eastAsia="zh-CN"/>
              </w:rPr>
              <w:t>根据202</w:t>
            </w:r>
            <w:r>
              <w:rPr>
                <w:rFonts w:hint="eastAsia" w:ascii="Times New Roman" w:hAnsi="Times New Roman" w:cs="宋体"/>
                <w:color w:val="auto"/>
                <w:lang w:val="en-US" w:eastAsia="zh-CN"/>
              </w:rPr>
              <w:t>3</w:t>
            </w:r>
            <w:r>
              <w:rPr>
                <w:rFonts w:hint="eastAsia" w:ascii="Times New Roman" w:hAnsi="Times New Roman" w:eastAsia="宋体" w:cs="宋体"/>
                <w:color w:val="auto"/>
                <w:lang w:val="en-US" w:eastAsia="zh-CN"/>
              </w:rPr>
              <w:t>年阜康市监测站点空气质量逐日统计结果</w:t>
            </w:r>
            <w:r>
              <w:rPr>
                <w:rFonts w:hint="eastAsia" w:ascii="Times New Roman" w:hAnsi="Times New Roman" w:cs="宋体"/>
                <w:color w:val="auto"/>
                <w:lang w:val="en-US" w:eastAsia="zh-CN"/>
              </w:rPr>
              <w:t>，</w:t>
            </w:r>
            <w:r>
              <w:rPr>
                <w:rFonts w:ascii="Times New Roman" w:hAnsi="Times New Roman" w:eastAsia="宋体" w:cs="宋体"/>
                <w:color w:val="auto"/>
              </w:rPr>
              <w:t>SO</w:t>
            </w:r>
            <w:r>
              <w:rPr>
                <w:rFonts w:ascii="Times New Roman" w:hAnsi="Times New Roman" w:eastAsia="宋体" w:cs="宋体"/>
                <w:color w:val="auto"/>
                <w:vertAlign w:val="subscript"/>
              </w:rPr>
              <w:t>2</w:t>
            </w:r>
            <w:r>
              <w:rPr>
                <w:rFonts w:ascii="Times New Roman" w:hAnsi="Times New Roman" w:eastAsia="宋体" w:cs="宋体"/>
                <w:color w:val="auto"/>
              </w:rPr>
              <w:t>、NO</w:t>
            </w:r>
            <w:r>
              <w:rPr>
                <w:rFonts w:ascii="Times New Roman" w:hAnsi="Times New Roman" w:eastAsia="宋体" w:cs="宋体"/>
                <w:color w:val="auto"/>
                <w:vertAlign w:val="subscript"/>
              </w:rPr>
              <w:t>2</w:t>
            </w:r>
            <w:r>
              <w:rPr>
                <w:rFonts w:ascii="Times New Roman" w:hAnsi="Times New Roman" w:eastAsia="宋体" w:cs="宋体"/>
                <w:color w:val="auto"/>
              </w:rPr>
              <w:t>、PM</w:t>
            </w:r>
            <w:r>
              <w:rPr>
                <w:rFonts w:ascii="Times New Roman" w:hAnsi="Times New Roman" w:eastAsia="宋体" w:cs="宋体"/>
                <w:color w:val="auto"/>
                <w:vertAlign w:val="subscript"/>
              </w:rPr>
              <w:t>10</w:t>
            </w:r>
            <w:r>
              <w:rPr>
                <w:rFonts w:ascii="Times New Roman" w:hAnsi="Times New Roman" w:eastAsia="宋体" w:cs="宋体"/>
                <w:color w:val="auto"/>
              </w:rPr>
              <w:t>、PM</w:t>
            </w:r>
            <w:r>
              <w:rPr>
                <w:rFonts w:ascii="Times New Roman" w:hAnsi="Times New Roman" w:eastAsia="宋体" w:cs="宋体"/>
                <w:color w:val="auto"/>
                <w:vertAlign w:val="subscript"/>
              </w:rPr>
              <w:t>2.5</w:t>
            </w:r>
            <w:r>
              <w:rPr>
                <w:rFonts w:ascii="Times New Roman" w:hAnsi="Times New Roman" w:eastAsia="宋体" w:cs="宋体"/>
                <w:color w:val="auto"/>
              </w:rPr>
              <w:t>年均浓度</w:t>
            </w:r>
            <w:r>
              <w:rPr>
                <w:rFonts w:hint="eastAsia" w:ascii="Times New Roman" w:hAnsi="Times New Roman" w:eastAsia="宋体" w:cs="宋体"/>
                <w:color w:val="auto"/>
              </w:rPr>
              <w:t>以及</w:t>
            </w:r>
            <w:r>
              <w:rPr>
                <w:rFonts w:ascii="Times New Roman" w:hAnsi="Times New Roman" w:eastAsia="宋体" w:cs="宋体"/>
                <w:color w:val="auto"/>
              </w:rPr>
              <w:t>CO 24小时平均第95百分位数</w:t>
            </w:r>
            <w:r>
              <w:rPr>
                <w:rFonts w:hint="eastAsia" w:ascii="Times New Roman" w:hAnsi="Times New Roman" w:eastAsia="宋体" w:cs="宋体"/>
                <w:color w:val="auto"/>
              </w:rPr>
              <w:t>、</w:t>
            </w:r>
            <w:r>
              <w:rPr>
                <w:rFonts w:ascii="Times New Roman" w:hAnsi="Times New Roman" w:eastAsia="宋体" w:cs="宋体"/>
                <w:color w:val="auto"/>
              </w:rPr>
              <w:t>O</w:t>
            </w:r>
            <w:r>
              <w:rPr>
                <w:rFonts w:ascii="Times New Roman" w:hAnsi="Times New Roman" w:eastAsia="宋体" w:cs="宋体"/>
                <w:color w:val="auto"/>
                <w:vertAlign w:val="subscript"/>
              </w:rPr>
              <w:t>3</w:t>
            </w:r>
            <w:r>
              <w:rPr>
                <w:rFonts w:ascii="Times New Roman" w:hAnsi="Times New Roman" w:eastAsia="宋体" w:cs="宋体"/>
                <w:color w:val="auto"/>
              </w:rPr>
              <w:t>日最大8小时平均第90百分位数</w:t>
            </w:r>
            <w:r>
              <w:rPr>
                <w:rFonts w:hint="eastAsia" w:ascii="Times New Roman" w:hAnsi="Times New Roman" w:eastAsia="宋体" w:cs="宋体"/>
                <w:color w:val="auto"/>
              </w:rPr>
              <w:t>，</w:t>
            </w:r>
            <w:r>
              <w:rPr>
                <w:rFonts w:ascii="Times New Roman" w:hAnsi="Times New Roman" w:eastAsia="宋体" w:cs="宋体"/>
                <w:color w:val="auto"/>
              </w:rPr>
              <w:t>本项目所在区域空气质量达标区判定情况见表</w:t>
            </w:r>
            <w:r>
              <w:rPr>
                <w:rFonts w:hint="eastAsia" w:ascii="Times New Roman" w:hAnsi="Times New Roman" w:eastAsia="宋体" w:cs="宋体"/>
                <w:color w:val="auto"/>
              </w:rPr>
              <w:t>3.1-1</w:t>
            </w:r>
            <w:r>
              <w:rPr>
                <w:rFonts w:ascii="Times New Roman" w:hAnsi="Times New Roman" w:eastAsia="宋体" w:cs="宋体"/>
                <w:color w:val="auto"/>
              </w:rPr>
              <w:t>。</w:t>
            </w:r>
          </w:p>
          <w:p w14:paraId="35F3DB59">
            <w:pPr>
              <w:spacing w:line="360" w:lineRule="auto"/>
              <w:jc w:val="center"/>
              <w:rPr>
                <w:rFonts w:ascii="Times New Roman" w:hAnsi="Times New Roman" w:eastAsia="宋体" w:cs="宋体"/>
                <w:b/>
                <w:bCs/>
                <w:color w:val="auto"/>
              </w:rPr>
            </w:pPr>
            <w:r>
              <w:rPr>
                <w:rFonts w:ascii="Times New Roman" w:hAnsi="Times New Roman" w:eastAsia="宋体" w:cs="宋体"/>
                <w:b/>
                <w:bCs/>
                <w:color w:val="auto"/>
              </w:rPr>
              <w:t>表</w:t>
            </w:r>
            <w:r>
              <w:rPr>
                <w:rFonts w:hint="eastAsia" w:ascii="Times New Roman" w:hAnsi="Times New Roman" w:eastAsia="宋体" w:cs="宋体"/>
                <w:b/>
                <w:bCs/>
                <w:color w:val="auto"/>
              </w:rPr>
              <w:t>3.1-1</w:t>
            </w:r>
            <w:r>
              <w:rPr>
                <w:rFonts w:hint="eastAsia" w:ascii="Times New Roman" w:hAnsi="Times New Roman" w:eastAsia="宋体" w:cs="宋体"/>
                <w:b/>
                <w:bCs/>
                <w:color w:val="auto"/>
                <w:lang w:val="en-US" w:eastAsia="zh-CN"/>
              </w:rPr>
              <w:t xml:space="preserve">  </w:t>
            </w:r>
            <w:r>
              <w:rPr>
                <w:rFonts w:ascii="Times New Roman" w:hAnsi="Times New Roman" w:eastAsia="宋体" w:cs="宋体"/>
                <w:b/>
                <w:bCs/>
                <w:color w:val="auto"/>
              </w:rPr>
              <w:t>区域空气质量现状评价表</w:t>
            </w:r>
            <w:r>
              <w:rPr>
                <w:rFonts w:hint="eastAsia" w:ascii="Times New Roman" w:hAnsi="Times New Roman" w:eastAsia="宋体" w:cs="宋体"/>
                <w:b/>
                <w:bCs/>
                <w:color w:val="auto"/>
              </w:rPr>
              <w:t xml:space="preserve">  </w:t>
            </w:r>
            <w:r>
              <w:rPr>
                <w:rFonts w:ascii="Times New Roman" w:hAnsi="Times New Roman" w:eastAsia="宋体" w:cs="宋体"/>
                <w:b/>
                <w:bCs/>
                <w:color w:val="auto"/>
              </w:rPr>
              <w:t>单位：μg/m</w:t>
            </w:r>
            <w:r>
              <w:rPr>
                <w:rFonts w:ascii="Times New Roman" w:hAnsi="Times New Roman" w:eastAsia="宋体" w:cs="宋体"/>
                <w:b/>
                <w:bCs/>
                <w:color w:val="auto"/>
                <w:vertAlign w:val="superscript"/>
              </w:rPr>
              <w:t>3</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29"/>
              <w:gridCol w:w="2290"/>
              <w:gridCol w:w="1443"/>
              <w:gridCol w:w="1145"/>
              <w:gridCol w:w="1135"/>
              <w:gridCol w:w="1031"/>
            </w:tblGrid>
            <w:tr w14:paraId="46C5F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14:paraId="31BF1C91">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序号</w:t>
                  </w:r>
                </w:p>
              </w:tc>
              <w:tc>
                <w:tcPr>
                  <w:tcW w:w="829" w:type="dxa"/>
                  <w:vAlign w:val="center"/>
                </w:tcPr>
                <w:p w14:paraId="0D949C76">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项目</w:t>
                  </w:r>
                </w:p>
              </w:tc>
              <w:tc>
                <w:tcPr>
                  <w:tcW w:w="2290" w:type="dxa"/>
                  <w:vAlign w:val="center"/>
                </w:tcPr>
                <w:p w14:paraId="04A2E1EB">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平均时间</w:t>
                  </w:r>
                </w:p>
              </w:tc>
              <w:tc>
                <w:tcPr>
                  <w:tcW w:w="1443" w:type="dxa"/>
                  <w:vAlign w:val="center"/>
                </w:tcPr>
                <w:p w14:paraId="3485E7A1">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标准值</w:t>
                  </w:r>
                </w:p>
              </w:tc>
              <w:tc>
                <w:tcPr>
                  <w:tcW w:w="1145" w:type="dxa"/>
                  <w:vAlign w:val="center"/>
                </w:tcPr>
                <w:p w14:paraId="7B7771C3">
                  <w:pPr>
                    <w:kinsoku w:val="0"/>
                    <w:overflowPunct w:val="0"/>
                    <w:autoSpaceDE w:val="0"/>
                    <w:autoSpaceDN w:val="0"/>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现状浓度</w:t>
                  </w:r>
                </w:p>
              </w:tc>
              <w:tc>
                <w:tcPr>
                  <w:tcW w:w="1135" w:type="dxa"/>
                  <w:vAlign w:val="center"/>
                </w:tcPr>
                <w:p w14:paraId="3A797B70">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占标率%</w:t>
                  </w:r>
                </w:p>
              </w:tc>
              <w:tc>
                <w:tcPr>
                  <w:tcW w:w="1031" w:type="dxa"/>
                  <w:vAlign w:val="center"/>
                </w:tcPr>
                <w:p w14:paraId="70B8F456">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达标情况</w:t>
                  </w:r>
                </w:p>
              </w:tc>
            </w:tr>
            <w:tr w14:paraId="241E4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14:paraId="5891D4A3">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829" w:type="dxa"/>
                  <w:vAlign w:val="center"/>
                </w:tcPr>
                <w:p w14:paraId="33C409AA">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tc>
              <w:tc>
                <w:tcPr>
                  <w:tcW w:w="2290" w:type="dxa"/>
                  <w:vAlign w:val="center"/>
                </w:tcPr>
                <w:p w14:paraId="29DB282F">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1443" w:type="dxa"/>
                  <w:vAlign w:val="center"/>
                </w:tcPr>
                <w:p w14:paraId="6C467074">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60</w:t>
                  </w:r>
                </w:p>
              </w:tc>
              <w:tc>
                <w:tcPr>
                  <w:tcW w:w="1145" w:type="dxa"/>
                  <w:vAlign w:val="center"/>
                </w:tcPr>
                <w:p w14:paraId="10E06735">
                  <w:pPr>
                    <w:adjustRightInd w:val="0"/>
                    <w:spacing w:line="320" w:lineRule="atLeast"/>
                    <w:jc w:val="center"/>
                    <w:textAlignment w:val="baseline"/>
                    <w:rPr>
                      <w:rFonts w:hint="eastAsia" w:ascii="Times New Roman" w:hAnsi="Times New Roman" w:eastAsia="宋体" w:cs="Times New Roman"/>
                      <w:color w:val="auto"/>
                      <w:sz w:val="21"/>
                      <w:szCs w:val="21"/>
                      <w:lang w:eastAsia="zh-CN"/>
                    </w:rPr>
                  </w:pPr>
                  <w:r>
                    <w:rPr>
                      <w:rFonts w:hint="eastAsia" w:hAnsi="宋体" w:cs="Times New Roman"/>
                      <w:color w:val="auto"/>
                      <w:sz w:val="21"/>
                      <w:szCs w:val="21"/>
                      <w:lang w:val="en-US" w:eastAsia="zh-CN"/>
                    </w:rPr>
                    <w:t>9</w:t>
                  </w:r>
                </w:p>
              </w:tc>
              <w:tc>
                <w:tcPr>
                  <w:tcW w:w="1135" w:type="dxa"/>
                  <w:vAlign w:val="center"/>
                </w:tcPr>
                <w:p w14:paraId="15702F98">
                  <w:pPr>
                    <w:adjustRightInd w:val="0"/>
                    <w:spacing w:line="320" w:lineRule="atLeast"/>
                    <w:jc w:val="center"/>
                    <w:textAlignment w:val="baseline"/>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 xml:space="preserve">15.00 </w:t>
                  </w:r>
                </w:p>
              </w:tc>
              <w:tc>
                <w:tcPr>
                  <w:tcW w:w="1031" w:type="dxa"/>
                  <w:vAlign w:val="center"/>
                </w:tcPr>
                <w:p w14:paraId="2D230D3D">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r w14:paraId="4B6E6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14:paraId="74F28D97">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829" w:type="dxa"/>
                  <w:vAlign w:val="center"/>
                </w:tcPr>
                <w:p w14:paraId="7DEECF30">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tc>
              <w:tc>
                <w:tcPr>
                  <w:tcW w:w="2290" w:type="dxa"/>
                  <w:vAlign w:val="center"/>
                </w:tcPr>
                <w:p w14:paraId="506CBC8B">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1443" w:type="dxa"/>
                  <w:vAlign w:val="center"/>
                </w:tcPr>
                <w:p w14:paraId="37A2F405">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40</w:t>
                  </w:r>
                </w:p>
              </w:tc>
              <w:tc>
                <w:tcPr>
                  <w:tcW w:w="1145" w:type="dxa"/>
                  <w:vAlign w:val="center"/>
                </w:tcPr>
                <w:p w14:paraId="33E19770">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28</w:t>
                  </w:r>
                </w:p>
              </w:tc>
              <w:tc>
                <w:tcPr>
                  <w:tcW w:w="1135" w:type="dxa"/>
                  <w:vAlign w:val="center"/>
                </w:tcPr>
                <w:p w14:paraId="725365FE">
                  <w:pPr>
                    <w:adjustRightInd w:val="0"/>
                    <w:spacing w:line="320" w:lineRule="atLeast"/>
                    <w:jc w:val="center"/>
                    <w:textAlignment w:val="baseline"/>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 xml:space="preserve">70.00 </w:t>
                  </w:r>
                </w:p>
              </w:tc>
              <w:tc>
                <w:tcPr>
                  <w:tcW w:w="1031" w:type="dxa"/>
                  <w:vAlign w:val="center"/>
                </w:tcPr>
                <w:p w14:paraId="14A9BA90">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14:paraId="78B1E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14:paraId="574E2166">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829" w:type="dxa"/>
                  <w:vAlign w:val="center"/>
                </w:tcPr>
                <w:p w14:paraId="51E14787">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tc>
              <w:tc>
                <w:tcPr>
                  <w:tcW w:w="2290" w:type="dxa"/>
                  <w:vAlign w:val="center"/>
                </w:tcPr>
                <w:p w14:paraId="14A938F3">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1443" w:type="dxa"/>
                  <w:vAlign w:val="center"/>
                </w:tcPr>
                <w:p w14:paraId="7C42D3CA">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70</w:t>
                  </w:r>
                </w:p>
              </w:tc>
              <w:tc>
                <w:tcPr>
                  <w:tcW w:w="1145" w:type="dxa"/>
                  <w:vAlign w:val="center"/>
                </w:tcPr>
                <w:p w14:paraId="7EFACD2F">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70</w:t>
                  </w:r>
                </w:p>
              </w:tc>
              <w:tc>
                <w:tcPr>
                  <w:tcW w:w="1135" w:type="dxa"/>
                  <w:vAlign w:val="center"/>
                </w:tcPr>
                <w:p w14:paraId="2A4EF338">
                  <w:pPr>
                    <w:adjustRightInd w:val="0"/>
                    <w:spacing w:line="320" w:lineRule="atLeast"/>
                    <w:jc w:val="center"/>
                    <w:textAlignment w:val="baseline"/>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 xml:space="preserve">100.00 </w:t>
                  </w:r>
                </w:p>
              </w:tc>
              <w:tc>
                <w:tcPr>
                  <w:tcW w:w="1031" w:type="dxa"/>
                  <w:vAlign w:val="center"/>
                </w:tcPr>
                <w:p w14:paraId="4AB6FDE4">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14:paraId="1854F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14:paraId="182910C3">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829" w:type="dxa"/>
                  <w:vAlign w:val="center"/>
                </w:tcPr>
                <w:p w14:paraId="2644940C">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p>
              </w:tc>
              <w:tc>
                <w:tcPr>
                  <w:tcW w:w="2290" w:type="dxa"/>
                  <w:vAlign w:val="center"/>
                </w:tcPr>
                <w:p w14:paraId="3C8C5C94">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1443" w:type="dxa"/>
                  <w:vAlign w:val="center"/>
                </w:tcPr>
                <w:p w14:paraId="20D2312B">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35</w:t>
                  </w:r>
                </w:p>
              </w:tc>
              <w:tc>
                <w:tcPr>
                  <w:tcW w:w="1145" w:type="dxa"/>
                  <w:vAlign w:val="center"/>
                </w:tcPr>
                <w:p w14:paraId="6FD2C085">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44</w:t>
                  </w:r>
                </w:p>
              </w:tc>
              <w:tc>
                <w:tcPr>
                  <w:tcW w:w="1135" w:type="dxa"/>
                  <w:vAlign w:val="center"/>
                </w:tcPr>
                <w:p w14:paraId="7AA22934">
                  <w:pPr>
                    <w:adjustRightInd w:val="0"/>
                    <w:spacing w:line="320" w:lineRule="atLeast"/>
                    <w:jc w:val="center"/>
                    <w:textAlignment w:val="baseline"/>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 xml:space="preserve">125.71 </w:t>
                  </w:r>
                </w:p>
              </w:tc>
              <w:tc>
                <w:tcPr>
                  <w:tcW w:w="1031" w:type="dxa"/>
                  <w:vAlign w:val="center"/>
                </w:tcPr>
                <w:p w14:paraId="09C8667B">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超标</w:t>
                  </w:r>
                </w:p>
              </w:tc>
            </w:tr>
            <w:tr w14:paraId="231AA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14:paraId="382B9EBE">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829" w:type="dxa"/>
                  <w:vAlign w:val="center"/>
                </w:tcPr>
                <w:p w14:paraId="675183AE">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tc>
              <w:tc>
                <w:tcPr>
                  <w:tcW w:w="2290" w:type="dxa"/>
                  <w:vAlign w:val="center"/>
                </w:tcPr>
                <w:p w14:paraId="193E103C">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95百分位24小时平均</w:t>
                  </w:r>
                </w:p>
              </w:tc>
              <w:tc>
                <w:tcPr>
                  <w:tcW w:w="1443" w:type="dxa"/>
                  <w:vAlign w:val="center"/>
                </w:tcPr>
                <w:p w14:paraId="7446896E">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r>
                    <w:rPr>
                      <w:rFonts w:hint="eastAsia" w:ascii="Times New Roman" w:hAnsi="宋体" w:eastAsia="宋体" w:cs="Times New Roman"/>
                      <w:color w:val="auto"/>
                      <w:sz w:val="21"/>
                      <w:szCs w:val="21"/>
                    </w:rPr>
                    <w:t>000</w:t>
                  </w:r>
                </w:p>
              </w:tc>
              <w:tc>
                <w:tcPr>
                  <w:tcW w:w="1145" w:type="dxa"/>
                  <w:vAlign w:val="center"/>
                </w:tcPr>
                <w:p w14:paraId="3EB943E5">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700</w:t>
                  </w:r>
                </w:p>
              </w:tc>
              <w:tc>
                <w:tcPr>
                  <w:tcW w:w="1135" w:type="dxa"/>
                  <w:vAlign w:val="center"/>
                </w:tcPr>
                <w:p w14:paraId="46A73D9B">
                  <w:pPr>
                    <w:adjustRightInd w:val="0"/>
                    <w:spacing w:line="320" w:lineRule="atLeast"/>
                    <w:jc w:val="center"/>
                    <w:textAlignment w:val="baseline"/>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 xml:space="preserve">17.50 </w:t>
                  </w:r>
                </w:p>
              </w:tc>
              <w:tc>
                <w:tcPr>
                  <w:tcW w:w="1031" w:type="dxa"/>
                  <w:vAlign w:val="center"/>
                </w:tcPr>
                <w:p w14:paraId="5D8F5D8D">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r w14:paraId="1DC71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1" w:type="dxa"/>
                  <w:vAlign w:val="center"/>
                </w:tcPr>
                <w:p w14:paraId="3C49428B">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829" w:type="dxa"/>
                  <w:vAlign w:val="center"/>
                </w:tcPr>
                <w:p w14:paraId="46B40375">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tc>
              <w:tc>
                <w:tcPr>
                  <w:tcW w:w="2290" w:type="dxa"/>
                  <w:vAlign w:val="center"/>
                </w:tcPr>
                <w:p w14:paraId="02B0F032">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90百分位8小时平均</w:t>
                  </w:r>
                </w:p>
              </w:tc>
              <w:tc>
                <w:tcPr>
                  <w:tcW w:w="1443" w:type="dxa"/>
                  <w:vAlign w:val="center"/>
                </w:tcPr>
                <w:p w14:paraId="11A73814">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160</w:t>
                  </w:r>
                </w:p>
              </w:tc>
              <w:tc>
                <w:tcPr>
                  <w:tcW w:w="1145" w:type="dxa"/>
                  <w:vAlign w:val="center"/>
                </w:tcPr>
                <w:p w14:paraId="01A218C2">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92</w:t>
                  </w:r>
                </w:p>
              </w:tc>
              <w:tc>
                <w:tcPr>
                  <w:tcW w:w="1135" w:type="dxa"/>
                  <w:vAlign w:val="center"/>
                </w:tcPr>
                <w:p w14:paraId="364C0DEE">
                  <w:pPr>
                    <w:adjustRightInd w:val="0"/>
                    <w:spacing w:line="320" w:lineRule="atLeast"/>
                    <w:jc w:val="center"/>
                    <w:textAlignment w:val="baseline"/>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 xml:space="preserve">57.50 </w:t>
                  </w:r>
                </w:p>
              </w:tc>
              <w:tc>
                <w:tcPr>
                  <w:tcW w:w="1031" w:type="dxa"/>
                  <w:vAlign w:val="center"/>
                </w:tcPr>
                <w:p w14:paraId="7ED85223">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bl>
          <w:p w14:paraId="0E333CBA">
            <w:pPr>
              <w:spacing w:line="360" w:lineRule="auto"/>
              <w:ind w:firstLine="480" w:firstLineChars="200"/>
              <w:rPr>
                <w:rFonts w:ascii="Times New Roman" w:hAnsi="Times New Roman" w:eastAsia="宋体" w:cs="Times New Roman"/>
                <w:color w:val="auto"/>
                <w:kern w:val="2"/>
                <w:szCs w:val="24"/>
              </w:rPr>
            </w:pPr>
            <w:r>
              <w:rPr>
                <w:rFonts w:ascii="Times New Roman" w:hAnsi="Times New Roman" w:eastAsia="宋体" w:cs="Times New Roman"/>
                <w:color w:val="auto"/>
                <w:kern w:val="2"/>
                <w:szCs w:val="24"/>
              </w:rPr>
              <w:t>由评价结果来看，</w:t>
            </w:r>
            <w:r>
              <w:rPr>
                <w:rFonts w:hint="eastAsia" w:ascii="Times New Roman" w:hAnsi="Times New Roman" w:eastAsia="宋体" w:cs="Times New Roman"/>
                <w:color w:val="auto"/>
                <w:kern w:val="2"/>
                <w:szCs w:val="24"/>
              </w:rPr>
              <w:t>SO</w:t>
            </w:r>
            <w:r>
              <w:rPr>
                <w:rFonts w:hint="eastAsia" w:ascii="Times New Roman" w:hAnsi="Times New Roman" w:eastAsia="宋体" w:cs="Times New Roman"/>
                <w:color w:val="auto"/>
                <w:kern w:val="2"/>
                <w:szCs w:val="24"/>
                <w:vertAlign w:val="subscript"/>
              </w:rPr>
              <w:t>2</w:t>
            </w:r>
            <w:r>
              <w:rPr>
                <w:rFonts w:hint="eastAsia" w:ascii="Times New Roman" w:hAnsi="Times New Roman" w:eastAsia="宋体" w:cs="Times New Roman"/>
                <w:color w:val="auto"/>
                <w:kern w:val="2"/>
                <w:szCs w:val="24"/>
              </w:rPr>
              <w:t>、</w:t>
            </w:r>
            <w:r>
              <w:rPr>
                <w:rFonts w:ascii="Times New Roman" w:hAnsi="Times New Roman" w:eastAsia="宋体" w:cs="Times New Roman"/>
                <w:color w:val="auto"/>
                <w:szCs w:val="24"/>
              </w:rPr>
              <w:t>NO</w:t>
            </w:r>
            <w:r>
              <w:rPr>
                <w:rFonts w:ascii="Times New Roman" w:hAnsi="Times New Roman" w:eastAsia="宋体" w:cs="Times New Roman"/>
                <w:color w:val="auto"/>
                <w:szCs w:val="24"/>
                <w:vertAlign w:val="subscript"/>
              </w:rPr>
              <w:t>2</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10</w:t>
            </w:r>
            <w:r>
              <w:rPr>
                <w:rFonts w:ascii="Times New Roman" w:hAnsi="Times New Roman" w:eastAsia="宋体" w:cs="Times New Roman"/>
                <w:color w:val="auto"/>
                <w:szCs w:val="24"/>
              </w:rPr>
              <w:t>、</w:t>
            </w:r>
            <w:r>
              <w:rPr>
                <w:rFonts w:hint="eastAsia" w:ascii="Times New Roman" w:hAnsi="Times New Roman" w:eastAsia="宋体" w:cs="Times New Roman"/>
                <w:color w:val="auto"/>
                <w:kern w:val="2"/>
                <w:szCs w:val="24"/>
              </w:rPr>
              <w:t>CO、O</w:t>
            </w:r>
            <w:r>
              <w:rPr>
                <w:rFonts w:hint="eastAsia" w:ascii="Times New Roman" w:hAnsi="Times New Roman" w:eastAsia="宋体" w:cs="Times New Roman"/>
                <w:color w:val="auto"/>
                <w:kern w:val="2"/>
                <w:szCs w:val="24"/>
                <w:vertAlign w:val="subscript"/>
              </w:rPr>
              <w:t>3</w:t>
            </w:r>
            <w:r>
              <w:rPr>
                <w:rFonts w:ascii="Times New Roman" w:hAnsi="Times New Roman" w:eastAsia="宋体" w:cs="Times New Roman"/>
                <w:color w:val="auto"/>
                <w:kern w:val="2"/>
                <w:szCs w:val="24"/>
              </w:rPr>
              <w:t>平均浓度均优于《环境空气质量标准》（GB3095-2012）中二级标准限值</w:t>
            </w:r>
            <w:r>
              <w:rPr>
                <w:rFonts w:hint="eastAsia" w:ascii="Times New Roman" w:hAnsi="Times New Roman" w:eastAsia="宋体" w:cs="Times New Roman"/>
                <w:color w:val="auto"/>
                <w:kern w:val="2"/>
                <w:szCs w:val="24"/>
              </w:rPr>
              <w:t>，PM</w:t>
            </w:r>
            <w:r>
              <w:rPr>
                <w:rFonts w:hint="eastAsia" w:ascii="Times New Roman" w:hAnsi="Times New Roman" w:eastAsia="宋体" w:cs="Times New Roman"/>
                <w:color w:val="auto"/>
                <w:kern w:val="2"/>
                <w:szCs w:val="24"/>
                <w:vertAlign w:val="subscript"/>
              </w:rPr>
              <w:t>2.5</w:t>
            </w:r>
            <w:r>
              <w:rPr>
                <w:rFonts w:hint="eastAsia" w:ascii="Times New Roman" w:hAnsi="Times New Roman" w:eastAsia="宋体" w:cs="Times New Roman"/>
                <w:color w:val="auto"/>
                <w:kern w:val="2"/>
                <w:szCs w:val="24"/>
              </w:rPr>
              <w:t>超标，</w:t>
            </w:r>
            <w:r>
              <w:rPr>
                <w:rFonts w:ascii="Times New Roman" w:hAnsi="Times New Roman" w:eastAsia="宋体" w:cs="Times New Roman"/>
                <w:color w:val="auto"/>
                <w:kern w:val="2"/>
                <w:szCs w:val="24"/>
              </w:rPr>
              <w:t>项目区为</w:t>
            </w:r>
            <w:r>
              <w:rPr>
                <w:rFonts w:hint="eastAsia" w:ascii="Times New Roman" w:hAnsi="Times New Roman" w:eastAsia="宋体" w:cs="Times New Roman"/>
                <w:color w:val="auto"/>
                <w:kern w:val="2"/>
                <w:szCs w:val="24"/>
              </w:rPr>
              <w:t>空气质量非</w:t>
            </w:r>
            <w:r>
              <w:rPr>
                <w:rFonts w:ascii="Times New Roman" w:hAnsi="Times New Roman" w:eastAsia="宋体" w:cs="Times New Roman"/>
                <w:color w:val="auto"/>
                <w:kern w:val="2"/>
                <w:szCs w:val="24"/>
              </w:rPr>
              <w:t>达标区。</w:t>
            </w:r>
          </w:p>
          <w:p w14:paraId="1E678B9B">
            <w:pPr>
              <w:overflowPunct/>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③</w:t>
            </w:r>
            <w:r>
              <w:rPr>
                <w:rFonts w:hint="default" w:ascii="Times New Roman" w:hAnsi="Times New Roman" w:eastAsia="宋体" w:cs="宋体"/>
                <w:color w:val="auto"/>
                <w:lang w:val="en-US" w:eastAsia="zh-CN"/>
              </w:rPr>
              <w:t>特征污染物环境质量现状调查</w:t>
            </w:r>
          </w:p>
          <w:p w14:paraId="08E426A3">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color w:val="auto"/>
                <w:lang w:val="en-US" w:eastAsia="zh-CN"/>
              </w:rPr>
            </w:pPr>
            <w:r>
              <w:rPr>
                <w:rFonts w:hint="eastAsia" w:eastAsia="宋体" w:cs="宋体"/>
                <w:b w:val="0"/>
                <w:bCs w:val="0"/>
                <w:color w:val="auto"/>
                <w:lang w:val="en-US" w:eastAsia="zh-CN"/>
              </w:rPr>
              <w:t>特征污染因子</w:t>
            </w:r>
            <w:r>
              <w:rPr>
                <w:rFonts w:hint="eastAsia" w:cs="宋体"/>
                <w:b w:val="0"/>
                <w:bCs w:val="0"/>
                <w:color w:val="auto"/>
                <w:lang w:val="en-US" w:eastAsia="zh-CN"/>
              </w:rPr>
              <w:t>颗粒物</w:t>
            </w:r>
            <w:r>
              <w:rPr>
                <w:rFonts w:hint="eastAsia" w:eastAsia="宋体" w:cs="宋体"/>
                <w:b w:val="0"/>
                <w:bCs w:val="0"/>
                <w:color w:val="auto"/>
                <w:lang w:val="en-US" w:eastAsia="zh-CN"/>
              </w:rPr>
              <w:t>引用新疆环疆绿源环保科技有限公司于2023年3月20日至2023年3月22日对“新疆熙诚塑料制品有限公司年产2000吨橡塑环保设备项目”监测数据</w:t>
            </w:r>
            <w:r>
              <w:rPr>
                <w:rFonts w:hint="eastAsia" w:cs="宋体"/>
                <w:b w:val="0"/>
                <w:bCs w:val="0"/>
                <w:color w:val="auto"/>
                <w:lang w:val="en-US" w:eastAsia="zh-CN"/>
              </w:rPr>
              <w:t>，</w:t>
            </w:r>
            <w:r>
              <w:rPr>
                <w:rFonts w:hint="eastAsia" w:ascii="Times New Roman" w:hAnsi="Times New Roman" w:eastAsia="宋体" w:cs="宋体"/>
                <w:b w:val="0"/>
                <w:bCs w:val="0"/>
                <w:color w:val="auto"/>
                <w:lang w:val="en-US" w:eastAsia="zh-CN"/>
              </w:rPr>
              <w:t>位于建设项目周边5km范围内</w:t>
            </w:r>
            <w:r>
              <w:rPr>
                <w:rFonts w:hint="eastAsia" w:cs="宋体"/>
                <w:b w:val="0"/>
                <w:bCs w:val="0"/>
                <w:color w:val="auto"/>
                <w:lang w:val="en-US" w:eastAsia="zh-CN"/>
              </w:rPr>
              <w:t>，符合</w:t>
            </w:r>
            <w:r>
              <w:rPr>
                <w:rFonts w:hint="eastAsia" w:ascii="Times New Roman" w:hAnsi="Times New Roman" w:eastAsia="宋体" w:cs="宋体"/>
                <w:color w:val="auto"/>
              </w:rPr>
              <w:t>《建设项目环境影响报告表编制技术指南》（污染影响类）</w:t>
            </w:r>
            <w:r>
              <w:rPr>
                <w:rFonts w:hint="eastAsia" w:cs="宋体"/>
                <w:color w:val="auto"/>
                <w:lang w:eastAsia="zh-CN"/>
              </w:rPr>
              <w:t>“引用建设项目周边5千米范围内近3年的现有监测数据”</w:t>
            </w:r>
            <w:r>
              <w:rPr>
                <w:rFonts w:hint="eastAsia" w:cs="宋体"/>
                <w:color w:val="auto"/>
                <w:lang w:val="en-US" w:eastAsia="zh-CN"/>
              </w:rPr>
              <w:t>要求</w:t>
            </w:r>
            <w:r>
              <w:rPr>
                <w:rFonts w:hint="eastAsia" w:ascii="Times New Roman" w:hAnsi="Times New Roman" w:cs="宋体"/>
                <w:b w:val="0"/>
                <w:bCs w:val="0"/>
                <w:color w:val="auto"/>
                <w:lang w:val="en-US" w:eastAsia="zh-CN"/>
              </w:rPr>
              <w:t>，</w:t>
            </w:r>
            <w:r>
              <w:rPr>
                <w:rFonts w:hint="eastAsia" w:ascii="Times New Roman" w:hAnsi="Times New Roman" w:eastAsia="宋体" w:cs="宋体"/>
                <w:color w:val="auto"/>
                <w:lang w:val="en-US" w:eastAsia="zh-CN"/>
              </w:rPr>
              <w:t>因此本项目引用监测数据可行</w:t>
            </w:r>
            <w:r>
              <w:rPr>
                <w:rFonts w:hint="default" w:ascii="Times New Roman" w:hAnsi="Times New Roman" w:eastAsia="宋体" w:cs="宋体"/>
                <w:color w:val="auto"/>
                <w:lang w:val="en-US" w:eastAsia="zh-CN"/>
              </w:rPr>
              <w:t>。</w:t>
            </w:r>
          </w:p>
          <w:p w14:paraId="20EF2D5C">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bookmarkStart w:id="22" w:name="_Toc404178063"/>
            <w:bookmarkStart w:id="23" w:name="_Toc376272149"/>
            <w:bookmarkStart w:id="24" w:name="_Toc402354076"/>
            <w:bookmarkStart w:id="25" w:name="_Toc402868644"/>
            <w:bookmarkStart w:id="26" w:name="_Toc402878758"/>
            <w:bookmarkStart w:id="27" w:name="_Toc376355358"/>
            <w:bookmarkStart w:id="28" w:name="_Toc394504649"/>
            <w:bookmarkStart w:id="29" w:name="_Toc399193215"/>
            <w:bookmarkStart w:id="30" w:name="_Toc263844417"/>
            <w:bookmarkStart w:id="31" w:name="_Toc402353750"/>
            <w:bookmarkStart w:id="32" w:name="_Toc394504991"/>
            <w:r>
              <w:rPr>
                <w:rFonts w:hint="eastAsia" w:ascii="Times New Roman" w:hAnsi="Times New Roman" w:eastAsia="宋体" w:cs="宋体"/>
                <w:color w:val="auto"/>
                <w:lang w:val="en-US" w:eastAsia="zh-CN"/>
              </w:rPr>
              <w:t>A.</w:t>
            </w:r>
            <w:r>
              <w:rPr>
                <w:rFonts w:hint="default" w:ascii="Times New Roman" w:hAnsi="Times New Roman" w:eastAsia="宋体" w:cs="宋体"/>
                <w:color w:val="auto"/>
                <w:lang w:val="en-US" w:eastAsia="zh-CN"/>
              </w:rPr>
              <w:t>监测因子</w:t>
            </w:r>
            <w:bookmarkEnd w:id="22"/>
            <w:bookmarkEnd w:id="23"/>
            <w:bookmarkEnd w:id="24"/>
            <w:bookmarkEnd w:id="25"/>
            <w:bookmarkEnd w:id="26"/>
            <w:bookmarkEnd w:id="27"/>
            <w:bookmarkEnd w:id="28"/>
            <w:bookmarkEnd w:id="29"/>
            <w:bookmarkEnd w:id="30"/>
            <w:bookmarkEnd w:id="31"/>
            <w:bookmarkEnd w:id="32"/>
          </w:p>
          <w:p w14:paraId="1C47D527">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监测因子：</w:t>
            </w:r>
            <w:r>
              <w:rPr>
                <w:rFonts w:hint="eastAsia" w:cs="宋体"/>
                <w:color w:val="auto"/>
                <w:lang w:val="en-US" w:eastAsia="zh-CN"/>
              </w:rPr>
              <w:t>TSP；</w:t>
            </w:r>
          </w:p>
          <w:p w14:paraId="7A60480F">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监测时间：</w:t>
            </w:r>
            <w:r>
              <w:rPr>
                <w:rFonts w:hint="eastAsia" w:eastAsia="宋体" w:cs="宋体"/>
                <w:b w:val="0"/>
                <w:bCs w:val="0"/>
                <w:color w:val="auto"/>
                <w:lang w:val="en-US" w:eastAsia="zh-CN"/>
              </w:rPr>
              <w:t>2023年3月20日至2023年3月22日</w:t>
            </w:r>
            <w:r>
              <w:rPr>
                <w:rFonts w:hint="eastAsia" w:ascii="Times New Roman" w:hAnsi="Times New Roman" w:eastAsia="宋体" w:cs="宋体"/>
                <w:color w:val="auto"/>
                <w:lang w:val="en-US" w:eastAsia="zh-CN"/>
              </w:rPr>
              <w:t>；</w:t>
            </w:r>
          </w:p>
          <w:p w14:paraId="47A8227C">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监测频率：</w:t>
            </w:r>
            <w:r>
              <w:rPr>
                <w:rFonts w:hint="eastAsia" w:cs="宋体"/>
                <w:color w:val="auto"/>
                <w:lang w:val="en-US" w:eastAsia="zh-CN"/>
              </w:rPr>
              <w:t>TSP每天24h连续监测</w:t>
            </w:r>
            <w:r>
              <w:rPr>
                <w:rFonts w:hint="default" w:ascii="Times New Roman" w:hAnsi="Times New Roman" w:eastAsia="宋体" w:cs="宋体"/>
                <w:color w:val="auto"/>
                <w:lang w:val="en-US" w:eastAsia="zh-CN"/>
              </w:rPr>
              <w:t>。</w:t>
            </w:r>
          </w:p>
          <w:p w14:paraId="0EBDF952">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bookmarkStart w:id="33" w:name="_Toc402354078"/>
            <w:bookmarkStart w:id="34" w:name="_Toc402878760"/>
            <w:bookmarkStart w:id="35" w:name="_Toc399193217"/>
            <w:bookmarkStart w:id="36" w:name="_Toc394504993"/>
            <w:bookmarkStart w:id="37" w:name="_Toc402868646"/>
            <w:bookmarkStart w:id="38" w:name="_Toc394504651"/>
            <w:bookmarkStart w:id="39" w:name="_Toc402353752"/>
            <w:r>
              <w:rPr>
                <w:rFonts w:hint="eastAsia" w:ascii="Times New Roman" w:hAnsi="Times New Roman" w:eastAsia="宋体" w:cs="宋体"/>
                <w:color w:val="auto"/>
                <w:lang w:val="en-US" w:eastAsia="zh-CN"/>
              </w:rPr>
              <w:t>C.</w:t>
            </w:r>
            <w:r>
              <w:rPr>
                <w:rFonts w:hint="default" w:ascii="Times New Roman" w:hAnsi="Times New Roman" w:eastAsia="宋体" w:cs="宋体"/>
                <w:color w:val="auto"/>
                <w:lang w:val="en-US" w:eastAsia="zh-CN"/>
              </w:rPr>
              <w:t>分析方法</w:t>
            </w:r>
            <w:bookmarkEnd w:id="33"/>
            <w:bookmarkEnd w:id="34"/>
            <w:bookmarkEnd w:id="35"/>
            <w:bookmarkEnd w:id="36"/>
            <w:bookmarkEnd w:id="37"/>
            <w:bookmarkEnd w:id="38"/>
            <w:bookmarkEnd w:id="39"/>
          </w:p>
          <w:p w14:paraId="6DE23DFD">
            <w:pPr>
              <w:keepNext w:val="0"/>
              <w:keepLines w:val="0"/>
              <w:pageBreakBefore w:val="0"/>
              <w:kinsoku w:val="0"/>
              <w:wordWrap/>
              <w:overflowPunct w:val="0"/>
              <w:topLinePunct w:val="0"/>
              <w:autoSpaceDE w:val="0"/>
              <w:autoSpaceDN w:val="0"/>
              <w:bidi w:val="0"/>
              <w:adjustRightInd/>
              <w:snapToGrid/>
              <w:spacing w:before="0" w:after="0" w:line="360" w:lineRule="auto"/>
              <w:ind w:left="0" w:right="0" w:firstLine="480" w:firstLineChars="200"/>
              <w:jc w:val="both"/>
              <w:rPr>
                <w:rFonts w:hint="default" w:ascii="Times New Roman" w:hAnsi="Times New Roman" w:eastAsia="宋体" w:cs="宋体"/>
                <w:color w:val="auto"/>
              </w:rPr>
            </w:pPr>
            <w:r>
              <w:rPr>
                <w:rFonts w:hint="default" w:ascii="Times New Roman" w:hAnsi="Times New Roman" w:eastAsia="宋体" w:cs="宋体"/>
                <w:color w:val="auto"/>
              </w:rPr>
              <w:t>分析方法：大气污染物监测分析方法见表</w:t>
            </w:r>
            <w:r>
              <w:rPr>
                <w:rFonts w:hint="eastAsia" w:ascii="Times New Roman" w:hAnsi="Times New Roman" w:eastAsia="宋体" w:cs="宋体"/>
                <w:color w:val="auto"/>
                <w:lang w:val="en-US" w:eastAsia="zh-CN"/>
              </w:rPr>
              <w:t>3.1-2</w:t>
            </w:r>
            <w:r>
              <w:rPr>
                <w:rFonts w:hint="default" w:ascii="Times New Roman" w:hAnsi="Times New Roman" w:eastAsia="宋体" w:cs="宋体"/>
                <w:color w:val="auto"/>
              </w:rPr>
              <w:t>。</w:t>
            </w:r>
          </w:p>
          <w:p w14:paraId="7EA8C980">
            <w:pPr>
              <w:keepNext w:val="0"/>
              <w:keepLines w:val="0"/>
              <w:pageBreakBefore w:val="0"/>
              <w:widowControl w:val="0"/>
              <w:wordWrap/>
              <w:overflowPunct/>
              <w:topLinePunct w:val="0"/>
              <w:autoSpaceDE/>
              <w:autoSpaceDN/>
              <w:bidi w:val="0"/>
              <w:adjustRightInd/>
              <w:snapToGrid/>
              <w:spacing w:before="0" w:beforeAutospacing="0" w:after="0" w:afterAutospacing="0" w:line="360" w:lineRule="auto"/>
              <w:ind w:left="0" w:right="0" w:firstLine="480" w:firstLineChars="0"/>
              <w:jc w:val="center"/>
              <w:textAlignment w:val="baseline"/>
              <w:rPr>
                <w:rFonts w:hint="default" w:ascii="Times New Roman" w:hAnsi="Times New Roman" w:eastAsia="宋体" w:cs="宋体"/>
                <w:b/>
                <w:bCs/>
                <w:color w:val="auto"/>
                <w:lang w:val="en-US" w:eastAsia="zh-CN"/>
              </w:rPr>
            </w:pPr>
            <w:r>
              <w:rPr>
                <w:rFonts w:hint="default" w:ascii="Times New Roman" w:hAnsi="Times New Roman" w:eastAsia="宋体" w:cs="宋体"/>
                <w:b/>
                <w:bCs/>
                <w:color w:val="auto"/>
                <w:lang w:val="en-US" w:eastAsia="zh-CN"/>
              </w:rPr>
              <w:t>表</w:t>
            </w:r>
            <w:r>
              <w:rPr>
                <w:rFonts w:hint="eastAsia" w:ascii="Times New Roman" w:hAnsi="Times New Roman" w:eastAsia="宋体" w:cs="宋体"/>
                <w:b/>
                <w:bCs/>
                <w:color w:val="auto"/>
                <w:lang w:val="en-US" w:eastAsia="zh-CN"/>
              </w:rPr>
              <w:t>3.1-2</w:t>
            </w:r>
            <w:r>
              <w:rPr>
                <w:rFonts w:hint="default" w:ascii="Times New Roman" w:hAnsi="Times New Roman" w:eastAsia="宋体" w:cs="宋体"/>
                <w:b/>
                <w:bCs/>
                <w:color w:val="auto"/>
                <w:lang w:val="en-US" w:eastAsia="zh-CN"/>
              </w:rPr>
              <w:t>大气监测项目分析方法</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6104"/>
              <w:gridCol w:w="1319"/>
            </w:tblGrid>
            <w:tr w14:paraId="7FF67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1081" w:type="dxa"/>
                  <w:tcBorders>
                    <w:tl2br w:val="nil"/>
                    <w:tr2bl w:val="nil"/>
                  </w:tcBorders>
                  <w:noWrap w:val="0"/>
                  <w:vAlign w:val="center"/>
                </w:tcPr>
                <w:p w14:paraId="00417CE4">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rPr>
                  </w:pPr>
                  <w:bookmarkStart w:id="40" w:name="_Toc394504652"/>
                  <w:bookmarkStart w:id="41" w:name="_Toc376355359"/>
                  <w:bookmarkStart w:id="42" w:name="_Toc394504994"/>
                  <w:bookmarkStart w:id="43" w:name="_Toc402353753"/>
                  <w:bookmarkStart w:id="44" w:name="_Toc402354079"/>
                  <w:bookmarkStart w:id="45" w:name="_Toc404178065"/>
                  <w:bookmarkStart w:id="46" w:name="_Toc399193218"/>
                  <w:bookmarkStart w:id="47" w:name="_Toc402868647"/>
                  <w:bookmarkStart w:id="48" w:name="_Toc402878761"/>
                  <w:bookmarkStart w:id="49" w:name="_Toc263844419"/>
                  <w:bookmarkStart w:id="50" w:name="_Toc376272150"/>
                  <w:r>
                    <w:rPr>
                      <w:rFonts w:hint="default" w:ascii="Times New Roman" w:hAnsi="Times New Roman" w:eastAsia="宋体" w:cs="宋体"/>
                      <w:color w:val="auto"/>
                      <w:sz w:val="21"/>
                      <w:szCs w:val="21"/>
                    </w:rPr>
                    <w:t>监测项目</w:t>
                  </w:r>
                </w:p>
              </w:tc>
              <w:tc>
                <w:tcPr>
                  <w:tcW w:w="6104" w:type="dxa"/>
                  <w:tcBorders>
                    <w:tl2br w:val="nil"/>
                    <w:tr2bl w:val="nil"/>
                  </w:tcBorders>
                  <w:noWrap w:val="0"/>
                  <w:vAlign w:val="center"/>
                </w:tcPr>
                <w:p w14:paraId="4D2C374B">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rPr>
                  </w:pPr>
                  <w:r>
                    <w:rPr>
                      <w:rFonts w:hint="default" w:ascii="Times New Roman" w:hAnsi="Times New Roman" w:eastAsia="宋体" w:cs="宋体"/>
                      <w:color w:val="auto"/>
                      <w:sz w:val="21"/>
                      <w:szCs w:val="21"/>
                    </w:rPr>
                    <w:t>分析方法（依据的标准）</w:t>
                  </w:r>
                </w:p>
              </w:tc>
              <w:tc>
                <w:tcPr>
                  <w:tcW w:w="1319" w:type="dxa"/>
                  <w:tcBorders>
                    <w:tl2br w:val="nil"/>
                    <w:tr2bl w:val="nil"/>
                  </w:tcBorders>
                  <w:noWrap w:val="0"/>
                  <w:vAlign w:val="center"/>
                </w:tcPr>
                <w:p w14:paraId="4038C50F">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rPr>
                  </w:pPr>
                  <w:r>
                    <w:rPr>
                      <w:rFonts w:hint="default" w:ascii="Times New Roman" w:hAnsi="Times New Roman" w:eastAsia="宋体" w:cs="宋体"/>
                      <w:color w:val="auto"/>
                      <w:sz w:val="21"/>
                      <w:szCs w:val="21"/>
                    </w:rPr>
                    <w:t>检出限</w:t>
                  </w:r>
                </w:p>
              </w:tc>
            </w:tr>
            <w:tr w14:paraId="1CBFB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1" w:type="dxa"/>
                  <w:tcBorders>
                    <w:tl2br w:val="nil"/>
                    <w:tr2bl w:val="nil"/>
                  </w:tcBorders>
                  <w:noWrap w:val="0"/>
                  <w:vAlign w:val="center"/>
                </w:tcPr>
                <w:p w14:paraId="5E3B0FBA">
                  <w:pPr>
                    <w:keepNext w:val="0"/>
                    <w:keepLines w:val="0"/>
                    <w:pageBreakBefore w:val="0"/>
                    <w:widowControl w:val="0"/>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 xml:space="preserve">TSP </w:t>
                  </w:r>
                </w:p>
              </w:tc>
              <w:tc>
                <w:tcPr>
                  <w:tcW w:w="6104" w:type="dxa"/>
                  <w:tcBorders>
                    <w:tl2br w:val="nil"/>
                    <w:tr2bl w:val="nil"/>
                  </w:tcBorders>
                  <w:noWrap w:val="0"/>
                  <w:vAlign w:val="center"/>
                </w:tcPr>
                <w:p w14:paraId="5AC8CF4F">
                  <w:pPr>
                    <w:keepNext w:val="0"/>
                    <w:keepLines w:val="0"/>
                    <w:pageBreakBefore w:val="0"/>
                    <w:widowControl w:val="0"/>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环境空气 总悬浮颗粒物的测定 重量法</w:t>
                  </w:r>
                  <w:r>
                    <w:rPr>
                      <w:rFonts w:hint="eastAsia" w:ascii="Times New Roman" w:hAnsi="Times New Roman" w:eastAsia="宋体" w:cs="宋体"/>
                      <w:color w:val="auto"/>
                      <w:sz w:val="21"/>
                      <w:szCs w:val="21"/>
                      <w:lang w:val="en-US" w:eastAsia="zh-CN"/>
                    </w:rPr>
                    <w:t xml:space="preserve"> </w:t>
                  </w:r>
                  <w:r>
                    <w:rPr>
                      <w:rFonts w:hint="default" w:ascii="Times New Roman" w:hAnsi="Times New Roman" w:eastAsia="宋体" w:cs="宋体"/>
                      <w:color w:val="auto"/>
                      <w:sz w:val="21"/>
                      <w:szCs w:val="21"/>
                      <w:lang w:val="en-US" w:eastAsia="zh-CN"/>
                    </w:rPr>
                    <w:t>HJ 1263-2022</w:t>
                  </w:r>
                </w:p>
              </w:tc>
              <w:tc>
                <w:tcPr>
                  <w:tcW w:w="1319" w:type="dxa"/>
                  <w:tcBorders>
                    <w:tl2br w:val="nil"/>
                    <w:tr2bl w:val="nil"/>
                  </w:tcBorders>
                  <w:noWrap w:val="0"/>
                  <w:vAlign w:val="center"/>
                </w:tcPr>
                <w:p w14:paraId="459F1DE2">
                  <w:pPr>
                    <w:keepNext w:val="0"/>
                    <w:keepLines w:val="0"/>
                    <w:pageBreakBefore w:val="0"/>
                    <w:widowControl w:val="0"/>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color w:val="auto"/>
                      <w:sz w:val="21"/>
                      <w:szCs w:val="21"/>
                    </w:rPr>
                  </w:pPr>
                  <w:r>
                    <w:rPr>
                      <w:rFonts w:hint="default" w:ascii="Times New Roman" w:hAnsi="Times New Roman" w:eastAsia="宋体" w:cs="宋体"/>
                      <w:color w:val="auto"/>
                      <w:sz w:val="21"/>
                      <w:szCs w:val="21"/>
                      <w:lang w:val="en-US" w:eastAsia="zh-CN"/>
                    </w:rPr>
                    <w:t>0.007</w:t>
                  </w:r>
                  <w:r>
                    <w:rPr>
                      <w:rFonts w:hint="default" w:ascii="Times New Roman" w:hAnsi="Times New Roman" w:eastAsia="宋体" w:cs="宋体"/>
                      <w:color w:val="auto"/>
                      <w:sz w:val="21"/>
                      <w:szCs w:val="21"/>
                    </w:rPr>
                    <w:t>mg/m</w:t>
                  </w:r>
                  <w:r>
                    <w:rPr>
                      <w:rFonts w:hint="default" w:ascii="Times New Roman" w:hAnsi="Times New Roman" w:eastAsia="宋体" w:cs="宋体"/>
                      <w:color w:val="auto"/>
                      <w:sz w:val="21"/>
                      <w:szCs w:val="21"/>
                      <w:vertAlign w:val="superscript"/>
                    </w:rPr>
                    <w:t>3</w:t>
                  </w:r>
                </w:p>
              </w:tc>
            </w:tr>
          </w:tbl>
          <w:p w14:paraId="2E2DE6FD">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④</w:t>
            </w:r>
            <w:r>
              <w:rPr>
                <w:rFonts w:hint="default" w:ascii="Times New Roman" w:hAnsi="Times New Roman" w:eastAsia="宋体" w:cs="宋体"/>
                <w:color w:val="auto"/>
                <w:lang w:val="en-US" w:eastAsia="zh-CN"/>
              </w:rPr>
              <w:t>评价标准</w:t>
            </w:r>
            <w:bookmarkEnd w:id="40"/>
            <w:bookmarkEnd w:id="41"/>
            <w:bookmarkEnd w:id="42"/>
            <w:bookmarkEnd w:id="43"/>
            <w:bookmarkEnd w:id="44"/>
            <w:bookmarkEnd w:id="45"/>
            <w:bookmarkEnd w:id="46"/>
            <w:bookmarkEnd w:id="47"/>
            <w:bookmarkEnd w:id="48"/>
            <w:bookmarkEnd w:id="49"/>
            <w:bookmarkEnd w:id="50"/>
          </w:p>
          <w:p w14:paraId="2C792C2B">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eastAsia" w:ascii="Times New Roman" w:hAnsi="Times New Roman" w:eastAsia="宋体" w:cs="宋体"/>
                <w:color w:val="auto"/>
                <w:lang w:val="en-US" w:eastAsia="zh-CN"/>
              </w:rPr>
            </w:pPr>
            <w:bookmarkStart w:id="51" w:name="_Toc402353754"/>
            <w:bookmarkStart w:id="52" w:name="_Toc394504995"/>
            <w:bookmarkStart w:id="53" w:name="_Toc263844420"/>
            <w:bookmarkStart w:id="54" w:name="_Toc394504653"/>
            <w:bookmarkStart w:id="55" w:name="_Toc404178066"/>
            <w:bookmarkStart w:id="56" w:name="_Toc399193219"/>
            <w:bookmarkStart w:id="57" w:name="_Toc402868648"/>
            <w:bookmarkStart w:id="58" w:name="_Toc402878762"/>
            <w:bookmarkStart w:id="59" w:name="_Toc376355360"/>
            <w:bookmarkStart w:id="60" w:name="_Toc402354080"/>
            <w:bookmarkStart w:id="61" w:name="_Toc376272151"/>
            <w:r>
              <w:rPr>
                <w:rFonts w:hint="eastAsia" w:ascii="Times New Roman" w:hAnsi="Times New Roman" w:eastAsia="宋体" w:cs="宋体"/>
                <w:color w:val="auto"/>
                <w:lang w:val="en-US" w:eastAsia="zh-CN"/>
              </w:rPr>
              <w:t>TSP执行《环境空气质量标准》（GB 3095-2012）二级浓度限值（24h平均0.3</w:t>
            </w:r>
            <w:r>
              <w:rPr>
                <w:rFonts w:hint="default" w:ascii="Times New Roman" w:hAnsi="Times New Roman" w:eastAsia="宋体" w:cs="宋体"/>
                <w:color w:val="auto"/>
              </w:rPr>
              <w:t>mg/m</w:t>
            </w:r>
            <w:r>
              <w:rPr>
                <w:rFonts w:hint="default" w:ascii="Times New Roman" w:hAnsi="Times New Roman" w:eastAsia="宋体" w:cs="宋体"/>
                <w:color w:val="auto"/>
                <w:vertAlign w:val="superscript"/>
              </w:rPr>
              <w:t>3</w:t>
            </w:r>
            <w:r>
              <w:rPr>
                <w:rFonts w:hint="eastAsia" w:ascii="Times New Roman" w:hAnsi="Times New Roman" w:eastAsia="宋体" w:cs="宋体"/>
                <w:color w:val="auto"/>
                <w:lang w:val="en-US" w:eastAsia="zh-CN"/>
              </w:rPr>
              <w:t>）。</w:t>
            </w:r>
          </w:p>
          <w:p w14:paraId="3BB893F9">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（5）评价方法</w:t>
            </w:r>
            <w:bookmarkEnd w:id="51"/>
            <w:bookmarkEnd w:id="52"/>
            <w:bookmarkEnd w:id="53"/>
            <w:bookmarkEnd w:id="54"/>
            <w:bookmarkEnd w:id="55"/>
            <w:bookmarkEnd w:id="56"/>
            <w:bookmarkEnd w:id="57"/>
            <w:bookmarkEnd w:id="58"/>
            <w:bookmarkEnd w:id="59"/>
            <w:bookmarkEnd w:id="60"/>
            <w:bookmarkEnd w:id="61"/>
          </w:p>
          <w:p w14:paraId="3E34EC08">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本次环评大气环境质量现状采用</w:t>
            </w:r>
            <w:r>
              <w:rPr>
                <w:rFonts w:hint="eastAsia" w:cs="宋体"/>
                <w:color w:val="auto"/>
                <w:lang w:val="en-US" w:eastAsia="zh-CN"/>
              </w:rPr>
              <w:t>占标率法</w:t>
            </w:r>
            <w:r>
              <w:rPr>
                <w:rFonts w:hint="default" w:ascii="Times New Roman" w:hAnsi="Times New Roman" w:eastAsia="宋体" w:cs="宋体"/>
                <w:color w:val="auto"/>
                <w:lang w:val="en-US" w:eastAsia="zh-CN"/>
              </w:rPr>
              <w:t>，计算公式为：</w:t>
            </w:r>
          </w:p>
          <w:p w14:paraId="4FF29911">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drawing>
                <wp:inline distT="0" distB="0" distL="114300" distR="114300">
                  <wp:extent cx="1031240" cy="446405"/>
                  <wp:effectExtent l="0" t="0" r="0" b="12065"/>
                  <wp:docPr id="2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3"/>
                          <pic:cNvPicPr>
                            <a:picLocks noChangeAspect="1"/>
                          </pic:cNvPicPr>
                        </pic:nvPicPr>
                        <pic:blipFill>
                          <a:blip r:embed="rId37"/>
                          <a:stretch>
                            <a:fillRect/>
                          </a:stretch>
                        </pic:blipFill>
                        <pic:spPr>
                          <a:xfrm>
                            <a:off x="0" y="0"/>
                            <a:ext cx="1031240" cy="446405"/>
                          </a:xfrm>
                          <a:prstGeom prst="rect">
                            <a:avLst/>
                          </a:prstGeom>
                          <a:noFill/>
                          <a:ln>
                            <a:noFill/>
                          </a:ln>
                        </pic:spPr>
                      </pic:pic>
                    </a:graphicData>
                  </a:graphic>
                </wp:inline>
              </w:drawing>
            </w:r>
          </w:p>
          <w:p w14:paraId="793F1F11">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式中：Pi——第i个污染物的监测最大浓度占相应标准浓度限值的百分比，%；</w:t>
            </w:r>
          </w:p>
          <w:p w14:paraId="12583C67">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 xml:space="preserve">  Ci——第i个污染物的监测最大浓度值，mg/m</w:t>
            </w:r>
            <w:r>
              <w:rPr>
                <w:rFonts w:hint="default" w:ascii="Times New Roman" w:hAnsi="Times New Roman" w:eastAsia="宋体" w:cs="宋体"/>
                <w:color w:val="auto"/>
                <w:vertAlign w:val="superscript"/>
              </w:rPr>
              <w:t>3</w:t>
            </w:r>
            <w:r>
              <w:rPr>
                <w:rFonts w:hint="default" w:ascii="Times New Roman" w:hAnsi="Times New Roman" w:eastAsia="宋体" w:cs="宋体"/>
                <w:color w:val="auto"/>
                <w:lang w:val="en-US" w:eastAsia="zh-CN"/>
              </w:rPr>
              <w:t>；</w:t>
            </w:r>
          </w:p>
          <w:p w14:paraId="5B91B3FC">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 xml:space="preserve">  C0i——第i个污染物的环境空气质量标准，mg/m</w:t>
            </w:r>
            <w:r>
              <w:rPr>
                <w:rFonts w:hint="default" w:ascii="Times New Roman" w:hAnsi="Times New Roman" w:eastAsia="宋体" w:cs="宋体"/>
                <w:color w:val="auto"/>
                <w:vertAlign w:val="superscript"/>
              </w:rPr>
              <w:t>3</w:t>
            </w:r>
            <w:r>
              <w:rPr>
                <w:rFonts w:hint="default" w:ascii="Times New Roman" w:hAnsi="Times New Roman" w:eastAsia="宋体" w:cs="宋体"/>
                <w:color w:val="auto"/>
                <w:lang w:val="en-US" w:eastAsia="zh-CN"/>
              </w:rPr>
              <w:t>。</w:t>
            </w:r>
          </w:p>
          <w:p w14:paraId="621913AF">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bookmarkStart w:id="62" w:name="_Toc402878763"/>
            <w:bookmarkStart w:id="63" w:name="_Toc404178067"/>
            <w:bookmarkStart w:id="64" w:name="_Toc394504996"/>
            <w:bookmarkStart w:id="65" w:name="_Toc402868649"/>
            <w:bookmarkStart w:id="66" w:name="_Toc399193220"/>
            <w:bookmarkStart w:id="67" w:name="_Toc263844421"/>
            <w:bookmarkStart w:id="68" w:name="_Toc394504654"/>
            <w:bookmarkStart w:id="69" w:name="_Toc376272152"/>
            <w:bookmarkStart w:id="70" w:name="_Toc402354081"/>
            <w:bookmarkStart w:id="71" w:name="_Toc402353755"/>
            <w:bookmarkStart w:id="72" w:name="_Toc376355361"/>
            <w:r>
              <w:rPr>
                <w:rFonts w:hint="default" w:ascii="Times New Roman" w:hAnsi="Times New Roman" w:eastAsia="宋体" w:cs="宋体"/>
                <w:color w:val="auto"/>
                <w:lang w:val="en-US" w:eastAsia="zh-CN"/>
              </w:rPr>
              <w:t>（6）监测及评价结果</w:t>
            </w:r>
            <w:bookmarkEnd w:id="62"/>
            <w:bookmarkEnd w:id="63"/>
            <w:bookmarkEnd w:id="64"/>
            <w:bookmarkEnd w:id="65"/>
            <w:bookmarkEnd w:id="66"/>
            <w:bookmarkEnd w:id="67"/>
            <w:bookmarkEnd w:id="68"/>
            <w:bookmarkEnd w:id="69"/>
            <w:bookmarkEnd w:id="70"/>
            <w:bookmarkEnd w:id="71"/>
            <w:bookmarkEnd w:id="72"/>
          </w:p>
          <w:p w14:paraId="00C1A3D9">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根据环境空气质量现状调查结果，常规大气污染物日均监测及评价结果见表</w:t>
            </w:r>
            <w:r>
              <w:rPr>
                <w:rFonts w:hint="eastAsia" w:ascii="Times New Roman" w:hAnsi="Times New Roman" w:eastAsia="宋体" w:cs="宋体"/>
                <w:color w:val="auto"/>
                <w:lang w:val="en-US" w:eastAsia="zh-CN"/>
              </w:rPr>
              <w:t>3.1-3</w:t>
            </w:r>
            <w:r>
              <w:rPr>
                <w:rFonts w:hint="default" w:ascii="Times New Roman" w:hAnsi="Times New Roman" w:eastAsia="宋体" w:cs="宋体"/>
                <w:color w:val="auto"/>
                <w:lang w:val="en-US" w:eastAsia="zh-CN"/>
              </w:rPr>
              <w:t>。</w:t>
            </w:r>
          </w:p>
          <w:p w14:paraId="65F7EDB2">
            <w:pPr>
              <w:keepNext w:val="0"/>
              <w:keepLines w:val="0"/>
              <w:pageBreakBefore w:val="0"/>
              <w:widowControl w:val="0"/>
              <w:wordWrap/>
              <w:overflowPunct/>
              <w:topLinePunct w:val="0"/>
              <w:autoSpaceDE/>
              <w:autoSpaceDN/>
              <w:bidi w:val="0"/>
              <w:adjustRightInd/>
              <w:snapToGrid/>
              <w:spacing w:before="0" w:after="0" w:line="360" w:lineRule="auto"/>
              <w:ind w:left="0" w:leftChars="0" w:right="0" w:firstLine="0" w:firstLineChars="0"/>
              <w:jc w:val="center"/>
              <w:rPr>
                <w:rFonts w:hint="default" w:ascii="Times New Roman" w:hAnsi="Times New Roman" w:eastAsia="宋体" w:cs="宋体"/>
                <w:b/>
                <w:bCs/>
                <w:color w:val="auto"/>
                <w:lang w:val="en-US" w:eastAsia="zh-CN"/>
              </w:rPr>
            </w:pPr>
            <w:r>
              <w:rPr>
                <w:rFonts w:hint="default" w:ascii="Times New Roman" w:hAnsi="Times New Roman" w:eastAsia="宋体" w:cs="宋体"/>
                <w:b/>
                <w:bCs/>
                <w:color w:val="auto"/>
                <w:lang w:val="en-US" w:eastAsia="zh-CN"/>
              </w:rPr>
              <w:t>表</w:t>
            </w:r>
            <w:r>
              <w:rPr>
                <w:rFonts w:hint="eastAsia" w:ascii="Times New Roman" w:hAnsi="Times New Roman" w:eastAsia="宋体" w:cs="宋体"/>
                <w:b/>
                <w:bCs/>
                <w:color w:val="auto"/>
                <w:lang w:val="en-US" w:eastAsia="zh-CN"/>
              </w:rPr>
              <w:t>3.1-3</w:t>
            </w:r>
            <w:r>
              <w:rPr>
                <w:rFonts w:hint="default" w:ascii="Times New Roman" w:hAnsi="Times New Roman" w:eastAsia="宋体" w:cs="宋体"/>
                <w:b/>
                <w:bCs/>
                <w:color w:val="auto"/>
                <w:lang w:val="en-US" w:eastAsia="zh-CN"/>
              </w:rPr>
              <w:t>环境空气质量特征因子现状监测与评价结果统计表</w:t>
            </w:r>
          </w:p>
          <w:tbl>
            <w:tblPr>
              <w:tblStyle w:val="15"/>
              <w:tblW w:w="82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3515"/>
              <w:gridCol w:w="3005"/>
            </w:tblGrid>
            <w:tr w14:paraId="5A91F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tcBorders>
                    <w:tl2br w:val="nil"/>
                    <w:tr2bl w:val="nil"/>
                  </w:tcBorders>
                  <w:noWrap w:val="0"/>
                  <w:vAlign w:val="center"/>
                </w:tcPr>
                <w:p w14:paraId="7BBFB170">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监测点</w:t>
                  </w:r>
                </w:p>
              </w:tc>
              <w:tc>
                <w:tcPr>
                  <w:tcW w:w="3515" w:type="dxa"/>
                  <w:tcBorders>
                    <w:tl2br w:val="nil"/>
                    <w:tr2bl w:val="nil"/>
                  </w:tcBorders>
                  <w:noWrap w:val="0"/>
                  <w:vAlign w:val="center"/>
                </w:tcPr>
                <w:p w14:paraId="76601819">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项目</w:t>
                  </w:r>
                </w:p>
              </w:tc>
              <w:tc>
                <w:tcPr>
                  <w:tcW w:w="3005" w:type="dxa"/>
                  <w:tcBorders>
                    <w:tl2br w:val="nil"/>
                    <w:tr2bl w:val="nil"/>
                  </w:tcBorders>
                  <w:noWrap w:val="0"/>
                  <w:vAlign w:val="center"/>
                </w:tcPr>
                <w:p w14:paraId="1F8E4A8B">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cs="宋体"/>
                      <w:color w:val="auto"/>
                      <w:sz w:val="21"/>
                      <w:szCs w:val="21"/>
                      <w:lang w:val="en-US" w:eastAsia="zh-CN"/>
                    </w:rPr>
                  </w:pPr>
                  <w:r>
                    <w:rPr>
                      <w:rFonts w:hint="eastAsia" w:cs="宋体"/>
                      <w:color w:val="auto"/>
                      <w:sz w:val="21"/>
                      <w:szCs w:val="21"/>
                      <w:lang w:val="en-US" w:eastAsia="zh-CN"/>
                    </w:rPr>
                    <w:t>TSP</w:t>
                  </w:r>
                </w:p>
              </w:tc>
            </w:tr>
            <w:tr w14:paraId="4EC12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Merge w:val="restart"/>
                  <w:tcBorders>
                    <w:tl2br w:val="nil"/>
                    <w:tr2bl w:val="nil"/>
                  </w:tcBorders>
                  <w:noWrap w:val="0"/>
                  <w:vAlign w:val="center"/>
                </w:tcPr>
                <w:p w14:paraId="6C34084E">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项目区</w:t>
                  </w:r>
                </w:p>
              </w:tc>
              <w:tc>
                <w:tcPr>
                  <w:tcW w:w="3515" w:type="dxa"/>
                  <w:tcBorders>
                    <w:tl2br w:val="nil"/>
                    <w:tr2bl w:val="nil"/>
                  </w:tcBorders>
                  <w:noWrap w:val="0"/>
                  <w:vAlign w:val="center"/>
                </w:tcPr>
                <w:p w14:paraId="44A40E0B">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有效日数</w:t>
                  </w:r>
                </w:p>
              </w:tc>
              <w:tc>
                <w:tcPr>
                  <w:tcW w:w="3005" w:type="dxa"/>
                  <w:tcBorders>
                    <w:tl2br w:val="nil"/>
                    <w:tr2bl w:val="nil"/>
                  </w:tcBorders>
                  <w:noWrap w:val="0"/>
                  <w:vAlign w:val="center"/>
                </w:tcPr>
                <w:p w14:paraId="5EBD45E8">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w:t>
                  </w:r>
                </w:p>
              </w:tc>
            </w:tr>
            <w:tr w14:paraId="4EAAA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Merge w:val="continue"/>
                  <w:tcBorders>
                    <w:tl2br w:val="nil"/>
                    <w:tr2bl w:val="nil"/>
                  </w:tcBorders>
                  <w:noWrap w:val="0"/>
                  <w:vAlign w:val="center"/>
                </w:tcPr>
                <w:p w14:paraId="07F9BAE1">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3515" w:type="dxa"/>
                  <w:tcBorders>
                    <w:tl2br w:val="nil"/>
                    <w:tr2bl w:val="nil"/>
                  </w:tcBorders>
                  <w:noWrap w:val="0"/>
                  <w:vAlign w:val="center"/>
                </w:tcPr>
                <w:p w14:paraId="72AAB838">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浓度范围（mg/m</w:t>
                  </w:r>
                  <w:r>
                    <w:rPr>
                      <w:rFonts w:hint="default" w:ascii="Times New Roman" w:hAnsi="Times New Roman" w:eastAsia="宋体" w:cs="宋体"/>
                      <w:color w:val="auto"/>
                      <w:sz w:val="21"/>
                      <w:szCs w:val="21"/>
                      <w:vertAlign w:val="superscript"/>
                    </w:rPr>
                    <w:t>3</w:t>
                  </w:r>
                  <w:r>
                    <w:rPr>
                      <w:rFonts w:hint="default" w:ascii="Times New Roman" w:hAnsi="Times New Roman" w:eastAsia="宋体" w:cs="宋体"/>
                      <w:color w:val="auto"/>
                      <w:sz w:val="21"/>
                      <w:szCs w:val="21"/>
                      <w:lang w:val="en-US" w:eastAsia="zh-CN"/>
                    </w:rPr>
                    <w:t>）</w:t>
                  </w:r>
                </w:p>
              </w:tc>
              <w:tc>
                <w:tcPr>
                  <w:tcW w:w="3005" w:type="dxa"/>
                  <w:tcBorders>
                    <w:tl2br w:val="nil"/>
                    <w:tr2bl w:val="nil"/>
                  </w:tcBorders>
                  <w:noWrap w:val="0"/>
                  <w:vAlign w:val="center"/>
                </w:tcPr>
                <w:p w14:paraId="00B27168">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default" w:cs="宋体"/>
                      <w:color w:val="auto"/>
                      <w:sz w:val="21"/>
                      <w:szCs w:val="21"/>
                      <w:highlight w:val="none"/>
                      <w:lang w:val="en-US" w:eastAsia="zh-CN"/>
                    </w:rPr>
                  </w:pPr>
                  <w:r>
                    <w:rPr>
                      <w:rFonts w:hint="eastAsia" w:cs="宋体"/>
                      <w:color w:val="auto"/>
                      <w:sz w:val="21"/>
                      <w:szCs w:val="21"/>
                      <w:lang w:val="en-US" w:eastAsia="zh-CN"/>
                    </w:rPr>
                    <w:t>0.229-0.254</w:t>
                  </w:r>
                </w:p>
              </w:tc>
            </w:tr>
            <w:tr w14:paraId="389AB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Merge w:val="continue"/>
                  <w:tcBorders>
                    <w:tl2br w:val="nil"/>
                    <w:tr2bl w:val="nil"/>
                  </w:tcBorders>
                  <w:noWrap w:val="0"/>
                  <w:vAlign w:val="center"/>
                </w:tcPr>
                <w:p w14:paraId="74FBB1A1">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3515" w:type="dxa"/>
                  <w:tcBorders>
                    <w:tl2br w:val="nil"/>
                    <w:tr2bl w:val="nil"/>
                  </w:tcBorders>
                  <w:noWrap w:val="0"/>
                  <w:vAlign w:val="center"/>
                </w:tcPr>
                <w:p w14:paraId="3755021A">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超标率（%）</w:t>
                  </w:r>
                </w:p>
              </w:tc>
              <w:tc>
                <w:tcPr>
                  <w:tcW w:w="3005" w:type="dxa"/>
                  <w:tcBorders>
                    <w:tl2br w:val="nil"/>
                    <w:tr2bl w:val="nil"/>
                  </w:tcBorders>
                  <w:noWrap w:val="0"/>
                  <w:vAlign w:val="center"/>
                </w:tcPr>
                <w:p w14:paraId="3F6D56C4">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lang w:val="en-US" w:eastAsia="zh-CN"/>
                    </w:rPr>
                    <w:t>0</w:t>
                  </w:r>
                </w:p>
              </w:tc>
            </w:tr>
            <w:tr w14:paraId="7E47C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Merge w:val="continue"/>
                  <w:tcBorders>
                    <w:tl2br w:val="nil"/>
                    <w:tr2bl w:val="nil"/>
                  </w:tcBorders>
                  <w:noWrap w:val="0"/>
                  <w:vAlign w:val="center"/>
                </w:tcPr>
                <w:p w14:paraId="52314257">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3515" w:type="dxa"/>
                  <w:tcBorders>
                    <w:tl2br w:val="nil"/>
                    <w:tr2bl w:val="nil"/>
                  </w:tcBorders>
                  <w:noWrap w:val="0"/>
                  <w:vAlign w:val="center"/>
                </w:tcPr>
                <w:p w14:paraId="3FD6CC57">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最大超标倍数</w:t>
                  </w:r>
                </w:p>
              </w:tc>
              <w:tc>
                <w:tcPr>
                  <w:tcW w:w="3005" w:type="dxa"/>
                  <w:tcBorders>
                    <w:tl2br w:val="nil"/>
                    <w:tr2bl w:val="nil"/>
                  </w:tcBorders>
                  <w:noWrap w:val="0"/>
                  <w:vAlign w:val="center"/>
                </w:tcPr>
                <w:p w14:paraId="744BA17B">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lang w:val="en-US" w:eastAsia="zh-CN"/>
                    </w:rPr>
                    <w:t>0</w:t>
                  </w:r>
                </w:p>
              </w:tc>
            </w:tr>
            <w:tr w14:paraId="7FD7A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Merge w:val="continue"/>
                  <w:tcBorders>
                    <w:tl2br w:val="nil"/>
                    <w:tr2bl w:val="nil"/>
                  </w:tcBorders>
                  <w:noWrap w:val="0"/>
                  <w:vAlign w:val="center"/>
                </w:tcPr>
                <w:p w14:paraId="2249E7EE">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3515" w:type="dxa"/>
                  <w:tcBorders>
                    <w:tl2br w:val="nil"/>
                    <w:tr2bl w:val="nil"/>
                  </w:tcBorders>
                  <w:noWrap w:val="0"/>
                  <w:vAlign w:val="center"/>
                </w:tcPr>
                <w:p w14:paraId="4B19B71A">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Pi（%）</w:t>
                  </w:r>
                </w:p>
              </w:tc>
              <w:tc>
                <w:tcPr>
                  <w:tcW w:w="3005" w:type="dxa"/>
                  <w:tcBorders>
                    <w:tl2br w:val="nil"/>
                    <w:tr2bl w:val="nil"/>
                  </w:tcBorders>
                  <w:noWrap w:val="0"/>
                  <w:vAlign w:val="center"/>
                </w:tcPr>
                <w:p w14:paraId="14E61A3D">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outlineLvl w:val="3"/>
                    <w:rPr>
                      <w:rFonts w:hint="default" w:cs="宋体"/>
                      <w:color w:val="auto"/>
                      <w:sz w:val="21"/>
                      <w:szCs w:val="21"/>
                      <w:highlight w:val="none"/>
                      <w:lang w:val="en-US" w:eastAsia="zh-CN"/>
                    </w:rPr>
                  </w:pPr>
                  <w:r>
                    <w:rPr>
                      <w:rFonts w:hint="eastAsia" w:cs="宋体"/>
                      <w:color w:val="auto"/>
                      <w:sz w:val="21"/>
                      <w:szCs w:val="21"/>
                      <w:lang w:val="en-US" w:eastAsia="zh-CN"/>
                    </w:rPr>
                    <w:t>76.33-84.67</w:t>
                  </w:r>
                </w:p>
              </w:tc>
            </w:tr>
          </w:tbl>
          <w:p w14:paraId="2784D8C3">
            <w:pPr>
              <w:keepNext w:val="0"/>
              <w:keepLines w:val="0"/>
              <w:pageBreakBefore w:val="0"/>
              <w:widowControl w:val="0"/>
              <w:wordWrap/>
              <w:topLinePunct w:val="0"/>
              <w:bidi w:val="0"/>
              <w:adjustRightInd/>
              <w:snapToGrid/>
              <w:spacing w:line="360" w:lineRule="auto"/>
              <w:ind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Times New Roman"/>
                <w:bCs/>
                <w:color w:val="auto"/>
                <w:kern w:val="2"/>
                <w:sz w:val="24"/>
                <w:szCs w:val="24"/>
                <w:lang w:val="en-US" w:eastAsia="zh-CN" w:bidi="ar-SA"/>
              </w:rPr>
              <w:t>由表</w:t>
            </w:r>
            <w:r>
              <w:rPr>
                <w:rFonts w:hint="eastAsia" w:ascii="Times New Roman" w:hAnsi="Times New Roman" w:eastAsia="宋体" w:cs="Times New Roman"/>
                <w:bCs/>
                <w:color w:val="auto"/>
                <w:kern w:val="2"/>
                <w:sz w:val="24"/>
                <w:szCs w:val="24"/>
                <w:lang w:val="en-US" w:eastAsia="zh-CN" w:bidi="ar-SA"/>
              </w:rPr>
              <w:t>3.1</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可知，评价区域现状监测点特征因子浓度值均能满足</w:t>
            </w:r>
            <w:r>
              <w:rPr>
                <w:rFonts w:hint="eastAsia" w:ascii="Times New Roman" w:hAnsi="Times New Roman" w:eastAsia="宋体" w:cs="Times New Roman"/>
                <w:bCs/>
                <w:color w:val="auto"/>
                <w:kern w:val="2"/>
                <w:sz w:val="24"/>
                <w:szCs w:val="24"/>
                <w:lang w:val="en-US" w:eastAsia="zh-CN" w:bidi="ar-SA"/>
              </w:rPr>
              <w:t>相关标准限值</w:t>
            </w:r>
            <w:r>
              <w:rPr>
                <w:rFonts w:hint="default" w:ascii="Times New Roman" w:hAnsi="Times New Roman" w:eastAsia="宋体" w:cs="宋体"/>
                <w:color w:val="auto"/>
                <w:lang w:val="en-US" w:eastAsia="zh-CN"/>
              </w:rPr>
              <w:t>。</w:t>
            </w:r>
          </w:p>
          <w:p w14:paraId="23BCA067">
            <w:pPr>
              <w:keepNext w:val="0"/>
              <w:keepLines w:val="0"/>
              <w:pageBreakBefore w:val="0"/>
              <w:widowControl/>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评价结果表明，根据基本污染源</w:t>
            </w:r>
            <w:r>
              <w:rPr>
                <w:rFonts w:hint="eastAsia" w:cs="宋体"/>
                <w:color w:val="auto"/>
                <w:lang w:val="en-US" w:eastAsia="zh-CN"/>
              </w:rPr>
              <w:t>2023</w:t>
            </w:r>
            <w:r>
              <w:rPr>
                <w:rFonts w:hint="default" w:ascii="Times New Roman" w:hAnsi="Times New Roman" w:eastAsia="宋体" w:cs="宋体"/>
                <w:color w:val="auto"/>
                <w:lang w:val="en-US" w:eastAsia="zh-CN"/>
              </w:rPr>
              <w:t>年</w:t>
            </w:r>
            <w:r>
              <w:rPr>
                <w:rFonts w:hint="eastAsia" w:cs="Times New Roman"/>
                <w:color w:val="auto"/>
                <w:sz w:val="24"/>
                <w:szCs w:val="24"/>
                <w:lang w:val="en-US" w:eastAsia="zh-CN"/>
              </w:rPr>
              <w:t>阜康</w:t>
            </w:r>
            <w:r>
              <w:rPr>
                <w:rFonts w:hint="eastAsia" w:cs="宋体"/>
                <w:color w:val="auto"/>
                <w:lang w:val="en-US" w:eastAsia="zh-CN"/>
              </w:rPr>
              <w:t>市</w:t>
            </w:r>
            <w:r>
              <w:rPr>
                <w:rFonts w:hint="default" w:ascii="Times New Roman" w:hAnsi="Times New Roman" w:eastAsia="宋体" w:cs="宋体"/>
                <w:color w:val="auto"/>
                <w:lang w:val="en-US" w:eastAsia="zh-CN"/>
              </w:rPr>
              <w:t>空气质量监测数据</w:t>
            </w:r>
            <w:r>
              <w:rPr>
                <w:rFonts w:hint="eastAsia" w:ascii="Times New Roman" w:hAnsi="Times New Roman" w:eastAsia="宋体" w:cs="宋体"/>
                <w:color w:val="auto"/>
                <w:lang w:val="en-US" w:eastAsia="zh-CN"/>
              </w:rPr>
              <w:t>中</w:t>
            </w:r>
            <w:r>
              <w:rPr>
                <w:rFonts w:hint="eastAsia" w:ascii="Times New Roman" w:hAnsi="Times New Roman" w:eastAsia="宋体" w:cs="Times New Roman"/>
                <w:color w:val="auto"/>
                <w:kern w:val="2"/>
                <w:szCs w:val="24"/>
              </w:rPr>
              <w:t>PM</w:t>
            </w:r>
            <w:r>
              <w:rPr>
                <w:rFonts w:hint="eastAsia" w:ascii="Times New Roman" w:hAnsi="Times New Roman" w:eastAsia="宋体" w:cs="Times New Roman"/>
                <w:color w:val="auto"/>
                <w:kern w:val="2"/>
                <w:szCs w:val="24"/>
                <w:vertAlign w:val="subscript"/>
              </w:rPr>
              <w:t>2.5</w:t>
            </w:r>
            <w:r>
              <w:rPr>
                <w:rFonts w:hint="eastAsia" w:ascii="Times New Roman" w:hAnsi="Times New Roman" w:eastAsia="宋体" w:cs="Times New Roman"/>
                <w:color w:val="auto"/>
                <w:kern w:val="2"/>
                <w:szCs w:val="24"/>
              </w:rPr>
              <w:t>超标，</w:t>
            </w:r>
            <w:r>
              <w:rPr>
                <w:rFonts w:ascii="Times New Roman" w:hAnsi="Times New Roman" w:eastAsia="宋体" w:cs="Times New Roman"/>
                <w:color w:val="auto"/>
                <w:kern w:val="2"/>
                <w:szCs w:val="24"/>
              </w:rPr>
              <w:t>为</w:t>
            </w:r>
            <w:r>
              <w:rPr>
                <w:rFonts w:hint="eastAsia" w:ascii="Times New Roman" w:hAnsi="Times New Roman" w:eastAsia="宋体" w:cs="Times New Roman"/>
                <w:color w:val="auto"/>
                <w:kern w:val="2"/>
                <w:szCs w:val="24"/>
              </w:rPr>
              <w:t>空气质量非</w:t>
            </w:r>
            <w:r>
              <w:rPr>
                <w:rFonts w:ascii="Times New Roman" w:hAnsi="Times New Roman" w:eastAsia="宋体" w:cs="Times New Roman"/>
                <w:color w:val="auto"/>
                <w:kern w:val="2"/>
                <w:szCs w:val="24"/>
              </w:rPr>
              <w:t>达标区</w:t>
            </w:r>
            <w:r>
              <w:rPr>
                <w:rFonts w:hint="default" w:ascii="Times New Roman" w:hAnsi="Times New Roman" w:eastAsia="宋体" w:cs="宋体"/>
                <w:color w:val="auto"/>
                <w:lang w:val="en-US" w:eastAsia="zh-CN"/>
              </w:rPr>
              <w:t>，特征污染物均达标。</w:t>
            </w:r>
          </w:p>
          <w:p w14:paraId="7AB1ECBF">
            <w:pPr>
              <w:overflowPunct w:val="0"/>
              <w:autoSpaceDE w:val="0"/>
              <w:autoSpaceDN w:val="0"/>
              <w:adjustRightInd w:val="0"/>
              <w:snapToGrid w:val="0"/>
              <w:spacing w:line="360" w:lineRule="auto"/>
              <w:jc w:val="left"/>
              <w:outlineLvl w:val="1"/>
              <w:rPr>
                <w:rFonts w:ascii="Times New Roman" w:hAnsi="Times New Roman" w:eastAsia="宋体" w:cs="黑体"/>
                <w:b/>
                <w:color w:val="auto"/>
                <w:sz w:val="28"/>
                <w:szCs w:val="30"/>
              </w:rPr>
            </w:pPr>
            <w:r>
              <w:rPr>
                <w:rFonts w:hint="eastAsia" w:cs="黑体"/>
                <w:b/>
                <w:color w:val="auto"/>
                <w:sz w:val="28"/>
                <w:szCs w:val="30"/>
                <w:lang w:val="en-US" w:eastAsia="zh-CN"/>
              </w:rPr>
              <w:t>2、</w:t>
            </w:r>
            <w:r>
              <w:rPr>
                <w:rFonts w:ascii="Times New Roman" w:hAnsi="Times New Roman" w:eastAsia="宋体" w:cs="黑体"/>
                <w:b/>
                <w:color w:val="auto"/>
                <w:sz w:val="28"/>
                <w:szCs w:val="30"/>
              </w:rPr>
              <w:t>水环境质量现状调查与评价</w:t>
            </w:r>
          </w:p>
          <w:p w14:paraId="5BBD9149">
            <w:pPr>
              <w:overflowPunct w:val="0"/>
              <w:autoSpaceDE w:val="0"/>
              <w:autoSpaceDN w:val="0"/>
              <w:bidi w:val="0"/>
              <w:adjustRightInd w:val="0"/>
              <w:snapToGrid w:val="0"/>
              <w:spacing w:before="0" w:after="0" w:line="360" w:lineRule="auto"/>
              <w:ind w:left="0" w:leftChars="0" w:right="0" w:firstLine="480" w:firstLineChars="200"/>
              <w:jc w:val="left"/>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（1）地表水</w:t>
            </w:r>
          </w:p>
          <w:p w14:paraId="12B0DE5A">
            <w:pPr>
              <w:widowControl/>
              <w:spacing w:line="360" w:lineRule="auto"/>
              <w:ind w:firstLine="480" w:firstLineChars="200"/>
              <w:jc w:val="left"/>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根据</w:t>
            </w:r>
            <w:r>
              <w:rPr>
                <w:rFonts w:hint="eastAsia" w:ascii="Times New Roman" w:hAnsi="Times New Roman" w:eastAsia="宋体" w:cs="宋体"/>
                <w:color w:val="auto"/>
              </w:rPr>
              <w:t>《建设项目环境影响报告表编制技术指南》（污染影响类）</w:t>
            </w:r>
            <w:r>
              <w:rPr>
                <w:rFonts w:hint="eastAsia" w:ascii="Times New Roman" w:hAnsi="Times New Roman" w:eastAsia="宋体" w:cs="宋体"/>
                <w:color w:val="auto"/>
                <w:lang w:eastAsia="zh-CN"/>
              </w:rPr>
              <w:t>，</w:t>
            </w:r>
            <w:r>
              <w:rPr>
                <w:rFonts w:hint="eastAsia" w:ascii="Times New Roman" w:hAnsi="Times New Roman" w:eastAsia="宋体" w:cs="宋体"/>
                <w:color w:val="auto"/>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宋体"/>
                <w:color w:val="auto"/>
                <w:lang w:eastAsia="zh-CN"/>
              </w:rPr>
              <w:t>。</w:t>
            </w:r>
          </w:p>
          <w:p w14:paraId="4451E44F">
            <w:pPr>
              <w:widowControl/>
              <w:spacing w:line="360" w:lineRule="auto"/>
              <w:ind w:firstLine="480" w:firstLineChars="200"/>
              <w:jc w:val="left"/>
              <w:rPr>
                <w:rFonts w:hint="eastAsia" w:ascii="Times New Roman" w:hAnsi="Times New Roman" w:cs="宋体"/>
                <w:color w:val="auto"/>
                <w:lang w:val="en-US" w:eastAsia="zh-CN"/>
              </w:rPr>
            </w:pPr>
            <w:r>
              <w:rPr>
                <w:rFonts w:hint="eastAsia" w:ascii="Times New Roman" w:hAnsi="Times New Roman" w:eastAsia="宋体" w:cs="宋体"/>
                <w:color w:val="auto"/>
                <w:lang w:val="en-US" w:eastAsia="zh-CN"/>
              </w:rPr>
              <w:t>根据</w:t>
            </w:r>
            <w:r>
              <w:rPr>
                <w:rFonts w:hint="eastAsia" w:cs="宋体"/>
                <w:color w:val="auto"/>
                <w:lang w:val="en-US" w:eastAsia="zh-CN"/>
              </w:rPr>
              <w:t>2023</w:t>
            </w:r>
            <w:r>
              <w:rPr>
                <w:rFonts w:hint="eastAsia" w:ascii="Times New Roman" w:hAnsi="Times New Roman" w:eastAsia="宋体" w:cs="宋体"/>
                <w:color w:val="auto"/>
                <w:lang w:val="en-US" w:eastAsia="zh-CN"/>
              </w:rPr>
              <w:t>年</w:t>
            </w:r>
            <w:r>
              <w:rPr>
                <w:rFonts w:hint="eastAsia" w:cs="宋体"/>
                <w:color w:val="auto"/>
                <w:lang w:val="en-US" w:eastAsia="zh-CN"/>
              </w:rPr>
              <w:t>2月昌吉州集中式生活饮用水水源地水质监测结果</w:t>
            </w:r>
            <w:r>
              <w:rPr>
                <w:rFonts w:hint="eastAsia" w:ascii="Times New Roman" w:hAnsi="Times New Roman" w:eastAsia="宋体" w:cs="宋体"/>
                <w:color w:val="auto"/>
                <w:lang w:val="en-US" w:eastAsia="zh-CN"/>
              </w:rPr>
              <w:t>，对阜康市水磨河水源地展开监测，监测点位如下：</w:t>
            </w:r>
          </w:p>
          <w:p w14:paraId="5AFE5655">
            <w:pPr>
              <w:spacing w:line="360" w:lineRule="auto"/>
              <w:jc w:val="center"/>
              <w:rPr>
                <w:rFonts w:ascii="Times New Roman" w:hAnsi="Times New Roman" w:eastAsia="宋体" w:cs="宋体"/>
                <w:b/>
                <w:bCs/>
                <w:color w:val="auto"/>
              </w:rPr>
            </w:pPr>
            <w:r>
              <w:rPr>
                <w:rFonts w:ascii="Times New Roman" w:hAnsi="Times New Roman" w:eastAsia="宋体" w:cs="宋体"/>
                <w:b/>
                <w:bCs/>
                <w:color w:val="auto"/>
              </w:rPr>
              <w:t>表</w:t>
            </w:r>
            <w:r>
              <w:rPr>
                <w:rFonts w:hint="eastAsia" w:ascii="Times New Roman" w:hAnsi="Times New Roman" w:eastAsia="宋体" w:cs="宋体"/>
                <w:b/>
                <w:bCs/>
                <w:color w:val="auto"/>
              </w:rPr>
              <w:t>3.</w:t>
            </w:r>
            <w:r>
              <w:rPr>
                <w:rFonts w:hint="eastAsia" w:ascii="Times New Roman" w:hAnsi="Times New Roman" w:eastAsia="宋体" w:cs="宋体"/>
                <w:b/>
                <w:bCs/>
                <w:color w:val="auto"/>
                <w:lang w:val="en-US" w:eastAsia="zh-CN"/>
              </w:rPr>
              <w:t>2</w:t>
            </w:r>
            <w:r>
              <w:rPr>
                <w:rFonts w:hint="eastAsia" w:ascii="Times New Roman" w:hAnsi="Times New Roman" w:eastAsia="宋体" w:cs="宋体"/>
                <w:b/>
                <w:bCs/>
                <w:color w:val="auto"/>
              </w:rPr>
              <w:t>-1</w:t>
            </w:r>
            <w:r>
              <w:rPr>
                <w:rFonts w:hint="eastAsia" w:ascii="Times New Roman" w:hAnsi="Times New Roman" w:eastAsia="宋体" w:cs="宋体"/>
                <w:b/>
                <w:bCs/>
                <w:color w:val="auto"/>
                <w:lang w:val="en-US" w:eastAsia="zh-CN"/>
              </w:rPr>
              <w:t xml:space="preserve">  监测点位表</w:t>
            </w:r>
            <w:r>
              <w:rPr>
                <w:rFonts w:hint="eastAsia" w:ascii="Times New Roman" w:hAnsi="Times New Roman" w:eastAsia="宋体" w:cs="宋体"/>
                <w:b/>
                <w:bCs/>
                <w:color w:val="auto"/>
              </w:rPr>
              <w:t xml:space="preserve">  </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154"/>
              <w:gridCol w:w="3190"/>
              <w:gridCol w:w="1718"/>
              <w:gridCol w:w="1563"/>
            </w:tblGrid>
            <w:tr w14:paraId="6D391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60" w:type="dxa"/>
                  <w:vMerge w:val="restart"/>
                  <w:vAlign w:val="center"/>
                </w:tcPr>
                <w:p w14:paraId="6404A19A">
                  <w:pPr>
                    <w:kinsoku w:val="0"/>
                    <w:overflowPunct w:val="0"/>
                    <w:autoSpaceDE w:val="0"/>
                    <w:autoSpaceDN w:val="0"/>
                    <w:jc w:val="center"/>
                    <w:rPr>
                      <w:rFonts w:hint="eastAsia" w:ascii="Times New Roman" w:hAnsi="Times New Roman" w:eastAsia="宋体" w:cs="宋体"/>
                      <w:b/>
                      <w:bCs/>
                      <w:color w:val="auto"/>
                      <w:sz w:val="21"/>
                      <w:szCs w:val="21"/>
                      <w:lang w:eastAsia="zh-CN"/>
                    </w:rPr>
                  </w:pPr>
                  <w:r>
                    <w:rPr>
                      <w:rFonts w:hint="eastAsia" w:ascii="Times New Roman" w:hAnsi="Times New Roman" w:eastAsia="宋体" w:cs="宋体"/>
                      <w:b/>
                      <w:bCs/>
                      <w:color w:val="auto"/>
                      <w:sz w:val="21"/>
                      <w:szCs w:val="21"/>
                      <w:lang w:val="en-US" w:eastAsia="zh-CN"/>
                    </w:rPr>
                    <w:t>水体名称</w:t>
                  </w:r>
                </w:p>
              </w:tc>
              <w:tc>
                <w:tcPr>
                  <w:tcW w:w="998" w:type="dxa"/>
                  <w:vMerge w:val="restart"/>
                  <w:vAlign w:val="center"/>
                </w:tcPr>
                <w:p w14:paraId="73024145">
                  <w:pPr>
                    <w:kinsoku w:val="0"/>
                    <w:overflowPunct w:val="0"/>
                    <w:autoSpaceDE w:val="0"/>
                    <w:autoSpaceDN w:val="0"/>
                    <w:jc w:val="center"/>
                    <w:rPr>
                      <w:rFonts w:hint="eastAsia" w:ascii="Times New Roman" w:hAnsi="Times New Roman" w:eastAsia="宋体" w:cs="宋体"/>
                      <w:b/>
                      <w:bCs/>
                      <w:color w:val="auto"/>
                      <w:sz w:val="21"/>
                      <w:szCs w:val="21"/>
                      <w:lang w:eastAsia="zh-CN"/>
                    </w:rPr>
                  </w:pPr>
                  <w:r>
                    <w:rPr>
                      <w:rFonts w:hint="eastAsia" w:cs="宋体"/>
                      <w:b/>
                      <w:bCs/>
                      <w:color w:val="auto"/>
                      <w:sz w:val="21"/>
                      <w:szCs w:val="21"/>
                      <w:lang w:val="en-US" w:eastAsia="zh-CN"/>
                    </w:rPr>
                    <w:t>水源类型</w:t>
                  </w:r>
                </w:p>
              </w:tc>
              <w:tc>
                <w:tcPr>
                  <w:tcW w:w="2758" w:type="dxa"/>
                  <w:vMerge w:val="restart"/>
                  <w:vAlign w:val="center"/>
                </w:tcPr>
                <w:p w14:paraId="4F79785A">
                  <w:pPr>
                    <w:kinsoku w:val="0"/>
                    <w:overflowPunct w:val="0"/>
                    <w:autoSpaceDE w:val="0"/>
                    <w:autoSpaceDN w:val="0"/>
                    <w:jc w:val="center"/>
                    <w:rPr>
                      <w:rFonts w:hint="eastAsia" w:ascii="Times New Roman" w:hAnsi="Times New Roman" w:eastAsia="宋体" w:cs="宋体"/>
                      <w:b/>
                      <w:bCs/>
                      <w:color w:val="auto"/>
                      <w:sz w:val="21"/>
                      <w:szCs w:val="21"/>
                      <w:lang w:eastAsia="zh-CN"/>
                    </w:rPr>
                  </w:pPr>
                  <w:r>
                    <w:rPr>
                      <w:rFonts w:hint="eastAsia" w:ascii="Times New Roman" w:hAnsi="Times New Roman" w:eastAsia="宋体" w:cs="宋体"/>
                      <w:b/>
                      <w:bCs/>
                      <w:color w:val="auto"/>
                      <w:sz w:val="21"/>
                      <w:szCs w:val="21"/>
                      <w:lang w:val="en-US" w:eastAsia="zh-CN"/>
                    </w:rPr>
                    <w:t>监测项目</w:t>
                  </w:r>
                </w:p>
              </w:tc>
              <w:tc>
                <w:tcPr>
                  <w:tcW w:w="2836" w:type="dxa"/>
                  <w:gridSpan w:val="2"/>
                  <w:vAlign w:val="center"/>
                </w:tcPr>
                <w:p w14:paraId="451D7EBE">
                  <w:pPr>
                    <w:kinsoku w:val="0"/>
                    <w:overflowPunct w:val="0"/>
                    <w:autoSpaceDE w:val="0"/>
                    <w:autoSpaceDN w:val="0"/>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lang w:val="en-US" w:eastAsia="zh-CN"/>
                    </w:rPr>
                    <w:t>坐标</w:t>
                  </w:r>
                </w:p>
              </w:tc>
            </w:tr>
            <w:tr w14:paraId="06ED1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60" w:type="dxa"/>
                  <w:vMerge w:val="continue"/>
                  <w:vAlign w:val="center"/>
                </w:tcPr>
                <w:p w14:paraId="3CCA5B79">
                  <w:pPr>
                    <w:kinsoku w:val="0"/>
                    <w:overflowPunct w:val="0"/>
                    <w:autoSpaceDE w:val="0"/>
                    <w:autoSpaceDN w:val="0"/>
                    <w:jc w:val="center"/>
                    <w:rPr>
                      <w:color w:val="auto"/>
                    </w:rPr>
                  </w:pPr>
                </w:p>
              </w:tc>
              <w:tc>
                <w:tcPr>
                  <w:tcW w:w="998" w:type="dxa"/>
                  <w:vMerge w:val="continue"/>
                  <w:vAlign w:val="center"/>
                </w:tcPr>
                <w:p w14:paraId="20B7BFAB">
                  <w:pPr>
                    <w:kinsoku w:val="0"/>
                    <w:overflowPunct w:val="0"/>
                    <w:autoSpaceDE w:val="0"/>
                    <w:autoSpaceDN w:val="0"/>
                    <w:jc w:val="center"/>
                    <w:rPr>
                      <w:color w:val="auto"/>
                    </w:rPr>
                  </w:pPr>
                </w:p>
              </w:tc>
              <w:tc>
                <w:tcPr>
                  <w:tcW w:w="2758" w:type="dxa"/>
                  <w:vMerge w:val="continue"/>
                  <w:vAlign w:val="center"/>
                </w:tcPr>
                <w:p w14:paraId="4F657996">
                  <w:pPr>
                    <w:kinsoku w:val="0"/>
                    <w:overflowPunct w:val="0"/>
                    <w:autoSpaceDE w:val="0"/>
                    <w:autoSpaceDN w:val="0"/>
                    <w:jc w:val="center"/>
                    <w:rPr>
                      <w:color w:val="auto"/>
                    </w:rPr>
                  </w:pPr>
                </w:p>
              </w:tc>
              <w:tc>
                <w:tcPr>
                  <w:tcW w:w="1485" w:type="dxa"/>
                  <w:vAlign w:val="center"/>
                </w:tcPr>
                <w:p w14:paraId="1EF6B0C8">
                  <w:pPr>
                    <w:kinsoku w:val="0"/>
                    <w:overflowPunct w:val="0"/>
                    <w:autoSpaceDE w:val="0"/>
                    <w:autoSpaceDN w:val="0"/>
                    <w:jc w:val="center"/>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经度</w:t>
                  </w:r>
                </w:p>
              </w:tc>
              <w:tc>
                <w:tcPr>
                  <w:tcW w:w="1351" w:type="dxa"/>
                  <w:vAlign w:val="center"/>
                </w:tcPr>
                <w:p w14:paraId="5219D934">
                  <w:pPr>
                    <w:kinsoku w:val="0"/>
                    <w:overflowPunct w:val="0"/>
                    <w:autoSpaceDE w:val="0"/>
                    <w:autoSpaceDN w:val="0"/>
                    <w:jc w:val="center"/>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维度</w:t>
                  </w:r>
                </w:p>
              </w:tc>
            </w:tr>
            <w:tr w14:paraId="40BAA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0" w:type="dxa"/>
                  <w:vAlign w:val="center"/>
                </w:tcPr>
                <w:p w14:paraId="64009017">
                  <w:pPr>
                    <w:adjustRightInd w:val="0"/>
                    <w:spacing w:line="320" w:lineRule="atLeast"/>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阜康市水磨河水源地</w:t>
                  </w:r>
                </w:p>
              </w:tc>
              <w:tc>
                <w:tcPr>
                  <w:tcW w:w="998" w:type="dxa"/>
                  <w:vAlign w:val="center"/>
                </w:tcPr>
                <w:p w14:paraId="30B6E821">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河流型</w:t>
                  </w:r>
                </w:p>
              </w:tc>
              <w:tc>
                <w:tcPr>
                  <w:tcW w:w="2758" w:type="dxa"/>
                  <w:vAlign w:val="center"/>
                </w:tcPr>
                <w:p w14:paraId="7CBCC81B">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《地表水环境质量标准》（GB3838-2002）65项</w:t>
                  </w:r>
                </w:p>
              </w:tc>
              <w:tc>
                <w:tcPr>
                  <w:tcW w:w="1485" w:type="dxa"/>
                  <w:vAlign w:val="center"/>
                </w:tcPr>
                <w:p w14:paraId="0229735F">
                  <w:pPr>
                    <w:adjustRightInd w:val="0"/>
                    <w:spacing w:line="320" w:lineRule="atLeast"/>
                    <w:jc w:val="center"/>
                    <w:textAlignment w:val="baseline"/>
                    <w:rPr>
                      <w:rFonts w:hint="default" w:ascii="Times New Roman" w:hAnsi="Times New Roman" w:eastAsia="宋体" w:cs="Times New Roman"/>
                      <w:color w:val="auto"/>
                      <w:sz w:val="21"/>
                      <w:szCs w:val="21"/>
                    </w:rPr>
                  </w:pPr>
                </w:p>
              </w:tc>
              <w:tc>
                <w:tcPr>
                  <w:tcW w:w="1351" w:type="dxa"/>
                  <w:vAlign w:val="center"/>
                </w:tcPr>
                <w:p w14:paraId="0FF662B7">
                  <w:pPr>
                    <w:adjustRightInd w:val="0"/>
                    <w:spacing w:line="320" w:lineRule="atLeast"/>
                    <w:jc w:val="center"/>
                    <w:textAlignment w:val="baseline"/>
                    <w:rPr>
                      <w:rFonts w:ascii="Times New Roman" w:hAnsi="Times New Roman" w:eastAsia="宋体" w:cs="Times New Roman"/>
                      <w:color w:val="auto"/>
                      <w:sz w:val="21"/>
                      <w:szCs w:val="21"/>
                    </w:rPr>
                  </w:pPr>
                </w:p>
              </w:tc>
            </w:tr>
          </w:tbl>
          <w:p w14:paraId="752F527F">
            <w:pPr>
              <w:widowControl/>
              <w:spacing w:line="360" w:lineRule="auto"/>
              <w:ind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阜康市水磨河水源地</w:t>
            </w:r>
            <w:r>
              <w:rPr>
                <w:rFonts w:hint="default" w:ascii="Times New Roman" w:hAnsi="Times New Roman" w:eastAsia="宋体" w:cs="Times New Roman"/>
                <w:color w:val="auto"/>
                <w:lang w:val="en-US" w:eastAsia="zh-CN"/>
              </w:rPr>
              <w:t>按照《地表水环境质量标准》（GB3838-2002）中Ⅰ类标准</w:t>
            </w:r>
            <w:r>
              <w:rPr>
                <w:rFonts w:hint="eastAsia" w:ascii="Times New Roman" w:hAnsi="Times New Roman" w:eastAsia="宋体" w:cs="宋体"/>
                <w:color w:val="auto"/>
                <w:lang w:val="en-US" w:eastAsia="zh-CN"/>
              </w:rPr>
              <w:t>，参与评价的</w:t>
            </w:r>
            <w:r>
              <w:rPr>
                <w:rFonts w:hint="eastAsia" w:cs="宋体"/>
                <w:color w:val="auto"/>
                <w:lang w:val="en-US" w:eastAsia="zh-CN"/>
              </w:rPr>
              <w:t>65</w:t>
            </w:r>
            <w:r>
              <w:rPr>
                <w:rFonts w:hint="eastAsia" w:ascii="Times New Roman" w:hAnsi="Times New Roman" w:eastAsia="宋体" w:cs="宋体"/>
                <w:color w:val="auto"/>
                <w:lang w:val="en-US" w:eastAsia="zh-CN"/>
              </w:rPr>
              <w:t>个项目全部达到该功能区水质要求，水质状况</w:t>
            </w:r>
            <w:r>
              <w:rPr>
                <w:rFonts w:hint="eastAsia" w:cs="宋体"/>
                <w:color w:val="auto"/>
                <w:lang w:val="en-US" w:eastAsia="zh-CN"/>
              </w:rPr>
              <w:t>良好</w:t>
            </w:r>
            <w:r>
              <w:rPr>
                <w:rFonts w:hint="eastAsia" w:ascii="Times New Roman" w:hAnsi="Times New Roman" w:eastAsia="宋体" w:cs="宋体"/>
                <w:color w:val="auto"/>
                <w:lang w:val="en-US" w:eastAsia="zh-CN"/>
              </w:rPr>
              <w:t>。</w:t>
            </w:r>
          </w:p>
          <w:p w14:paraId="17ACF1FC">
            <w:pPr>
              <w:widowControl/>
              <w:spacing w:line="360" w:lineRule="auto"/>
              <w:ind w:firstLine="480" w:firstLineChars="20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w:t>
            </w:r>
            <w:r>
              <w:rPr>
                <w:rFonts w:hint="eastAsia" w:cs="Times New Roman"/>
                <w:color w:val="auto"/>
                <w:lang w:val="en-US" w:eastAsia="zh-CN"/>
              </w:rPr>
              <w:t>无生产废水产生，</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排入园区管网</w:t>
            </w:r>
            <w:r>
              <w:rPr>
                <w:rFonts w:hint="eastAsia" w:ascii="Times New Roman" w:hAnsi="Times New Roman" w:eastAsia="宋体" w:cs="Times New Roman"/>
                <w:color w:val="auto"/>
                <w:lang w:val="en-US" w:eastAsia="zh-CN"/>
              </w:rPr>
              <w:t>，与地表水体无水力联系。</w:t>
            </w:r>
          </w:p>
          <w:p w14:paraId="3AB2BEDD">
            <w:pPr>
              <w:overflowPunct w:val="0"/>
              <w:autoSpaceDE w:val="0"/>
              <w:autoSpaceDN w:val="0"/>
              <w:adjustRightInd w:val="0"/>
              <w:snapToGrid w:val="0"/>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（2）地下水</w:t>
            </w:r>
          </w:p>
          <w:p w14:paraId="71A122F5">
            <w:pPr>
              <w:overflowPunct w:val="0"/>
              <w:autoSpaceDE w:val="0"/>
              <w:autoSpaceDN w:val="0"/>
              <w:bidi w:val="0"/>
              <w:adjustRightInd w:val="0"/>
              <w:snapToGrid w:val="0"/>
              <w:spacing w:before="0" w:after="0" w:line="360" w:lineRule="auto"/>
              <w:ind w:left="0" w:right="0" w:firstLine="480" w:firstLineChars="200"/>
              <w:jc w:val="both"/>
              <w:rPr>
                <w:rFonts w:ascii="Times New Roman" w:hAnsi="Times New Roman" w:eastAsia="宋体" w:cs="Times New Roman"/>
                <w:color w:val="auto"/>
                <w:kern w:val="2"/>
                <w:szCs w:val="21"/>
              </w:rPr>
            </w:pPr>
            <w:r>
              <w:rPr>
                <w:rFonts w:hint="eastAsia" w:ascii="Times New Roman" w:hAnsi="Times New Roman" w:eastAsia="宋体" w:cs="宋体"/>
                <w:color w:val="auto"/>
                <w:lang w:val="en-US" w:eastAsia="zh-CN"/>
              </w:rPr>
              <w:t>根据《建设项目环境影响报告表编制技术指南（污染影响类）（试行）》，建设项目不存在地下水环境污染途径，原则上不开展地下水环境质量现状调查。</w:t>
            </w:r>
            <w:r>
              <w:rPr>
                <w:rFonts w:hint="eastAsia"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sz w:val="24"/>
                <w:szCs w:val="24"/>
                <w:lang w:val="en-US" w:eastAsia="zh-CN" w:bidi="ar-SA"/>
              </w:rPr>
              <w:t>采取分区防渗处理</w:t>
            </w:r>
            <w:r>
              <w:rPr>
                <w:rFonts w:hint="eastAsia" w:cs="Times New Roman"/>
                <w:color w:val="auto"/>
                <w:sz w:val="24"/>
                <w:szCs w:val="24"/>
                <w:lang w:val="en-US" w:eastAsia="zh-CN" w:bidi="ar-SA"/>
              </w:rPr>
              <w:t>，</w:t>
            </w:r>
            <w:r>
              <w:rPr>
                <w:rFonts w:hint="eastAsia" w:cs="Times New Roman"/>
                <w:color w:val="auto"/>
                <w:kern w:val="2"/>
                <w:sz w:val="24"/>
                <w:szCs w:val="20"/>
                <w:highlight w:val="none"/>
                <w:lang w:val="en-US" w:eastAsia="zh-CN"/>
              </w:rPr>
              <w:t>危废库</w:t>
            </w:r>
            <w:r>
              <w:rPr>
                <w:rFonts w:hint="eastAsia" w:cs="Times New Roman"/>
                <w:color w:val="auto"/>
                <w:sz w:val="24"/>
                <w:szCs w:val="24"/>
                <w:lang w:val="en-US" w:eastAsia="zh-CN" w:bidi="ar-SA"/>
              </w:rPr>
              <w:t>做重点防渗处理</w:t>
            </w:r>
            <w:r>
              <w:rPr>
                <w:rFonts w:hint="eastAsia" w:ascii="Times New Roman" w:hAnsi="Times New Roman" w:cs="Times New Roman"/>
                <w:color w:val="auto"/>
                <w:sz w:val="24"/>
                <w:szCs w:val="24"/>
                <w:lang w:val="en-US" w:eastAsia="zh-CN" w:bidi="ar-SA"/>
              </w:rPr>
              <w:t>，防渗系数达到1×10</w:t>
            </w:r>
            <w:r>
              <w:rPr>
                <w:rFonts w:hint="eastAsia" w:ascii="Times New Roman" w:hAnsi="Times New Roman" w:cs="Times New Roman"/>
                <w:color w:val="auto"/>
                <w:sz w:val="24"/>
                <w:szCs w:val="24"/>
                <w:vertAlign w:val="superscript"/>
                <w:lang w:val="en-US" w:eastAsia="zh-CN" w:bidi="ar-SA"/>
              </w:rPr>
              <w:t>-7</w:t>
            </w:r>
            <w:r>
              <w:rPr>
                <w:rFonts w:hint="eastAsia" w:ascii="Times New Roman" w:hAnsi="Times New Roman" w:cs="Times New Roman"/>
                <w:color w:val="auto"/>
                <w:sz w:val="24"/>
                <w:szCs w:val="24"/>
                <w:lang w:val="en-US" w:eastAsia="zh-CN" w:bidi="ar-SA"/>
              </w:rPr>
              <w:t>cm/s</w:t>
            </w:r>
            <w:r>
              <w:rPr>
                <w:rFonts w:hint="eastAsia" w:cs="Times New Roman"/>
                <w:color w:val="auto"/>
                <w:sz w:val="24"/>
                <w:szCs w:val="24"/>
                <w:lang w:val="en-US" w:eastAsia="zh-CN" w:bidi="ar-SA"/>
              </w:rPr>
              <w:t>，目前租赁的车间已完成基础硬化</w:t>
            </w:r>
            <w:r>
              <w:rPr>
                <w:rFonts w:hint="eastAsia" w:ascii="Times New Roman" w:hAnsi="Times New Roman" w:cs="Times New Roman"/>
                <w:color w:val="auto"/>
                <w:sz w:val="24"/>
                <w:szCs w:val="24"/>
                <w:lang w:val="en-US" w:eastAsia="zh-CN" w:bidi="ar-SA"/>
              </w:rPr>
              <w:t>，不存在</w:t>
            </w:r>
            <w:r>
              <w:rPr>
                <w:rFonts w:hint="eastAsia" w:ascii="Times New Roman" w:hAnsi="Times New Roman" w:eastAsia="宋体" w:cs="宋体"/>
                <w:color w:val="auto"/>
              </w:rPr>
              <w:t>地下水</w:t>
            </w:r>
            <w:r>
              <w:rPr>
                <w:rFonts w:hint="eastAsia" w:ascii="Times New Roman" w:hAnsi="Times New Roman" w:eastAsia="宋体" w:cs="宋体"/>
                <w:color w:val="auto"/>
                <w:lang w:val="en-US" w:eastAsia="zh-CN"/>
              </w:rPr>
              <w:t>污染途径，因此，本项目不开展地下水环境影响评价</w:t>
            </w:r>
            <w:r>
              <w:rPr>
                <w:rFonts w:ascii="Times New Roman" w:hAnsi="Times New Roman" w:eastAsia="宋体" w:cs="Times New Roman"/>
                <w:color w:val="auto"/>
                <w:kern w:val="2"/>
                <w:szCs w:val="21"/>
              </w:rPr>
              <w:t>。</w:t>
            </w:r>
          </w:p>
          <w:p w14:paraId="00AF0218">
            <w:pPr>
              <w:overflowPunct w:val="0"/>
              <w:autoSpaceDE w:val="0"/>
              <w:autoSpaceDN w:val="0"/>
              <w:adjustRightInd w:val="0"/>
              <w:snapToGrid w:val="0"/>
              <w:spacing w:line="360" w:lineRule="auto"/>
              <w:jc w:val="left"/>
              <w:outlineLvl w:val="1"/>
              <w:rPr>
                <w:rFonts w:ascii="Times New Roman" w:hAnsi="Times New Roman" w:eastAsia="宋体" w:cs="黑体"/>
                <w:b/>
                <w:color w:val="auto"/>
                <w:sz w:val="28"/>
                <w:szCs w:val="30"/>
              </w:rPr>
            </w:pPr>
            <w:r>
              <w:rPr>
                <w:rFonts w:hint="eastAsia" w:cs="黑体"/>
                <w:b/>
                <w:color w:val="auto"/>
                <w:sz w:val="28"/>
                <w:szCs w:val="30"/>
                <w:lang w:val="en-US" w:eastAsia="zh-CN"/>
              </w:rPr>
              <w:t>3、</w:t>
            </w:r>
            <w:r>
              <w:rPr>
                <w:rFonts w:ascii="Times New Roman" w:hAnsi="Times New Roman" w:eastAsia="宋体" w:cs="黑体"/>
                <w:b/>
                <w:color w:val="auto"/>
                <w:sz w:val="28"/>
                <w:szCs w:val="30"/>
              </w:rPr>
              <w:t>声环境质量现状与评价</w:t>
            </w:r>
          </w:p>
          <w:p w14:paraId="12F25B07">
            <w:pPr>
              <w:overflowPunct w:val="0"/>
              <w:autoSpaceDE w:val="0"/>
              <w:autoSpaceDN w:val="0"/>
              <w:bidi w:val="0"/>
              <w:adjustRightInd w:val="0"/>
              <w:snapToGrid w:val="0"/>
              <w:spacing w:before="0" w:after="0" w:line="360" w:lineRule="auto"/>
              <w:ind w:left="0" w:right="0"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本项目属于《声环境质量标准》（GB 3096-2008）中的</w:t>
            </w:r>
            <w:r>
              <w:rPr>
                <w:rFonts w:hint="eastAsia" w:cs="Times New Roman"/>
                <w:b w:val="0"/>
                <w:bCs/>
                <w:color w:val="auto"/>
                <w:kern w:val="2"/>
                <w:sz w:val="24"/>
                <w:szCs w:val="24"/>
                <w:highlight w:val="none"/>
                <w:lang w:val="en-US" w:eastAsia="zh-CN" w:bidi="ar-SA"/>
              </w:rPr>
              <w:t>3</w:t>
            </w:r>
            <w:r>
              <w:rPr>
                <w:rFonts w:hint="eastAsia" w:ascii="Times New Roman" w:hAnsi="Times New Roman" w:eastAsia="宋体" w:cs="Times New Roman"/>
                <w:b w:val="0"/>
                <w:bCs/>
                <w:color w:val="auto"/>
                <w:kern w:val="2"/>
                <w:sz w:val="24"/>
                <w:szCs w:val="24"/>
                <w:highlight w:val="none"/>
                <w:lang w:val="en-US" w:eastAsia="zh-CN" w:bidi="ar-SA"/>
              </w:rPr>
              <w:t>类声功能区。根据《建设项目环境影响报告表编制技术指南》（污染影响类）中的“声环境”，本项目周边50m范围内没有声环境保护目标，故无需对环境敏感点进行声环境质量现状监测。</w:t>
            </w:r>
          </w:p>
          <w:p w14:paraId="784BC90C">
            <w:pPr>
              <w:keepNext/>
              <w:keepLines/>
              <w:overflowPunct w:val="0"/>
              <w:autoSpaceDE w:val="0"/>
              <w:autoSpaceDN w:val="0"/>
              <w:adjustRightInd w:val="0"/>
              <w:snapToGrid w:val="0"/>
              <w:spacing w:line="360" w:lineRule="auto"/>
              <w:jc w:val="left"/>
              <w:outlineLvl w:val="2"/>
              <w:rPr>
                <w:rFonts w:ascii="Times New Roman" w:hAnsi="Times New Roman" w:eastAsia="宋体" w:cs="Times New Roman"/>
                <w:color w:val="auto"/>
                <w:kern w:val="2"/>
                <w:szCs w:val="24"/>
              </w:rPr>
            </w:pPr>
            <w:r>
              <w:rPr>
                <w:rFonts w:hint="eastAsia" w:ascii="Times New Roman" w:hAnsi="Times New Roman" w:eastAsia="宋体" w:cs="宋体"/>
                <w:b/>
                <w:color w:val="auto"/>
                <w:sz w:val="28"/>
              </w:rPr>
              <w:t>4</w:t>
            </w:r>
            <w:r>
              <w:rPr>
                <w:rFonts w:hint="eastAsia" w:cs="宋体"/>
                <w:b/>
                <w:color w:val="auto"/>
                <w:sz w:val="28"/>
                <w:lang w:eastAsia="zh-CN"/>
              </w:rPr>
              <w:t>、</w:t>
            </w:r>
            <w:r>
              <w:rPr>
                <w:rFonts w:hint="eastAsia" w:ascii="Times New Roman" w:hAnsi="Times New Roman" w:eastAsia="宋体" w:cs="宋体"/>
                <w:b/>
                <w:color w:val="auto"/>
                <w:sz w:val="28"/>
              </w:rPr>
              <w:t>土壤环境质量现状</w:t>
            </w:r>
          </w:p>
          <w:p w14:paraId="69A88C2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Cs w:val="24"/>
                <w:lang w:eastAsia="zh-CN"/>
              </w:rPr>
            </w:pPr>
            <w:r>
              <w:rPr>
                <w:rFonts w:hint="eastAsia"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sz w:val="24"/>
                <w:szCs w:val="24"/>
                <w:lang w:val="en-US" w:eastAsia="zh-CN" w:bidi="ar-SA"/>
              </w:rPr>
              <w:t>采取分区防渗处理</w:t>
            </w:r>
            <w:r>
              <w:rPr>
                <w:rFonts w:hint="eastAsia" w:cs="Times New Roman"/>
                <w:color w:val="auto"/>
                <w:sz w:val="24"/>
                <w:szCs w:val="24"/>
                <w:lang w:val="en-US" w:eastAsia="zh-CN" w:bidi="ar-SA"/>
              </w:rPr>
              <w:t>，</w:t>
            </w:r>
            <w:r>
              <w:rPr>
                <w:rFonts w:hint="eastAsia" w:cs="Times New Roman"/>
                <w:color w:val="auto"/>
                <w:kern w:val="2"/>
                <w:sz w:val="24"/>
                <w:szCs w:val="20"/>
                <w:highlight w:val="none"/>
                <w:lang w:val="en-US" w:eastAsia="zh-CN"/>
              </w:rPr>
              <w:t>危废库</w:t>
            </w:r>
            <w:r>
              <w:rPr>
                <w:rFonts w:hint="eastAsia" w:cs="Times New Roman"/>
                <w:color w:val="auto"/>
                <w:sz w:val="24"/>
                <w:szCs w:val="24"/>
                <w:lang w:val="en-US" w:eastAsia="zh-CN" w:bidi="ar-SA"/>
              </w:rPr>
              <w:t>做重点防渗处理</w:t>
            </w:r>
            <w:r>
              <w:rPr>
                <w:rFonts w:hint="eastAsia" w:ascii="Times New Roman" w:hAnsi="Times New Roman" w:cs="Times New Roman"/>
                <w:color w:val="auto"/>
                <w:sz w:val="24"/>
                <w:szCs w:val="24"/>
                <w:lang w:val="en-US" w:eastAsia="zh-CN" w:bidi="ar-SA"/>
              </w:rPr>
              <w:t>，防渗系数达到1×10</w:t>
            </w:r>
            <w:r>
              <w:rPr>
                <w:rFonts w:hint="eastAsia" w:ascii="Times New Roman" w:hAnsi="Times New Roman" w:cs="Times New Roman"/>
                <w:color w:val="auto"/>
                <w:sz w:val="24"/>
                <w:szCs w:val="24"/>
                <w:vertAlign w:val="superscript"/>
                <w:lang w:val="en-US" w:eastAsia="zh-CN" w:bidi="ar-SA"/>
              </w:rPr>
              <w:t>-7</w:t>
            </w:r>
            <w:r>
              <w:rPr>
                <w:rFonts w:hint="eastAsia" w:ascii="Times New Roman" w:hAnsi="Times New Roman" w:cs="Times New Roman"/>
                <w:color w:val="auto"/>
                <w:sz w:val="24"/>
                <w:szCs w:val="24"/>
                <w:lang w:val="en-US" w:eastAsia="zh-CN" w:bidi="ar-SA"/>
              </w:rPr>
              <w:t>cm/s</w:t>
            </w:r>
            <w:r>
              <w:rPr>
                <w:rFonts w:hint="eastAsia" w:cs="Times New Roman"/>
                <w:color w:val="auto"/>
                <w:sz w:val="24"/>
                <w:szCs w:val="24"/>
                <w:lang w:val="en-US" w:eastAsia="zh-CN" w:bidi="ar-SA"/>
              </w:rPr>
              <w:t>，目前租赁车间已完成基础硬化</w:t>
            </w:r>
            <w:r>
              <w:rPr>
                <w:rFonts w:hint="eastAsia" w:ascii="Times New Roman" w:hAnsi="Times New Roman"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不存在土壤环境污染途径，</w:t>
            </w:r>
            <w:r>
              <w:rPr>
                <w:rFonts w:hint="eastAsia"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b w:val="0"/>
                <w:bCs/>
                <w:color w:val="auto"/>
                <w:kern w:val="2"/>
                <w:sz w:val="24"/>
                <w:szCs w:val="24"/>
                <w:highlight w:val="none"/>
                <w:lang w:val="en-US" w:eastAsia="zh-CN" w:bidi="ar-SA"/>
              </w:rPr>
              <w:t>《建设项目环境影响报告表编制技术指南》（污染影响类），原则上不开展环境质量现状调查。</w:t>
            </w:r>
          </w:p>
          <w:p w14:paraId="49ADC281">
            <w:pPr>
              <w:overflowPunct w:val="0"/>
              <w:autoSpaceDE w:val="0"/>
              <w:autoSpaceDN w:val="0"/>
              <w:adjustRightInd w:val="0"/>
              <w:snapToGrid w:val="0"/>
              <w:spacing w:line="360" w:lineRule="auto"/>
              <w:jc w:val="left"/>
              <w:outlineLvl w:val="1"/>
              <w:rPr>
                <w:rFonts w:ascii="Times New Roman" w:hAnsi="Times New Roman" w:eastAsia="宋体" w:cs="Times New Roman"/>
                <w:b/>
                <w:color w:val="auto"/>
                <w:szCs w:val="24"/>
              </w:rPr>
            </w:pPr>
            <w:r>
              <w:rPr>
                <w:rFonts w:hint="eastAsia" w:ascii="Times New Roman" w:hAnsi="Times New Roman" w:eastAsia="宋体" w:cs="黑体"/>
                <w:b/>
                <w:color w:val="auto"/>
                <w:sz w:val="28"/>
                <w:szCs w:val="30"/>
              </w:rPr>
              <w:t>5</w:t>
            </w:r>
            <w:r>
              <w:rPr>
                <w:rFonts w:hint="eastAsia" w:cs="黑体"/>
                <w:b/>
                <w:color w:val="auto"/>
                <w:sz w:val="28"/>
                <w:szCs w:val="30"/>
                <w:lang w:eastAsia="zh-CN"/>
              </w:rPr>
              <w:t>、</w:t>
            </w:r>
            <w:r>
              <w:rPr>
                <w:rFonts w:hint="eastAsia" w:ascii="Times New Roman" w:hAnsi="Times New Roman" w:eastAsia="宋体" w:cs="黑体"/>
                <w:b/>
                <w:color w:val="auto"/>
                <w:sz w:val="28"/>
                <w:szCs w:val="30"/>
              </w:rPr>
              <w:t>生态环境</w:t>
            </w:r>
          </w:p>
          <w:p w14:paraId="5AD17B5B">
            <w:pPr>
              <w:overflowPunct/>
              <w:autoSpaceDE/>
              <w:autoSpaceDN/>
              <w:bidi w:val="0"/>
              <w:adjustRightInd/>
              <w:snapToGrid/>
              <w:spacing w:before="0" w:after="0" w:line="360" w:lineRule="auto"/>
              <w:ind w:left="0" w:right="0"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根据</w:t>
            </w:r>
            <w:r>
              <w:rPr>
                <w:rFonts w:hint="eastAsia" w:ascii="Times New Roman" w:hAnsi="Times New Roman" w:eastAsia="宋体" w:cs="宋体"/>
                <w:color w:val="auto"/>
                <w:lang w:val="en-US" w:eastAsia="zh-CN"/>
              </w:rPr>
              <w:t>《建设项目环境影响报告表编制技术指南（污染影响类）（试行）》产业园区外建设项目新增用地且用地范围内含有生态环境保护目标时</w:t>
            </w:r>
            <w:r>
              <w:rPr>
                <w:rFonts w:hint="default" w:ascii="Times New Roman" w:hAnsi="Times New Roman" w:eastAsia="宋体"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应进行生态现状调查</w:t>
            </w:r>
            <w:r>
              <w:rPr>
                <w:rFonts w:hint="default" w:ascii="Times New Roman" w:hAnsi="Times New Roman" w:eastAsia="宋体" w:cs="Times New Roman"/>
                <w:color w:val="auto"/>
                <w:kern w:val="2"/>
                <w:sz w:val="24"/>
                <w:szCs w:val="24"/>
                <w:lang w:eastAsia="zh-CN"/>
              </w:rPr>
              <w:t>。</w:t>
            </w:r>
          </w:p>
          <w:p w14:paraId="49537FB7">
            <w:pPr>
              <w:keepNext w:val="0"/>
              <w:keepLines w:val="0"/>
              <w:pageBreakBefore w:val="0"/>
              <w:wordWrap/>
              <w:overflowPunct w:val="0"/>
              <w:topLinePunct w:val="0"/>
              <w:autoSpaceDE/>
              <w:autoSpaceDN/>
              <w:bidi w:val="0"/>
              <w:adjustRightInd/>
              <w:snapToGrid/>
              <w:spacing w:before="0" w:after="0" w:line="360" w:lineRule="auto"/>
              <w:ind w:left="0" w:right="0" w:firstLine="480" w:firstLineChars="200"/>
              <w:jc w:val="both"/>
              <w:rPr>
                <w:rFonts w:ascii="Times New Roman" w:hAnsi="Times New Roman" w:eastAsia="宋体" w:cs="Times New Roman"/>
                <w:color w:val="auto"/>
                <w:kern w:val="2"/>
                <w:szCs w:val="24"/>
              </w:rPr>
            </w:pPr>
            <w:r>
              <w:rPr>
                <w:rFonts w:hint="eastAsia" w:ascii="Times New Roman" w:hAnsi="Times New Roman" w:eastAsia="宋体" w:cs="Times New Roman"/>
                <w:color w:val="auto"/>
                <w:sz w:val="24"/>
                <w:szCs w:val="24"/>
                <w:lang w:val="en-US" w:eastAsia="zh-CN"/>
              </w:rPr>
              <w:t>本项目位于</w:t>
            </w:r>
            <w:r>
              <w:rPr>
                <w:rFonts w:hint="eastAsia" w:ascii="Times New Roman" w:hAnsi="Times New Roman" w:eastAsia="宋体" w:cs="宋体"/>
                <w:color w:val="auto"/>
                <w:lang w:val="en-US" w:eastAsia="zh-CN"/>
              </w:rPr>
              <w:t>产业园区</w:t>
            </w:r>
            <w:r>
              <w:rPr>
                <w:rFonts w:hint="eastAsia" w:cs="宋体"/>
                <w:color w:val="auto"/>
                <w:lang w:val="en-US" w:eastAsia="zh-CN"/>
              </w:rPr>
              <w:t>内</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无新增用地，周边无生态保护目标</w:t>
            </w:r>
            <w:r>
              <w:rPr>
                <w:rFonts w:hint="eastAsia" w:ascii="Times New Roman" w:hAnsi="Times New Roman" w:eastAsia="宋体" w:cs="Times New Roman"/>
                <w:color w:val="auto"/>
                <w:sz w:val="24"/>
                <w:szCs w:val="24"/>
                <w:lang w:val="en-US" w:eastAsia="zh-CN"/>
              </w:rPr>
              <w:t>，进行简单分析即可。</w:t>
            </w:r>
            <w:r>
              <w:rPr>
                <w:rFonts w:hint="default" w:ascii="Times New Roman" w:hAnsi="Times New Roman" w:eastAsia="宋体" w:cs="Times New Roman"/>
                <w:color w:val="auto"/>
                <w:sz w:val="24"/>
                <w:szCs w:val="24"/>
              </w:rPr>
              <w:t>评价范围内环境的功能具有一定的稳定性及可持续发展性，具有一定的承受干扰的能力及生态完整性</w:t>
            </w:r>
            <w:r>
              <w:rPr>
                <w:rFonts w:ascii="Times New Roman" w:hAnsi="Times New Roman" w:eastAsia="宋体" w:cs="Times New Roman"/>
                <w:color w:val="auto"/>
                <w:szCs w:val="24"/>
              </w:rPr>
              <w:t>。</w:t>
            </w:r>
          </w:p>
        </w:tc>
      </w:tr>
    </w:tbl>
    <w:p w14:paraId="5FFD17BE">
      <w:pPr>
        <w:widowControl w:val="0"/>
        <w:tabs>
          <w:tab w:val="left" w:pos="1845"/>
        </w:tabs>
        <w:autoSpaceDE w:val="0"/>
        <w:autoSpaceDN w:val="0"/>
        <w:adjustRightInd w:val="0"/>
        <w:spacing w:line="240" w:lineRule="exact"/>
        <w:jc w:val="center"/>
        <w:rPr>
          <w:rFonts w:ascii="宋体" w:hAnsi="Times New Roman" w:eastAsia="宋体" w:cs="宋体"/>
          <w:color w:val="auto"/>
          <w:kern w:val="2"/>
          <w:sz w:val="24"/>
          <w:szCs w:val="24"/>
          <w:lang w:val="en-US" w:eastAsia="zh-CN" w:bidi="ar-SA"/>
        </w:rPr>
      </w:pPr>
    </w:p>
    <w:p w14:paraId="3BAF37DD">
      <w:pPr>
        <w:bidi w:val="0"/>
        <w:jc w:val="left"/>
        <w:rPr>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45"/>
      </w:tblGrid>
      <w:tr w14:paraId="39DC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81" w:hRule="atLeast"/>
          <w:jc w:val="center"/>
        </w:trPr>
        <w:tc>
          <w:tcPr>
            <w:tcW w:w="426" w:type="dxa"/>
            <w:vAlign w:val="center"/>
          </w:tcPr>
          <w:p w14:paraId="30125377">
            <w:pPr>
              <w:overflowPunct w:val="0"/>
              <w:autoSpaceDE w:val="0"/>
              <w:autoSpaceDN w:val="0"/>
              <w:adjustRightInd w:val="0"/>
              <w:snapToGrid w:val="0"/>
              <w:spacing w:line="500" w:lineRule="exact"/>
              <w:jc w:val="center"/>
              <w:rPr>
                <w:rFonts w:ascii="Times New Roman" w:hAnsi="Times New Roman" w:eastAsia="宋体" w:cs="宋体"/>
                <w:color w:val="auto"/>
              </w:rPr>
            </w:pPr>
            <w:r>
              <w:rPr>
                <w:rFonts w:hint="eastAsia" w:ascii="Times New Roman" w:hAnsi="Times New Roman" w:eastAsia="宋体" w:cs="宋体"/>
                <w:color w:val="auto"/>
                <w:lang w:eastAsia="zh-Hans"/>
              </w:rPr>
              <w:t>环境保护目标</w:t>
            </w:r>
          </w:p>
        </w:tc>
        <w:tc>
          <w:tcPr>
            <w:tcW w:w="8645" w:type="dxa"/>
          </w:tcPr>
          <w:p w14:paraId="60F85483">
            <w:pPr>
              <w:overflowPunct w:val="0"/>
              <w:autoSpaceDE w:val="0"/>
              <w:autoSpaceDN w:val="0"/>
              <w:adjustRightInd w:val="0"/>
              <w:snapToGrid w:val="0"/>
              <w:spacing w:line="560" w:lineRule="exact"/>
              <w:jc w:val="left"/>
              <w:outlineLvl w:val="1"/>
              <w:rPr>
                <w:rFonts w:hint="eastAsia" w:ascii="Times New Roman" w:hAnsi="Times New Roman" w:eastAsia="宋体" w:cs="黑体"/>
                <w:b/>
                <w:color w:val="auto"/>
                <w:sz w:val="28"/>
                <w:szCs w:val="30"/>
              </w:rPr>
            </w:pPr>
            <w:r>
              <w:rPr>
                <w:rFonts w:hint="eastAsia" w:ascii="Times New Roman" w:hAnsi="Times New Roman" w:eastAsia="宋体" w:cs="黑体"/>
                <w:b/>
                <w:color w:val="auto"/>
                <w:sz w:val="28"/>
                <w:szCs w:val="30"/>
              </w:rPr>
              <w:t>6</w:t>
            </w:r>
            <w:r>
              <w:rPr>
                <w:rFonts w:hint="eastAsia" w:cs="黑体"/>
                <w:b/>
                <w:color w:val="auto"/>
                <w:sz w:val="28"/>
                <w:szCs w:val="30"/>
                <w:lang w:eastAsia="zh-CN"/>
              </w:rPr>
              <w:t>、</w:t>
            </w:r>
            <w:r>
              <w:rPr>
                <w:rFonts w:hint="eastAsia" w:ascii="Times New Roman" w:hAnsi="Times New Roman" w:eastAsia="宋体" w:cs="黑体"/>
                <w:b/>
                <w:color w:val="auto"/>
                <w:sz w:val="28"/>
                <w:szCs w:val="30"/>
              </w:rPr>
              <w:t>主要环境敏感目标</w:t>
            </w:r>
          </w:p>
          <w:p w14:paraId="0AA0960E">
            <w:pPr>
              <w:overflowPunct w:val="0"/>
              <w:autoSpaceDE w:val="0"/>
              <w:autoSpaceDN w:val="0"/>
              <w:adjustRightInd w:val="0"/>
              <w:snapToGrid w:val="0"/>
              <w:spacing w:line="500" w:lineRule="exact"/>
              <w:ind w:firstLine="480" w:firstLineChars="200"/>
              <w:jc w:val="left"/>
              <w:rPr>
                <w:rFonts w:ascii="Times New Roman" w:hAnsi="Times New Roman" w:eastAsia="宋体" w:cs="宋体"/>
                <w:color w:val="auto"/>
              </w:rPr>
            </w:pPr>
            <w:r>
              <w:rPr>
                <w:rFonts w:ascii="Times New Roman" w:hAnsi="Times New Roman" w:eastAsia="宋体" w:cs="宋体"/>
                <w:color w:val="auto"/>
              </w:rPr>
              <w:t>根据本项目特点和外环境特征确定环境保护目标如下：</w:t>
            </w:r>
          </w:p>
          <w:p w14:paraId="320D071B">
            <w:pPr>
              <w:numPr>
                <w:ilvl w:val="0"/>
                <w:numId w:val="4"/>
              </w:numPr>
              <w:overflowPunct w:val="0"/>
              <w:autoSpaceDE w:val="0"/>
              <w:autoSpaceDN w:val="0"/>
              <w:adjustRightInd w:val="0"/>
              <w:snapToGrid w:val="0"/>
              <w:spacing w:line="500" w:lineRule="exact"/>
              <w:ind w:firstLine="480" w:firstLineChars="200"/>
              <w:jc w:val="left"/>
              <w:rPr>
                <w:rFonts w:hint="eastAsia" w:ascii="Times New Roman" w:hAnsi="Times New Roman" w:eastAsia="宋体" w:cs="宋体"/>
                <w:color w:val="auto"/>
                <w:lang w:val="en-US" w:eastAsia="zh-CN"/>
              </w:rPr>
            </w:pPr>
            <w:r>
              <w:rPr>
                <w:rFonts w:hint="eastAsia" w:ascii="Times New Roman" w:hAnsi="Times New Roman" w:eastAsia="宋体" w:cs="宋体"/>
                <w:color w:val="auto"/>
              </w:rPr>
              <w:t>大气环境：保护项目区所在的区域环境空气质量，不因本项目实施而降低空气质量级别。</w:t>
            </w:r>
            <w:r>
              <w:rPr>
                <w:rFonts w:hint="eastAsia" w:ascii="Times New Roman" w:hAnsi="Times New Roman" w:eastAsia="宋体" w:cs="宋体"/>
                <w:color w:val="auto"/>
                <w:lang w:val="en-US" w:eastAsia="zh-CN"/>
              </w:rPr>
              <w:t>根据现场调查，厂界外500米范围内不存在大气环境保护目标。</w:t>
            </w:r>
          </w:p>
          <w:p w14:paraId="5BD712A3">
            <w:pPr>
              <w:numPr>
                <w:ilvl w:val="0"/>
                <w:numId w:val="4"/>
              </w:numPr>
              <w:overflowPunct w:val="0"/>
              <w:autoSpaceDE w:val="0"/>
              <w:autoSpaceDN w:val="0"/>
              <w:adjustRightInd w:val="0"/>
              <w:snapToGrid w:val="0"/>
              <w:spacing w:line="500" w:lineRule="exact"/>
              <w:ind w:firstLine="480" w:firstLineChars="200"/>
              <w:jc w:val="left"/>
              <w:rPr>
                <w:rFonts w:ascii="Times New Roman" w:hAnsi="Times New Roman" w:eastAsia="宋体" w:cs="宋体"/>
                <w:color w:val="auto"/>
              </w:rPr>
            </w:pPr>
            <w:r>
              <w:rPr>
                <w:rFonts w:hint="eastAsia" w:ascii="Times New Roman" w:hAnsi="Times New Roman" w:eastAsia="宋体" w:cs="宋体"/>
                <w:color w:val="auto"/>
              </w:rPr>
              <w:t>声环境：</w:t>
            </w:r>
            <w:r>
              <w:rPr>
                <w:rFonts w:hint="eastAsia" w:ascii="Times New Roman" w:hAnsi="Times New Roman" w:eastAsia="宋体" w:cs="宋体"/>
                <w:color w:val="auto"/>
                <w:lang w:val="en-US" w:eastAsia="zh-CN"/>
              </w:rPr>
              <w:t>根据现场调查，厂界50米范围内无声环境保护目标</w:t>
            </w:r>
            <w:r>
              <w:rPr>
                <w:rFonts w:hint="eastAsia" w:ascii="Times New Roman" w:hAnsi="Times New Roman" w:eastAsia="宋体" w:cs="宋体"/>
                <w:color w:val="auto"/>
              </w:rPr>
              <w:t>；</w:t>
            </w:r>
          </w:p>
          <w:p w14:paraId="1C13C1C0">
            <w:pPr>
              <w:overflowPunct w:val="0"/>
              <w:autoSpaceDE w:val="0"/>
              <w:autoSpaceDN w:val="0"/>
              <w:adjustRightInd w:val="0"/>
              <w:snapToGrid w:val="0"/>
              <w:spacing w:line="500" w:lineRule="exact"/>
              <w:ind w:firstLine="480" w:firstLineChars="200"/>
              <w:jc w:val="left"/>
              <w:rPr>
                <w:rFonts w:hint="default" w:ascii="Times New Roman" w:hAnsi="Times New Roman" w:eastAsia="宋体" w:cs="宋体"/>
                <w:color w:val="auto"/>
                <w:lang w:val="en-US" w:eastAsia="zh-CN"/>
              </w:rPr>
            </w:pPr>
            <w:r>
              <w:rPr>
                <w:rFonts w:hint="eastAsia" w:ascii="Times New Roman" w:hAnsi="Times New Roman" w:eastAsia="宋体" w:cs="宋体"/>
                <w:color w:val="auto"/>
              </w:rPr>
              <w:t>（3）</w:t>
            </w:r>
            <w:r>
              <w:rPr>
                <w:rFonts w:hint="eastAsia" w:cs="宋体"/>
                <w:color w:val="auto"/>
                <w:lang w:val="en-US" w:eastAsia="zh-CN"/>
              </w:rPr>
              <w:t>地表水环境：</w:t>
            </w:r>
            <w:r>
              <w:rPr>
                <w:rFonts w:hint="eastAsia" w:ascii="Times New Roman" w:hAnsi="Times New Roman" w:eastAsia="宋体" w:cs="宋体"/>
                <w:color w:val="auto"/>
              </w:rPr>
              <w:t>根据现场调查，</w:t>
            </w:r>
            <w:r>
              <w:rPr>
                <w:rFonts w:hint="eastAsia" w:ascii="Times New Roman" w:hAnsi="Times New Roman" w:eastAsia="宋体" w:cs="宋体"/>
                <w:color w:val="auto"/>
                <w:lang w:val="en-US" w:eastAsia="zh-CN"/>
              </w:rPr>
              <w:t>厂界外500米范围</w:t>
            </w:r>
            <w:r>
              <w:rPr>
                <w:rFonts w:hint="eastAsia" w:cs="宋体"/>
                <w:color w:val="auto"/>
                <w:lang w:val="en-US" w:eastAsia="zh-CN"/>
              </w:rPr>
              <w:t>内</w:t>
            </w:r>
            <w:r>
              <w:rPr>
                <w:rFonts w:hint="eastAsia" w:ascii="Times New Roman" w:hAnsi="Times New Roman" w:eastAsia="宋体" w:cs="宋体"/>
                <w:color w:val="auto"/>
                <w:lang w:val="en-US" w:eastAsia="zh-CN"/>
              </w:rPr>
              <w:t>无地表水敏感目标。</w:t>
            </w:r>
          </w:p>
          <w:p w14:paraId="3E38D3E2">
            <w:pPr>
              <w:overflowPunct w:val="0"/>
              <w:autoSpaceDE w:val="0"/>
              <w:autoSpaceDN w:val="0"/>
              <w:adjustRightInd w:val="0"/>
              <w:snapToGrid w:val="0"/>
              <w:spacing w:line="500" w:lineRule="exact"/>
              <w:ind w:firstLine="480" w:firstLineChars="200"/>
              <w:jc w:val="left"/>
              <w:rPr>
                <w:rFonts w:ascii="Times New Roman" w:hAnsi="Times New Roman" w:eastAsia="宋体" w:cs="宋体"/>
                <w:color w:val="auto"/>
              </w:rPr>
            </w:pPr>
            <w:r>
              <w:rPr>
                <w:rFonts w:hint="eastAsia" w:cs="宋体"/>
                <w:color w:val="auto"/>
                <w:lang w:eastAsia="zh-CN"/>
              </w:rPr>
              <w:t>（</w:t>
            </w:r>
            <w:r>
              <w:rPr>
                <w:rFonts w:hint="eastAsia" w:cs="宋体"/>
                <w:color w:val="auto"/>
                <w:lang w:val="en-US" w:eastAsia="zh-CN"/>
              </w:rPr>
              <w:t>4</w:t>
            </w:r>
            <w:r>
              <w:rPr>
                <w:rFonts w:hint="eastAsia" w:cs="宋体"/>
                <w:color w:val="auto"/>
                <w:lang w:eastAsia="zh-CN"/>
              </w:rPr>
              <w:t>）</w:t>
            </w:r>
            <w:r>
              <w:rPr>
                <w:rFonts w:hint="eastAsia" w:ascii="Times New Roman" w:hAnsi="Times New Roman" w:eastAsia="宋体" w:cs="宋体"/>
                <w:color w:val="auto"/>
              </w:rPr>
              <w:t>地下水环境：</w:t>
            </w:r>
            <w:r>
              <w:rPr>
                <w:rFonts w:hint="eastAsia" w:ascii="Times New Roman" w:hAnsi="Times New Roman" w:eastAsia="宋体" w:cs="宋体"/>
                <w:color w:val="auto"/>
                <w:lang w:val="en-US" w:eastAsia="zh-CN"/>
              </w:rPr>
              <w:t>根据现场调查，厂界外500米范围内无地下水集中式饮用水源和热水、矿泉水、温泉等特殊地下水资源</w:t>
            </w:r>
            <w:r>
              <w:rPr>
                <w:rFonts w:hint="eastAsia" w:ascii="Times New Roman" w:hAnsi="Times New Roman" w:eastAsia="宋体" w:cs="宋体"/>
                <w:color w:val="auto"/>
              </w:rPr>
              <w:t>；</w:t>
            </w:r>
          </w:p>
          <w:p w14:paraId="288C3490">
            <w:pPr>
              <w:overflowPunct w:val="0"/>
              <w:autoSpaceDE w:val="0"/>
              <w:autoSpaceDN w:val="0"/>
              <w:adjustRightInd w:val="0"/>
              <w:snapToGrid w:val="0"/>
              <w:spacing w:line="500" w:lineRule="exact"/>
              <w:ind w:firstLine="480" w:firstLineChars="200"/>
              <w:jc w:val="left"/>
              <w:rPr>
                <w:rFonts w:hint="eastAsia" w:ascii="Times New Roman" w:hAnsi="Times New Roman" w:eastAsia="宋体" w:cs="宋体"/>
                <w:color w:val="auto"/>
              </w:rPr>
            </w:pPr>
            <w:r>
              <w:rPr>
                <w:rFonts w:hint="eastAsia" w:ascii="Times New Roman" w:hAnsi="Times New Roman" w:eastAsia="宋体" w:cs="宋体"/>
                <w:color w:val="auto"/>
              </w:rPr>
              <w:t>（</w:t>
            </w:r>
            <w:r>
              <w:rPr>
                <w:rFonts w:hint="eastAsia" w:cs="宋体"/>
                <w:color w:val="auto"/>
                <w:lang w:val="en-US" w:eastAsia="zh-CN"/>
              </w:rPr>
              <w:t>5</w:t>
            </w:r>
            <w:r>
              <w:rPr>
                <w:rFonts w:hint="eastAsia" w:ascii="Times New Roman" w:hAnsi="Times New Roman" w:eastAsia="宋体" w:cs="宋体"/>
                <w:color w:val="auto"/>
              </w:rPr>
              <w:t>）生态环境：本项目用地范围内无生态环境保护目标。</w:t>
            </w:r>
          </w:p>
          <w:p w14:paraId="62778ECD">
            <w:pPr>
              <w:overflowPunct w:val="0"/>
              <w:autoSpaceDE w:val="0"/>
              <w:autoSpaceDN w:val="0"/>
              <w:bidi w:val="0"/>
              <w:adjustRightInd w:val="0"/>
              <w:snapToGrid w:val="0"/>
              <w:spacing w:before="0" w:after="0" w:line="500" w:lineRule="exact"/>
              <w:ind w:left="0" w:right="0" w:firstLine="480" w:firstLineChars="200"/>
              <w:jc w:val="left"/>
              <w:rPr>
                <w:rFonts w:hint="default" w:ascii="Times New Roman" w:hAnsi="Times New Roman" w:eastAsia="宋体" w:cs="宋体"/>
                <w:color w:val="auto"/>
                <w:lang w:val="en-US"/>
              </w:rPr>
            </w:pPr>
            <w:r>
              <w:rPr>
                <w:rFonts w:hint="eastAsia" w:ascii="Times New Roman" w:hAnsi="Times New Roman" w:eastAsia="宋体" w:cs="宋体"/>
                <w:color w:val="auto"/>
              </w:rPr>
              <w:t>环境敏感点分布见表</w:t>
            </w:r>
            <w:r>
              <w:rPr>
                <w:rFonts w:hint="eastAsia" w:ascii="Times New Roman" w:hAnsi="Times New Roman" w:eastAsia="宋体" w:cs="宋体"/>
                <w:color w:val="auto"/>
                <w:lang w:val="en-US" w:eastAsia="zh-CN"/>
              </w:rPr>
              <w:t>3.6-1</w:t>
            </w:r>
            <w:r>
              <w:rPr>
                <w:rFonts w:hint="eastAsia" w:cs="宋体"/>
                <w:color w:val="auto"/>
                <w:lang w:val="en-US" w:eastAsia="zh-CN"/>
              </w:rPr>
              <w:t>。</w:t>
            </w:r>
          </w:p>
          <w:p w14:paraId="22A1D725">
            <w:pPr>
              <w:widowControl w:val="0"/>
              <w:overflowPunct w:val="0"/>
              <w:autoSpaceDE w:val="0"/>
              <w:autoSpaceDN w:val="0"/>
              <w:adjustRightInd w:val="0"/>
              <w:snapToGrid w:val="0"/>
              <w:spacing w:before="0" w:after="0" w:line="400" w:lineRule="exact"/>
              <w:ind w:left="0" w:right="0" w:firstLine="0" w:firstLineChars="0"/>
              <w:jc w:val="center"/>
              <w:rPr>
                <w:rFonts w:hint="eastAsia"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4"/>
                <w:szCs w:val="24"/>
                <w:lang w:val="en-US" w:eastAsia="zh-CN" w:bidi="ar-SA"/>
              </w:rPr>
              <w:t xml:space="preserve">表3.6-1  </w:t>
            </w:r>
            <w:r>
              <w:rPr>
                <w:rFonts w:hint="eastAsia" w:ascii="Times New Roman" w:hAnsi="Times New Roman" w:eastAsia="宋体" w:cs="宋体"/>
                <w:b/>
                <w:color w:val="auto"/>
                <w:sz w:val="24"/>
                <w:szCs w:val="24"/>
                <w:highlight w:val="none"/>
                <w:lang w:val="en-US" w:eastAsia="zh-CN" w:bidi="ar-SA"/>
              </w:rPr>
              <w:t>主要环境保护目标一览表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
              <w:gridCol w:w="360"/>
              <w:gridCol w:w="690"/>
              <w:gridCol w:w="690"/>
              <w:gridCol w:w="717"/>
              <w:gridCol w:w="468"/>
              <w:gridCol w:w="585"/>
              <w:gridCol w:w="900"/>
              <w:gridCol w:w="1335"/>
              <w:gridCol w:w="2409"/>
            </w:tblGrid>
            <w:tr w14:paraId="3F9FC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50" w:type="dxa"/>
                  <w:vMerge w:val="restart"/>
                  <w:noWrap w:val="0"/>
                  <w:vAlign w:val="center"/>
                </w:tcPr>
                <w:p w14:paraId="7AB262C0">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序号</w:t>
                  </w:r>
                </w:p>
              </w:tc>
              <w:tc>
                <w:tcPr>
                  <w:tcW w:w="360" w:type="dxa"/>
                  <w:vMerge w:val="restart"/>
                  <w:noWrap w:val="0"/>
                  <w:vAlign w:val="center"/>
                </w:tcPr>
                <w:p w14:paraId="774DBFCB">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环境要素</w:t>
                  </w:r>
                </w:p>
              </w:tc>
              <w:tc>
                <w:tcPr>
                  <w:tcW w:w="690" w:type="dxa"/>
                  <w:vMerge w:val="restart"/>
                  <w:noWrap w:val="0"/>
                  <w:vAlign w:val="center"/>
                </w:tcPr>
                <w:p w14:paraId="721158F1">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名称</w:t>
                  </w:r>
                </w:p>
              </w:tc>
              <w:tc>
                <w:tcPr>
                  <w:tcW w:w="1407" w:type="dxa"/>
                  <w:gridSpan w:val="2"/>
                  <w:noWrap w:val="0"/>
                  <w:vAlign w:val="center"/>
                </w:tcPr>
                <w:p w14:paraId="78C32BCB">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坐标</w:t>
                  </w:r>
                </w:p>
              </w:tc>
              <w:tc>
                <w:tcPr>
                  <w:tcW w:w="468" w:type="dxa"/>
                  <w:vMerge w:val="restart"/>
                  <w:noWrap w:val="0"/>
                  <w:vAlign w:val="center"/>
                </w:tcPr>
                <w:p w14:paraId="4A23C50F">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保护对象</w:t>
                  </w:r>
                </w:p>
              </w:tc>
              <w:tc>
                <w:tcPr>
                  <w:tcW w:w="585" w:type="dxa"/>
                  <w:vMerge w:val="restart"/>
                  <w:noWrap w:val="0"/>
                  <w:vAlign w:val="center"/>
                </w:tcPr>
                <w:p w14:paraId="7B923B4C">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保护内容</w:t>
                  </w:r>
                </w:p>
              </w:tc>
              <w:tc>
                <w:tcPr>
                  <w:tcW w:w="900" w:type="dxa"/>
                  <w:vMerge w:val="restart"/>
                  <w:noWrap w:val="0"/>
                  <w:vAlign w:val="center"/>
                </w:tcPr>
                <w:p w14:paraId="4ADB0610">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相对</w:t>
                  </w:r>
                  <w:r>
                    <w:rPr>
                      <w:rFonts w:hint="eastAsia" w:ascii="Times New Roman" w:hAnsi="Times New Roman" w:eastAsia="宋体" w:cs="Times New Roman"/>
                      <w:b w:val="0"/>
                      <w:bCs w:val="0"/>
                      <w:color w:val="auto"/>
                      <w:sz w:val="21"/>
                      <w:szCs w:val="21"/>
                      <w:lang w:val="en-US" w:eastAsia="zh-CN"/>
                    </w:rPr>
                    <w:t>厂址方位</w:t>
                  </w:r>
                </w:p>
              </w:tc>
              <w:tc>
                <w:tcPr>
                  <w:tcW w:w="1335" w:type="dxa"/>
                  <w:vMerge w:val="restart"/>
                  <w:noWrap w:val="0"/>
                  <w:vAlign w:val="center"/>
                </w:tcPr>
                <w:p w14:paraId="61E7D4C6">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相对距离（m）</w:t>
                  </w:r>
                </w:p>
              </w:tc>
              <w:tc>
                <w:tcPr>
                  <w:tcW w:w="2409" w:type="dxa"/>
                  <w:vMerge w:val="restart"/>
                  <w:noWrap w:val="0"/>
                  <w:vAlign w:val="center"/>
                </w:tcPr>
                <w:p w14:paraId="4373D6B9">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环境功能区</w:t>
                  </w:r>
                </w:p>
              </w:tc>
            </w:tr>
            <w:tr w14:paraId="288FF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50" w:type="dxa"/>
                  <w:vMerge w:val="continue"/>
                  <w:noWrap w:val="0"/>
                  <w:vAlign w:val="center"/>
                </w:tcPr>
                <w:p w14:paraId="6388CD21">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ascii="Times New Roman" w:hAnsi="Times New Roman" w:eastAsia="宋体" w:cs="宋体"/>
                      <w:color w:val="auto"/>
                    </w:rPr>
                  </w:pPr>
                </w:p>
              </w:tc>
              <w:tc>
                <w:tcPr>
                  <w:tcW w:w="360" w:type="dxa"/>
                  <w:vMerge w:val="continue"/>
                  <w:noWrap w:val="0"/>
                  <w:vAlign w:val="center"/>
                </w:tcPr>
                <w:p w14:paraId="16C9836C">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ascii="Times New Roman" w:hAnsi="Times New Roman" w:eastAsia="宋体" w:cs="宋体"/>
                      <w:color w:val="auto"/>
                    </w:rPr>
                  </w:pPr>
                </w:p>
              </w:tc>
              <w:tc>
                <w:tcPr>
                  <w:tcW w:w="690" w:type="dxa"/>
                  <w:vMerge w:val="continue"/>
                  <w:noWrap w:val="0"/>
                  <w:vAlign w:val="center"/>
                </w:tcPr>
                <w:p w14:paraId="60E7F292">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ascii="Times New Roman" w:hAnsi="Times New Roman" w:eastAsia="宋体" w:cs="宋体"/>
                      <w:color w:val="auto"/>
                    </w:rPr>
                  </w:pPr>
                </w:p>
              </w:tc>
              <w:tc>
                <w:tcPr>
                  <w:tcW w:w="690" w:type="dxa"/>
                  <w:noWrap w:val="0"/>
                  <w:vAlign w:val="center"/>
                </w:tcPr>
                <w:p w14:paraId="4A1D3AFD">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X</w:t>
                  </w:r>
                </w:p>
              </w:tc>
              <w:tc>
                <w:tcPr>
                  <w:tcW w:w="717" w:type="dxa"/>
                  <w:noWrap w:val="0"/>
                  <w:vAlign w:val="center"/>
                </w:tcPr>
                <w:p w14:paraId="2EB84AAD">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Y</w:t>
                  </w:r>
                </w:p>
              </w:tc>
              <w:tc>
                <w:tcPr>
                  <w:tcW w:w="468" w:type="dxa"/>
                  <w:vMerge w:val="continue"/>
                  <w:noWrap w:val="0"/>
                  <w:vAlign w:val="center"/>
                </w:tcPr>
                <w:p w14:paraId="5CCFED33">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585" w:type="dxa"/>
                  <w:vMerge w:val="continue"/>
                  <w:noWrap w:val="0"/>
                  <w:vAlign w:val="center"/>
                </w:tcPr>
                <w:p w14:paraId="69562A4A">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900" w:type="dxa"/>
                  <w:vMerge w:val="continue"/>
                  <w:noWrap w:val="0"/>
                  <w:vAlign w:val="center"/>
                </w:tcPr>
                <w:p w14:paraId="31BCEC2E">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335" w:type="dxa"/>
                  <w:vMerge w:val="continue"/>
                  <w:noWrap w:val="0"/>
                  <w:vAlign w:val="center"/>
                </w:tcPr>
                <w:p w14:paraId="6A094C43">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2409" w:type="dxa"/>
                  <w:vMerge w:val="continue"/>
                  <w:noWrap w:val="0"/>
                  <w:vAlign w:val="center"/>
                </w:tcPr>
                <w:p w14:paraId="13B10533">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r>
            <w:tr w14:paraId="0686F4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 w:type="dxa"/>
                  <w:noWrap w:val="0"/>
                  <w:vAlign w:val="center"/>
                </w:tcPr>
                <w:p w14:paraId="6D74F20B">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050" w:type="dxa"/>
                  <w:gridSpan w:val="2"/>
                  <w:noWrap w:val="0"/>
                  <w:vAlign w:val="center"/>
                </w:tcPr>
                <w:p w14:paraId="38689808">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环境空气</w:t>
                  </w:r>
                </w:p>
              </w:tc>
              <w:tc>
                <w:tcPr>
                  <w:tcW w:w="4695" w:type="dxa"/>
                  <w:gridSpan w:val="6"/>
                  <w:noWrap w:val="0"/>
                  <w:vAlign w:val="center"/>
                </w:tcPr>
                <w:p w14:paraId="37B761F5">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厂址附近500m范围内无大气环境敏感目标</w:t>
                  </w:r>
                </w:p>
              </w:tc>
              <w:tc>
                <w:tcPr>
                  <w:tcW w:w="2409" w:type="dxa"/>
                  <w:noWrap w:val="0"/>
                  <w:vAlign w:val="center"/>
                </w:tcPr>
                <w:p w14:paraId="4C70B7A8">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《环境空气质量标准》（GB3095-2012）二类区</w:t>
                  </w:r>
                </w:p>
              </w:tc>
            </w:tr>
            <w:tr w14:paraId="6A596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14:paraId="1B1C41EE">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c>
                <w:tcPr>
                  <w:tcW w:w="1050" w:type="dxa"/>
                  <w:gridSpan w:val="2"/>
                  <w:noWrap w:val="0"/>
                  <w:vAlign w:val="center"/>
                </w:tcPr>
                <w:p w14:paraId="596F1E97">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声环境</w:t>
                  </w:r>
                </w:p>
              </w:tc>
              <w:tc>
                <w:tcPr>
                  <w:tcW w:w="4695" w:type="dxa"/>
                  <w:gridSpan w:val="6"/>
                  <w:noWrap w:val="0"/>
                  <w:vAlign w:val="center"/>
                </w:tcPr>
                <w:p w14:paraId="40E5619B">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厂址附近</w:t>
                  </w:r>
                  <w:r>
                    <w:rPr>
                      <w:rFonts w:hint="eastAsia" w:ascii="Times New Roman" w:hAnsi="Times New Roman" w:eastAsia="宋体" w:cs="Times New Roman"/>
                      <w:b w:val="0"/>
                      <w:bCs w:val="0"/>
                      <w:color w:val="auto"/>
                      <w:sz w:val="21"/>
                      <w:szCs w:val="21"/>
                      <w:lang w:val="en-US" w:eastAsia="zh-CN"/>
                    </w:rPr>
                    <w:t>50</w:t>
                  </w:r>
                  <w:r>
                    <w:rPr>
                      <w:rFonts w:hint="default" w:ascii="Times New Roman" w:hAnsi="Times New Roman" w:eastAsia="宋体" w:cs="Times New Roman"/>
                      <w:b w:val="0"/>
                      <w:bCs w:val="0"/>
                      <w:color w:val="auto"/>
                      <w:sz w:val="21"/>
                      <w:szCs w:val="21"/>
                      <w:lang w:val="en-US" w:eastAsia="zh-CN"/>
                    </w:rPr>
                    <w:t>m范围内无声环境敏感目标</w:t>
                  </w:r>
                </w:p>
              </w:tc>
              <w:tc>
                <w:tcPr>
                  <w:tcW w:w="2409" w:type="dxa"/>
                  <w:noWrap w:val="0"/>
                  <w:vAlign w:val="center"/>
                </w:tcPr>
                <w:p w14:paraId="44868A95">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《声环境质量标准》（GB 3096-2008）3类声环境功能区</w:t>
                  </w:r>
                </w:p>
              </w:tc>
            </w:tr>
            <w:tr w14:paraId="21623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14:paraId="34DB978E">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p>
              </w:tc>
              <w:tc>
                <w:tcPr>
                  <w:tcW w:w="1050" w:type="dxa"/>
                  <w:gridSpan w:val="2"/>
                  <w:noWrap w:val="0"/>
                  <w:vAlign w:val="center"/>
                </w:tcPr>
                <w:p w14:paraId="1168D341">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地下水环境</w:t>
                  </w:r>
                </w:p>
              </w:tc>
              <w:tc>
                <w:tcPr>
                  <w:tcW w:w="4695" w:type="dxa"/>
                  <w:gridSpan w:val="6"/>
                  <w:noWrap w:val="0"/>
                  <w:vAlign w:val="center"/>
                </w:tcPr>
                <w:p w14:paraId="3554DA97">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厂界500米范围内无地下水</w:t>
                  </w:r>
                  <w:r>
                    <w:rPr>
                      <w:rFonts w:hint="eastAsia" w:ascii="Times New Roman" w:hAnsi="Times New Roman" w:eastAsia="宋体" w:cs="Times New Roman"/>
                      <w:b w:val="0"/>
                      <w:bCs w:val="0"/>
                      <w:color w:val="auto"/>
                      <w:sz w:val="21"/>
                      <w:szCs w:val="21"/>
                      <w:lang w:val="en-US" w:eastAsia="zh-CN"/>
                    </w:rPr>
                    <w:t>环境敏感目标</w:t>
                  </w:r>
                </w:p>
              </w:tc>
              <w:tc>
                <w:tcPr>
                  <w:tcW w:w="2409" w:type="dxa"/>
                  <w:noWrap w:val="0"/>
                  <w:vAlign w:val="center"/>
                </w:tcPr>
                <w:p w14:paraId="5564882C">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《地下水质量标准》（GB/T 14848-2017）Ⅲ类</w:t>
                  </w:r>
                </w:p>
              </w:tc>
            </w:tr>
            <w:tr w14:paraId="24306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14:paraId="3228E6C1">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1050" w:type="dxa"/>
                  <w:gridSpan w:val="2"/>
                  <w:noWrap w:val="0"/>
                  <w:vAlign w:val="center"/>
                </w:tcPr>
                <w:p w14:paraId="3A5215E4">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地表水</w:t>
                  </w:r>
                </w:p>
              </w:tc>
              <w:tc>
                <w:tcPr>
                  <w:tcW w:w="4695" w:type="dxa"/>
                  <w:gridSpan w:val="6"/>
                  <w:noWrap w:val="0"/>
                  <w:vAlign w:val="center"/>
                </w:tcPr>
                <w:p w14:paraId="06A939BC">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厂址</w:t>
                  </w:r>
                  <w:r>
                    <w:rPr>
                      <w:rFonts w:hint="eastAsia" w:ascii="Times New Roman" w:hAnsi="Times New Roman" w:eastAsia="宋体" w:cs="Times New Roman"/>
                      <w:b w:val="0"/>
                      <w:bCs w:val="0"/>
                      <w:color w:val="auto"/>
                      <w:sz w:val="21"/>
                      <w:szCs w:val="21"/>
                      <w:lang w:val="en-US" w:eastAsia="zh-CN"/>
                    </w:rPr>
                    <w:t>500m</w:t>
                  </w:r>
                  <w:r>
                    <w:rPr>
                      <w:rFonts w:hint="default" w:ascii="Times New Roman" w:hAnsi="Times New Roman" w:eastAsia="宋体" w:cs="Times New Roman"/>
                      <w:b w:val="0"/>
                      <w:bCs w:val="0"/>
                      <w:color w:val="auto"/>
                      <w:sz w:val="21"/>
                      <w:szCs w:val="21"/>
                      <w:lang w:val="en-US" w:eastAsia="zh-CN"/>
                    </w:rPr>
                    <w:t>范围内无</w:t>
                  </w:r>
                  <w:r>
                    <w:rPr>
                      <w:rFonts w:hint="eastAsia" w:ascii="Times New Roman" w:hAnsi="Times New Roman" w:eastAsia="宋体" w:cs="Times New Roman"/>
                      <w:b w:val="0"/>
                      <w:bCs w:val="0"/>
                      <w:color w:val="auto"/>
                      <w:sz w:val="21"/>
                      <w:szCs w:val="21"/>
                      <w:lang w:val="en-US" w:eastAsia="zh-CN"/>
                    </w:rPr>
                    <w:t>地表水敏感目标</w:t>
                  </w:r>
                </w:p>
              </w:tc>
              <w:tc>
                <w:tcPr>
                  <w:tcW w:w="2409" w:type="dxa"/>
                  <w:noWrap w:val="0"/>
                  <w:vAlign w:val="center"/>
                </w:tcPr>
                <w:p w14:paraId="54C402DD">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项目区生活污水排入园区管网</w:t>
                  </w:r>
                  <w:r>
                    <w:rPr>
                      <w:rFonts w:hint="eastAsia"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项目运行后与地表水无直接水力联系</w:t>
                  </w:r>
                </w:p>
              </w:tc>
            </w:tr>
            <w:tr w14:paraId="73C90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0" w:type="dxa"/>
                  <w:noWrap w:val="0"/>
                  <w:vAlign w:val="center"/>
                </w:tcPr>
                <w:p w14:paraId="29DECF80">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1050" w:type="dxa"/>
                  <w:gridSpan w:val="2"/>
                  <w:noWrap w:val="0"/>
                  <w:vAlign w:val="center"/>
                </w:tcPr>
                <w:p w14:paraId="4DE6B402">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生态环境</w:t>
                  </w:r>
                </w:p>
              </w:tc>
              <w:tc>
                <w:tcPr>
                  <w:tcW w:w="4695" w:type="dxa"/>
                  <w:gridSpan w:val="6"/>
                  <w:noWrap w:val="0"/>
                  <w:vAlign w:val="center"/>
                </w:tcPr>
                <w:p w14:paraId="61EA17B1">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用地范围内无生态环境保护目标</w:t>
                  </w:r>
                </w:p>
              </w:tc>
              <w:tc>
                <w:tcPr>
                  <w:tcW w:w="2409" w:type="dxa"/>
                  <w:noWrap w:val="0"/>
                  <w:vAlign w:val="center"/>
                </w:tcPr>
                <w:p w14:paraId="31790731">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bl>
          <w:p w14:paraId="59E44253">
            <w:pPr>
              <w:widowControl w:val="0"/>
              <w:spacing w:line="240" w:lineRule="auto"/>
              <w:ind w:firstLine="0"/>
              <w:jc w:val="center"/>
              <w:rPr>
                <w:rFonts w:ascii="Times New Roman" w:hAnsi="Times New Roman" w:eastAsia="宋体" w:cs="宋体"/>
                <w:color w:val="auto"/>
                <w:kern w:val="0"/>
                <w:sz w:val="24"/>
                <w:szCs w:val="28"/>
                <w:lang w:val="en-US" w:eastAsia="zh-CN" w:bidi="ar-SA"/>
              </w:rPr>
            </w:pPr>
          </w:p>
        </w:tc>
      </w:tr>
      <w:tr w14:paraId="1722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jc w:val="center"/>
        </w:trPr>
        <w:tc>
          <w:tcPr>
            <w:tcW w:w="426" w:type="dxa"/>
            <w:vAlign w:val="center"/>
          </w:tcPr>
          <w:p w14:paraId="6BD60926">
            <w:pPr>
              <w:overflowPunct w:val="0"/>
              <w:autoSpaceDE w:val="0"/>
              <w:autoSpaceDN w:val="0"/>
              <w:adjustRightInd w:val="0"/>
              <w:snapToGrid w:val="0"/>
              <w:spacing w:line="500" w:lineRule="exact"/>
              <w:jc w:val="center"/>
              <w:rPr>
                <w:rFonts w:ascii="Times New Roman" w:hAnsi="Times New Roman" w:eastAsia="宋体" w:cs="宋体"/>
                <w:color w:val="auto"/>
              </w:rPr>
            </w:pPr>
            <w:r>
              <w:rPr>
                <w:rFonts w:ascii="Times New Roman" w:hAnsi="Times New Roman" w:eastAsia="宋体" w:cs="宋体"/>
                <w:color w:val="auto"/>
              </w:rPr>
              <w:t>污染</w:t>
            </w:r>
            <w:r>
              <w:rPr>
                <w:rFonts w:hint="eastAsia" w:ascii="Times New Roman" w:hAnsi="Times New Roman" w:eastAsia="宋体" w:cs="宋体"/>
                <w:color w:val="auto"/>
                <w:lang w:eastAsia="zh-Hans"/>
              </w:rPr>
              <w:t>物排放控制标准</w:t>
            </w:r>
          </w:p>
        </w:tc>
        <w:tc>
          <w:tcPr>
            <w:tcW w:w="8645" w:type="dxa"/>
          </w:tcPr>
          <w:p w14:paraId="7503CEC1">
            <w:pPr>
              <w:widowControl w:val="0"/>
              <w:overflowPunct w:val="0"/>
              <w:autoSpaceDE w:val="0"/>
              <w:autoSpaceDN w:val="0"/>
              <w:bidi w:val="0"/>
              <w:adjustRightInd w:val="0"/>
              <w:snapToGrid w:val="0"/>
              <w:spacing w:before="0" w:after="0" w:line="360" w:lineRule="auto"/>
              <w:ind w:right="0"/>
              <w:jc w:val="left"/>
              <w:outlineLvl w:val="1"/>
              <w:rPr>
                <w:rFonts w:hint="eastAsia" w:ascii="Times New Roman" w:hAnsi="Times New Roman" w:eastAsia="宋体" w:cs="黑体"/>
                <w:b/>
                <w:color w:val="auto"/>
                <w:sz w:val="28"/>
                <w:szCs w:val="30"/>
                <w:highlight w:val="yellow"/>
                <w:lang w:val="en-US" w:eastAsia="zh-CN" w:bidi="ar-SA"/>
              </w:rPr>
            </w:pPr>
            <w:r>
              <w:rPr>
                <w:rFonts w:hint="eastAsia" w:cs="黑体"/>
                <w:b/>
                <w:color w:val="auto"/>
                <w:sz w:val="28"/>
                <w:szCs w:val="30"/>
                <w:highlight w:val="none"/>
                <w:lang w:val="en-US" w:eastAsia="zh-CN" w:bidi="ar-SA"/>
              </w:rPr>
              <w:t>7、</w:t>
            </w:r>
            <w:r>
              <w:rPr>
                <w:rFonts w:hint="eastAsia" w:ascii="Times New Roman" w:hAnsi="Times New Roman" w:eastAsia="宋体" w:cs="黑体"/>
                <w:b/>
                <w:color w:val="auto"/>
                <w:sz w:val="28"/>
                <w:szCs w:val="30"/>
                <w:highlight w:val="none"/>
                <w:lang w:val="en-US" w:eastAsia="zh-CN" w:bidi="ar-SA"/>
              </w:rPr>
              <w:t>污染物排放控制标准</w:t>
            </w:r>
          </w:p>
          <w:p w14:paraId="45926CCB">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b/>
                <w:bCs/>
                <w:color w:val="auto"/>
              </w:rPr>
            </w:pPr>
            <w:r>
              <w:rPr>
                <w:rFonts w:hint="eastAsia"/>
                <w:b/>
                <w:bCs/>
                <w:color w:val="auto"/>
                <w:lang w:val="en-US" w:eastAsia="zh-CN"/>
              </w:rPr>
              <w:t>7.1</w:t>
            </w:r>
            <w:r>
              <w:rPr>
                <w:b/>
                <w:bCs/>
                <w:color w:val="auto"/>
              </w:rPr>
              <w:t>大气污染物排放标准</w:t>
            </w:r>
          </w:p>
          <w:p w14:paraId="25CC7D4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eastAsia="宋体"/>
                <w:color w:val="auto"/>
                <w:lang w:val="en-US" w:eastAsia="zh-CN"/>
              </w:rPr>
            </w:pPr>
            <w:r>
              <w:rPr>
                <w:rFonts w:hint="eastAsia"/>
                <w:color w:val="auto"/>
                <w:lang w:val="en-US" w:eastAsia="zh-CN"/>
              </w:rPr>
              <w:t>厂界无组织废气颗粒物执行</w:t>
            </w:r>
            <w:r>
              <w:rPr>
                <w:color w:val="auto"/>
              </w:rPr>
              <w:t>《</w:t>
            </w:r>
            <w:r>
              <w:rPr>
                <w:rFonts w:hint="eastAsia"/>
                <w:color w:val="auto"/>
              </w:rPr>
              <w:t>水泥工业大气污染物</w:t>
            </w:r>
            <w:r>
              <w:rPr>
                <w:color w:val="auto"/>
              </w:rPr>
              <w:t>排放标准》（</w:t>
            </w:r>
            <w:r>
              <w:rPr>
                <w:rFonts w:hint="eastAsia"/>
                <w:color w:val="auto"/>
              </w:rPr>
              <w:t>GB4915-2013</w:t>
            </w:r>
            <w:r>
              <w:rPr>
                <w:color w:val="auto"/>
              </w:rPr>
              <w:t>）</w:t>
            </w:r>
            <w:r>
              <w:rPr>
                <w:rFonts w:hint="eastAsia"/>
                <w:color w:val="auto"/>
                <w:lang w:val="en-US" w:eastAsia="zh-CN"/>
              </w:rPr>
              <w:t>表3大气污染物无组织排放限值（0.5mg/m³），有组织执行表2特别排放限值10mg/m</w:t>
            </w:r>
            <w:r>
              <w:rPr>
                <w:rFonts w:hint="eastAsia"/>
                <w:color w:val="auto"/>
                <w:vertAlign w:val="superscript"/>
                <w:lang w:val="en-US" w:eastAsia="zh-CN"/>
              </w:rPr>
              <w:t>3</w:t>
            </w:r>
            <w:r>
              <w:rPr>
                <w:rFonts w:hint="eastAsia"/>
                <w:color w:val="auto"/>
                <w:lang w:val="en-US" w:eastAsia="zh-CN"/>
              </w:rPr>
              <w:t>。</w:t>
            </w:r>
          </w:p>
          <w:p w14:paraId="492C2FB1">
            <w:pPr>
              <w:pStyle w:val="29"/>
              <w:keepNext w:val="0"/>
              <w:keepLines w:val="0"/>
              <w:pageBreakBefore w:val="0"/>
              <w:widowControl w:val="0"/>
              <w:kinsoku/>
              <w:wordWrap/>
              <w:topLinePunct w:val="0"/>
              <w:autoSpaceDE w:val="0"/>
              <w:autoSpaceDN w:val="0"/>
              <w:bidi w:val="0"/>
              <w:adjustRightInd w:val="0"/>
              <w:snapToGrid w:val="0"/>
              <w:spacing w:line="480" w:lineRule="exact"/>
              <w:textAlignment w:val="auto"/>
              <w:rPr>
                <w:rFonts w:hint="eastAsia"/>
                <w:color w:val="auto"/>
                <w:sz w:val="21"/>
                <w:szCs w:val="18"/>
                <w:lang w:eastAsia="zh-CN"/>
              </w:rPr>
            </w:pPr>
            <w:r>
              <w:rPr>
                <w:color w:val="auto"/>
                <w:sz w:val="21"/>
                <w:szCs w:val="18"/>
              </w:rPr>
              <w:t>表</w:t>
            </w:r>
            <w:r>
              <w:rPr>
                <w:rFonts w:hint="eastAsia"/>
                <w:color w:val="auto"/>
                <w:sz w:val="21"/>
                <w:szCs w:val="18"/>
                <w:lang w:val="en-US" w:eastAsia="zh-CN"/>
              </w:rPr>
              <w:t>3.9-1</w:t>
            </w:r>
            <w:r>
              <w:rPr>
                <w:color w:val="auto"/>
                <w:sz w:val="21"/>
                <w:szCs w:val="18"/>
              </w:rPr>
              <w:t xml:space="preserve"> 本项目无组织废气排放执行标准</w:t>
            </w:r>
            <w:r>
              <w:rPr>
                <w:rFonts w:hint="eastAsia"/>
                <w:color w:val="auto"/>
                <w:sz w:val="21"/>
                <w:szCs w:val="18"/>
                <w:lang w:eastAsia="zh-CN"/>
              </w:rPr>
              <w:t>（</w:t>
            </w:r>
            <w:r>
              <w:rPr>
                <w:rFonts w:hint="eastAsia"/>
                <w:color w:val="auto"/>
                <w:sz w:val="21"/>
                <w:szCs w:val="18"/>
                <w:lang w:val="en-US" w:eastAsia="zh-CN"/>
              </w:rPr>
              <w:t>单位：</w:t>
            </w:r>
            <w:r>
              <w:rPr>
                <w:color w:val="auto"/>
                <w:sz w:val="21"/>
                <w:szCs w:val="18"/>
              </w:rPr>
              <w:t>mg/m</w:t>
            </w:r>
            <w:r>
              <w:rPr>
                <w:color w:val="auto"/>
                <w:sz w:val="21"/>
                <w:szCs w:val="18"/>
                <w:vertAlign w:val="superscript"/>
              </w:rPr>
              <w:t>3</w:t>
            </w:r>
            <w:r>
              <w:rPr>
                <w:rFonts w:hint="eastAsia"/>
                <w:color w:val="auto"/>
                <w:sz w:val="21"/>
                <w:szCs w:val="18"/>
                <w:lang w:eastAsia="zh-CN"/>
              </w:rPr>
              <w:t>）</w:t>
            </w:r>
          </w:p>
          <w:tbl>
            <w:tblPr>
              <w:tblStyle w:val="1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980"/>
              <w:gridCol w:w="1176"/>
              <w:gridCol w:w="1088"/>
              <w:gridCol w:w="1285"/>
              <w:gridCol w:w="2569"/>
            </w:tblGrid>
            <w:tr w14:paraId="39D6D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0F24F35A">
                  <w:pPr>
                    <w:pStyle w:val="3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污染物</w:t>
                  </w:r>
                </w:p>
              </w:tc>
              <w:tc>
                <w:tcPr>
                  <w:tcW w:w="1283" w:type="pct"/>
                  <w:gridSpan w:val="2"/>
                  <w:noWrap w:val="0"/>
                  <w:vAlign w:val="center"/>
                </w:tcPr>
                <w:p w14:paraId="09B2FF23">
                  <w:pPr>
                    <w:pStyle w:val="3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无组织排放浓度限值</w:t>
                  </w:r>
                </w:p>
              </w:tc>
              <w:tc>
                <w:tcPr>
                  <w:tcW w:w="1413" w:type="pct"/>
                  <w:gridSpan w:val="2"/>
                  <w:noWrap w:val="0"/>
                  <w:vAlign w:val="center"/>
                </w:tcPr>
                <w:p w14:paraId="4548D3B7">
                  <w:pPr>
                    <w:pStyle w:val="3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有组织排放浓度限值</w:t>
                  </w:r>
                </w:p>
              </w:tc>
              <w:tc>
                <w:tcPr>
                  <w:tcW w:w="1529" w:type="pct"/>
                  <w:noWrap w:val="0"/>
                  <w:vAlign w:val="center"/>
                </w:tcPr>
                <w:p w14:paraId="5419F341">
                  <w:pPr>
                    <w:pStyle w:val="3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标准来源</w:t>
                  </w:r>
                </w:p>
              </w:tc>
            </w:tr>
            <w:tr w14:paraId="08EFF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135D1CB4">
                  <w:pPr>
                    <w:pStyle w:val="3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583" w:type="pct"/>
                  <w:noWrap w:val="0"/>
                  <w:vAlign w:val="center"/>
                </w:tcPr>
                <w:p w14:paraId="2E52B055">
                  <w:pPr>
                    <w:pStyle w:val="35"/>
                    <w:bidi w:val="0"/>
                    <w:rPr>
                      <w:rFonts w:hint="default" w:ascii="Times New Roman" w:hAnsi="Times New Roman" w:eastAsia="宋体" w:cs="Times New Roman"/>
                      <w:color w:val="auto"/>
                      <w:lang w:val="en-US" w:eastAsia="zh-CN"/>
                    </w:rPr>
                  </w:pPr>
                  <w:r>
                    <w:rPr>
                      <w:rFonts w:hint="eastAsia" w:cs="Times New Roman"/>
                      <w:color w:val="auto"/>
                      <w:lang w:val="en-US" w:eastAsia="zh-CN"/>
                    </w:rPr>
                    <w:t>厂界上下风向差值</w:t>
                  </w:r>
                </w:p>
              </w:tc>
              <w:tc>
                <w:tcPr>
                  <w:tcW w:w="700" w:type="pct"/>
                  <w:noWrap w:val="0"/>
                  <w:vAlign w:val="center"/>
                </w:tcPr>
                <w:p w14:paraId="260CCF5B">
                  <w:pPr>
                    <w:pStyle w:val="3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0.5mg/m</w:t>
                  </w:r>
                  <w:r>
                    <w:rPr>
                      <w:rFonts w:hint="eastAsia" w:ascii="Times New Roman" w:hAnsi="Times New Roman" w:eastAsia="宋体" w:cs="Times New Roman"/>
                      <w:color w:val="auto"/>
                      <w:vertAlign w:val="superscript"/>
                      <w:lang w:val="en-US" w:eastAsia="zh-CN"/>
                    </w:rPr>
                    <w:t>3</w:t>
                  </w:r>
                </w:p>
              </w:tc>
              <w:tc>
                <w:tcPr>
                  <w:tcW w:w="647" w:type="pct"/>
                  <w:noWrap w:val="0"/>
                  <w:vAlign w:val="center"/>
                </w:tcPr>
                <w:p w14:paraId="56D47D08">
                  <w:pPr>
                    <w:pStyle w:val="35"/>
                    <w:bidi w:val="0"/>
                    <w:rPr>
                      <w:rFonts w:hint="default" w:ascii="Times New Roman" w:hAnsi="Times New Roman" w:eastAsia="宋体" w:cs="Times New Roman"/>
                      <w:color w:val="auto"/>
                      <w:lang w:val="en-US" w:eastAsia="zh-CN"/>
                    </w:rPr>
                  </w:pPr>
                  <w:r>
                    <w:rPr>
                      <w:rFonts w:hint="eastAsia" w:cs="Times New Roman"/>
                      <w:color w:val="auto"/>
                      <w:lang w:val="en-US" w:eastAsia="zh-CN"/>
                    </w:rPr>
                    <w:t>排气筒DA001</w:t>
                  </w:r>
                </w:p>
              </w:tc>
              <w:tc>
                <w:tcPr>
                  <w:tcW w:w="765" w:type="pct"/>
                  <w:noWrap w:val="0"/>
                  <w:vAlign w:val="center"/>
                </w:tcPr>
                <w:p w14:paraId="187CDFFE">
                  <w:pPr>
                    <w:pStyle w:val="3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10mg/m</w:t>
                  </w:r>
                  <w:r>
                    <w:rPr>
                      <w:rFonts w:hint="eastAsia" w:ascii="Times New Roman" w:hAnsi="Times New Roman" w:eastAsia="宋体" w:cs="Times New Roman"/>
                      <w:color w:val="auto"/>
                      <w:vertAlign w:val="superscript"/>
                      <w:lang w:val="en-US" w:eastAsia="zh-CN"/>
                    </w:rPr>
                    <w:t>3</w:t>
                  </w:r>
                </w:p>
              </w:tc>
              <w:tc>
                <w:tcPr>
                  <w:tcW w:w="1529" w:type="pct"/>
                  <w:noWrap w:val="0"/>
                  <w:vAlign w:val="center"/>
                </w:tcPr>
                <w:p w14:paraId="1D6AA93D">
                  <w:pPr>
                    <w:pStyle w:val="3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《水泥工业大气污染物排放标准》（GB4915-2013）</w:t>
                  </w:r>
                </w:p>
              </w:tc>
            </w:tr>
          </w:tbl>
          <w:p w14:paraId="1885149C">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rFonts w:hint="eastAsia"/>
                <w:b/>
                <w:bCs/>
                <w:color w:val="auto"/>
                <w:lang w:val="en-US" w:eastAsia="zh-CN"/>
              </w:rPr>
              <w:t>7.2</w:t>
            </w:r>
            <w:r>
              <w:rPr>
                <w:b/>
                <w:bCs/>
                <w:color w:val="auto"/>
              </w:rPr>
              <w:t>噪声排放标准</w:t>
            </w:r>
          </w:p>
          <w:p w14:paraId="65FF72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Cs w:val="24"/>
                <w:lang w:eastAsia="zh-CN" w:bidi="ar"/>
              </w:rPr>
            </w:pPr>
            <w:r>
              <w:rPr>
                <w:rFonts w:hint="eastAsia"/>
                <w:color w:val="auto"/>
                <w:lang w:val="en-US" w:eastAsia="zh-CN"/>
              </w:rPr>
              <w:t>施工期噪声执行</w:t>
            </w:r>
            <w:r>
              <w:rPr>
                <w:rFonts w:hint="eastAsia"/>
                <w:color w:val="auto"/>
                <w:szCs w:val="24"/>
                <w:lang w:bidi="ar"/>
              </w:rPr>
              <w:t>《建筑施工场界环境噪声排放标准》 （GB12523-2011）</w:t>
            </w:r>
            <w:r>
              <w:rPr>
                <w:rFonts w:hint="eastAsia"/>
                <w:color w:val="auto"/>
                <w:szCs w:val="24"/>
                <w:lang w:eastAsia="zh-CN" w:bidi="ar"/>
              </w:rPr>
              <w:t>；</w:t>
            </w:r>
          </w:p>
          <w:p w14:paraId="51765A15">
            <w:pPr>
              <w:pStyle w:val="29"/>
              <w:bidi w:val="0"/>
              <w:rPr>
                <w:color w:val="auto"/>
                <w:sz w:val="21"/>
                <w:szCs w:val="18"/>
              </w:rPr>
            </w:pPr>
            <w:r>
              <w:rPr>
                <w:rFonts w:hint="eastAsia"/>
                <w:color w:val="auto"/>
                <w:sz w:val="21"/>
                <w:szCs w:val="18"/>
              </w:rPr>
              <w:t>表</w:t>
            </w:r>
            <w:r>
              <w:rPr>
                <w:rFonts w:hint="eastAsia"/>
                <w:color w:val="auto"/>
                <w:sz w:val="21"/>
                <w:szCs w:val="18"/>
                <w:lang w:val="en-US" w:eastAsia="zh-CN"/>
              </w:rPr>
              <w:t>3.9-2</w:t>
            </w:r>
            <w:r>
              <w:rPr>
                <w:rFonts w:hint="eastAsia"/>
                <w:color w:val="auto"/>
                <w:sz w:val="21"/>
                <w:szCs w:val="18"/>
              </w:rPr>
              <w:t>建筑施工场界环境噪声</w:t>
            </w:r>
            <w:r>
              <w:rPr>
                <w:color w:val="auto"/>
                <w:sz w:val="21"/>
                <w:szCs w:val="18"/>
              </w:rPr>
              <w:t>排放限值    单位：dB（A）</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96"/>
              <w:gridCol w:w="4203"/>
            </w:tblGrid>
            <w:tr w14:paraId="35414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000" w:type="pct"/>
                  <w:gridSpan w:val="2"/>
                  <w:noWrap w:val="0"/>
                  <w:vAlign w:val="center"/>
                </w:tcPr>
                <w:p w14:paraId="505805B3">
                  <w:pPr>
                    <w:pStyle w:val="35"/>
                    <w:bidi w:val="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时段</w:t>
                  </w:r>
                </w:p>
              </w:tc>
            </w:tr>
            <w:tr w14:paraId="6CA7B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98" w:type="pct"/>
                  <w:noWrap w:val="0"/>
                  <w:vAlign w:val="center"/>
                </w:tcPr>
                <w:p w14:paraId="738F3F8B">
                  <w:pPr>
                    <w:pStyle w:val="35"/>
                    <w:bidi w:val="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昼间</w:t>
                  </w:r>
                </w:p>
              </w:tc>
              <w:tc>
                <w:tcPr>
                  <w:tcW w:w="2501" w:type="pct"/>
                  <w:noWrap w:val="0"/>
                  <w:vAlign w:val="center"/>
                </w:tcPr>
                <w:p w14:paraId="61A8C379">
                  <w:pPr>
                    <w:pStyle w:val="35"/>
                    <w:bidi w:val="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夜间</w:t>
                  </w:r>
                </w:p>
              </w:tc>
            </w:tr>
            <w:tr w14:paraId="04372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98" w:type="pct"/>
                  <w:noWrap w:val="0"/>
                  <w:vAlign w:val="center"/>
                </w:tcPr>
                <w:p w14:paraId="5672857B">
                  <w:pPr>
                    <w:pStyle w:val="35"/>
                    <w:bidi w:val="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2501" w:type="pct"/>
                  <w:noWrap w:val="0"/>
                  <w:vAlign w:val="center"/>
                </w:tcPr>
                <w:p w14:paraId="5834EBBC">
                  <w:pPr>
                    <w:pStyle w:val="35"/>
                    <w:bidi w:val="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w:t>
                  </w:r>
                </w:p>
              </w:tc>
            </w:tr>
          </w:tbl>
          <w:p w14:paraId="4AB187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rPr>
            </w:pPr>
            <w:r>
              <w:rPr>
                <w:color w:val="auto"/>
              </w:rPr>
              <w:t>厂界噪声执行《工业企业厂界环境噪声排放标准》（GB12348-2008）中的</w:t>
            </w:r>
            <w:r>
              <w:rPr>
                <w:rFonts w:hint="eastAsia"/>
                <w:color w:val="auto"/>
                <w:lang w:val="en-US" w:eastAsia="zh-CN"/>
              </w:rPr>
              <w:t>3</w:t>
            </w:r>
            <w:r>
              <w:rPr>
                <w:color w:val="auto"/>
              </w:rPr>
              <w:t>类区标准。</w:t>
            </w:r>
          </w:p>
          <w:p w14:paraId="4CA8F36F">
            <w:pPr>
              <w:pStyle w:val="29"/>
              <w:bidi w:val="0"/>
              <w:rPr>
                <w:color w:val="auto"/>
                <w:sz w:val="21"/>
                <w:szCs w:val="18"/>
              </w:rPr>
            </w:pPr>
            <w:r>
              <w:rPr>
                <w:rFonts w:hint="eastAsia"/>
                <w:color w:val="auto"/>
                <w:sz w:val="21"/>
                <w:szCs w:val="18"/>
              </w:rPr>
              <w:t>表</w:t>
            </w:r>
            <w:r>
              <w:rPr>
                <w:rFonts w:hint="eastAsia"/>
                <w:color w:val="auto"/>
                <w:sz w:val="21"/>
                <w:szCs w:val="18"/>
                <w:lang w:val="en-US" w:eastAsia="zh-CN"/>
              </w:rPr>
              <w:t>3.9-3</w:t>
            </w:r>
            <w:r>
              <w:rPr>
                <w:color w:val="auto"/>
                <w:sz w:val="21"/>
                <w:szCs w:val="18"/>
              </w:rPr>
              <w:t>工业企业厂界环境噪声排放限值    单位：dB（A）</w:t>
            </w:r>
          </w:p>
          <w:tbl>
            <w:tblPr>
              <w:tblStyle w:val="1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1"/>
              <w:gridCol w:w="2438"/>
              <w:gridCol w:w="2438"/>
            </w:tblGrid>
            <w:tr w14:paraId="0CD4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61" w:type="dxa"/>
                  <w:vMerge w:val="restart"/>
                  <w:tcBorders>
                    <w:top w:val="single" w:color="auto" w:sz="12" w:space="0"/>
                    <w:left w:val="single" w:color="auto" w:sz="12" w:space="0"/>
                  </w:tcBorders>
                  <w:noWrap w:val="0"/>
                  <w:vAlign w:val="center"/>
                </w:tcPr>
                <w:p w14:paraId="7963F4B7">
                  <w:pPr>
                    <w:pStyle w:val="35"/>
                    <w:bidi w:val="0"/>
                    <w:spacing w:line="240" w:lineRule="auto"/>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厂界外声环境功能区类别</w:t>
                  </w:r>
                </w:p>
              </w:tc>
              <w:tc>
                <w:tcPr>
                  <w:tcW w:w="4876" w:type="dxa"/>
                  <w:gridSpan w:val="2"/>
                  <w:tcBorders>
                    <w:top w:val="single" w:color="auto" w:sz="12" w:space="0"/>
                    <w:right w:val="single" w:color="auto" w:sz="12" w:space="0"/>
                  </w:tcBorders>
                  <w:noWrap w:val="0"/>
                  <w:vAlign w:val="center"/>
                </w:tcPr>
                <w:p w14:paraId="2B27693E">
                  <w:pPr>
                    <w:pStyle w:val="35"/>
                    <w:bidi w:val="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时段</w:t>
                  </w:r>
                </w:p>
              </w:tc>
            </w:tr>
            <w:tr w14:paraId="7047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61" w:type="dxa"/>
                  <w:vMerge w:val="continue"/>
                  <w:tcBorders>
                    <w:left w:val="single" w:color="auto" w:sz="12" w:space="0"/>
                  </w:tcBorders>
                  <w:noWrap w:val="0"/>
                  <w:vAlign w:val="center"/>
                </w:tcPr>
                <w:p w14:paraId="6A755A83">
                  <w:pPr>
                    <w:pStyle w:val="35"/>
                    <w:bidi w:val="0"/>
                    <w:spacing w:line="240" w:lineRule="auto"/>
                    <w:ind w:firstLine="0" w:firstLineChars="0"/>
                    <w:rPr>
                      <w:rFonts w:hint="eastAsia" w:ascii="Times New Roman" w:hAnsi="Times New Roman" w:eastAsia="宋体" w:cs="Times New Roman"/>
                      <w:color w:val="auto"/>
                      <w:lang w:val="en-US" w:eastAsia="zh-CN"/>
                    </w:rPr>
                  </w:pPr>
                </w:p>
              </w:tc>
              <w:tc>
                <w:tcPr>
                  <w:tcW w:w="2438" w:type="dxa"/>
                  <w:noWrap w:val="0"/>
                  <w:vAlign w:val="center"/>
                </w:tcPr>
                <w:p w14:paraId="63E05F94">
                  <w:pPr>
                    <w:pStyle w:val="35"/>
                    <w:bidi w:val="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昼间</w:t>
                  </w:r>
                </w:p>
              </w:tc>
              <w:tc>
                <w:tcPr>
                  <w:tcW w:w="2438" w:type="dxa"/>
                  <w:tcBorders>
                    <w:right w:val="single" w:color="auto" w:sz="12" w:space="0"/>
                  </w:tcBorders>
                  <w:noWrap w:val="0"/>
                  <w:vAlign w:val="center"/>
                </w:tcPr>
                <w:p w14:paraId="4475304A">
                  <w:pPr>
                    <w:pStyle w:val="35"/>
                    <w:bidi w:val="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夜间</w:t>
                  </w:r>
                </w:p>
              </w:tc>
            </w:tr>
            <w:tr w14:paraId="3072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61" w:type="dxa"/>
                  <w:tcBorders>
                    <w:left w:val="single" w:color="auto" w:sz="12" w:space="0"/>
                    <w:bottom w:val="single" w:color="auto" w:sz="12" w:space="0"/>
                  </w:tcBorders>
                  <w:noWrap w:val="0"/>
                  <w:vAlign w:val="center"/>
                </w:tcPr>
                <w:p w14:paraId="2410B700">
                  <w:pPr>
                    <w:pStyle w:val="35"/>
                    <w:bidi w:val="0"/>
                    <w:spacing w:line="240" w:lineRule="auto"/>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2438" w:type="dxa"/>
                  <w:tcBorders>
                    <w:bottom w:val="single" w:color="auto" w:sz="12" w:space="0"/>
                  </w:tcBorders>
                  <w:noWrap w:val="0"/>
                  <w:vAlign w:val="center"/>
                </w:tcPr>
                <w:p w14:paraId="24E7CCAA">
                  <w:pPr>
                    <w:pStyle w:val="35"/>
                    <w:bidi w:val="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2438" w:type="dxa"/>
                  <w:tcBorders>
                    <w:bottom w:val="single" w:color="auto" w:sz="12" w:space="0"/>
                    <w:right w:val="single" w:color="auto" w:sz="12" w:space="0"/>
                  </w:tcBorders>
                  <w:noWrap w:val="0"/>
                  <w:vAlign w:val="center"/>
                </w:tcPr>
                <w:p w14:paraId="132FD4C8">
                  <w:pPr>
                    <w:pStyle w:val="35"/>
                    <w:bidi w:val="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w:t>
                  </w:r>
                </w:p>
              </w:tc>
            </w:tr>
          </w:tbl>
          <w:p w14:paraId="30AECB07">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482" w:firstLineChars="200"/>
              <w:jc w:val="both"/>
              <w:textAlignment w:val="auto"/>
              <w:outlineLvl w:val="9"/>
              <w:rPr>
                <w:rFonts w:hint="default" w:ascii="Times New Roman" w:hAnsi="Times New Roman" w:eastAsia="宋体" w:cs="宋体"/>
                <w:b/>
                <w:bCs/>
                <w:color w:val="auto"/>
                <w:lang w:val="en-US" w:eastAsia="zh-CN"/>
              </w:rPr>
            </w:pPr>
            <w:r>
              <w:rPr>
                <w:rFonts w:hint="eastAsia" w:cs="宋体"/>
                <w:b/>
                <w:bCs/>
                <w:color w:val="auto"/>
                <w:lang w:val="en-US" w:eastAsia="zh-CN"/>
              </w:rPr>
              <w:t>7.3</w:t>
            </w:r>
            <w:r>
              <w:rPr>
                <w:rFonts w:hint="eastAsia" w:ascii="Times New Roman" w:hAnsi="Times New Roman" w:eastAsia="宋体" w:cs="宋体"/>
                <w:b/>
                <w:bCs/>
                <w:color w:val="auto"/>
                <w:lang w:val="en-US" w:eastAsia="zh-CN"/>
              </w:rPr>
              <w:t>水污染物排放标准</w:t>
            </w:r>
          </w:p>
          <w:p w14:paraId="561693B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480" w:firstLineChars="200"/>
              <w:jc w:val="both"/>
              <w:textAlignment w:val="auto"/>
              <w:outlineLvl w:val="9"/>
              <w:rPr>
                <w:rFonts w:hint="eastAsia"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本项目</w:t>
            </w:r>
            <w:r>
              <w:rPr>
                <w:rFonts w:hint="eastAsia" w:cs="宋体"/>
                <w:color w:val="auto"/>
                <w:lang w:val="en-US" w:eastAsia="zh-CN"/>
              </w:rPr>
              <w:t>无</w:t>
            </w:r>
            <w:r>
              <w:rPr>
                <w:rFonts w:hint="eastAsia" w:eastAsia="宋体" w:cs="宋体"/>
                <w:color w:val="auto"/>
                <w:lang w:val="en-US" w:eastAsia="zh-CN"/>
              </w:rPr>
              <w:t>生产废水。</w:t>
            </w:r>
            <w:r>
              <w:rPr>
                <w:rFonts w:hint="default" w:ascii="Times New Roman" w:hAnsi="Times New Roman" w:eastAsia="宋体" w:cs="宋体"/>
                <w:color w:val="auto"/>
                <w:lang w:val="en-US" w:eastAsia="zh-CN"/>
              </w:rPr>
              <w:t>生活污水</w:t>
            </w:r>
            <w:r>
              <w:rPr>
                <w:rFonts w:hint="eastAsia" w:cs="宋体"/>
                <w:color w:val="auto"/>
                <w:lang w:val="en-US" w:eastAsia="zh-CN"/>
              </w:rPr>
              <w:t>排放至园区管网</w:t>
            </w:r>
            <w:r>
              <w:rPr>
                <w:rFonts w:hint="eastAsia" w:ascii="Times New Roman" w:hAnsi="Times New Roman" w:eastAsia="宋体" w:cs="宋体"/>
                <w:color w:val="auto"/>
                <w:lang w:val="en-US" w:eastAsia="zh-CN"/>
              </w:rPr>
              <w:t>，生活污水</w:t>
            </w:r>
            <w:r>
              <w:rPr>
                <w:rFonts w:hint="default" w:ascii="Times New Roman" w:hAnsi="Times New Roman" w:eastAsia="宋体" w:cs="宋体"/>
                <w:color w:val="auto"/>
                <w:lang w:val="en-US" w:eastAsia="zh-CN"/>
              </w:rPr>
              <w:t>执行《</w:t>
            </w:r>
            <w:r>
              <w:rPr>
                <w:rFonts w:hint="eastAsia" w:ascii="Times New Roman" w:hAnsi="Times New Roman" w:eastAsia="宋体" w:cs="宋体"/>
                <w:color w:val="auto"/>
                <w:lang w:val="en-US" w:eastAsia="zh-CN"/>
              </w:rPr>
              <w:t>污水综合</w:t>
            </w:r>
            <w:r>
              <w:rPr>
                <w:rFonts w:hint="default" w:ascii="Times New Roman" w:hAnsi="Times New Roman" w:eastAsia="宋体" w:cs="宋体"/>
                <w:color w:val="auto"/>
                <w:lang w:val="en-US" w:eastAsia="zh-CN"/>
              </w:rPr>
              <w:t>排放标准》（</w:t>
            </w:r>
            <w:r>
              <w:rPr>
                <w:rFonts w:hint="eastAsia" w:ascii="Times New Roman" w:hAnsi="Times New Roman" w:eastAsia="宋体" w:cs="宋体"/>
                <w:color w:val="auto"/>
                <w:lang w:val="en-US" w:eastAsia="zh-CN"/>
              </w:rPr>
              <w:t>GB8978</w:t>
            </w:r>
            <w:r>
              <w:rPr>
                <w:rFonts w:hint="default" w:ascii="Times New Roman" w:hAnsi="Times New Roman" w:eastAsia="宋体" w:cs="宋体"/>
                <w:color w:val="auto"/>
                <w:lang w:val="en-US" w:eastAsia="zh-CN"/>
              </w:rPr>
              <w:t>-</w:t>
            </w:r>
            <w:r>
              <w:rPr>
                <w:rFonts w:hint="eastAsia" w:ascii="Times New Roman" w:hAnsi="Times New Roman" w:eastAsia="宋体" w:cs="宋体"/>
                <w:color w:val="auto"/>
                <w:lang w:val="en-US" w:eastAsia="zh-CN"/>
              </w:rPr>
              <w:t>1996</w:t>
            </w:r>
            <w:r>
              <w:rPr>
                <w:rFonts w:hint="default" w:ascii="Times New Roman" w:hAnsi="Times New Roman" w:eastAsia="宋体" w:cs="宋体"/>
                <w:color w:val="auto"/>
                <w:lang w:val="en-US" w:eastAsia="zh-CN"/>
              </w:rPr>
              <w:t>）表4 第二类污染物最高允许排放浓度三级标准。</w:t>
            </w:r>
          </w:p>
          <w:p w14:paraId="7988C392">
            <w:pPr>
              <w:widowControl w:val="0"/>
              <w:overflowPunct w:val="0"/>
              <w:autoSpaceDE w:val="0"/>
              <w:autoSpaceDN w:val="0"/>
              <w:adjustRightInd w:val="0"/>
              <w:snapToGrid w:val="0"/>
              <w:spacing w:before="0" w:after="0" w:line="360" w:lineRule="auto"/>
              <w:ind w:left="0" w:right="0" w:firstLine="0" w:firstLineChars="0"/>
              <w:jc w:val="center"/>
              <w:rPr>
                <w:rFonts w:hint="default" w:ascii="Times New Roman" w:hAnsi="Times New Roman" w:eastAsia="宋体" w:cs="宋体"/>
                <w:b/>
                <w:color w:val="auto"/>
                <w:sz w:val="24"/>
                <w:szCs w:val="24"/>
                <w:lang w:val="en-US" w:eastAsia="zh-CN" w:bidi="ar-SA"/>
              </w:rPr>
            </w:pPr>
            <w:r>
              <w:rPr>
                <w:rFonts w:hint="eastAsia" w:ascii="Times New Roman" w:hAnsi="Times New Roman" w:eastAsia="宋体" w:cs="宋体"/>
                <w:b/>
                <w:color w:val="auto"/>
                <w:sz w:val="24"/>
                <w:szCs w:val="24"/>
                <w:lang w:val="en-US" w:eastAsia="zh-CN" w:bidi="ar-SA"/>
              </w:rPr>
              <w:t>表3.</w:t>
            </w:r>
            <w:r>
              <w:rPr>
                <w:rFonts w:hint="eastAsia" w:cs="宋体"/>
                <w:b/>
                <w:color w:val="auto"/>
                <w:sz w:val="24"/>
                <w:szCs w:val="24"/>
                <w:lang w:val="en-US" w:eastAsia="zh-CN" w:bidi="ar-SA"/>
              </w:rPr>
              <w:t>7</w:t>
            </w:r>
            <w:r>
              <w:rPr>
                <w:rFonts w:hint="eastAsia" w:ascii="Times New Roman" w:hAnsi="Times New Roman" w:eastAsia="宋体" w:cs="宋体"/>
                <w:b/>
                <w:color w:val="auto"/>
                <w:sz w:val="24"/>
                <w:szCs w:val="24"/>
                <w:lang w:val="en-US" w:eastAsia="zh-CN" w:bidi="ar-SA"/>
              </w:rPr>
              <w:t xml:space="preserve">-2生活污水排放标准限值 单位：mg/L </w:t>
            </w:r>
          </w:p>
          <w:tbl>
            <w:tblPr>
              <w:tblStyle w:val="1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209"/>
              <w:gridCol w:w="2513"/>
              <w:gridCol w:w="1255"/>
              <w:gridCol w:w="1527"/>
            </w:tblGrid>
            <w:tr w14:paraId="167FC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209" w:type="dxa"/>
                  <w:vMerge w:val="restart"/>
                  <w:tcBorders>
                    <w:tl2br w:val="nil"/>
                    <w:tr2bl w:val="nil"/>
                  </w:tcBorders>
                  <w:noWrap w:val="0"/>
                  <w:vAlign w:val="center"/>
                </w:tcPr>
                <w:p w14:paraId="1514B3CD">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标准号</w:t>
                  </w:r>
                </w:p>
              </w:tc>
              <w:tc>
                <w:tcPr>
                  <w:tcW w:w="2513" w:type="dxa"/>
                  <w:vMerge w:val="restart"/>
                  <w:tcBorders>
                    <w:tl2br w:val="nil"/>
                    <w:tr2bl w:val="nil"/>
                  </w:tcBorders>
                  <w:noWrap w:val="0"/>
                  <w:vAlign w:val="center"/>
                </w:tcPr>
                <w:p w14:paraId="4FC83814">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污染因子</w:t>
                  </w:r>
                </w:p>
              </w:tc>
              <w:tc>
                <w:tcPr>
                  <w:tcW w:w="1255" w:type="dxa"/>
                  <w:vMerge w:val="restart"/>
                  <w:tcBorders>
                    <w:tl2br w:val="nil"/>
                    <w:tr2bl w:val="nil"/>
                  </w:tcBorders>
                  <w:noWrap w:val="0"/>
                  <w:vAlign w:val="center"/>
                </w:tcPr>
                <w:p w14:paraId="1396297D">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单位</w:t>
                  </w:r>
                </w:p>
              </w:tc>
              <w:tc>
                <w:tcPr>
                  <w:tcW w:w="1527" w:type="dxa"/>
                  <w:tcBorders>
                    <w:tl2br w:val="nil"/>
                    <w:tr2bl w:val="nil"/>
                  </w:tcBorders>
                  <w:noWrap w:val="0"/>
                  <w:vAlign w:val="center"/>
                </w:tcPr>
                <w:p w14:paraId="2B6EAA57">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标准值</w:t>
                  </w:r>
                </w:p>
              </w:tc>
            </w:tr>
            <w:tr w14:paraId="14758C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209" w:type="dxa"/>
                  <w:vMerge w:val="continue"/>
                  <w:tcBorders>
                    <w:tl2br w:val="nil"/>
                    <w:tr2bl w:val="nil"/>
                  </w:tcBorders>
                  <w:noWrap w:val="0"/>
                  <w:vAlign w:val="center"/>
                </w:tcPr>
                <w:p w14:paraId="3B1F7700">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513" w:type="dxa"/>
                  <w:vMerge w:val="continue"/>
                  <w:tcBorders>
                    <w:tl2br w:val="nil"/>
                    <w:tr2bl w:val="nil"/>
                  </w:tcBorders>
                  <w:noWrap w:val="0"/>
                  <w:vAlign w:val="center"/>
                </w:tcPr>
                <w:p w14:paraId="24B3F13C">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55" w:type="dxa"/>
                  <w:vMerge w:val="continue"/>
                  <w:tcBorders>
                    <w:tl2br w:val="nil"/>
                    <w:tr2bl w:val="nil"/>
                  </w:tcBorders>
                  <w:noWrap w:val="0"/>
                  <w:vAlign w:val="center"/>
                </w:tcPr>
                <w:p w14:paraId="69F39ADF">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27" w:type="dxa"/>
                  <w:tcBorders>
                    <w:tl2br w:val="nil"/>
                    <w:tr2bl w:val="nil"/>
                  </w:tcBorders>
                  <w:noWrap w:val="0"/>
                  <w:vAlign w:val="center"/>
                </w:tcPr>
                <w:p w14:paraId="6E916B1D">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企业生活污水总排放口</w:t>
                  </w:r>
                </w:p>
              </w:tc>
            </w:tr>
            <w:tr w14:paraId="604E48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209" w:type="dxa"/>
                  <w:vMerge w:val="restart"/>
                  <w:tcBorders>
                    <w:tl2br w:val="nil"/>
                    <w:tr2bl w:val="nil"/>
                  </w:tcBorders>
                  <w:noWrap w:val="0"/>
                  <w:vAlign w:val="center"/>
                </w:tcPr>
                <w:p w14:paraId="45EF02F0">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《污水综合排放标准》（GB8978-1996）表4 第二类污染物最高允许排放浓度三级标准</w:t>
                  </w:r>
                </w:p>
              </w:tc>
              <w:tc>
                <w:tcPr>
                  <w:tcW w:w="2513" w:type="dxa"/>
                  <w:tcBorders>
                    <w:tl2br w:val="nil"/>
                    <w:tr2bl w:val="nil"/>
                  </w:tcBorders>
                  <w:noWrap w:val="0"/>
                  <w:vAlign w:val="center"/>
                </w:tcPr>
                <w:p w14:paraId="5C57D1FA">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w:t>
                  </w:r>
                </w:p>
              </w:tc>
              <w:tc>
                <w:tcPr>
                  <w:tcW w:w="1255" w:type="dxa"/>
                  <w:tcBorders>
                    <w:tl2br w:val="nil"/>
                    <w:tr2bl w:val="nil"/>
                  </w:tcBorders>
                  <w:noWrap w:val="0"/>
                  <w:vAlign w:val="center"/>
                </w:tcPr>
                <w:p w14:paraId="6D680F74">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527" w:type="dxa"/>
                  <w:tcBorders>
                    <w:tl2br w:val="nil"/>
                    <w:tr2bl w:val="nil"/>
                  </w:tcBorders>
                  <w:noWrap w:val="0"/>
                  <w:vAlign w:val="center"/>
                </w:tcPr>
                <w:p w14:paraId="60102C36">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r>
            <w:tr w14:paraId="7B5546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209" w:type="dxa"/>
                  <w:vMerge w:val="continue"/>
                  <w:tcBorders>
                    <w:tl2br w:val="nil"/>
                    <w:tr2bl w:val="nil"/>
                  </w:tcBorders>
                  <w:noWrap w:val="0"/>
                  <w:vAlign w:val="center"/>
                </w:tcPr>
                <w:p w14:paraId="6D65F246">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513" w:type="dxa"/>
                  <w:tcBorders>
                    <w:tl2br w:val="nil"/>
                    <w:tr2bl w:val="nil"/>
                  </w:tcBorders>
                  <w:noWrap w:val="0"/>
                  <w:vAlign w:val="center"/>
                </w:tcPr>
                <w:p w14:paraId="41E38DC9">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COD</w:t>
                  </w:r>
                </w:p>
              </w:tc>
              <w:tc>
                <w:tcPr>
                  <w:tcW w:w="1255" w:type="dxa"/>
                  <w:tcBorders>
                    <w:tl2br w:val="nil"/>
                    <w:tr2bl w:val="nil"/>
                  </w:tcBorders>
                  <w:noWrap w:val="0"/>
                  <w:vAlign w:val="center"/>
                </w:tcPr>
                <w:p w14:paraId="28C7F883">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1527" w:type="dxa"/>
                  <w:tcBorders>
                    <w:tl2br w:val="nil"/>
                    <w:tr2bl w:val="nil"/>
                  </w:tcBorders>
                  <w:noWrap w:val="0"/>
                  <w:vAlign w:val="center"/>
                </w:tcPr>
                <w:p w14:paraId="42A84935">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500</w:t>
                  </w:r>
                </w:p>
              </w:tc>
            </w:tr>
            <w:tr w14:paraId="47081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209" w:type="dxa"/>
                  <w:vMerge w:val="continue"/>
                  <w:tcBorders>
                    <w:tl2br w:val="nil"/>
                    <w:tr2bl w:val="nil"/>
                  </w:tcBorders>
                  <w:noWrap w:val="0"/>
                  <w:vAlign w:val="center"/>
                </w:tcPr>
                <w:p w14:paraId="1A677545">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513" w:type="dxa"/>
                  <w:tcBorders>
                    <w:tl2br w:val="nil"/>
                    <w:tr2bl w:val="nil"/>
                  </w:tcBorders>
                  <w:noWrap w:val="0"/>
                  <w:vAlign w:val="center"/>
                </w:tcPr>
                <w:p w14:paraId="68A99551">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SS</w:t>
                  </w:r>
                </w:p>
              </w:tc>
              <w:tc>
                <w:tcPr>
                  <w:tcW w:w="1255" w:type="dxa"/>
                  <w:tcBorders>
                    <w:tl2br w:val="nil"/>
                    <w:tr2bl w:val="nil"/>
                  </w:tcBorders>
                  <w:noWrap w:val="0"/>
                  <w:vAlign w:val="center"/>
                </w:tcPr>
                <w:p w14:paraId="361FC7AA">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1527" w:type="dxa"/>
                  <w:tcBorders>
                    <w:tl2br w:val="nil"/>
                    <w:tr2bl w:val="nil"/>
                  </w:tcBorders>
                  <w:noWrap w:val="0"/>
                  <w:vAlign w:val="center"/>
                </w:tcPr>
                <w:p w14:paraId="5E0201D7">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400</w:t>
                  </w:r>
                </w:p>
              </w:tc>
            </w:tr>
            <w:tr w14:paraId="2C0EB9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209" w:type="dxa"/>
                  <w:vMerge w:val="continue"/>
                  <w:tcBorders>
                    <w:tl2br w:val="nil"/>
                    <w:tr2bl w:val="nil"/>
                  </w:tcBorders>
                  <w:noWrap w:val="0"/>
                  <w:vAlign w:val="center"/>
                </w:tcPr>
                <w:p w14:paraId="03CEA010">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513" w:type="dxa"/>
                  <w:tcBorders>
                    <w:tl2br w:val="nil"/>
                    <w:tr2bl w:val="nil"/>
                  </w:tcBorders>
                  <w:noWrap w:val="0"/>
                  <w:vAlign w:val="center"/>
                </w:tcPr>
                <w:p w14:paraId="26869DED">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BOD</w:t>
                  </w:r>
                </w:p>
              </w:tc>
              <w:tc>
                <w:tcPr>
                  <w:tcW w:w="1255" w:type="dxa"/>
                  <w:tcBorders>
                    <w:tl2br w:val="nil"/>
                    <w:tr2bl w:val="nil"/>
                  </w:tcBorders>
                  <w:noWrap w:val="0"/>
                  <w:vAlign w:val="center"/>
                </w:tcPr>
                <w:p w14:paraId="51750A90">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1527" w:type="dxa"/>
                  <w:tcBorders>
                    <w:tl2br w:val="nil"/>
                    <w:tr2bl w:val="nil"/>
                  </w:tcBorders>
                  <w:noWrap w:val="0"/>
                  <w:vAlign w:val="center"/>
                </w:tcPr>
                <w:p w14:paraId="500E5E19">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w:t>
                  </w:r>
                </w:p>
              </w:tc>
            </w:tr>
            <w:tr w14:paraId="07357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209" w:type="dxa"/>
                  <w:vMerge w:val="continue"/>
                  <w:tcBorders>
                    <w:tl2br w:val="nil"/>
                    <w:tr2bl w:val="nil"/>
                  </w:tcBorders>
                  <w:noWrap w:val="0"/>
                  <w:vAlign w:val="center"/>
                </w:tcPr>
                <w:p w14:paraId="0312DA7B">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513" w:type="dxa"/>
                  <w:tcBorders>
                    <w:tl2br w:val="nil"/>
                    <w:tr2bl w:val="nil"/>
                  </w:tcBorders>
                  <w:noWrap w:val="0"/>
                  <w:vAlign w:val="center"/>
                </w:tcPr>
                <w:p w14:paraId="6AB51ABE">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1255" w:type="dxa"/>
                  <w:tcBorders>
                    <w:tl2br w:val="nil"/>
                    <w:tr2bl w:val="nil"/>
                  </w:tcBorders>
                  <w:noWrap w:val="0"/>
                  <w:vAlign w:val="center"/>
                </w:tcPr>
                <w:p w14:paraId="7854AF4F">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1527" w:type="dxa"/>
                  <w:tcBorders>
                    <w:tl2br w:val="nil"/>
                    <w:tr2bl w:val="nil"/>
                  </w:tcBorders>
                  <w:noWrap w:val="0"/>
                  <w:vAlign w:val="center"/>
                </w:tcPr>
                <w:p w14:paraId="050F3A82">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bl>
          <w:p w14:paraId="64C437D7">
            <w:pPr>
              <w:overflowPunct w:val="0"/>
              <w:autoSpaceDE w:val="0"/>
              <w:autoSpaceDN w:val="0"/>
              <w:bidi w:val="0"/>
              <w:adjustRightInd w:val="0"/>
              <w:snapToGrid w:val="0"/>
              <w:spacing w:before="0" w:after="0" w:line="360" w:lineRule="auto"/>
              <w:ind w:left="0" w:right="0" w:firstLine="482" w:firstLineChars="200"/>
              <w:jc w:val="left"/>
              <w:rPr>
                <w:rFonts w:hint="eastAsia" w:ascii="Times New Roman" w:hAnsi="Times New Roman" w:eastAsia="宋体" w:cs="宋体"/>
                <w:b/>
                <w:bCs/>
                <w:color w:val="auto"/>
              </w:rPr>
            </w:pPr>
            <w:r>
              <w:rPr>
                <w:rFonts w:hint="eastAsia" w:cs="宋体"/>
                <w:b/>
                <w:bCs/>
                <w:color w:val="auto"/>
                <w:lang w:val="en-US" w:eastAsia="zh-CN"/>
              </w:rPr>
              <w:t>7.4</w:t>
            </w:r>
            <w:r>
              <w:rPr>
                <w:rFonts w:hint="eastAsia" w:ascii="Times New Roman" w:hAnsi="Times New Roman" w:eastAsia="宋体" w:cs="宋体"/>
                <w:b/>
                <w:bCs/>
                <w:color w:val="auto"/>
              </w:rPr>
              <w:t>固体废物</w:t>
            </w:r>
            <w:r>
              <w:rPr>
                <w:rFonts w:hint="eastAsia" w:ascii="Times New Roman" w:hAnsi="Times New Roman" w:eastAsia="宋体" w:cs="宋体"/>
                <w:b/>
                <w:bCs/>
                <w:color w:val="auto"/>
                <w:lang w:eastAsia="zh-CN"/>
              </w:rPr>
              <w:t>排放执行标准</w:t>
            </w:r>
          </w:p>
          <w:p w14:paraId="69378CB4">
            <w:pPr>
              <w:overflowPunct w:val="0"/>
              <w:autoSpaceDE w:val="0"/>
              <w:autoSpaceDN w:val="0"/>
              <w:adjustRightInd w:val="0"/>
              <w:snapToGrid w:val="0"/>
              <w:spacing w:line="360" w:lineRule="auto"/>
              <w:ind w:firstLine="480" w:firstLineChars="200"/>
              <w:jc w:val="both"/>
              <w:rPr>
                <w:rFonts w:hint="eastAsia" w:ascii="Times New Roman" w:hAnsi="Times New Roman" w:eastAsia="宋体" w:cs="宋体"/>
                <w:snapToGrid w:val="0"/>
                <w:color w:val="auto"/>
                <w:sz w:val="24"/>
                <w:szCs w:val="21"/>
                <w:lang w:val="en-US" w:eastAsia="zh-CN" w:bidi="ar-SA"/>
              </w:rPr>
            </w:pPr>
            <w:r>
              <w:rPr>
                <w:rFonts w:hint="default" w:ascii="Times New Roman" w:hAnsi="Times New Roman" w:eastAsia="宋体" w:cs="Times New Roman"/>
                <w:color w:val="auto"/>
              </w:rPr>
              <w:t>一般固体废物执行</w:t>
            </w:r>
            <w:r>
              <w:rPr>
                <w:rFonts w:hint="default" w:ascii="Times New Roman" w:hAnsi="Times New Roman" w:eastAsia="宋体" w:cs="Times New Roman"/>
                <w:color w:val="auto"/>
                <w:lang w:eastAsia="zh-CN"/>
              </w:rPr>
              <w:t>《一般工业固体废物贮存和填埋场污染控制标准》（GB18599-2020）；</w:t>
            </w:r>
            <w:r>
              <w:rPr>
                <w:rFonts w:hint="eastAsia" w:eastAsia="宋体" w:cs="Times New Roman"/>
                <w:color w:val="auto"/>
                <w:lang w:val="en-US" w:eastAsia="zh-CN"/>
              </w:rPr>
              <w:t>运营期</w:t>
            </w:r>
            <w:r>
              <w:rPr>
                <w:rFonts w:hint="default" w:ascii="Times New Roman" w:hAnsi="Times New Roman" w:eastAsia="宋体" w:cs="Times New Roman"/>
                <w:color w:val="auto"/>
              </w:rPr>
              <w:t>危险废物在厂区内的贮存执行《危险废物贮存污染控制标准》（GB18597-20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p>
        </w:tc>
      </w:tr>
      <w:tr w14:paraId="405B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atLeast"/>
          <w:jc w:val="center"/>
        </w:trPr>
        <w:tc>
          <w:tcPr>
            <w:tcW w:w="426" w:type="dxa"/>
            <w:vAlign w:val="center"/>
          </w:tcPr>
          <w:p w14:paraId="5D5ED71F">
            <w:pPr>
              <w:overflowPunct w:val="0"/>
              <w:autoSpaceDE w:val="0"/>
              <w:autoSpaceDN w:val="0"/>
              <w:adjustRightInd w:val="0"/>
              <w:snapToGrid w:val="0"/>
              <w:spacing w:line="500" w:lineRule="exact"/>
              <w:jc w:val="center"/>
              <w:rPr>
                <w:rFonts w:ascii="Times New Roman" w:hAnsi="Times New Roman" w:eastAsia="宋体" w:cs="宋体"/>
                <w:color w:val="auto"/>
              </w:rPr>
            </w:pPr>
            <w:r>
              <w:rPr>
                <w:rFonts w:hint="eastAsia" w:ascii="Times New Roman" w:hAnsi="Times New Roman" w:eastAsia="宋体" w:cs="宋体"/>
                <w:color w:val="auto"/>
              </w:rPr>
              <w:t>总量控制标准</w:t>
            </w:r>
          </w:p>
        </w:tc>
        <w:tc>
          <w:tcPr>
            <w:tcW w:w="8645" w:type="dxa"/>
          </w:tcPr>
          <w:p w14:paraId="1B510780">
            <w:pPr>
              <w:overflowPunct w:val="0"/>
              <w:autoSpaceDE w:val="0"/>
              <w:autoSpaceDN w:val="0"/>
              <w:adjustRightInd w:val="0"/>
              <w:snapToGrid w:val="0"/>
              <w:spacing w:line="560" w:lineRule="exact"/>
              <w:jc w:val="left"/>
              <w:outlineLvl w:val="1"/>
              <w:rPr>
                <w:rFonts w:ascii="Times New Roman" w:hAnsi="Times New Roman" w:eastAsia="宋体" w:cs="黑体"/>
                <w:b/>
                <w:color w:val="auto"/>
                <w:sz w:val="28"/>
                <w:szCs w:val="30"/>
                <w:highlight w:val="none"/>
              </w:rPr>
            </w:pPr>
            <w:r>
              <w:rPr>
                <w:rFonts w:hint="eastAsia" w:cs="黑体"/>
                <w:b/>
                <w:color w:val="auto"/>
                <w:sz w:val="28"/>
                <w:szCs w:val="30"/>
                <w:highlight w:val="none"/>
                <w:lang w:val="en-US" w:eastAsia="zh-CN"/>
              </w:rPr>
              <w:t>8、</w:t>
            </w:r>
            <w:r>
              <w:rPr>
                <w:rFonts w:hint="eastAsia" w:ascii="Times New Roman" w:hAnsi="Times New Roman" w:eastAsia="宋体" w:cs="黑体"/>
                <w:b/>
                <w:color w:val="auto"/>
                <w:sz w:val="28"/>
                <w:szCs w:val="30"/>
                <w:highlight w:val="none"/>
              </w:rPr>
              <w:t>总量控制标准</w:t>
            </w:r>
          </w:p>
          <w:p w14:paraId="2B3CE2E3">
            <w:pPr>
              <w:overflowPunct w:val="0"/>
              <w:autoSpaceDE w:val="0"/>
              <w:autoSpaceDN w:val="0"/>
              <w:adjustRightInd w:val="0"/>
              <w:snapToGrid w:val="0"/>
              <w:spacing w:line="500" w:lineRule="exact"/>
              <w:ind w:firstLine="480" w:firstLineChars="20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根据自治区党委自治区人民政府印发的</w:t>
            </w:r>
            <w:r>
              <w:rPr>
                <w:rFonts w:hint="eastAsia" w:ascii="Times New Roman" w:hAnsi="Times New Roman" w:eastAsia="宋体" w:cs="Times New Roman"/>
                <w:color w:val="auto"/>
                <w:highlight w:val="none"/>
              </w:rPr>
              <w:t>《新疆生态环境保护“十四五”规划》</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新疆“</w:t>
            </w:r>
            <w:r>
              <w:rPr>
                <w:rFonts w:ascii="Times New Roman" w:hAnsi="Times New Roman" w:eastAsia="宋体" w:cs="Times New Roman"/>
                <w:color w:val="auto"/>
                <w:highlight w:val="none"/>
              </w:rPr>
              <w:t>十四五</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生态环境保护规划</w:t>
            </w:r>
            <w:r>
              <w:rPr>
                <w:rFonts w:hint="eastAsia" w:ascii="Times New Roman" w:hAnsi="Times New Roman" w:eastAsia="宋体" w:cs="Times New Roman"/>
                <w:color w:val="auto"/>
                <w:highlight w:val="none"/>
              </w:rPr>
              <w:t>总量控制指标为</w:t>
            </w:r>
            <w:r>
              <w:rPr>
                <w:rFonts w:ascii="Times New Roman" w:hAnsi="Times New Roman" w:eastAsia="宋体" w:cs="Times New Roman"/>
                <w:color w:val="auto"/>
                <w:highlight w:val="none"/>
              </w:rPr>
              <w:t>COD、氨氮、氮氧化物和VOCs。</w:t>
            </w:r>
          </w:p>
          <w:p w14:paraId="18B4A365">
            <w:pPr>
              <w:overflowPunct w:val="0"/>
              <w:autoSpaceDE w:val="0"/>
              <w:autoSpaceDN w:val="0"/>
              <w:adjustRightInd w:val="0"/>
              <w:snapToGrid w:val="0"/>
              <w:spacing w:before="0" w:after="0" w:line="500" w:lineRule="exact"/>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Cs w:val="24"/>
                <w:highlight w:val="none"/>
              </w:rPr>
              <w:t>本项目</w:t>
            </w:r>
            <w:r>
              <w:rPr>
                <w:rFonts w:hint="eastAsia" w:ascii="Times New Roman" w:hAnsi="Times New Roman" w:eastAsia="宋体" w:cs="Times New Roman"/>
                <w:color w:val="auto"/>
                <w:kern w:val="2"/>
                <w:szCs w:val="24"/>
                <w:highlight w:val="none"/>
              </w:rPr>
              <w:t>生活污水排入</w:t>
            </w:r>
            <w:r>
              <w:rPr>
                <w:rFonts w:hint="eastAsia" w:ascii="Times New Roman" w:hAnsi="Times New Roman" w:eastAsia="宋体" w:cs="Times New Roman"/>
                <w:color w:val="auto"/>
                <w:kern w:val="2"/>
                <w:szCs w:val="24"/>
                <w:highlight w:val="none"/>
                <w:lang w:val="en-US" w:eastAsia="zh-CN"/>
              </w:rPr>
              <w:t>污水处理厂</w:t>
            </w:r>
            <w:r>
              <w:rPr>
                <w:rFonts w:hint="eastAsia" w:ascii="Times New Roman" w:hAnsi="Times New Roman" w:eastAsia="宋体" w:cs="Times New Roman"/>
                <w:color w:val="auto"/>
                <w:kern w:val="2"/>
                <w:szCs w:val="24"/>
                <w:highlight w:val="none"/>
              </w:rPr>
              <w:t>，由污水处理厂进行调控</w:t>
            </w:r>
            <w:r>
              <w:rPr>
                <w:rFonts w:ascii="Times New Roman" w:hAnsi="Times New Roman" w:eastAsia="宋体" w:cs="Times New Roman"/>
                <w:color w:val="auto"/>
                <w:kern w:val="2"/>
                <w:szCs w:val="24"/>
                <w:highlight w:val="none"/>
              </w:rPr>
              <w:t>。</w:t>
            </w:r>
            <w:r>
              <w:rPr>
                <w:rFonts w:hint="eastAsia" w:ascii="Times New Roman" w:hAnsi="Times New Roman" w:eastAsia="宋体" w:cs="Times New Roman"/>
                <w:color w:val="auto"/>
                <w:highlight w:val="none"/>
              </w:rPr>
              <w:t>本项目可</w:t>
            </w:r>
            <w:r>
              <w:rPr>
                <w:rFonts w:hint="eastAsia" w:cs="Times New Roman"/>
                <w:color w:val="auto"/>
                <w:highlight w:val="none"/>
                <w:lang w:val="en-US" w:eastAsia="zh-CN"/>
              </w:rPr>
              <w:t>不</w:t>
            </w:r>
            <w:r>
              <w:rPr>
                <w:rFonts w:hint="eastAsia" w:ascii="Times New Roman" w:hAnsi="Times New Roman" w:eastAsia="宋体" w:cs="Times New Roman"/>
                <w:color w:val="auto"/>
                <w:highlight w:val="none"/>
              </w:rPr>
              <w:t>申请</w:t>
            </w:r>
            <w:r>
              <w:rPr>
                <w:rFonts w:hint="eastAsia" w:cs="Times New Roman"/>
                <w:color w:val="auto"/>
                <w:highlight w:val="none"/>
                <w:lang w:val="en-US" w:eastAsia="zh-CN"/>
              </w:rPr>
              <w:t>水</w:t>
            </w:r>
            <w:r>
              <w:rPr>
                <w:rFonts w:hint="eastAsia" w:ascii="Times New Roman" w:hAnsi="Times New Roman" w:eastAsia="宋体" w:cs="Times New Roman"/>
                <w:color w:val="auto"/>
                <w:highlight w:val="none"/>
              </w:rPr>
              <w:t>污染物总量指标</w:t>
            </w:r>
            <w:r>
              <w:rPr>
                <w:rFonts w:hint="eastAsia" w:ascii="Times New Roman" w:hAnsi="Times New Roman" w:eastAsia="宋体" w:cs="Times New Roman"/>
                <w:color w:val="auto"/>
                <w:kern w:val="2"/>
                <w:sz w:val="24"/>
                <w:szCs w:val="24"/>
                <w:highlight w:val="none"/>
                <w:lang w:val="en-US" w:eastAsia="zh-CN" w:bidi="ar-SA"/>
              </w:rPr>
              <w:t>。</w:t>
            </w:r>
          </w:p>
          <w:p w14:paraId="079C3096">
            <w:pPr>
              <w:overflowPunct w:val="0"/>
              <w:autoSpaceDE w:val="0"/>
              <w:autoSpaceDN w:val="0"/>
              <w:adjustRightInd w:val="0"/>
              <w:snapToGrid w:val="0"/>
              <w:spacing w:before="0" w:after="0" w:line="500" w:lineRule="exact"/>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由于本项目位于“乌昌石联防联控区”根据本项目总量因子排放特点，本项目总量控制指标中颗粒物进行倍量替代，经核算，颗粒物总量为</w:t>
            </w:r>
            <w:r>
              <w:rPr>
                <w:rFonts w:hint="eastAsia" w:cs="Times New Roman"/>
                <w:color w:val="auto"/>
                <w:kern w:val="2"/>
                <w:sz w:val="24"/>
                <w:szCs w:val="24"/>
                <w:lang w:val="en-US" w:eastAsia="zh-CN"/>
              </w:rPr>
              <w:t>0.254</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具体</w:t>
            </w:r>
            <w:r>
              <w:rPr>
                <w:rFonts w:hint="eastAsia" w:cs="Times New Roman"/>
                <w:color w:val="auto"/>
                <w:sz w:val="24"/>
                <w:szCs w:val="24"/>
                <w:highlight w:val="none"/>
                <w:lang w:val="en-US" w:eastAsia="zh-CN"/>
              </w:rPr>
              <w:t>来源由由当地环保部门调控</w:t>
            </w:r>
            <w:r>
              <w:rPr>
                <w:rFonts w:hint="default" w:ascii="Times New Roman" w:hAnsi="Times New Roman" w:eastAsia="宋体" w:cs="Times New Roman"/>
                <w:color w:val="auto"/>
                <w:sz w:val="24"/>
                <w:szCs w:val="24"/>
                <w:highlight w:val="none"/>
                <w:lang w:val="en-US" w:eastAsia="zh-CN"/>
              </w:rPr>
              <w:t>。</w:t>
            </w:r>
          </w:p>
          <w:p w14:paraId="4CC0D730">
            <w:pPr>
              <w:overflowPunct w:val="0"/>
              <w:autoSpaceDE w:val="0"/>
              <w:autoSpaceDN w:val="0"/>
              <w:adjustRightInd w:val="0"/>
              <w:snapToGrid w:val="0"/>
              <w:spacing w:before="0" w:after="0" w:line="500" w:lineRule="exact"/>
              <w:ind w:right="0"/>
              <w:jc w:val="left"/>
              <w:rPr>
                <w:rFonts w:hint="eastAsia" w:ascii="Times New Roman" w:hAnsi="Times New Roman" w:eastAsia="宋体" w:cs="Times New Roman"/>
                <w:color w:val="auto"/>
                <w:kern w:val="2"/>
                <w:sz w:val="24"/>
                <w:szCs w:val="24"/>
                <w:highlight w:val="none"/>
                <w:lang w:val="en-US" w:eastAsia="zh-CN" w:bidi="ar-SA"/>
              </w:rPr>
            </w:pPr>
          </w:p>
          <w:p w14:paraId="0DCE4691">
            <w:pPr>
              <w:overflowPunct w:val="0"/>
              <w:autoSpaceDE w:val="0"/>
              <w:autoSpaceDN w:val="0"/>
              <w:adjustRightInd w:val="0"/>
              <w:snapToGrid w:val="0"/>
              <w:spacing w:line="360" w:lineRule="exact"/>
              <w:rPr>
                <w:rFonts w:ascii="Times New Roman" w:hAnsi="Times New Roman" w:eastAsia="宋体" w:cs="宋体"/>
                <w:snapToGrid w:val="0"/>
                <w:color w:val="auto"/>
                <w:szCs w:val="21"/>
              </w:rPr>
            </w:pPr>
          </w:p>
        </w:tc>
      </w:tr>
    </w:tbl>
    <w:p w14:paraId="2F2A5AFE">
      <w:pPr>
        <w:rPr>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0E9C57">
      <w:pPr>
        <w:widowControl w:val="0"/>
        <w:numPr>
          <w:ilvl w:val="0"/>
          <w:numId w:val="3"/>
        </w:numPr>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color w:val="auto"/>
          <w:kern w:val="44"/>
          <w:sz w:val="28"/>
          <w:szCs w:val="22"/>
          <w:lang w:val="en-US" w:eastAsia="zh-CN" w:bidi="ar-SA"/>
        </w:rPr>
      </w:pPr>
      <w:bookmarkStart w:id="73" w:name="_Toc16786"/>
      <w:bookmarkStart w:id="74" w:name="_Toc30971"/>
      <w:bookmarkStart w:id="75" w:name="_Toc23383"/>
      <w:bookmarkStart w:id="76" w:name="_Toc23430"/>
      <w:bookmarkStart w:id="77" w:name="_Toc17244"/>
      <w:bookmarkStart w:id="78" w:name="_Toc19166"/>
      <w:r>
        <w:rPr>
          <w:rFonts w:hint="eastAsia" w:ascii="Times New Roman" w:hAnsi="Times New Roman" w:eastAsia="宋体" w:cs="宋体"/>
          <w:b/>
          <w:color w:val="auto"/>
          <w:kern w:val="44"/>
          <w:sz w:val="28"/>
          <w:szCs w:val="22"/>
          <w:lang w:val="en-US" w:eastAsia="zh-CN" w:bidi="ar-SA"/>
        </w:rPr>
        <w:t>主要环境影响和保护措施</w:t>
      </w:r>
      <w:bookmarkEnd w:id="73"/>
      <w:bookmarkEnd w:id="74"/>
      <w:bookmarkEnd w:id="75"/>
      <w:bookmarkEnd w:id="76"/>
      <w:bookmarkEnd w:id="77"/>
      <w:bookmarkEnd w:id="78"/>
    </w:p>
    <w:tbl>
      <w:tblPr>
        <w:tblStyle w:val="1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8295"/>
      </w:tblGrid>
      <w:tr w14:paraId="1452B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40" w:hRule="atLeast"/>
          <w:jc w:val="center"/>
        </w:trPr>
        <w:tc>
          <w:tcPr>
            <w:tcW w:w="426" w:type="dxa"/>
            <w:noWrap w:val="0"/>
            <w:tcMar>
              <w:left w:w="28" w:type="dxa"/>
              <w:right w:w="28" w:type="dxa"/>
            </w:tcMar>
            <w:vAlign w:val="center"/>
          </w:tcPr>
          <w:p w14:paraId="6DBF32BD">
            <w:pPr>
              <w:widowControl/>
              <w:overflowPunct w:val="0"/>
              <w:autoSpaceDE w:val="0"/>
              <w:autoSpaceDN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施施工期环保措施</w:t>
            </w:r>
          </w:p>
          <w:p w14:paraId="797CEB70">
            <w:pPr>
              <w:widowControl/>
              <w:overflowPunct w:val="0"/>
              <w:autoSpaceDE w:val="0"/>
              <w:autoSpaceDN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施</w:t>
            </w:r>
          </w:p>
        </w:tc>
        <w:tc>
          <w:tcPr>
            <w:tcW w:w="8645" w:type="dxa"/>
            <w:noWrap w:val="0"/>
            <w:vAlign w:val="center"/>
          </w:tcPr>
          <w:p w14:paraId="1A3DC1FF">
            <w:pPr>
              <w:widowControl w:val="0"/>
              <w:overflowPunct w:val="0"/>
              <w:autoSpaceDE w:val="0"/>
              <w:autoSpaceDN w:val="0"/>
              <w:bidi w:val="0"/>
              <w:adjustRightInd w:val="0"/>
              <w:snapToGrid w:val="0"/>
              <w:spacing w:before="0" w:after="0" w:line="360" w:lineRule="auto"/>
              <w:ind w:right="0"/>
              <w:jc w:val="left"/>
              <w:outlineLvl w:val="1"/>
              <w:rPr>
                <w:rFonts w:ascii="Times New Roman" w:hAnsi="Times New Roman" w:eastAsia="宋体" w:cs="黑体"/>
                <w:b/>
                <w:color w:val="auto"/>
                <w:sz w:val="28"/>
                <w:szCs w:val="30"/>
                <w:lang w:val="en-US" w:eastAsia="zh-CN" w:bidi="ar-SA"/>
              </w:rPr>
            </w:pPr>
            <w:bookmarkStart w:id="79" w:name="_Toc231294631"/>
            <w:bookmarkStart w:id="80" w:name="_Toc231294733"/>
            <w:bookmarkStart w:id="81" w:name="_Toc385251976"/>
            <w:bookmarkStart w:id="82" w:name="_Toc384391623"/>
            <w:bookmarkStart w:id="83" w:name="_Toc384740754"/>
            <w:bookmarkStart w:id="84" w:name="_Toc271467869"/>
            <w:r>
              <w:rPr>
                <w:rFonts w:hint="eastAsia" w:cs="黑体"/>
                <w:b/>
                <w:color w:val="auto"/>
                <w:sz w:val="28"/>
                <w:szCs w:val="30"/>
                <w:lang w:val="en-US" w:eastAsia="zh-CN" w:bidi="ar-SA"/>
              </w:rPr>
              <w:t>1、</w:t>
            </w:r>
            <w:r>
              <w:rPr>
                <w:rFonts w:ascii="Times New Roman" w:hAnsi="Times New Roman" w:eastAsia="宋体" w:cs="黑体"/>
                <w:b/>
                <w:color w:val="auto"/>
                <w:sz w:val="28"/>
                <w:szCs w:val="30"/>
                <w:lang w:val="en-US" w:eastAsia="zh-CN" w:bidi="ar-SA"/>
              </w:rPr>
              <w:t>施工期大气环境</w:t>
            </w:r>
            <w:bookmarkEnd w:id="79"/>
            <w:bookmarkEnd w:id="80"/>
            <w:bookmarkEnd w:id="81"/>
            <w:bookmarkEnd w:id="82"/>
            <w:bookmarkEnd w:id="83"/>
            <w:bookmarkEnd w:id="84"/>
            <w:r>
              <w:rPr>
                <w:rFonts w:hint="eastAsia" w:ascii="Times New Roman" w:hAnsi="Times New Roman" w:eastAsia="宋体" w:cs="黑体"/>
                <w:b/>
                <w:color w:val="auto"/>
                <w:sz w:val="28"/>
                <w:szCs w:val="30"/>
                <w:lang w:val="en-US" w:eastAsia="zh-CN" w:bidi="ar-SA"/>
              </w:rPr>
              <w:t>保护措施</w:t>
            </w:r>
          </w:p>
          <w:p w14:paraId="65184148">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为控制扬尘污染，进一步减小对施工区周边环境的影响，可采取以下污染控制措施：</w:t>
            </w:r>
          </w:p>
          <w:p w14:paraId="507D301C">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①对施工现场进行科学管理，砂石料等建筑材料应统一堆放，尽量减少搬运环节；</w:t>
            </w:r>
          </w:p>
          <w:p w14:paraId="6FB3258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②</w:t>
            </w:r>
            <w:r>
              <w:rPr>
                <w:rFonts w:hint="default" w:ascii="Times New Roman" w:hAnsi="Times New Roman" w:cs="Times New Roman"/>
                <w:color w:val="auto"/>
                <w:kern w:val="0"/>
                <w:sz w:val="24"/>
              </w:rPr>
              <w:t>施工现场要设围栏，减少施工扬尘扩散范围；</w:t>
            </w:r>
          </w:p>
          <w:p w14:paraId="2FD4220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③</w:t>
            </w:r>
            <w:r>
              <w:rPr>
                <w:rFonts w:hint="default" w:ascii="Times New Roman" w:hAnsi="Times New Roman" w:cs="Times New Roman"/>
                <w:color w:val="auto"/>
                <w:kern w:val="0"/>
                <w:sz w:val="24"/>
              </w:rPr>
              <w:t>风速过大时应停止施工作业，并对堆放的砂石等建筑材料进行遮盖处理；</w:t>
            </w:r>
          </w:p>
          <w:p w14:paraId="07539EE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④</w:t>
            </w:r>
            <w:r>
              <w:rPr>
                <w:rFonts w:hint="default" w:ascii="Times New Roman" w:hAnsi="Times New Roman" w:cs="Times New Roman"/>
                <w:color w:val="auto"/>
                <w:kern w:val="0"/>
                <w:sz w:val="24"/>
              </w:rPr>
              <w:t>全部使用商品混凝土和预拌砂浆，避免现场搅拌、拌石灰土等，应尽量使用成品或半成品石材，实施装配式施工，减少因切割造成的扬尘。</w:t>
            </w:r>
          </w:p>
          <w:p w14:paraId="333F5FB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⑤</w:t>
            </w:r>
            <w:r>
              <w:rPr>
                <w:rFonts w:hint="default" w:ascii="Times New Roman" w:hAnsi="Times New Roman" w:cs="Times New Roman"/>
                <w:color w:val="auto"/>
                <w:kern w:val="0"/>
                <w:sz w:val="24"/>
              </w:rPr>
              <w:t>施工期遇到四级以上风禁止施工。</w:t>
            </w:r>
          </w:p>
          <w:p w14:paraId="17A80554">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auto"/>
                <w:kern w:val="0"/>
                <w:sz w:val="24"/>
                <w:szCs w:val="24"/>
                <w:highlight w:val="none"/>
                <w:lang w:val="en-US" w:eastAsia="zh-CN" w:bidi="ar"/>
              </w:rPr>
            </w:pPr>
            <w:r>
              <w:rPr>
                <w:rFonts w:hint="default" w:ascii="Times New Roman" w:hAnsi="Times New Roman" w:cs="Times New Roman"/>
                <w:color w:val="auto"/>
                <w:kern w:val="0"/>
                <w:sz w:val="24"/>
              </w:rPr>
              <w:t>本项目影响时间和影响范围有限，在采取以上措施后，总体而言施工期扬尘对区域环境影响不大，施工期的环境影响为短期影响，其特点是随着施工的结束而消失</w:t>
            </w:r>
            <w:r>
              <w:rPr>
                <w:rFonts w:hint="eastAsia" w:ascii="Times New Roman" w:hAnsi="Times New Roman" w:cs="Times New Roman"/>
                <w:color w:val="auto"/>
                <w:kern w:val="0"/>
                <w:sz w:val="24"/>
                <w:lang w:eastAsia="zh-CN"/>
              </w:rPr>
              <w:t>，</w:t>
            </w:r>
            <w:r>
              <w:rPr>
                <w:rFonts w:hint="eastAsia" w:ascii="Times New Roman" w:hAnsi="Times New Roman" w:eastAsia="宋体" w:cs="宋体"/>
                <w:color w:val="auto"/>
                <w:kern w:val="0"/>
                <w:sz w:val="24"/>
                <w:szCs w:val="24"/>
                <w:highlight w:val="none"/>
                <w:lang w:val="en-US" w:eastAsia="zh-CN" w:bidi="ar"/>
              </w:rPr>
              <w:t>采取适当措施，严格控制施工期间产生的扬尘，确保能够满足《大气污染物综合排放标准》（GB 16297-1996），措施可行。</w:t>
            </w:r>
          </w:p>
          <w:p w14:paraId="6F099404">
            <w:pPr>
              <w:widowControl w:val="0"/>
              <w:overflowPunct w:val="0"/>
              <w:autoSpaceDE w:val="0"/>
              <w:autoSpaceDN w:val="0"/>
              <w:bidi w:val="0"/>
              <w:adjustRightInd w:val="0"/>
              <w:snapToGrid w:val="0"/>
              <w:spacing w:before="0" w:after="0" w:line="360" w:lineRule="auto"/>
              <w:ind w:right="0"/>
              <w:jc w:val="left"/>
              <w:outlineLvl w:val="1"/>
              <w:rPr>
                <w:rFonts w:hint="eastAsia" w:ascii="Times New Roman" w:hAnsi="Times New Roman" w:eastAsia="宋体" w:cs="黑体"/>
                <w:b/>
                <w:color w:val="auto"/>
                <w:sz w:val="28"/>
                <w:szCs w:val="30"/>
                <w:lang w:val="en-US" w:eastAsia="zh-CN" w:bidi="ar-SA"/>
              </w:rPr>
            </w:pPr>
            <w:r>
              <w:rPr>
                <w:rFonts w:hint="eastAsia" w:ascii="Times New Roman" w:hAnsi="Times New Roman" w:eastAsia="宋体" w:cs="黑体"/>
                <w:b/>
                <w:color w:val="auto"/>
                <w:sz w:val="28"/>
                <w:szCs w:val="30"/>
                <w:lang w:val="en-US" w:eastAsia="zh-CN" w:bidi="ar-SA"/>
              </w:rPr>
              <w:t>2</w:t>
            </w:r>
            <w:r>
              <w:rPr>
                <w:rFonts w:hint="eastAsia" w:cs="黑体"/>
                <w:b/>
                <w:color w:val="auto"/>
                <w:sz w:val="28"/>
                <w:szCs w:val="30"/>
                <w:lang w:val="en-US" w:eastAsia="zh-CN" w:bidi="ar-SA"/>
              </w:rPr>
              <w:t>、</w:t>
            </w:r>
            <w:r>
              <w:rPr>
                <w:rFonts w:hint="eastAsia" w:ascii="Times New Roman" w:hAnsi="Times New Roman" w:eastAsia="宋体" w:cs="黑体"/>
                <w:b/>
                <w:color w:val="auto"/>
                <w:sz w:val="28"/>
                <w:szCs w:val="30"/>
                <w:lang w:val="en-US" w:eastAsia="zh-CN" w:bidi="ar-SA"/>
              </w:rPr>
              <w:t>施工期水环境保护措施</w:t>
            </w:r>
          </w:p>
          <w:p w14:paraId="7F73DC68">
            <w:pPr>
              <w:spacing w:line="360" w:lineRule="auto"/>
              <w:ind w:firstLine="480" w:firstLineChars="200"/>
              <w:rPr>
                <w:rFonts w:ascii="Times New Roman" w:hAnsi="Times New Roman" w:eastAsia="宋体" w:cs="Times New Roman"/>
                <w:color w:val="auto"/>
                <w:kern w:val="2"/>
                <w:sz w:val="21"/>
                <w:szCs w:val="20"/>
                <w:highlight w:val="none"/>
              </w:rPr>
            </w:pPr>
            <w:r>
              <w:rPr>
                <w:rFonts w:hint="default" w:ascii="Times New Roman" w:hAnsi="Times New Roman" w:cs="Times New Roman"/>
                <w:color w:val="auto"/>
                <w:kern w:val="0"/>
                <w:sz w:val="24"/>
              </w:rPr>
              <w:t>本项目施工期为</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个月，约20名施工人员，</w:t>
            </w:r>
            <w:r>
              <w:rPr>
                <w:rFonts w:hint="eastAsia" w:ascii="Times New Roman" w:hAnsi="Times New Roman" w:cs="Times New Roman"/>
                <w:color w:val="auto"/>
                <w:kern w:val="0"/>
                <w:sz w:val="24"/>
                <w:lang w:val="en-US" w:eastAsia="zh-CN"/>
              </w:rPr>
              <w:t>施工人员单日用水量以50L/人计算，产污系数以0.8计，</w:t>
            </w:r>
            <w:r>
              <w:rPr>
                <w:rFonts w:hint="default" w:ascii="Times New Roman" w:hAnsi="Times New Roman" w:cs="Times New Roman"/>
                <w:color w:val="auto"/>
                <w:kern w:val="0"/>
                <w:sz w:val="24"/>
              </w:rPr>
              <w:t>施工期生活污水总量为</w:t>
            </w:r>
            <w:r>
              <w:rPr>
                <w:rFonts w:hint="eastAsia" w:ascii="Times New Roman" w:hAnsi="Times New Roman" w:cs="Times New Roman"/>
                <w:color w:val="auto"/>
                <w:kern w:val="0"/>
                <w:sz w:val="24"/>
                <w:lang w:val="en-US" w:eastAsia="zh-CN"/>
              </w:rPr>
              <w:t>48</w:t>
            </w:r>
            <w:r>
              <w:rPr>
                <w:rFonts w:hint="default" w:ascii="Times New Roman" w:hAnsi="Times New Roman" w:cs="Times New Roman"/>
                <w:color w:val="auto"/>
                <w:kern w:val="0"/>
                <w:sz w:val="24"/>
              </w:rPr>
              <w:t>m³，</w:t>
            </w:r>
            <w:r>
              <w:rPr>
                <w:rFonts w:ascii="Times New Roman" w:hAnsi="Times New Roman" w:eastAsia="宋体" w:cs="Times New Roman"/>
                <w:color w:val="auto"/>
                <w:kern w:val="2"/>
                <w:sz w:val="24"/>
                <w:szCs w:val="24"/>
                <w:highlight w:val="none"/>
              </w:rPr>
              <w:t>施工期间</w:t>
            </w:r>
            <w:r>
              <w:rPr>
                <w:rFonts w:hint="eastAsia" w:cs="Times New Roman"/>
                <w:color w:val="auto"/>
                <w:kern w:val="2"/>
                <w:sz w:val="24"/>
                <w:szCs w:val="24"/>
                <w:highlight w:val="none"/>
                <w:lang w:val="en-US" w:eastAsia="zh-CN"/>
              </w:rPr>
              <w:t>不设置施工生活区，依托现有工程办公生活楼，施工现场</w:t>
            </w:r>
            <w:r>
              <w:rPr>
                <w:rFonts w:ascii="Times New Roman" w:hAnsi="Times New Roman" w:eastAsia="宋体" w:cs="Times New Roman"/>
                <w:color w:val="auto"/>
                <w:kern w:val="2"/>
                <w:sz w:val="24"/>
                <w:szCs w:val="24"/>
                <w:highlight w:val="none"/>
              </w:rPr>
              <w:t>生活污水主要污染物为COD、BOD、SS、氨氮，施工期生活污水</w:t>
            </w:r>
            <w:r>
              <w:rPr>
                <w:rFonts w:hint="eastAsia" w:ascii="Times New Roman" w:hAnsi="Times New Roman" w:eastAsia="宋体" w:cs="Times New Roman"/>
                <w:color w:val="auto"/>
                <w:kern w:val="2"/>
                <w:sz w:val="24"/>
                <w:szCs w:val="24"/>
                <w:highlight w:val="none"/>
                <w:lang w:val="en-US" w:eastAsia="zh-CN"/>
              </w:rPr>
              <w:t>排入</w:t>
            </w:r>
            <w:r>
              <w:rPr>
                <w:rFonts w:hint="eastAsia" w:cs="Times New Roman"/>
                <w:color w:val="auto"/>
                <w:kern w:val="2"/>
                <w:sz w:val="24"/>
                <w:szCs w:val="24"/>
                <w:highlight w:val="none"/>
                <w:lang w:val="en-US" w:eastAsia="zh-CN"/>
              </w:rPr>
              <w:t>园区管网内</w:t>
            </w:r>
            <w:r>
              <w:rPr>
                <w:rFonts w:ascii="Times New Roman" w:hAnsi="Times New Roman" w:eastAsia="宋体" w:cs="Times New Roman"/>
                <w:color w:val="auto"/>
                <w:kern w:val="2"/>
                <w:sz w:val="24"/>
                <w:szCs w:val="24"/>
                <w:highlight w:val="none"/>
              </w:rPr>
              <w:t>。</w:t>
            </w:r>
          </w:p>
          <w:p w14:paraId="1512518B">
            <w:pPr>
              <w:widowControl w:val="0"/>
              <w:overflowPunct w:val="0"/>
              <w:autoSpaceDE w:val="0"/>
              <w:autoSpaceDN w:val="0"/>
              <w:bidi w:val="0"/>
              <w:adjustRightInd w:val="0"/>
              <w:snapToGrid w:val="0"/>
              <w:spacing w:before="0" w:after="0" w:line="360" w:lineRule="auto"/>
              <w:ind w:right="0"/>
              <w:jc w:val="left"/>
              <w:outlineLvl w:val="1"/>
              <w:rPr>
                <w:rFonts w:hint="eastAsia" w:ascii="Times New Roman" w:hAnsi="Times New Roman" w:eastAsia="宋体" w:cs="黑体"/>
                <w:b/>
                <w:color w:val="auto"/>
                <w:sz w:val="28"/>
                <w:szCs w:val="30"/>
                <w:lang w:val="en-US" w:eastAsia="zh-CN" w:bidi="ar-SA"/>
              </w:rPr>
            </w:pPr>
            <w:r>
              <w:rPr>
                <w:rFonts w:hint="eastAsia" w:ascii="Times New Roman" w:hAnsi="Times New Roman" w:eastAsia="宋体" w:cs="黑体"/>
                <w:b/>
                <w:color w:val="auto"/>
                <w:sz w:val="28"/>
                <w:szCs w:val="30"/>
                <w:lang w:val="en-US" w:eastAsia="zh-CN" w:bidi="ar-SA"/>
              </w:rPr>
              <w:t>3</w:t>
            </w:r>
            <w:r>
              <w:rPr>
                <w:rFonts w:hint="eastAsia" w:cs="黑体"/>
                <w:b/>
                <w:color w:val="auto"/>
                <w:sz w:val="28"/>
                <w:szCs w:val="30"/>
                <w:lang w:val="en-US" w:eastAsia="zh-CN" w:bidi="ar-SA"/>
              </w:rPr>
              <w:t>、</w:t>
            </w:r>
            <w:r>
              <w:rPr>
                <w:rFonts w:hint="eastAsia" w:ascii="Times New Roman" w:hAnsi="Times New Roman" w:eastAsia="宋体" w:cs="黑体"/>
                <w:b/>
                <w:color w:val="auto"/>
                <w:sz w:val="28"/>
                <w:szCs w:val="30"/>
                <w:lang w:val="en-US" w:eastAsia="zh-CN" w:bidi="ar-SA"/>
              </w:rPr>
              <w:t>施工期声环境保护措施</w:t>
            </w:r>
          </w:p>
          <w:p w14:paraId="708B4F7D">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auto"/>
                <w:kern w:val="0"/>
                <w:sz w:val="24"/>
                <w:szCs w:val="24"/>
                <w:highlight w:val="none"/>
                <w:lang w:val="en-US" w:eastAsia="zh-CN" w:bidi="ar"/>
              </w:rPr>
            </w:pPr>
            <w:bookmarkStart w:id="85" w:name="_Toc231294638"/>
            <w:bookmarkStart w:id="86" w:name="_Toc231294740"/>
            <w:r>
              <w:rPr>
                <w:rFonts w:hint="eastAsia" w:ascii="Times New Roman" w:hAnsi="Times New Roman" w:eastAsia="宋体" w:cs="宋体"/>
                <w:color w:val="auto"/>
                <w:kern w:val="0"/>
                <w:sz w:val="24"/>
                <w:szCs w:val="24"/>
                <w:highlight w:val="none"/>
                <w:lang w:val="en-US" w:eastAsia="zh-CN" w:bidi="ar"/>
              </w:rPr>
              <w:t>施工期设备安装过程产生的噪声，主要</w:t>
            </w:r>
            <w:r>
              <w:rPr>
                <w:rFonts w:hint="eastAsia" w:cs="宋体"/>
                <w:color w:val="auto"/>
                <w:kern w:val="0"/>
                <w:sz w:val="24"/>
                <w:szCs w:val="24"/>
                <w:highlight w:val="none"/>
                <w:lang w:val="en-US" w:eastAsia="zh-CN" w:bidi="ar"/>
              </w:rPr>
              <w:t>来源</w:t>
            </w:r>
            <w:r>
              <w:rPr>
                <w:rFonts w:hint="eastAsia" w:ascii="Times New Roman" w:hAnsi="Times New Roman" w:eastAsia="宋体" w:cs="宋体"/>
                <w:color w:val="auto"/>
                <w:kern w:val="0"/>
                <w:sz w:val="24"/>
                <w:szCs w:val="24"/>
                <w:highlight w:val="none"/>
                <w:lang w:val="en-US" w:eastAsia="zh-CN" w:bidi="ar"/>
              </w:rPr>
              <w:t>包括施工现场的各类机械设备、设备装卸碰撞噪声和机械设备调试噪声。</w:t>
            </w:r>
          </w:p>
          <w:p w14:paraId="33B3572C">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（1）制定严格合理的施工计划，集中安排高噪声施工阶段，便于合理控制；事先公告施工状况；</w:t>
            </w:r>
          </w:p>
          <w:p w14:paraId="1D3FB2DA">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（2）施工区应实施严格的隔离措施，降低施工噪声影响；</w:t>
            </w:r>
          </w:p>
          <w:p w14:paraId="59A658FE">
            <w:pPr>
              <w:widowControl/>
              <w:spacing w:line="360" w:lineRule="auto"/>
              <w:ind w:firstLine="496" w:firstLineChars="207"/>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（3）在施工阶段尽量采用商品砼，不仅可减少扬尘，而且还避免搅拌机噪声污染；</w:t>
            </w:r>
          </w:p>
          <w:p w14:paraId="562D9732">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（4）所有强噪声设备的施工时间应安排在日间非休息时段，夜间禁止施工</w:t>
            </w:r>
            <w:r>
              <w:rPr>
                <w:rFonts w:hint="eastAsia" w:ascii="Times New Roman" w:hAnsi="Times New Roman" w:cs="Times New Roman"/>
                <w:color w:val="auto"/>
                <w:kern w:val="0"/>
                <w:sz w:val="24"/>
                <w:lang w:val="en-US" w:eastAsia="zh-CN"/>
              </w:rPr>
              <w:t>，物</w:t>
            </w:r>
            <w:r>
              <w:rPr>
                <w:rFonts w:hint="default" w:ascii="Times New Roman" w:hAnsi="Times New Roman" w:cs="Times New Roman"/>
                <w:color w:val="auto"/>
                <w:kern w:val="0"/>
                <w:sz w:val="24"/>
              </w:rPr>
              <w:t>料运输安排在白天，途径居民区时减速慢行，并禁止鸣笛；施工单位须合理安排好施工时间。在不影响施工情况下将噪声设备尽量不集中安排，并将其移至距离居民住宅等敏感点较远处，为保障居民区有一个良好的生活环境。</w:t>
            </w:r>
          </w:p>
          <w:p w14:paraId="45F0A74A">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5）建设单位在与施工单位签订合同时，须要求其选用符合环保规定的低噪声机械设备，同时在施工过程中施工单位须设专人对设备进行定期保养和维护，并负责对现场工作人员进行培训，严格按操作规范使用各类机械。</w:t>
            </w:r>
          </w:p>
          <w:p w14:paraId="2086C456">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（6）建设施工期，工程业主和有关管理部门应设立举报途径，并应加强日常监督管理，发现违规行为应及时纠正，以确保工程施工阶段的声环境要求；</w:t>
            </w:r>
          </w:p>
          <w:p w14:paraId="21E11110">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7）避免在同一地点安排大量动力机械设备，以避免局部声级过高；施工设备选型上应尽量采用低噪声设备；对动力机械设备进行定期的维修、养护，因设备常因松动部件的震动或消声器破坏而加大其工作时的声级；尽量不用哨子、喇叭等指挥作业，减少人为噪声；</w:t>
            </w:r>
          </w:p>
          <w:p w14:paraId="5C532BD6">
            <w:pPr>
              <w:spacing w:line="360" w:lineRule="auto"/>
              <w:ind w:firstLine="480" w:firstLineChars="200"/>
              <w:rPr>
                <w:rFonts w:hint="default" w:ascii="Times New Roman" w:hAnsi="Times New Roman" w:eastAsia="宋体" w:cs="宋体"/>
                <w:color w:val="auto"/>
                <w:kern w:val="0"/>
                <w:sz w:val="24"/>
                <w:szCs w:val="24"/>
                <w:highlight w:val="none"/>
                <w:lang w:val="en-US" w:eastAsia="zh-CN" w:bidi="ar"/>
              </w:rPr>
            </w:pPr>
            <w:r>
              <w:rPr>
                <w:rFonts w:hint="default" w:ascii="Times New Roman" w:hAnsi="Times New Roman" w:cs="Times New Roman"/>
                <w:color w:val="auto"/>
                <w:kern w:val="0"/>
                <w:sz w:val="24"/>
              </w:rPr>
              <w:t>（8）施工单位一定要做好施工计划，合理按排施工时段、进程，分段施工，减少施工影响范围。正常施工时按照当地环保部门要求，做到文明施工，</w:t>
            </w:r>
            <w:r>
              <w:rPr>
                <w:rFonts w:hint="eastAsia" w:ascii="Times New Roman" w:hAnsi="Times New Roman" w:cs="Times New Roman"/>
                <w:color w:val="auto"/>
                <w:kern w:val="0"/>
                <w:sz w:val="24"/>
                <w:lang w:val="en-US" w:eastAsia="zh-CN"/>
              </w:rPr>
              <w:t>通过</w:t>
            </w:r>
            <w:r>
              <w:rPr>
                <w:rFonts w:hint="eastAsia" w:ascii="Times New Roman" w:hAnsi="Times New Roman" w:eastAsia="宋体" w:cs="宋体"/>
                <w:color w:val="auto"/>
                <w:kern w:val="0"/>
                <w:sz w:val="24"/>
                <w:szCs w:val="24"/>
                <w:highlight w:val="none"/>
                <w:lang w:val="en-US" w:eastAsia="zh-CN" w:bidi="ar"/>
              </w:rPr>
              <w:t>上述措施，施工场界噪声可以达到《建筑施工场界环境噪声排放标准》 （GB12523-2011），对环境影响较小。</w:t>
            </w:r>
          </w:p>
          <w:p w14:paraId="031F6AC7">
            <w:pPr>
              <w:widowControl w:val="0"/>
              <w:overflowPunct w:val="0"/>
              <w:autoSpaceDE w:val="0"/>
              <w:autoSpaceDN w:val="0"/>
              <w:bidi w:val="0"/>
              <w:adjustRightInd w:val="0"/>
              <w:snapToGrid w:val="0"/>
              <w:spacing w:before="0" w:after="0" w:line="360" w:lineRule="auto"/>
              <w:ind w:right="0"/>
              <w:jc w:val="left"/>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4、</w:t>
            </w:r>
            <w:r>
              <w:rPr>
                <w:rFonts w:hint="eastAsia" w:ascii="Times New Roman" w:hAnsi="Times New Roman" w:eastAsia="宋体" w:cs="黑体"/>
                <w:b/>
                <w:color w:val="auto"/>
                <w:sz w:val="28"/>
                <w:szCs w:val="30"/>
                <w:lang w:val="en-US" w:eastAsia="zh-CN" w:bidi="ar-SA"/>
              </w:rPr>
              <w:t>施工期固体废物</w:t>
            </w:r>
            <w:bookmarkEnd w:id="85"/>
            <w:bookmarkEnd w:id="86"/>
            <w:r>
              <w:rPr>
                <w:rFonts w:hint="eastAsia" w:ascii="Times New Roman" w:hAnsi="Times New Roman" w:eastAsia="宋体" w:cs="黑体"/>
                <w:b/>
                <w:color w:val="auto"/>
                <w:sz w:val="28"/>
                <w:szCs w:val="30"/>
                <w:lang w:val="en-US" w:eastAsia="zh-CN" w:bidi="ar-SA"/>
              </w:rPr>
              <w:t>污染防治措施</w:t>
            </w:r>
          </w:p>
          <w:p w14:paraId="235A099D">
            <w:pPr>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rPr>
            </w:pPr>
            <w:r>
              <w:rPr>
                <w:rFonts w:hint="eastAsia" w:ascii="Times New Roman" w:hAnsi="Times New Roman" w:eastAsia="宋体" w:cs="Times New Roman"/>
                <w:color w:val="auto"/>
                <w:kern w:val="2"/>
                <w:sz w:val="24"/>
                <w:szCs w:val="20"/>
                <w:highlight w:val="none"/>
              </w:rPr>
              <w:t>施工期固废主要是废弃的包装材料、工人产生的生活垃圾等。</w:t>
            </w:r>
          </w:p>
          <w:p w14:paraId="0864EA1F">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（1）</w:t>
            </w:r>
            <w:r>
              <w:rPr>
                <w:rFonts w:hint="eastAsia" w:ascii="Times New Roman" w:hAnsi="Times New Roman" w:eastAsia="宋体" w:cs="Times New Roman"/>
                <w:color w:val="auto"/>
                <w:kern w:val="2"/>
                <w:sz w:val="24"/>
                <w:szCs w:val="20"/>
                <w:highlight w:val="none"/>
              </w:rPr>
              <w:t>废</w:t>
            </w:r>
            <w:r>
              <w:rPr>
                <w:rFonts w:hint="eastAsia" w:ascii="Times New Roman" w:hAnsi="Times New Roman" w:eastAsia="宋体" w:cs="宋体"/>
                <w:color w:val="auto"/>
                <w:kern w:val="0"/>
                <w:sz w:val="24"/>
                <w:szCs w:val="24"/>
                <w:highlight w:val="none"/>
                <w:lang w:val="en-US" w:eastAsia="zh-CN" w:bidi="ar"/>
              </w:rPr>
              <w:t>弃的包装材料</w:t>
            </w:r>
          </w:p>
          <w:p w14:paraId="127E01C8">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rPr>
            </w:pPr>
            <w:r>
              <w:rPr>
                <w:rFonts w:hint="eastAsia" w:ascii="Times New Roman" w:hAnsi="Times New Roman" w:eastAsia="宋体" w:cs="Times New Roman"/>
                <w:color w:val="auto"/>
                <w:kern w:val="2"/>
                <w:sz w:val="24"/>
                <w:szCs w:val="20"/>
                <w:highlight w:val="none"/>
              </w:rPr>
              <w:t>废</w:t>
            </w:r>
            <w:r>
              <w:rPr>
                <w:rFonts w:hint="eastAsia" w:ascii="Times New Roman" w:hAnsi="Times New Roman" w:eastAsia="宋体" w:cs="宋体"/>
                <w:color w:val="auto"/>
                <w:kern w:val="0"/>
                <w:sz w:val="24"/>
                <w:szCs w:val="24"/>
                <w:highlight w:val="none"/>
                <w:lang w:val="en-US" w:eastAsia="zh-CN" w:bidi="ar"/>
              </w:rPr>
              <w:t>弃的包装材料</w:t>
            </w:r>
            <w:r>
              <w:rPr>
                <w:rFonts w:hint="eastAsia" w:ascii="Times New Roman" w:hAnsi="Times New Roman" w:eastAsia="宋体" w:cs="Times New Roman"/>
                <w:color w:val="auto"/>
                <w:kern w:val="2"/>
                <w:sz w:val="24"/>
                <w:szCs w:val="20"/>
                <w:highlight w:val="none"/>
                <w:lang w:val="en-US" w:eastAsia="zh-CN"/>
              </w:rPr>
              <w:t>集中收集后外售回收单位综合利用</w:t>
            </w:r>
            <w:r>
              <w:rPr>
                <w:rFonts w:hint="eastAsia" w:ascii="Times New Roman" w:hAnsi="Times New Roman" w:eastAsia="宋体" w:cs="Times New Roman"/>
                <w:color w:val="auto"/>
                <w:kern w:val="2"/>
                <w:sz w:val="24"/>
                <w:szCs w:val="20"/>
                <w:highlight w:val="none"/>
              </w:rPr>
              <w:t>，不得随意抛弃、转移和扩散。</w:t>
            </w:r>
          </w:p>
          <w:p w14:paraId="612C5ADA">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（2）生活垃圾</w:t>
            </w:r>
          </w:p>
          <w:p w14:paraId="53140CBC">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ascii="Times New Roman" w:hAnsi="Times New Roman" w:eastAsia="宋体" w:cs="Times New Roman"/>
                <w:color w:val="auto"/>
                <w:kern w:val="2"/>
                <w:sz w:val="24"/>
                <w:szCs w:val="20"/>
                <w:highlight w:val="none"/>
              </w:rPr>
            </w:pPr>
            <w:r>
              <w:rPr>
                <w:rFonts w:hint="eastAsia" w:ascii="Times New Roman" w:hAnsi="Times New Roman" w:eastAsia="宋体" w:cs="Times New Roman"/>
                <w:color w:val="auto"/>
                <w:kern w:val="2"/>
                <w:sz w:val="24"/>
                <w:szCs w:val="20"/>
                <w:highlight w:val="none"/>
              </w:rPr>
              <w:t>生活垃圾以易拉罐、矿泉水瓶、塑料袋</w:t>
            </w:r>
            <w:r>
              <w:rPr>
                <w:rFonts w:hint="eastAsia" w:ascii="Times New Roman" w:hAnsi="Times New Roman" w:eastAsia="宋体" w:cs="Times New Roman"/>
                <w:color w:val="auto"/>
                <w:kern w:val="2"/>
                <w:sz w:val="24"/>
                <w:szCs w:val="20"/>
                <w:highlight w:val="none"/>
                <w:lang w:val="en-US" w:eastAsia="zh-CN"/>
              </w:rPr>
              <w:t>为主</w:t>
            </w:r>
            <w:r>
              <w:rPr>
                <w:rFonts w:hint="eastAsia" w:ascii="Times New Roman" w:hAnsi="Times New Roman" w:eastAsia="宋体" w:cs="Times New Roman"/>
                <w:color w:val="auto"/>
                <w:kern w:val="2"/>
                <w:sz w:val="24"/>
                <w:szCs w:val="20"/>
                <w:highlight w:val="none"/>
              </w:rPr>
              <w:t>。</w:t>
            </w:r>
            <w:r>
              <w:rPr>
                <w:rFonts w:hint="default" w:ascii="Times New Roman" w:hAnsi="Times New Roman" w:cs="Times New Roman"/>
                <w:color w:val="auto"/>
                <w:kern w:val="0"/>
                <w:sz w:val="24"/>
              </w:rPr>
              <w:t>本项目施工期为</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个月，约20名施工人员，</w:t>
            </w:r>
            <w:r>
              <w:rPr>
                <w:rFonts w:hint="eastAsia" w:ascii="Times New Roman" w:hAnsi="Times New Roman" w:cs="Times New Roman"/>
                <w:color w:val="auto"/>
                <w:kern w:val="0"/>
                <w:sz w:val="24"/>
                <w:lang w:val="en-US" w:eastAsia="zh-CN"/>
              </w:rPr>
              <w:t>施工人员单日产生量以0.5kg/人计算，产生量为0.6t，</w:t>
            </w:r>
            <w:r>
              <w:rPr>
                <w:rFonts w:hint="eastAsia" w:ascii="Times New Roman" w:hAnsi="Times New Roman" w:eastAsia="宋体" w:cs="Times New Roman"/>
                <w:color w:val="auto"/>
                <w:kern w:val="2"/>
                <w:sz w:val="24"/>
                <w:szCs w:val="20"/>
                <w:highlight w:val="none"/>
                <w:lang w:val="en-US" w:eastAsia="zh-CN"/>
              </w:rPr>
              <w:t>生活垃圾委托</w:t>
            </w:r>
            <w:r>
              <w:rPr>
                <w:rFonts w:hint="eastAsia" w:ascii="Times New Roman" w:hAnsi="Times New Roman" w:cs="Times New Roman"/>
                <w:color w:val="auto"/>
                <w:kern w:val="2"/>
                <w:sz w:val="24"/>
                <w:szCs w:val="20"/>
                <w:highlight w:val="none"/>
                <w:lang w:val="en-US" w:eastAsia="zh-CN"/>
              </w:rPr>
              <w:t>园区</w:t>
            </w:r>
            <w:r>
              <w:rPr>
                <w:rFonts w:hint="eastAsia" w:ascii="Times New Roman" w:hAnsi="Times New Roman" w:eastAsia="宋体" w:cs="Times New Roman"/>
                <w:color w:val="auto"/>
                <w:kern w:val="2"/>
                <w:sz w:val="24"/>
                <w:szCs w:val="20"/>
                <w:highlight w:val="none"/>
                <w:lang w:val="en-US" w:eastAsia="zh-CN"/>
              </w:rPr>
              <w:t>环卫部门定期清运</w:t>
            </w:r>
            <w:r>
              <w:rPr>
                <w:rFonts w:hint="eastAsia" w:ascii="Times New Roman" w:hAnsi="Times New Roman" w:eastAsia="宋体" w:cs="Times New Roman"/>
                <w:color w:val="auto"/>
                <w:kern w:val="2"/>
                <w:sz w:val="24"/>
                <w:szCs w:val="20"/>
                <w:highlight w:val="none"/>
              </w:rPr>
              <w:t>。</w:t>
            </w:r>
          </w:p>
          <w:p w14:paraId="5662295C">
            <w:pPr>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eastAsia"/>
                <w:color w:val="auto"/>
                <w:lang w:val="en-US" w:eastAsia="zh-CN"/>
              </w:rPr>
            </w:pPr>
            <w:r>
              <w:rPr>
                <w:rFonts w:hint="eastAsia" w:ascii="Times New Roman" w:hAnsi="Times New Roman" w:eastAsia="宋体" w:cs="Times New Roman"/>
                <w:color w:val="auto"/>
                <w:kern w:val="2"/>
                <w:sz w:val="24"/>
                <w:szCs w:val="20"/>
                <w:highlight w:val="none"/>
              </w:rPr>
              <w:t>经以上分析可知，根据各类固体废物的不同特点，分别采取不同的、行之有效的处理措施，项目建设过程中产生的各类固体废物均可得到妥善的、合理可行的处理处置，并将其对周围环境带来的影响降低到最低程度。</w:t>
            </w:r>
          </w:p>
          <w:p w14:paraId="7A143F11">
            <w:pPr>
              <w:pStyle w:val="47"/>
              <w:ind w:firstLine="482"/>
              <w:jc w:val="left"/>
              <w:rPr>
                <w:rFonts w:hint="eastAsia" w:ascii="Times New Roman" w:hAnsi="Times New Roman" w:cs="Times New Roman"/>
                <w:b/>
                <w:color w:val="auto"/>
                <w:sz w:val="24"/>
                <w:szCs w:val="24"/>
                <w:lang w:val="en-US" w:eastAsia="zh-CN"/>
              </w:rPr>
            </w:pPr>
            <w:r>
              <w:rPr>
                <w:rFonts w:hint="default" w:ascii="Times New Roman" w:hAnsi="Times New Roman" w:cs="Times New Roman"/>
                <w:b w:val="0"/>
                <w:bCs w:val="0"/>
                <w:color w:val="auto"/>
                <w:sz w:val="24"/>
              </w:rPr>
              <w:t>项目施工期产生的环境污染及生态影响汇总如下表</w:t>
            </w:r>
            <w:r>
              <w:rPr>
                <w:rFonts w:hint="eastAsia" w:ascii="Times New Roman" w:hAnsi="Times New Roman" w:cs="Times New Roman"/>
                <w:b w:val="0"/>
                <w:bCs w:val="0"/>
                <w:color w:val="auto"/>
                <w:sz w:val="24"/>
                <w:lang w:val="en-US" w:eastAsia="zh-CN"/>
              </w:rPr>
              <w:t>2-7</w:t>
            </w:r>
            <w:r>
              <w:rPr>
                <w:rFonts w:hint="default" w:ascii="Times New Roman" w:hAnsi="Times New Roman" w:cs="Times New Roman"/>
                <w:b w:val="0"/>
                <w:bCs w:val="0"/>
                <w:color w:val="auto"/>
                <w:sz w:val="24"/>
              </w:rPr>
              <w:t>所示</w:t>
            </w:r>
            <w:r>
              <w:rPr>
                <w:rFonts w:hint="eastAsia" w:ascii="Times New Roman" w:hAnsi="Times New Roman" w:cs="Times New Roman"/>
                <w:b w:val="0"/>
                <w:bCs w:val="0"/>
                <w:color w:val="auto"/>
                <w:sz w:val="24"/>
                <w:lang w:eastAsia="zh-CN"/>
              </w:rPr>
              <w:t>：</w:t>
            </w:r>
          </w:p>
          <w:p w14:paraId="52B4086A">
            <w:pPr>
              <w:pStyle w:val="20"/>
              <w:rPr>
                <w:rFonts w:hint="default" w:ascii="Times New Roman" w:hAnsi="Times New Roman" w:eastAsia="宋体" w:cs="Times New Roman"/>
                <w:color w:val="auto"/>
                <w:lang w:val="en-US" w:eastAsia="zh-CN"/>
              </w:rPr>
            </w:pPr>
            <w:r>
              <w:rPr>
                <w:rFonts w:hint="default" w:ascii="Times New Roman" w:hAnsi="Times New Roman" w:eastAsia="宋体" w:cs="Times New Roman"/>
                <w:b/>
                <w:color w:val="auto"/>
                <w:sz w:val="21"/>
                <w:szCs w:val="21"/>
                <w:lang w:val="en-US" w:eastAsia="zh-CN"/>
              </w:rPr>
              <w:t>表4-1施工期污染物排放一览表</w:t>
            </w:r>
          </w:p>
          <w:tbl>
            <w:tblPr>
              <w:tblStyle w:val="1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42"/>
              <w:gridCol w:w="974"/>
              <w:gridCol w:w="1386"/>
              <w:gridCol w:w="1230"/>
              <w:gridCol w:w="840"/>
              <w:gridCol w:w="1343"/>
              <w:gridCol w:w="1072"/>
            </w:tblGrid>
            <w:tr w14:paraId="74677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noWrap w:val="0"/>
                  <w:vAlign w:val="center"/>
                </w:tcPr>
                <w:p w14:paraId="74CDD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461" w:type="pct"/>
                  <w:noWrap w:val="0"/>
                  <w:vAlign w:val="center"/>
                </w:tcPr>
                <w:p w14:paraId="72DFD9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污染类别</w:t>
                  </w:r>
                </w:p>
              </w:tc>
              <w:tc>
                <w:tcPr>
                  <w:tcW w:w="605" w:type="pct"/>
                  <w:noWrap w:val="0"/>
                  <w:vAlign w:val="center"/>
                </w:tcPr>
                <w:p w14:paraId="50A88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主要环节</w:t>
                  </w:r>
                </w:p>
              </w:tc>
              <w:tc>
                <w:tcPr>
                  <w:tcW w:w="861" w:type="pct"/>
                  <w:noWrap w:val="0"/>
                  <w:vAlign w:val="center"/>
                </w:tcPr>
                <w:p w14:paraId="21988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764" w:type="pct"/>
                  <w:noWrap w:val="0"/>
                  <w:vAlign w:val="center"/>
                </w:tcPr>
                <w:p w14:paraId="786D11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影响对象</w:t>
                  </w:r>
                </w:p>
              </w:tc>
              <w:tc>
                <w:tcPr>
                  <w:tcW w:w="522" w:type="pct"/>
                  <w:noWrap w:val="0"/>
                  <w:vAlign w:val="center"/>
                </w:tcPr>
                <w:p w14:paraId="3CCD3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影响途径</w:t>
                  </w:r>
                </w:p>
              </w:tc>
              <w:tc>
                <w:tcPr>
                  <w:tcW w:w="834" w:type="pct"/>
                  <w:noWrap w:val="0"/>
                  <w:vAlign w:val="center"/>
                </w:tcPr>
                <w:p w14:paraId="40537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影响范围</w:t>
                  </w:r>
                </w:p>
              </w:tc>
              <w:tc>
                <w:tcPr>
                  <w:tcW w:w="666" w:type="pct"/>
                  <w:noWrap w:val="0"/>
                  <w:vAlign w:val="center"/>
                </w:tcPr>
                <w:p w14:paraId="42DB3D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影响程度</w:t>
                  </w:r>
                </w:p>
              </w:tc>
            </w:tr>
            <w:tr w14:paraId="19D65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Merge w:val="restart"/>
                  <w:noWrap w:val="0"/>
                  <w:vAlign w:val="center"/>
                </w:tcPr>
                <w:p w14:paraId="748441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461" w:type="pct"/>
                  <w:noWrap w:val="0"/>
                  <w:vAlign w:val="center"/>
                </w:tcPr>
                <w:p w14:paraId="4D5AE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施工扬尘</w:t>
                  </w:r>
                </w:p>
              </w:tc>
              <w:tc>
                <w:tcPr>
                  <w:tcW w:w="605" w:type="pct"/>
                  <w:noWrap w:val="0"/>
                  <w:vAlign w:val="center"/>
                </w:tcPr>
                <w:p w14:paraId="651FE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设备装卸</w:t>
                  </w:r>
                </w:p>
              </w:tc>
              <w:tc>
                <w:tcPr>
                  <w:tcW w:w="861" w:type="pct"/>
                  <w:noWrap w:val="0"/>
                  <w:vAlign w:val="center"/>
                </w:tcPr>
                <w:p w14:paraId="66968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764" w:type="pct"/>
                  <w:noWrap w:val="0"/>
                  <w:vAlign w:val="center"/>
                </w:tcPr>
                <w:p w14:paraId="413A8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下风向环境空气质量</w:t>
                  </w:r>
                </w:p>
              </w:tc>
              <w:tc>
                <w:tcPr>
                  <w:tcW w:w="522" w:type="pct"/>
                  <w:noWrap w:val="0"/>
                  <w:vAlign w:val="center"/>
                </w:tcPr>
                <w:p w14:paraId="05B420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大气沉降</w:t>
                  </w:r>
                </w:p>
              </w:tc>
              <w:tc>
                <w:tcPr>
                  <w:tcW w:w="834" w:type="pct"/>
                  <w:noWrap w:val="0"/>
                  <w:vAlign w:val="center"/>
                </w:tcPr>
                <w:p w14:paraId="381A6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200m范围内容</w:t>
                  </w:r>
                </w:p>
              </w:tc>
              <w:tc>
                <w:tcPr>
                  <w:tcW w:w="666" w:type="pct"/>
                  <w:vMerge w:val="restart"/>
                  <w:noWrap w:val="0"/>
                  <w:vAlign w:val="center"/>
                </w:tcPr>
                <w:p w14:paraId="52D9D5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间歇流动性局地影响较小</w:t>
                  </w:r>
                </w:p>
              </w:tc>
            </w:tr>
            <w:tr w14:paraId="46ABE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14:paraId="011FB9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461" w:type="pct"/>
                  <w:noWrap w:val="0"/>
                  <w:vAlign w:val="center"/>
                </w:tcPr>
                <w:p w14:paraId="3A0D93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运输扬尘</w:t>
                  </w:r>
                </w:p>
              </w:tc>
              <w:tc>
                <w:tcPr>
                  <w:tcW w:w="605" w:type="pct"/>
                  <w:noWrap w:val="0"/>
                  <w:vAlign w:val="center"/>
                </w:tcPr>
                <w:p w14:paraId="29DEAA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施工车辆运输行驶过程</w:t>
                  </w:r>
                </w:p>
              </w:tc>
              <w:tc>
                <w:tcPr>
                  <w:tcW w:w="861" w:type="pct"/>
                  <w:noWrap w:val="0"/>
                  <w:vAlign w:val="center"/>
                </w:tcPr>
                <w:p w14:paraId="06D621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764" w:type="pct"/>
                  <w:noWrap w:val="0"/>
                  <w:vAlign w:val="center"/>
                </w:tcPr>
                <w:p w14:paraId="666D7D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道路两侧及下风向环境空气质量</w:t>
                  </w:r>
                </w:p>
              </w:tc>
              <w:tc>
                <w:tcPr>
                  <w:tcW w:w="522" w:type="pct"/>
                  <w:noWrap w:val="0"/>
                  <w:vAlign w:val="center"/>
                </w:tcPr>
                <w:p w14:paraId="285EE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大气沉降</w:t>
                  </w:r>
                </w:p>
              </w:tc>
              <w:tc>
                <w:tcPr>
                  <w:tcW w:w="834" w:type="pct"/>
                  <w:noWrap w:val="0"/>
                  <w:vAlign w:val="center"/>
                </w:tcPr>
                <w:p w14:paraId="33EFE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道路两侧30m范围内</w:t>
                  </w:r>
                </w:p>
              </w:tc>
              <w:tc>
                <w:tcPr>
                  <w:tcW w:w="666" w:type="pct"/>
                  <w:vMerge w:val="continue"/>
                  <w:noWrap w:val="0"/>
                  <w:vAlign w:val="center"/>
                </w:tcPr>
                <w:p w14:paraId="783BDE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r>
            <w:tr w14:paraId="246B6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14:paraId="01E6A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461" w:type="pct"/>
                  <w:noWrap w:val="0"/>
                  <w:vAlign w:val="center"/>
                </w:tcPr>
                <w:p w14:paraId="3D100D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焊接废气</w:t>
                  </w:r>
                </w:p>
              </w:tc>
              <w:tc>
                <w:tcPr>
                  <w:tcW w:w="605" w:type="pct"/>
                  <w:noWrap w:val="0"/>
                  <w:vAlign w:val="center"/>
                </w:tcPr>
                <w:p w14:paraId="7EDD23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设备、屋顶焊接</w:t>
                  </w:r>
                </w:p>
              </w:tc>
              <w:tc>
                <w:tcPr>
                  <w:tcW w:w="861" w:type="pct"/>
                  <w:noWrap w:val="0"/>
                  <w:vAlign w:val="center"/>
                </w:tcPr>
                <w:p w14:paraId="12317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VOCs</w:t>
                  </w:r>
                </w:p>
              </w:tc>
              <w:tc>
                <w:tcPr>
                  <w:tcW w:w="764" w:type="pct"/>
                  <w:noWrap w:val="0"/>
                  <w:vAlign w:val="center"/>
                </w:tcPr>
                <w:p w14:paraId="505DA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局部环境空气质量</w:t>
                  </w:r>
                </w:p>
              </w:tc>
              <w:tc>
                <w:tcPr>
                  <w:tcW w:w="522" w:type="pct"/>
                  <w:noWrap w:val="0"/>
                  <w:vAlign w:val="center"/>
                </w:tcPr>
                <w:p w14:paraId="476D7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大气沉降</w:t>
                  </w:r>
                </w:p>
              </w:tc>
              <w:tc>
                <w:tcPr>
                  <w:tcW w:w="834" w:type="pct"/>
                  <w:noWrap w:val="0"/>
                  <w:vAlign w:val="center"/>
                </w:tcPr>
                <w:p w14:paraId="4992D2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局地空气</w:t>
                  </w:r>
                </w:p>
              </w:tc>
              <w:tc>
                <w:tcPr>
                  <w:tcW w:w="666" w:type="pct"/>
                  <w:noWrap w:val="0"/>
                  <w:vAlign w:val="center"/>
                </w:tcPr>
                <w:p w14:paraId="1EFC6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影响较小</w:t>
                  </w:r>
                </w:p>
              </w:tc>
            </w:tr>
            <w:tr w14:paraId="16B19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14:paraId="232C2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461" w:type="pct"/>
                  <w:noWrap w:val="0"/>
                  <w:vAlign w:val="center"/>
                </w:tcPr>
                <w:p w14:paraId="2AA301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设备及车辆尾气</w:t>
                  </w:r>
                </w:p>
              </w:tc>
              <w:tc>
                <w:tcPr>
                  <w:tcW w:w="605" w:type="pct"/>
                  <w:noWrap w:val="0"/>
                  <w:vAlign w:val="center"/>
                </w:tcPr>
                <w:p w14:paraId="1BAE07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设备运行、施工车辆行驶过程</w:t>
                  </w:r>
                </w:p>
              </w:tc>
              <w:tc>
                <w:tcPr>
                  <w:tcW w:w="861" w:type="pct"/>
                  <w:noWrap w:val="0"/>
                  <w:vAlign w:val="center"/>
                </w:tcPr>
                <w:p w14:paraId="0A74B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THC、CO、NO</w:t>
                  </w:r>
                  <w:r>
                    <w:rPr>
                      <w:rFonts w:hint="default" w:ascii="Times New Roman" w:hAnsi="Times New Roman" w:eastAsia="宋体" w:cs="Times New Roman"/>
                      <w:b w:val="0"/>
                      <w:bCs w:val="0"/>
                      <w:color w:val="auto"/>
                      <w:sz w:val="21"/>
                      <w:szCs w:val="21"/>
                      <w:vertAlign w:val="subscript"/>
                      <w:lang w:val="en-US" w:eastAsia="zh-CN"/>
                    </w:rPr>
                    <w:t>X</w:t>
                  </w:r>
                </w:p>
              </w:tc>
              <w:tc>
                <w:tcPr>
                  <w:tcW w:w="764" w:type="pct"/>
                  <w:noWrap w:val="0"/>
                  <w:vAlign w:val="center"/>
                </w:tcPr>
                <w:p w14:paraId="37B697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局部环境空气质量</w:t>
                  </w:r>
                </w:p>
              </w:tc>
              <w:tc>
                <w:tcPr>
                  <w:tcW w:w="522" w:type="pct"/>
                  <w:noWrap w:val="0"/>
                  <w:vAlign w:val="center"/>
                </w:tcPr>
                <w:p w14:paraId="5BD5A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大气沉降</w:t>
                  </w:r>
                </w:p>
              </w:tc>
              <w:tc>
                <w:tcPr>
                  <w:tcW w:w="834" w:type="pct"/>
                  <w:noWrap w:val="0"/>
                  <w:vAlign w:val="center"/>
                </w:tcPr>
                <w:p w14:paraId="754DA4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局地空气</w:t>
                  </w:r>
                </w:p>
              </w:tc>
              <w:tc>
                <w:tcPr>
                  <w:tcW w:w="666" w:type="pct"/>
                  <w:noWrap w:val="0"/>
                  <w:vAlign w:val="center"/>
                </w:tcPr>
                <w:p w14:paraId="4D5B7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影响较小</w:t>
                  </w:r>
                </w:p>
              </w:tc>
            </w:tr>
            <w:tr w14:paraId="1E5FE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83" w:type="pct"/>
                  <w:vMerge w:val="restart"/>
                  <w:noWrap w:val="0"/>
                  <w:vAlign w:val="center"/>
                </w:tcPr>
                <w:p w14:paraId="5AD14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w:t>
                  </w:r>
                </w:p>
              </w:tc>
              <w:tc>
                <w:tcPr>
                  <w:tcW w:w="461" w:type="pct"/>
                  <w:vMerge w:val="restart"/>
                  <w:noWrap w:val="0"/>
                  <w:vAlign w:val="center"/>
                </w:tcPr>
                <w:p w14:paraId="16464B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05" w:type="pct"/>
                  <w:noWrap w:val="0"/>
                  <w:vAlign w:val="center"/>
                </w:tcPr>
                <w:p w14:paraId="42569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施工人员生活过程</w:t>
                  </w:r>
                </w:p>
              </w:tc>
              <w:tc>
                <w:tcPr>
                  <w:tcW w:w="861" w:type="pct"/>
                  <w:vMerge w:val="restart"/>
                  <w:noWrap w:val="0"/>
                  <w:vAlign w:val="center"/>
                </w:tcPr>
                <w:p w14:paraId="0E887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COD、氨氮、动植物油、SS、BOD</w:t>
                  </w:r>
                  <w:r>
                    <w:rPr>
                      <w:rFonts w:hint="default" w:ascii="Times New Roman" w:hAnsi="Times New Roman" w:eastAsia="宋体" w:cs="Times New Roman"/>
                      <w:b w:val="0"/>
                      <w:bCs w:val="0"/>
                      <w:color w:val="auto"/>
                      <w:sz w:val="21"/>
                      <w:szCs w:val="21"/>
                      <w:vertAlign w:val="subscript"/>
                      <w:lang w:val="en-US" w:eastAsia="zh-CN"/>
                    </w:rPr>
                    <w:t>5</w:t>
                  </w:r>
                </w:p>
              </w:tc>
              <w:tc>
                <w:tcPr>
                  <w:tcW w:w="764" w:type="pct"/>
                  <w:noWrap w:val="0"/>
                  <w:vAlign w:val="center"/>
                </w:tcPr>
                <w:p w14:paraId="7BFD27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土壤、地下水</w:t>
                  </w:r>
                </w:p>
              </w:tc>
              <w:tc>
                <w:tcPr>
                  <w:tcW w:w="522" w:type="pct"/>
                  <w:vMerge w:val="restart"/>
                  <w:noWrap w:val="0"/>
                  <w:vAlign w:val="center"/>
                </w:tcPr>
                <w:p w14:paraId="518721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入渗</w:t>
                  </w:r>
                </w:p>
              </w:tc>
              <w:tc>
                <w:tcPr>
                  <w:tcW w:w="834" w:type="pct"/>
                  <w:noWrap w:val="0"/>
                  <w:vAlign w:val="center"/>
                </w:tcPr>
                <w:p w14:paraId="5481D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施工场地</w:t>
                  </w:r>
                </w:p>
              </w:tc>
              <w:tc>
                <w:tcPr>
                  <w:tcW w:w="666" w:type="pct"/>
                  <w:noWrap w:val="0"/>
                  <w:vAlign w:val="center"/>
                </w:tcPr>
                <w:p w14:paraId="4546B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不产生影响</w:t>
                  </w:r>
                </w:p>
              </w:tc>
            </w:tr>
            <w:tr w14:paraId="6C0ED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vMerge w:val="restart"/>
                  <w:noWrap w:val="0"/>
                  <w:vAlign w:val="center"/>
                </w:tcPr>
                <w:p w14:paraId="7DEB2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461" w:type="pct"/>
                  <w:vMerge w:val="restart"/>
                  <w:noWrap w:val="0"/>
                  <w:vAlign w:val="center"/>
                </w:tcPr>
                <w:p w14:paraId="086365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施工噪声</w:t>
                  </w:r>
                </w:p>
              </w:tc>
              <w:tc>
                <w:tcPr>
                  <w:tcW w:w="605" w:type="pct"/>
                  <w:noWrap w:val="0"/>
                  <w:vAlign w:val="center"/>
                </w:tcPr>
                <w:p w14:paraId="6FA631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施工机械</w:t>
                  </w:r>
                </w:p>
              </w:tc>
              <w:tc>
                <w:tcPr>
                  <w:tcW w:w="861" w:type="pct"/>
                  <w:vMerge w:val="restart"/>
                  <w:noWrap w:val="0"/>
                  <w:vAlign w:val="center"/>
                </w:tcPr>
                <w:p w14:paraId="4EDB1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等效升级dB（A）</w:t>
                  </w:r>
                </w:p>
              </w:tc>
              <w:tc>
                <w:tcPr>
                  <w:tcW w:w="764" w:type="pct"/>
                  <w:noWrap w:val="0"/>
                  <w:vAlign w:val="center"/>
                </w:tcPr>
                <w:p w14:paraId="0DFF30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施工人员</w:t>
                  </w:r>
                </w:p>
              </w:tc>
              <w:tc>
                <w:tcPr>
                  <w:tcW w:w="522" w:type="pct"/>
                  <w:vMerge w:val="restart"/>
                  <w:noWrap w:val="0"/>
                  <w:vAlign w:val="center"/>
                </w:tcPr>
                <w:p w14:paraId="25746E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空气传播</w:t>
                  </w:r>
                </w:p>
              </w:tc>
              <w:tc>
                <w:tcPr>
                  <w:tcW w:w="834" w:type="pct"/>
                  <w:noWrap w:val="0"/>
                  <w:vAlign w:val="center"/>
                </w:tcPr>
                <w:p w14:paraId="3F29A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施工场地</w:t>
                  </w:r>
                </w:p>
              </w:tc>
              <w:tc>
                <w:tcPr>
                  <w:tcW w:w="666" w:type="pct"/>
                  <w:noWrap w:val="0"/>
                  <w:vAlign w:val="center"/>
                </w:tcPr>
                <w:p w14:paraId="0A1E63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短期、可接受</w:t>
                  </w:r>
                </w:p>
              </w:tc>
            </w:tr>
            <w:tr w14:paraId="3F88B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14:paraId="553E29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61" w:type="pct"/>
                  <w:vMerge w:val="continue"/>
                  <w:noWrap w:val="0"/>
                  <w:vAlign w:val="center"/>
                </w:tcPr>
                <w:p w14:paraId="79E3F7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605" w:type="pct"/>
                  <w:noWrap w:val="0"/>
                  <w:vAlign w:val="center"/>
                </w:tcPr>
                <w:p w14:paraId="28508E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运输车辆</w:t>
                  </w:r>
                </w:p>
              </w:tc>
              <w:tc>
                <w:tcPr>
                  <w:tcW w:w="861" w:type="pct"/>
                  <w:vMerge w:val="continue"/>
                  <w:noWrap w:val="0"/>
                  <w:vAlign w:val="center"/>
                </w:tcPr>
                <w:p w14:paraId="2FBA4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764" w:type="pct"/>
                  <w:noWrap w:val="0"/>
                  <w:vAlign w:val="center"/>
                </w:tcPr>
                <w:p w14:paraId="20302C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经由敏感点</w:t>
                  </w:r>
                </w:p>
              </w:tc>
              <w:tc>
                <w:tcPr>
                  <w:tcW w:w="522" w:type="pct"/>
                  <w:vMerge w:val="continue"/>
                  <w:noWrap w:val="0"/>
                  <w:vAlign w:val="center"/>
                </w:tcPr>
                <w:p w14:paraId="24A955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p>
              </w:tc>
              <w:tc>
                <w:tcPr>
                  <w:tcW w:w="834" w:type="pct"/>
                  <w:noWrap w:val="0"/>
                  <w:vAlign w:val="center"/>
                </w:tcPr>
                <w:p w14:paraId="5EDAC2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道路两边</w:t>
                  </w:r>
                </w:p>
              </w:tc>
              <w:tc>
                <w:tcPr>
                  <w:tcW w:w="666" w:type="pct"/>
                  <w:noWrap w:val="0"/>
                  <w:vAlign w:val="center"/>
                </w:tcPr>
                <w:p w14:paraId="0FA89B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短期、可接受</w:t>
                  </w:r>
                </w:p>
              </w:tc>
            </w:tr>
            <w:tr w14:paraId="50E54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14:paraId="66677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61" w:type="pct"/>
                  <w:noWrap w:val="0"/>
                  <w:vAlign w:val="center"/>
                </w:tcPr>
                <w:p w14:paraId="05737F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装修噪声</w:t>
                  </w:r>
                </w:p>
              </w:tc>
              <w:tc>
                <w:tcPr>
                  <w:tcW w:w="605" w:type="pct"/>
                  <w:noWrap w:val="0"/>
                  <w:vAlign w:val="center"/>
                </w:tcPr>
                <w:p w14:paraId="153160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装修、设备安装阶段作业机械</w:t>
                  </w:r>
                </w:p>
              </w:tc>
              <w:tc>
                <w:tcPr>
                  <w:tcW w:w="861" w:type="pct"/>
                  <w:vMerge w:val="continue"/>
                  <w:noWrap w:val="0"/>
                  <w:vAlign w:val="center"/>
                </w:tcPr>
                <w:p w14:paraId="66E061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64" w:type="pct"/>
                  <w:noWrap w:val="0"/>
                  <w:vAlign w:val="center"/>
                </w:tcPr>
                <w:p w14:paraId="0D647D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施工人员</w:t>
                  </w:r>
                </w:p>
              </w:tc>
              <w:tc>
                <w:tcPr>
                  <w:tcW w:w="522" w:type="pct"/>
                  <w:vMerge w:val="continue"/>
                  <w:noWrap w:val="0"/>
                  <w:vAlign w:val="center"/>
                </w:tcPr>
                <w:p w14:paraId="314109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834" w:type="pct"/>
                  <w:noWrap w:val="0"/>
                  <w:vAlign w:val="center"/>
                </w:tcPr>
                <w:p w14:paraId="735946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施工场地</w:t>
                  </w:r>
                </w:p>
              </w:tc>
              <w:tc>
                <w:tcPr>
                  <w:tcW w:w="666" w:type="pct"/>
                  <w:noWrap w:val="0"/>
                  <w:vAlign w:val="center"/>
                </w:tcPr>
                <w:p w14:paraId="39BA58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短期、可接受</w:t>
                  </w:r>
                </w:p>
              </w:tc>
            </w:tr>
            <w:tr w14:paraId="4CD83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Merge w:val="restart"/>
                  <w:noWrap w:val="0"/>
                  <w:vAlign w:val="center"/>
                </w:tcPr>
                <w:p w14:paraId="01A3E2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461" w:type="pct"/>
                  <w:vMerge w:val="restart"/>
                  <w:noWrap w:val="0"/>
                  <w:vAlign w:val="center"/>
                </w:tcPr>
                <w:p w14:paraId="58B85B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施工固废</w:t>
                  </w:r>
                </w:p>
              </w:tc>
              <w:tc>
                <w:tcPr>
                  <w:tcW w:w="605" w:type="pct"/>
                  <w:noWrap w:val="0"/>
                  <w:vAlign w:val="center"/>
                </w:tcPr>
                <w:p w14:paraId="3A684A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建筑垃圾</w:t>
                  </w:r>
                </w:p>
              </w:tc>
              <w:tc>
                <w:tcPr>
                  <w:tcW w:w="861" w:type="pct"/>
                  <w:noWrap w:val="0"/>
                  <w:vAlign w:val="center"/>
                </w:tcPr>
                <w:p w14:paraId="24CC4AF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包装固废废弃原料</w:t>
                  </w:r>
                </w:p>
              </w:tc>
              <w:tc>
                <w:tcPr>
                  <w:tcW w:w="764" w:type="pct"/>
                  <w:noWrap w:val="0"/>
                  <w:vAlign w:val="center"/>
                </w:tcPr>
                <w:p w14:paraId="338155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环境景观</w:t>
                  </w:r>
                </w:p>
              </w:tc>
              <w:tc>
                <w:tcPr>
                  <w:tcW w:w="522" w:type="pct"/>
                  <w:noWrap w:val="0"/>
                  <w:vAlign w:val="center"/>
                </w:tcPr>
                <w:p w14:paraId="244E6E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随意堆放</w:t>
                  </w:r>
                </w:p>
              </w:tc>
              <w:tc>
                <w:tcPr>
                  <w:tcW w:w="834" w:type="pct"/>
                  <w:vMerge w:val="restart"/>
                  <w:noWrap w:val="0"/>
                  <w:vAlign w:val="center"/>
                </w:tcPr>
                <w:p w14:paraId="4544FE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施工场地</w:t>
                  </w:r>
                </w:p>
              </w:tc>
              <w:tc>
                <w:tcPr>
                  <w:tcW w:w="666" w:type="pct"/>
                  <w:noWrap w:val="0"/>
                  <w:vAlign w:val="center"/>
                </w:tcPr>
                <w:p w14:paraId="2E9291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集中清运至一般固废填埋场</w:t>
                  </w:r>
                </w:p>
              </w:tc>
            </w:tr>
            <w:tr w14:paraId="3CFF9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83" w:type="pct"/>
                  <w:vMerge w:val="continue"/>
                  <w:noWrap w:val="0"/>
                  <w:vAlign w:val="center"/>
                </w:tcPr>
                <w:p w14:paraId="0F13DD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461" w:type="pct"/>
                  <w:vMerge w:val="continue"/>
                  <w:noWrap w:val="0"/>
                  <w:vAlign w:val="center"/>
                </w:tcPr>
                <w:p w14:paraId="4A9CAE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605" w:type="pct"/>
                  <w:noWrap w:val="0"/>
                  <w:vAlign w:val="center"/>
                </w:tcPr>
                <w:p w14:paraId="783018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861" w:type="pct"/>
                  <w:noWrap w:val="0"/>
                  <w:vAlign w:val="center"/>
                </w:tcPr>
                <w:p w14:paraId="5D3E15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有机物等</w:t>
                  </w:r>
                </w:p>
              </w:tc>
              <w:tc>
                <w:tcPr>
                  <w:tcW w:w="764" w:type="pct"/>
                  <w:noWrap w:val="0"/>
                  <w:vAlign w:val="center"/>
                </w:tcPr>
                <w:p w14:paraId="1F33BB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大气、水、景观</w:t>
                  </w:r>
                </w:p>
              </w:tc>
              <w:tc>
                <w:tcPr>
                  <w:tcW w:w="522" w:type="pct"/>
                  <w:noWrap w:val="0"/>
                  <w:vAlign w:val="center"/>
                </w:tcPr>
                <w:p w14:paraId="4BB7A1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堆存丢弃</w:t>
                  </w:r>
                </w:p>
              </w:tc>
              <w:tc>
                <w:tcPr>
                  <w:tcW w:w="834" w:type="pct"/>
                  <w:vMerge w:val="continue"/>
                  <w:noWrap w:val="0"/>
                  <w:vAlign w:val="center"/>
                </w:tcPr>
                <w:p w14:paraId="49CAE3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666" w:type="pct"/>
                  <w:noWrap w:val="0"/>
                  <w:vAlign w:val="center"/>
                </w:tcPr>
                <w:p w14:paraId="270857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集中清运至生活垃圾无害化处理场</w:t>
                  </w:r>
                </w:p>
              </w:tc>
            </w:tr>
          </w:tbl>
          <w:p w14:paraId="4A9AB4CB">
            <w:pPr>
              <w:pStyle w:val="20"/>
              <w:jc w:val="both"/>
              <w:rPr>
                <w:rFonts w:hint="eastAsia"/>
                <w:color w:val="auto"/>
                <w:lang w:val="en-US" w:eastAsia="zh-CN"/>
              </w:rPr>
            </w:pPr>
          </w:p>
        </w:tc>
      </w:tr>
      <w:tr w14:paraId="6CC31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5" w:hRule="atLeast"/>
          <w:jc w:val="center"/>
        </w:trPr>
        <w:tc>
          <w:tcPr>
            <w:tcW w:w="426" w:type="dxa"/>
            <w:noWrap w:val="0"/>
            <w:tcMar>
              <w:left w:w="28" w:type="dxa"/>
              <w:right w:w="28" w:type="dxa"/>
            </w:tcMar>
            <w:vAlign w:val="center"/>
          </w:tcPr>
          <w:p w14:paraId="69040896">
            <w:pPr>
              <w:widowControl/>
              <w:spacing w:before="0" w:beforeAutospacing="0" w:after="0" w:afterAutospacing="0" w:line="360" w:lineRule="auto"/>
              <w:ind w:right="-175" w:rightChars="-73" w:firstLine="482"/>
              <w:jc w:val="center"/>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运</w:t>
            </w:r>
          </w:p>
          <w:p w14:paraId="7E3F4644">
            <w:pPr>
              <w:bidi w:val="0"/>
              <w:spacing w:line="36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kern w:val="2"/>
                <w:sz w:val="24"/>
                <w:szCs w:val="24"/>
                <w:highlight w:val="none"/>
                <w:lang w:val="en-US" w:eastAsia="zh-CN" w:bidi="ar-SA"/>
              </w:rPr>
              <w:t>运营期环保措施</w:t>
            </w:r>
          </w:p>
        </w:tc>
        <w:tc>
          <w:tcPr>
            <w:tcW w:w="8645" w:type="dxa"/>
            <w:noWrap w:val="0"/>
            <w:vAlign w:val="top"/>
          </w:tcPr>
          <w:p w14:paraId="5EB817D7">
            <w:pPr>
              <w:pStyle w:val="2"/>
              <w:keepNext w:val="0"/>
              <w:keepLines w:val="0"/>
              <w:pageBreakBefore w:val="0"/>
              <w:widowControl w:val="0"/>
              <w:kinsoku/>
              <w:wordWrap/>
              <w:topLinePunct w:val="0"/>
              <w:bidi w:val="0"/>
              <w:spacing w:line="480" w:lineRule="exact"/>
              <w:ind w:left="0" w:leftChars="0" w:firstLine="0" w:firstLineChars="0"/>
              <w:jc w:val="both"/>
              <w:textAlignment w:val="auto"/>
              <w:rPr>
                <w:color w:val="auto"/>
              </w:rPr>
            </w:pPr>
            <w:r>
              <w:rPr>
                <w:rFonts w:hint="eastAsia"/>
                <w:color w:val="auto"/>
                <w:lang w:val="en-US" w:eastAsia="zh-CN"/>
              </w:rPr>
              <w:t>1、</w:t>
            </w:r>
            <w:r>
              <w:rPr>
                <w:color w:val="auto"/>
              </w:rPr>
              <w:t>大气环境影响分析</w:t>
            </w:r>
          </w:p>
          <w:p w14:paraId="3FFAD35A">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cs="Times New Roman"/>
                <w:b w:val="0"/>
                <w:bCs w:val="0"/>
                <w:snapToGrid w:val="0"/>
                <w:color w:val="auto"/>
                <w:sz w:val="24"/>
                <w:szCs w:val="24"/>
                <w:highlight w:val="none"/>
                <w:lang w:val="en-US" w:eastAsia="zh-CN" w:bidi="ar-SA"/>
              </w:rPr>
            </w:pPr>
            <w:r>
              <w:rPr>
                <w:rFonts w:hint="eastAsia" w:cs="Times New Roman"/>
                <w:snapToGrid w:val="0"/>
                <w:color w:val="auto"/>
                <w:sz w:val="24"/>
                <w:szCs w:val="24"/>
                <w:highlight w:val="none"/>
                <w:lang w:val="en-US" w:eastAsia="zh-CN" w:bidi="ar-SA"/>
              </w:rPr>
              <w:t>根据工程分析，可得本项目运营期产污环节为：投料、</w:t>
            </w:r>
            <w:r>
              <w:rPr>
                <w:rFonts w:hint="eastAsia"/>
                <w:b w:val="0"/>
                <w:bCs w:val="0"/>
                <w:color w:val="auto"/>
                <w:szCs w:val="24"/>
                <w:lang w:val="en-US" w:eastAsia="zh-CN" w:bidi="ar"/>
              </w:rPr>
              <w:t>混合搅拌</w:t>
            </w:r>
            <w:r>
              <w:rPr>
                <w:rFonts w:hint="eastAsia" w:cs="Times New Roman"/>
                <w:snapToGrid w:val="0"/>
                <w:color w:val="auto"/>
                <w:sz w:val="24"/>
                <w:szCs w:val="24"/>
                <w:highlight w:val="none"/>
                <w:lang w:val="en-US" w:eastAsia="zh-CN" w:bidi="ar-SA"/>
              </w:rPr>
              <w:t>、筒仓卸料</w:t>
            </w:r>
            <w:r>
              <w:rPr>
                <w:rFonts w:hint="eastAsia"/>
                <w:b w:val="0"/>
                <w:bCs w:val="0"/>
                <w:color w:val="auto"/>
                <w:szCs w:val="24"/>
                <w:lang w:val="en-US" w:eastAsia="zh-CN" w:bidi="ar"/>
              </w:rPr>
              <w:t>、输送起尘、车辆运输。</w:t>
            </w:r>
          </w:p>
          <w:p w14:paraId="0013A741">
            <w:pPr>
              <w:pStyle w:val="3"/>
              <w:keepNext w:val="0"/>
              <w:keepLines w:val="0"/>
              <w:pageBreakBefore w:val="0"/>
              <w:widowControl w:val="0"/>
              <w:kinsoku/>
              <w:wordWrap/>
              <w:topLinePunct w:val="0"/>
              <w:bidi w:val="0"/>
              <w:spacing w:line="476" w:lineRule="exact"/>
              <w:ind w:right="0"/>
              <w:jc w:val="both"/>
              <w:textAlignment w:val="auto"/>
              <w:rPr>
                <w:rFonts w:hint="eastAsia"/>
                <w:color w:val="auto"/>
              </w:rPr>
            </w:pPr>
            <w:r>
              <w:rPr>
                <w:rFonts w:hint="eastAsia"/>
                <w:color w:val="auto"/>
                <w:lang w:val="en-US" w:eastAsia="zh-CN"/>
              </w:rPr>
              <w:t>1.1</w:t>
            </w:r>
            <w:r>
              <w:rPr>
                <w:rFonts w:hint="eastAsia"/>
                <w:b/>
                <w:bCs/>
                <w:color w:val="auto"/>
                <w:szCs w:val="24"/>
                <w:lang w:val="en-US" w:eastAsia="zh-CN" w:bidi="ar"/>
              </w:rPr>
              <w:t>车间粉尘</w:t>
            </w:r>
          </w:p>
          <w:p w14:paraId="73B67943">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snapToGrid w:val="0"/>
                <w:color w:val="auto"/>
                <w:sz w:val="24"/>
                <w:szCs w:val="24"/>
                <w:highlight w:val="none"/>
                <w:lang w:val="en-US" w:eastAsia="zh-CN" w:bidi="ar-SA"/>
              </w:rPr>
            </w:pPr>
            <w:r>
              <w:rPr>
                <w:rFonts w:hint="eastAsia" w:cs="Times New Roman"/>
                <w:snapToGrid w:val="0"/>
                <w:color w:val="auto"/>
                <w:sz w:val="24"/>
                <w:szCs w:val="24"/>
                <w:highlight w:val="none"/>
                <w:lang w:val="en-US" w:eastAsia="zh-CN" w:bidi="ar-SA"/>
              </w:rPr>
              <w:t>其中车间逸散粉尘包括投料粉尘、输送粉尘以及</w:t>
            </w:r>
            <w:r>
              <w:rPr>
                <w:rFonts w:hint="eastAsia" w:ascii="Times New Roman" w:hAnsi="Times New Roman" w:eastAsia="宋体" w:cs="Times New Roman"/>
                <w:snapToGrid w:val="0"/>
                <w:color w:val="auto"/>
                <w:sz w:val="24"/>
                <w:szCs w:val="24"/>
                <w:highlight w:val="none"/>
                <w:lang w:val="en-US" w:eastAsia="zh-CN" w:bidi="ar-SA"/>
              </w:rPr>
              <w:t>搅拌粉尘</w:t>
            </w:r>
            <w:r>
              <w:rPr>
                <w:rFonts w:hint="eastAsia" w:cs="Times New Roman"/>
                <w:snapToGrid w:val="0"/>
                <w:color w:val="auto"/>
                <w:sz w:val="24"/>
                <w:szCs w:val="24"/>
                <w:highlight w:val="none"/>
                <w:lang w:val="en-US" w:eastAsia="zh-CN" w:bidi="ar-SA"/>
              </w:rPr>
              <w:t>。</w:t>
            </w:r>
          </w:p>
          <w:p w14:paraId="47F84ED2">
            <w:pPr>
              <w:keepNext w:val="0"/>
              <w:keepLines w:val="0"/>
              <w:pageBreakBefore w:val="0"/>
              <w:kinsoku/>
              <w:wordWrap/>
              <w:overflowPunct w:val="0"/>
              <w:topLinePunct w:val="0"/>
              <w:autoSpaceDE w:val="0"/>
              <w:autoSpaceDN w:val="0"/>
              <w:bidi w:val="0"/>
              <w:adjustRightInd w:val="0"/>
              <w:snapToGrid w:val="0"/>
              <w:spacing w:line="476" w:lineRule="exact"/>
              <w:ind w:right="0" w:firstLine="482" w:firstLineChars="200"/>
              <w:jc w:val="both"/>
              <w:textAlignment w:val="auto"/>
              <w:rPr>
                <w:rFonts w:hint="default"/>
                <w:b/>
                <w:bCs/>
                <w:color w:val="auto"/>
                <w:szCs w:val="24"/>
                <w:highlight w:val="none"/>
                <w:lang w:val="en-US" w:eastAsia="zh-CN" w:bidi="ar"/>
              </w:rPr>
            </w:pPr>
            <w:r>
              <w:rPr>
                <w:rFonts w:hint="eastAsia"/>
                <w:b/>
                <w:bCs/>
                <w:color w:val="auto"/>
                <w:szCs w:val="24"/>
                <w:highlight w:val="none"/>
                <w:lang w:val="en-US" w:eastAsia="zh-CN" w:bidi="ar"/>
              </w:rPr>
              <w:t>1.1.1物料输送废气（1#生产线）</w:t>
            </w:r>
          </w:p>
          <w:p w14:paraId="75CE16F5">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b w:val="0"/>
                <w:bCs w:val="0"/>
                <w:color w:val="auto"/>
                <w:highlight w:val="none"/>
                <w:lang w:val="en-US" w:eastAsia="zh-CN"/>
              </w:rPr>
            </w:pPr>
            <w:r>
              <w:rPr>
                <w:rFonts w:hint="eastAsia" w:eastAsia="宋体" w:cs="Times New Roman"/>
                <w:color w:val="auto"/>
                <w:kern w:val="2"/>
                <w:szCs w:val="24"/>
                <w:highlight w:val="none"/>
                <w:lang w:val="en-US" w:eastAsia="zh-CN"/>
              </w:rPr>
              <w:t>根据《排放源统计调查产排污核算方法和系数手册》3021水泥制品制造</w:t>
            </w:r>
            <w:r>
              <w:rPr>
                <w:rFonts w:hint="eastAsia" w:cs="Times New Roman"/>
                <w:color w:val="auto"/>
                <w:kern w:val="2"/>
                <w:szCs w:val="24"/>
                <w:highlight w:val="none"/>
                <w:lang w:val="en-US" w:eastAsia="zh-CN"/>
              </w:rPr>
              <w:t>行业系数</w:t>
            </w:r>
            <w:r>
              <w:rPr>
                <w:rFonts w:hint="eastAsia" w:eastAsia="宋体" w:cs="Times New Roman"/>
                <w:color w:val="auto"/>
                <w:kern w:val="2"/>
                <w:szCs w:val="24"/>
                <w:highlight w:val="none"/>
                <w:lang w:val="en-US" w:eastAsia="zh-CN"/>
              </w:rPr>
              <w:t>，混凝土制品物料输送储存产污系数为0.12kg/t-产品，腻子粉共</w:t>
            </w:r>
            <w:r>
              <w:rPr>
                <w:rFonts w:hint="eastAsia" w:cs="Times New Roman"/>
                <w:color w:val="auto"/>
                <w:kern w:val="2"/>
                <w:szCs w:val="24"/>
                <w:highlight w:val="none"/>
                <w:lang w:val="en-US" w:eastAsia="zh-CN"/>
              </w:rPr>
              <w:t>50000</w:t>
            </w:r>
            <w:r>
              <w:rPr>
                <w:rFonts w:hint="eastAsia" w:eastAsia="宋体" w:cs="Times New Roman"/>
                <w:color w:val="auto"/>
                <w:kern w:val="2"/>
                <w:szCs w:val="24"/>
                <w:highlight w:val="none"/>
                <w:lang w:val="en-US" w:eastAsia="zh-CN"/>
              </w:rPr>
              <w:t>t/a，因此</w:t>
            </w:r>
            <w:r>
              <w:rPr>
                <w:rFonts w:hint="eastAsia" w:cs="Times New Roman"/>
                <w:color w:val="auto"/>
                <w:kern w:val="2"/>
                <w:szCs w:val="24"/>
                <w:highlight w:val="none"/>
                <w:lang w:val="en-US" w:eastAsia="zh-CN"/>
              </w:rPr>
              <w:t>物料输送</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共</w:t>
            </w:r>
            <w:r>
              <w:rPr>
                <w:rFonts w:hint="eastAsia" w:cs="Times New Roman"/>
                <w:color w:val="auto"/>
                <w:kern w:val="2"/>
                <w:szCs w:val="24"/>
                <w:highlight w:val="none"/>
                <w:lang w:val="en-US" w:eastAsia="zh-CN"/>
              </w:rPr>
              <w:t>6</w:t>
            </w:r>
            <w:r>
              <w:rPr>
                <w:rFonts w:hint="eastAsia" w:eastAsia="宋体" w:cs="Times New Roman"/>
                <w:color w:val="auto"/>
                <w:kern w:val="2"/>
                <w:szCs w:val="24"/>
                <w:highlight w:val="none"/>
                <w:lang w:val="en-US" w:eastAsia="zh-CN"/>
              </w:rPr>
              <w:t>t/a</w:t>
            </w:r>
            <w:r>
              <w:rPr>
                <w:rFonts w:hint="eastAsia" w:cs="Times New Roman"/>
                <w:color w:val="auto"/>
                <w:kern w:val="2"/>
                <w:szCs w:val="24"/>
                <w:highlight w:val="none"/>
                <w:lang w:val="en-US" w:eastAsia="zh-CN"/>
              </w:rPr>
              <w:t>，该部分经收集处理后排放（封闭生产设施，收集效率95%计，5%未收集部分无组织逸散）收集效率参考《主要污染物总量减排核算技术指南（2022 年修订）》中表2-3密闭管道收集效率。</w:t>
            </w:r>
          </w:p>
          <w:p w14:paraId="6525E6E4">
            <w:pPr>
              <w:keepNext w:val="0"/>
              <w:keepLines w:val="0"/>
              <w:pageBreakBefore w:val="0"/>
              <w:kinsoku/>
              <w:wordWrap/>
              <w:overflowPunct w:val="0"/>
              <w:topLinePunct w:val="0"/>
              <w:autoSpaceDE w:val="0"/>
              <w:autoSpaceDN w:val="0"/>
              <w:bidi w:val="0"/>
              <w:adjustRightInd w:val="0"/>
              <w:snapToGrid w:val="0"/>
              <w:spacing w:line="476" w:lineRule="exact"/>
              <w:ind w:right="0" w:firstLine="482" w:firstLineChars="200"/>
              <w:jc w:val="both"/>
              <w:textAlignment w:val="auto"/>
              <w:rPr>
                <w:rFonts w:hint="eastAsia" w:cs="Times New Roman"/>
                <w:b/>
                <w:bCs/>
                <w:color w:val="auto"/>
                <w:sz w:val="24"/>
                <w:szCs w:val="20"/>
                <w:highlight w:val="none"/>
                <w:lang w:val="en-US" w:eastAsia="zh-CN"/>
              </w:rPr>
            </w:pPr>
            <w:r>
              <w:rPr>
                <w:rFonts w:hint="eastAsia" w:cs="Times New Roman"/>
                <w:b/>
                <w:bCs/>
                <w:color w:val="auto"/>
                <w:sz w:val="24"/>
                <w:szCs w:val="20"/>
                <w:highlight w:val="none"/>
                <w:lang w:val="en-US" w:eastAsia="zh-CN"/>
              </w:rPr>
              <w:t>1.1.2混合搅拌废气</w:t>
            </w:r>
            <w:r>
              <w:rPr>
                <w:rFonts w:hint="eastAsia"/>
                <w:b/>
                <w:bCs/>
                <w:color w:val="auto"/>
                <w:szCs w:val="24"/>
                <w:highlight w:val="none"/>
                <w:lang w:val="en-US" w:eastAsia="zh-CN" w:bidi="ar"/>
              </w:rPr>
              <w:t>（1#生产线）</w:t>
            </w:r>
          </w:p>
          <w:p w14:paraId="1788638B">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b w:val="0"/>
                <w:bCs w:val="0"/>
                <w:color w:val="auto"/>
                <w:highlight w:val="none"/>
                <w:lang w:val="en-US" w:eastAsia="zh-CN"/>
              </w:rPr>
            </w:pPr>
            <w:r>
              <w:rPr>
                <w:rFonts w:hint="eastAsia" w:cs="Times New Roman"/>
                <w:color w:val="auto"/>
                <w:kern w:val="2"/>
                <w:szCs w:val="24"/>
                <w:highlight w:val="none"/>
                <w:lang w:val="en-US" w:eastAsia="zh-CN"/>
              </w:rPr>
              <w:t>搅拌混合</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主要为</w:t>
            </w:r>
            <w:r>
              <w:rPr>
                <w:rFonts w:hint="eastAsia" w:cs="Times New Roman"/>
                <w:color w:val="auto"/>
                <w:kern w:val="2"/>
                <w:szCs w:val="24"/>
                <w:highlight w:val="none"/>
                <w:lang w:val="en-US" w:eastAsia="zh-CN"/>
              </w:rPr>
              <w:t>搅拌机混合搅拌</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。根据《排放源统计调查产排污核算方法和系数手册》3021水泥制品制造</w:t>
            </w:r>
            <w:r>
              <w:rPr>
                <w:rFonts w:hint="eastAsia" w:cs="Times New Roman"/>
                <w:color w:val="auto"/>
                <w:kern w:val="2"/>
                <w:szCs w:val="24"/>
                <w:highlight w:val="none"/>
                <w:lang w:val="en-US" w:eastAsia="zh-CN"/>
              </w:rPr>
              <w:t>行业系数，物料混合搅拌产污系数为</w:t>
            </w:r>
            <w:r>
              <w:rPr>
                <w:rFonts w:hint="eastAsia" w:eastAsia="宋体" w:cs="Times New Roman"/>
                <w:color w:val="auto"/>
                <w:kern w:val="2"/>
                <w:szCs w:val="24"/>
                <w:highlight w:val="none"/>
                <w:lang w:val="en-US" w:eastAsia="zh-CN"/>
              </w:rPr>
              <w:t>0.</w:t>
            </w:r>
            <w:r>
              <w:rPr>
                <w:rFonts w:hint="eastAsia" w:cs="Times New Roman"/>
                <w:color w:val="auto"/>
                <w:kern w:val="2"/>
                <w:szCs w:val="24"/>
                <w:highlight w:val="none"/>
                <w:lang w:val="en-US" w:eastAsia="zh-CN"/>
              </w:rPr>
              <w:t>13</w:t>
            </w:r>
            <w:r>
              <w:rPr>
                <w:rFonts w:hint="eastAsia" w:eastAsia="宋体" w:cs="Times New Roman"/>
                <w:color w:val="auto"/>
                <w:kern w:val="2"/>
                <w:szCs w:val="24"/>
                <w:highlight w:val="none"/>
                <w:lang w:val="en-US" w:eastAsia="zh-CN"/>
              </w:rPr>
              <w:t>kg/t-产品，该</w:t>
            </w:r>
            <w:r>
              <w:rPr>
                <w:rFonts w:hint="eastAsia" w:cs="Times New Roman"/>
                <w:color w:val="auto"/>
                <w:kern w:val="2"/>
                <w:szCs w:val="24"/>
                <w:highlight w:val="none"/>
                <w:lang w:val="en-US" w:eastAsia="zh-CN"/>
              </w:rPr>
              <w:t>产品</w:t>
            </w:r>
            <w:r>
              <w:rPr>
                <w:rFonts w:hint="eastAsia" w:eastAsia="宋体" w:cs="Times New Roman"/>
                <w:color w:val="auto"/>
                <w:kern w:val="2"/>
                <w:szCs w:val="24"/>
                <w:highlight w:val="none"/>
                <w:lang w:val="en-US" w:eastAsia="zh-CN"/>
              </w:rPr>
              <w:t>共</w:t>
            </w:r>
            <w:r>
              <w:rPr>
                <w:rFonts w:hint="eastAsia" w:cs="Times New Roman"/>
                <w:color w:val="auto"/>
                <w:kern w:val="2"/>
                <w:szCs w:val="24"/>
                <w:highlight w:val="none"/>
                <w:lang w:val="en-US" w:eastAsia="zh-CN"/>
              </w:rPr>
              <w:t>50000</w:t>
            </w:r>
            <w:r>
              <w:rPr>
                <w:rFonts w:hint="eastAsia" w:eastAsia="宋体" w:cs="Times New Roman"/>
                <w:color w:val="auto"/>
                <w:kern w:val="2"/>
                <w:szCs w:val="24"/>
                <w:highlight w:val="none"/>
                <w:lang w:val="en-US" w:eastAsia="zh-CN"/>
              </w:rPr>
              <w:t>t/a，因此</w:t>
            </w:r>
            <w:r>
              <w:rPr>
                <w:rFonts w:hint="eastAsia" w:cs="Times New Roman"/>
                <w:color w:val="auto"/>
                <w:kern w:val="2"/>
                <w:szCs w:val="24"/>
                <w:highlight w:val="none"/>
                <w:lang w:val="en-US" w:eastAsia="zh-CN"/>
              </w:rPr>
              <w:t>混合搅拌</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共</w:t>
            </w:r>
            <w:r>
              <w:rPr>
                <w:rFonts w:hint="eastAsia" w:cs="Times New Roman"/>
                <w:color w:val="auto"/>
                <w:kern w:val="2"/>
                <w:szCs w:val="24"/>
                <w:highlight w:val="none"/>
                <w:lang w:val="en-US" w:eastAsia="zh-CN"/>
              </w:rPr>
              <w:t>6.5</w:t>
            </w:r>
            <w:r>
              <w:rPr>
                <w:rFonts w:hint="eastAsia" w:eastAsia="宋体" w:cs="Times New Roman"/>
                <w:color w:val="auto"/>
                <w:kern w:val="2"/>
                <w:szCs w:val="24"/>
                <w:highlight w:val="none"/>
                <w:lang w:val="en-US" w:eastAsia="zh-CN"/>
              </w:rPr>
              <w:t>t/a</w:t>
            </w:r>
            <w:r>
              <w:rPr>
                <w:rFonts w:hint="eastAsia" w:cs="Times New Roman"/>
                <w:color w:val="auto"/>
                <w:kern w:val="2"/>
                <w:szCs w:val="24"/>
                <w:highlight w:val="none"/>
                <w:lang w:val="en-US" w:eastAsia="zh-CN"/>
              </w:rPr>
              <w:t>，该部分经收集处理后排放（封闭生产设施，收集效率95%计，5%未收集部分无组织逸散）收集效率参考《主要污染物总量减排核算技术指南（2022 年修订）》中表2-3密闭管道收集效率。</w:t>
            </w:r>
          </w:p>
          <w:p w14:paraId="1CBC2CCD">
            <w:pPr>
              <w:keepNext w:val="0"/>
              <w:keepLines w:val="0"/>
              <w:pageBreakBefore w:val="0"/>
              <w:kinsoku/>
              <w:wordWrap/>
              <w:overflowPunct w:val="0"/>
              <w:topLinePunct w:val="0"/>
              <w:autoSpaceDE w:val="0"/>
              <w:autoSpaceDN w:val="0"/>
              <w:bidi w:val="0"/>
              <w:adjustRightInd w:val="0"/>
              <w:snapToGrid w:val="0"/>
              <w:spacing w:line="476" w:lineRule="exact"/>
              <w:ind w:right="0" w:firstLine="482" w:firstLineChars="200"/>
              <w:jc w:val="both"/>
              <w:textAlignment w:val="auto"/>
              <w:rPr>
                <w:rFonts w:hint="default"/>
                <w:b/>
                <w:bCs/>
                <w:color w:val="auto"/>
                <w:szCs w:val="24"/>
                <w:highlight w:val="none"/>
                <w:lang w:val="en-US" w:eastAsia="zh-CN" w:bidi="ar"/>
              </w:rPr>
            </w:pPr>
            <w:r>
              <w:rPr>
                <w:rFonts w:hint="eastAsia"/>
                <w:b/>
                <w:bCs/>
                <w:color w:val="auto"/>
                <w:szCs w:val="24"/>
                <w:highlight w:val="none"/>
                <w:lang w:val="en-US" w:eastAsia="zh-CN" w:bidi="ar"/>
              </w:rPr>
              <w:t>1.1.3辅料投料粉尘（1#生产线投料口）</w:t>
            </w:r>
          </w:p>
          <w:p w14:paraId="46BE3895">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cs="Times New Roman"/>
                <w:color w:val="auto"/>
                <w:sz w:val="24"/>
                <w:szCs w:val="22"/>
                <w:highlight w:val="none"/>
              </w:rPr>
            </w:pPr>
            <w:r>
              <w:rPr>
                <w:rFonts w:hint="eastAsia" w:cs="Times New Roman"/>
                <w:color w:val="auto"/>
                <w:sz w:val="24"/>
                <w:szCs w:val="22"/>
                <w:highlight w:val="none"/>
                <w:lang w:val="en-US" w:eastAsia="zh-CN"/>
              </w:rPr>
              <w:t>1#生产线</w:t>
            </w:r>
            <w:r>
              <w:rPr>
                <w:rFonts w:hint="default" w:ascii="Times New Roman" w:hAnsi="Times New Roman" w:cs="Times New Roman"/>
                <w:color w:val="auto"/>
                <w:sz w:val="24"/>
                <w:szCs w:val="22"/>
                <w:highlight w:val="none"/>
              </w:rPr>
              <w:t>共</w:t>
            </w:r>
            <w:r>
              <w:rPr>
                <w:rFonts w:hint="eastAsia" w:ascii="Times New Roman" w:hAnsi="Times New Roman" w:cs="Times New Roman"/>
                <w:color w:val="auto"/>
                <w:sz w:val="24"/>
                <w:szCs w:val="22"/>
                <w:highlight w:val="none"/>
                <w:lang w:val="en-US" w:eastAsia="zh-CN"/>
              </w:rPr>
              <w:t>投辅料</w:t>
            </w:r>
            <w:r>
              <w:rPr>
                <w:rFonts w:hint="eastAsia" w:cs="Times New Roman"/>
                <w:color w:val="auto"/>
                <w:sz w:val="24"/>
                <w:szCs w:val="22"/>
                <w:highlight w:val="none"/>
                <w:lang w:val="en-US" w:eastAsia="zh-CN"/>
              </w:rPr>
              <w:t>1000</w:t>
            </w:r>
            <w:r>
              <w:rPr>
                <w:rFonts w:hint="default" w:ascii="Times New Roman" w:hAnsi="Times New Roman" w:cs="Times New Roman"/>
                <w:color w:val="auto"/>
                <w:sz w:val="24"/>
                <w:szCs w:val="22"/>
                <w:highlight w:val="none"/>
              </w:rPr>
              <w:t>t/a</w:t>
            </w:r>
            <w:r>
              <w:rPr>
                <w:rFonts w:hint="eastAsia"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val="en-US" w:eastAsia="zh-CN"/>
              </w:rPr>
              <w:t>其中</w:t>
            </w:r>
            <w:r>
              <w:rPr>
                <w:rFonts w:hint="eastAsia" w:cs="Times New Roman"/>
                <w:color w:val="auto"/>
                <w:sz w:val="24"/>
                <w:szCs w:val="22"/>
                <w:highlight w:val="none"/>
                <w:lang w:val="en-US" w:eastAsia="zh-CN"/>
              </w:rPr>
              <w:t>乳胶粉</w:t>
            </w:r>
            <w:r>
              <w:rPr>
                <w:rFonts w:hint="eastAsia" w:ascii="Times New Roman" w:hAnsi="Times New Roman" w:cs="Times New Roman"/>
                <w:color w:val="auto"/>
                <w:sz w:val="24"/>
                <w:szCs w:val="22"/>
                <w:highlight w:val="none"/>
                <w:lang w:val="en-US" w:eastAsia="zh-CN"/>
              </w:rPr>
              <w:t>计</w:t>
            </w:r>
            <w:r>
              <w:rPr>
                <w:rFonts w:hint="eastAsia" w:cs="Times New Roman"/>
                <w:color w:val="auto"/>
                <w:sz w:val="24"/>
                <w:szCs w:val="22"/>
                <w:highlight w:val="none"/>
                <w:lang w:val="en-US" w:eastAsia="zh-CN"/>
              </w:rPr>
              <w:t>5</w:t>
            </w:r>
            <w:r>
              <w:rPr>
                <w:rFonts w:hint="eastAsia" w:ascii="Times New Roman" w:hAnsi="Times New Roman" w:cs="Times New Roman"/>
                <w:color w:val="auto"/>
                <w:sz w:val="24"/>
                <w:szCs w:val="22"/>
                <w:highlight w:val="none"/>
                <w:lang w:val="en-US" w:eastAsia="zh-CN"/>
              </w:rPr>
              <w:t>00t、纤维素计</w:t>
            </w:r>
            <w:r>
              <w:rPr>
                <w:rFonts w:hint="eastAsia" w:cs="Times New Roman"/>
                <w:color w:val="auto"/>
                <w:sz w:val="24"/>
                <w:szCs w:val="22"/>
                <w:highlight w:val="none"/>
                <w:lang w:val="en-US" w:eastAsia="zh-CN"/>
              </w:rPr>
              <w:t>5</w:t>
            </w:r>
            <w:r>
              <w:rPr>
                <w:rFonts w:hint="eastAsia" w:ascii="Times New Roman" w:hAnsi="Times New Roman" w:cs="Times New Roman"/>
                <w:color w:val="auto"/>
                <w:sz w:val="24"/>
                <w:szCs w:val="22"/>
                <w:highlight w:val="none"/>
                <w:lang w:val="en-US" w:eastAsia="zh-CN"/>
              </w:rPr>
              <w:t>00t</w:t>
            </w:r>
            <w:r>
              <w:rPr>
                <w:rFonts w:hint="default" w:ascii="Times New Roman" w:hAnsi="Times New Roman" w:cs="Times New Roman"/>
                <w:color w:val="auto"/>
                <w:sz w:val="24"/>
                <w:szCs w:val="22"/>
                <w:highlight w:val="none"/>
              </w:rPr>
              <w:t>。</w:t>
            </w:r>
          </w:p>
          <w:p w14:paraId="59EB5AF8">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ascii="Times New Roman" w:hAnsi="Times New Roman" w:cs="Times New Roman"/>
                <w:color w:val="auto"/>
                <w:sz w:val="24"/>
                <w:szCs w:val="22"/>
                <w:highlight w:val="none"/>
                <w:lang w:eastAsia="zh-CN"/>
              </w:rPr>
            </w:pPr>
            <w:r>
              <w:rPr>
                <w:rFonts w:hint="default" w:ascii="Times New Roman" w:hAnsi="Times New Roman" w:cs="Times New Roman"/>
                <w:color w:val="auto"/>
                <w:sz w:val="24"/>
                <w:szCs w:val="22"/>
                <w:highlight w:val="none"/>
              </w:rPr>
              <w:t>参考《逸散性工业粉尘控制技术》、《工业污染核算》等书，并类比调查同类型加工行业数据，本项目</w:t>
            </w:r>
            <w:r>
              <w:rPr>
                <w:rFonts w:hint="eastAsia" w:ascii="Times New Roman" w:hAnsi="Times New Roman" w:cs="Times New Roman"/>
                <w:color w:val="auto"/>
                <w:sz w:val="24"/>
                <w:szCs w:val="22"/>
                <w:highlight w:val="none"/>
                <w:lang w:val="en-US" w:eastAsia="zh-CN"/>
              </w:rPr>
              <w:t>投料</w:t>
            </w:r>
            <w:r>
              <w:rPr>
                <w:rFonts w:hint="default" w:ascii="Times New Roman" w:hAnsi="Times New Roman" w:cs="Times New Roman"/>
                <w:color w:val="auto"/>
                <w:sz w:val="24"/>
                <w:szCs w:val="22"/>
                <w:highlight w:val="none"/>
              </w:rPr>
              <w:t>粉尘产生系数约为0.01kg/t原料</w:t>
            </w:r>
            <w:r>
              <w:rPr>
                <w:rFonts w:hint="eastAsia" w:ascii="Times New Roman" w:hAnsi="Times New Roman" w:cs="Times New Roman"/>
                <w:color w:val="auto"/>
                <w:sz w:val="24"/>
                <w:szCs w:val="22"/>
                <w:highlight w:val="none"/>
                <w:lang w:eastAsia="zh-CN"/>
              </w:rPr>
              <w:t>。</w:t>
            </w:r>
          </w:p>
          <w:p w14:paraId="12F21D34">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eastAsia="宋体" w:cs="Times New Roman"/>
                <w:snapToGrid w:val="0"/>
                <w:color w:val="auto"/>
                <w:sz w:val="24"/>
                <w:szCs w:val="24"/>
                <w:highlight w:val="none"/>
                <w:lang w:val="en-US" w:eastAsia="zh-CN" w:bidi="ar-SA"/>
              </w:rPr>
            </w:pPr>
            <w:r>
              <w:rPr>
                <w:rFonts w:hint="eastAsia" w:cs="Times New Roman"/>
                <w:color w:val="auto"/>
                <w:sz w:val="24"/>
                <w:szCs w:val="22"/>
                <w:highlight w:val="none"/>
                <w:lang w:val="en-US" w:eastAsia="zh-CN"/>
              </w:rPr>
              <w:t>2个</w:t>
            </w:r>
            <w:r>
              <w:rPr>
                <w:rFonts w:hint="eastAsia" w:ascii="Times New Roman" w:hAnsi="Times New Roman" w:cs="Times New Roman"/>
                <w:color w:val="auto"/>
                <w:sz w:val="24"/>
                <w:szCs w:val="22"/>
                <w:highlight w:val="none"/>
                <w:lang w:val="en-US" w:eastAsia="zh-CN"/>
              </w:rPr>
              <w:t>投料口上方</w:t>
            </w:r>
            <w:r>
              <w:rPr>
                <w:rFonts w:hint="eastAsia" w:cs="Times New Roman"/>
                <w:color w:val="auto"/>
                <w:sz w:val="24"/>
                <w:szCs w:val="22"/>
                <w:highlight w:val="none"/>
                <w:lang w:val="en-US" w:eastAsia="zh-CN"/>
              </w:rPr>
              <w:t>各</w:t>
            </w:r>
            <w:r>
              <w:rPr>
                <w:rFonts w:hint="eastAsia" w:ascii="Times New Roman" w:hAnsi="Times New Roman" w:cs="Times New Roman"/>
                <w:color w:val="auto"/>
                <w:sz w:val="24"/>
                <w:szCs w:val="22"/>
                <w:highlight w:val="none"/>
                <w:lang w:val="en-US" w:eastAsia="zh-CN"/>
              </w:rPr>
              <w:t>设置</w:t>
            </w:r>
            <w:r>
              <w:rPr>
                <w:rFonts w:hint="eastAsia" w:cs="Times New Roman"/>
                <w:color w:val="auto"/>
                <w:sz w:val="24"/>
                <w:szCs w:val="22"/>
                <w:highlight w:val="none"/>
                <w:lang w:val="en-US" w:eastAsia="zh-CN"/>
              </w:rPr>
              <w:t>1台</w:t>
            </w:r>
            <w:r>
              <w:rPr>
                <w:rFonts w:hint="eastAsia" w:ascii="Times New Roman" w:hAnsi="Times New Roman" w:cs="Times New Roman"/>
                <w:color w:val="auto"/>
                <w:sz w:val="24"/>
                <w:szCs w:val="22"/>
                <w:highlight w:val="none"/>
                <w:lang w:val="en-US" w:eastAsia="zh-CN"/>
              </w:rPr>
              <w:t>密闭集气罩，收集效率为90%（</w:t>
            </w:r>
            <w:r>
              <w:rPr>
                <w:rFonts w:hint="eastAsia" w:cs="Times New Roman"/>
                <w:color w:val="auto"/>
                <w:kern w:val="2"/>
                <w:szCs w:val="24"/>
                <w:highlight w:val="none"/>
                <w:lang w:val="en-US" w:eastAsia="zh-CN"/>
              </w:rPr>
              <w:t>收集效率参考《主要污染物总量减排核算技术指南（2022 年修订）》中表2-3密闭空间收集效率</w:t>
            </w:r>
            <w:r>
              <w:rPr>
                <w:rFonts w:hint="eastAsia" w:ascii="Times New Roman" w:hAnsi="Times New Roman" w:cs="Times New Roman"/>
                <w:color w:val="auto"/>
                <w:sz w:val="24"/>
                <w:szCs w:val="22"/>
                <w:highlight w:val="none"/>
                <w:lang w:val="en-US" w:eastAsia="zh-CN"/>
              </w:rPr>
              <w:t>），除尘效率99</w:t>
            </w:r>
            <w:r>
              <w:rPr>
                <w:rFonts w:hint="eastAsia" w:cs="Times New Roman"/>
                <w:color w:val="auto"/>
                <w:sz w:val="24"/>
                <w:szCs w:val="22"/>
                <w:highlight w:val="none"/>
                <w:lang w:val="en-US" w:eastAsia="zh-CN"/>
              </w:rPr>
              <w:t>.5</w:t>
            </w:r>
            <w:r>
              <w:rPr>
                <w:rFonts w:hint="eastAsia" w:ascii="Times New Roman" w:hAnsi="Times New Roman" w:cs="Times New Roman"/>
                <w:color w:val="auto"/>
                <w:sz w:val="24"/>
                <w:szCs w:val="22"/>
                <w:highlight w:val="none"/>
                <w:lang w:val="en-US" w:eastAsia="zh-CN"/>
              </w:rPr>
              <w:t>%</w:t>
            </w:r>
            <w:r>
              <w:rPr>
                <w:rFonts w:hint="eastAsia" w:cs="Times New Roman"/>
                <w:snapToGrid w:val="0"/>
                <w:color w:val="auto"/>
                <w:sz w:val="24"/>
                <w:szCs w:val="24"/>
                <w:highlight w:val="none"/>
                <w:lang w:val="en-US" w:eastAsia="zh-CN" w:bidi="ar-SA"/>
              </w:rPr>
              <w:t>（除尘效率由</w:t>
            </w:r>
            <w:r>
              <w:rPr>
                <w:rFonts w:hint="default" w:ascii="Times New Roman" w:hAnsi="Times New Roman" w:eastAsia="宋体" w:cs="Times New Roman"/>
                <w:snapToGrid w:val="0"/>
                <w:color w:val="auto"/>
                <w:sz w:val="24"/>
                <w:szCs w:val="24"/>
                <w:highlight w:val="none"/>
                <w:lang w:val="en-US" w:eastAsia="zh-CN" w:bidi="ar-SA"/>
              </w:rPr>
              <w:t>《排放源统计调查产排污核算方法和系数手册》</w:t>
            </w:r>
            <w:r>
              <w:rPr>
                <w:rFonts w:hint="eastAsia" w:cs="Times New Roman"/>
                <w:snapToGrid w:val="0"/>
                <w:color w:val="auto"/>
                <w:sz w:val="24"/>
                <w:szCs w:val="24"/>
                <w:highlight w:val="none"/>
                <w:lang w:val="en-US" w:eastAsia="zh-CN" w:bidi="ar-SA"/>
              </w:rPr>
              <w:t>3021</w:t>
            </w:r>
            <w:r>
              <w:rPr>
                <w:rFonts w:hint="eastAsia" w:ascii="Times New Roman" w:hAnsi="Times New Roman" w:cs="Times New Roman"/>
                <w:snapToGrid w:val="0"/>
                <w:color w:val="auto"/>
                <w:sz w:val="24"/>
                <w:szCs w:val="24"/>
                <w:highlight w:val="none"/>
                <w:lang w:val="en-US" w:eastAsia="zh-CN" w:bidi="ar-SA"/>
              </w:rPr>
              <w:t>提供</w:t>
            </w:r>
            <w:r>
              <w:rPr>
                <w:rFonts w:hint="eastAsia" w:cs="Times New Roman"/>
                <w:snapToGrid w:val="0"/>
                <w:color w:val="auto"/>
                <w:sz w:val="24"/>
                <w:szCs w:val="24"/>
                <w:highlight w:val="none"/>
                <w:lang w:val="en-US" w:eastAsia="zh-CN" w:bidi="ar-SA"/>
              </w:rPr>
              <w:t>“文中提供处理效率为99.7%，考虑实际情况，本项目以99.5%计”），</w:t>
            </w:r>
            <w:r>
              <w:rPr>
                <w:rFonts w:hint="eastAsia"/>
                <w:b w:val="0"/>
                <w:bCs w:val="0"/>
                <w:color w:val="auto"/>
                <w:szCs w:val="24"/>
                <w:highlight w:val="none"/>
                <w:lang w:val="en-US" w:eastAsia="zh-CN" w:bidi="ar"/>
              </w:rPr>
              <w:t>未收集部分厂房内无组织排放，</w:t>
            </w:r>
            <w:r>
              <w:rPr>
                <w:rFonts w:hint="eastAsia" w:ascii="Times New Roman" w:hAnsi="Times New Roman" w:eastAsia="宋体" w:cs="Times New Roman"/>
                <w:snapToGrid w:val="0"/>
                <w:color w:val="auto"/>
                <w:sz w:val="24"/>
                <w:szCs w:val="24"/>
                <w:highlight w:val="none"/>
                <w:lang w:val="en-US" w:eastAsia="zh-CN" w:bidi="ar-SA"/>
              </w:rPr>
              <w:t>根据《未纳入排污许可管理行业适用的排污系数、物料衡算方法（试行）》可知，木工粉尘的沉降率为85%，而硅酸盐类粉尘的比重大于木料粉尘，前者比后者更易沉降，因此粉尘沉降率按90%计，计算结果如下：</w:t>
            </w:r>
          </w:p>
          <w:p w14:paraId="7F0B49EB">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投料合计</w:t>
            </w:r>
            <w:r>
              <w:rPr>
                <w:rFonts w:hint="eastAsia" w:cs="Times New Roman"/>
                <w:color w:val="auto"/>
                <w:sz w:val="24"/>
                <w:szCs w:val="22"/>
                <w:highlight w:val="none"/>
                <w:lang w:val="en-US" w:eastAsia="zh-CN"/>
              </w:rPr>
              <w:t>1000</w:t>
            </w:r>
            <w:r>
              <w:rPr>
                <w:rFonts w:hint="eastAsia" w:ascii="Times New Roman" w:hAnsi="Times New Roman" w:cs="Times New Roman"/>
                <w:color w:val="auto"/>
                <w:sz w:val="24"/>
                <w:szCs w:val="22"/>
                <w:highlight w:val="none"/>
                <w:lang w:val="en-US" w:eastAsia="zh-CN"/>
              </w:rPr>
              <w:t>t，按0.01kg/t产物系数计算可得粉尘产生量为</w:t>
            </w:r>
            <w:r>
              <w:rPr>
                <w:rFonts w:hint="eastAsia" w:cs="Times New Roman"/>
                <w:color w:val="auto"/>
                <w:sz w:val="24"/>
                <w:szCs w:val="22"/>
                <w:highlight w:val="none"/>
                <w:lang w:val="en-US" w:eastAsia="zh-CN"/>
              </w:rPr>
              <w:t>1</w:t>
            </w:r>
            <w:r>
              <w:rPr>
                <w:rFonts w:hint="eastAsia" w:ascii="Times New Roman" w:hAnsi="Times New Roman" w:cs="Times New Roman"/>
                <w:color w:val="auto"/>
                <w:sz w:val="24"/>
                <w:szCs w:val="22"/>
                <w:highlight w:val="none"/>
                <w:lang w:val="en-US" w:eastAsia="zh-CN"/>
              </w:rPr>
              <w:t>×10</w:t>
            </w:r>
            <w:r>
              <w:rPr>
                <w:rFonts w:hint="eastAsia" w:ascii="Times New Roman" w:hAnsi="Times New Roman" w:cs="Times New Roman"/>
                <w:color w:val="auto"/>
                <w:sz w:val="24"/>
                <w:szCs w:val="22"/>
                <w:highlight w:val="none"/>
                <w:vertAlign w:val="superscript"/>
                <w:lang w:val="en-US" w:eastAsia="zh-CN"/>
              </w:rPr>
              <w:t>-</w:t>
            </w:r>
            <w:r>
              <w:rPr>
                <w:rFonts w:hint="eastAsia" w:cs="Times New Roman"/>
                <w:color w:val="auto"/>
                <w:sz w:val="24"/>
                <w:szCs w:val="22"/>
                <w:highlight w:val="none"/>
                <w:vertAlign w:val="superscript"/>
                <w:lang w:val="en-US" w:eastAsia="zh-CN"/>
              </w:rPr>
              <w:t>2</w:t>
            </w:r>
            <w:r>
              <w:rPr>
                <w:rFonts w:hint="eastAsia" w:ascii="Times New Roman" w:hAnsi="Times New Roman" w:cs="Times New Roman"/>
                <w:color w:val="auto"/>
                <w:sz w:val="24"/>
                <w:szCs w:val="22"/>
                <w:highlight w:val="none"/>
                <w:lang w:val="en-US" w:eastAsia="zh-CN"/>
              </w:rPr>
              <w:t>t/a，</w:t>
            </w:r>
            <w:r>
              <w:rPr>
                <w:rFonts w:hint="eastAsia" w:cs="Times New Roman"/>
                <w:color w:val="auto"/>
                <w:kern w:val="2"/>
                <w:szCs w:val="24"/>
                <w:highlight w:val="none"/>
                <w:lang w:val="en-US" w:eastAsia="zh-CN"/>
              </w:rPr>
              <w:t>10%未收集部分无组织逸散。</w:t>
            </w:r>
          </w:p>
          <w:p w14:paraId="734DA14E">
            <w:pPr>
              <w:keepNext w:val="0"/>
              <w:keepLines w:val="0"/>
              <w:pageBreakBefore w:val="0"/>
              <w:widowControl/>
              <w:kinsoku/>
              <w:wordWrap/>
              <w:topLinePunct w:val="0"/>
              <w:bidi w:val="0"/>
              <w:spacing w:line="476" w:lineRule="exact"/>
              <w:ind w:right="0" w:firstLine="482" w:firstLineChars="200"/>
              <w:jc w:val="both"/>
              <w:textAlignment w:val="auto"/>
              <w:rPr>
                <w:rFonts w:hint="eastAsia"/>
                <w:b/>
                <w:bCs/>
                <w:color w:val="auto"/>
                <w:szCs w:val="24"/>
                <w:lang w:val="en-US" w:eastAsia="zh-CN" w:bidi="ar"/>
              </w:rPr>
            </w:pPr>
            <w:r>
              <w:rPr>
                <w:rFonts w:hint="eastAsia"/>
                <w:b/>
                <w:bCs/>
                <w:color w:val="auto"/>
                <w:szCs w:val="24"/>
                <w:lang w:val="en-US" w:eastAsia="zh-CN" w:bidi="ar"/>
              </w:rPr>
              <w:t>1.1.4包装粉尘（1#生产线）</w:t>
            </w:r>
          </w:p>
          <w:p w14:paraId="58B059DE">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rFonts w:hint="eastAsia"/>
                <w:color w:val="auto"/>
                <w:sz w:val="24"/>
                <w:highlight w:val="none"/>
              </w:rPr>
            </w:pPr>
            <w:r>
              <w:rPr>
                <w:rFonts w:hint="default"/>
                <w:b w:val="0"/>
                <w:bCs w:val="0"/>
                <w:color w:val="auto"/>
                <w:szCs w:val="24"/>
                <w:lang w:val="en-US" w:eastAsia="zh-CN" w:bidi="ar"/>
              </w:rPr>
              <w:t>包装工序设计了吨袋包装，包装后的产品由叉车运至产品堆场待售，产品包装外售产生粉尘，参照《逸散性工业粉尘控破制技术》（中国环境科学出版社），包装逸散粉尘产生量为0.125kg/t，</w:t>
            </w:r>
            <w:r>
              <w:rPr>
                <w:rFonts w:hint="eastAsia"/>
                <w:b w:val="0"/>
                <w:bCs w:val="0"/>
                <w:color w:val="auto"/>
                <w:szCs w:val="24"/>
                <w:lang w:val="en-US" w:eastAsia="zh-CN" w:bidi="ar"/>
              </w:rPr>
              <w:t>腻子粉</w:t>
            </w:r>
            <w:r>
              <w:rPr>
                <w:rFonts w:hint="default"/>
                <w:b w:val="0"/>
                <w:bCs w:val="0"/>
                <w:color w:val="auto"/>
                <w:szCs w:val="24"/>
                <w:lang w:val="en-US" w:eastAsia="zh-CN" w:bidi="ar"/>
              </w:rPr>
              <w:t>包装粉尘产生量为</w:t>
            </w:r>
            <w:r>
              <w:rPr>
                <w:rFonts w:hint="eastAsia"/>
                <w:b w:val="0"/>
                <w:bCs w:val="0"/>
                <w:color w:val="auto"/>
                <w:szCs w:val="24"/>
                <w:lang w:val="en-US" w:eastAsia="zh-CN" w:bidi="ar"/>
              </w:rPr>
              <w:t>6.25</w:t>
            </w:r>
            <w:r>
              <w:rPr>
                <w:rFonts w:hint="default"/>
                <w:b w:val="0"/>
                <w:bCs w:val="0"/>
                <w:color w:val="auto"/>
                <w:szCs w:val="24"/>
                <w:lang w:val="en-US" w:eastAsia="zh-CN" w:bidi="ar"/>
              </w:rPr>
              <w:t>t/a</w:t>
            </w:r>
            <w:r>
              <w:rPr>
                <w:rFonts w:hint="eastAsia"/>
                <w:b w:val="0"/>
                <w:bCs w:val="0"/>
                <w:color w:val="auto"/>
                <w:szCs w:val="24"/>
                <w:lang w:val="en-US" w:eastAsia="zh-CN" w:bidi="ar"/>
              </w:rPr>
              <w:t>，</w:t>
            </w:r>
            <w:r>
              <w:rPr>
                <w:rFonts w:hint="eastAsia" w:cs="Times New Roman"/>
                <w:color w:val="auto"/>
                <w:kern w:val="2"/>
                <w:szCs w:val="24"/>
                <w:highlight w:val="none"/>
                <w:lang w:val="en-US" w:eastAsia="zh-CN"/>
              </w:rPr>
              <w:t>该部分经1台集气罩收集处理后排放</w:t>
            </w:r>
            <w:r>
              <w:rPr>
                <w:rFonts w:hint="eastAsia" w:cs="Times New Roman"/>
                <w:snapToGrid w:val="0"/>
                <w:color w:val="auto"/>
                <w:sz w:val="24"/>
                <w:szCs w:val="24"/>
                <w:highlight w:val="none"/>
                <w:lang w:val="en-US" w:eastAsia="zh-CN" w:bidi="ar-SA"/>
              </w:rPr>
              <w:t>除尘效率由</w:t>
            </w:r>
            <w:r>
              <w:rPr>
                <w:rFonts w:hint="default" w:ascii="Times New Roman" w:hAnsi="Times New Roman" w:eastAsia="宋体" w:cs="Times New Roman"/>
                <w:snapToGrid w:val="0"/>
                <w:color w:val="auto"/>
                <w:sz w:val="24"/>
                <w:szCs w:val="24"/>
                <w:highlight w:val="none"/>
                <w:lang w:val="en-US" w:eastAsia="zh-CN" w:bidi="ar-SA"/>
              </w:rPr>
              <w:t>《排放源统计调查产排污核算方法和系数手册》</w:t>
            </w:r>
            <w:r>
              <w:rPr>
                <w:rFonts w:hint="eastAsia" w:cs="Times New Roman"/>
                <w:snapToGrid w:val="0"/>
                <w:color w:val="auto"/>
                <w:sz w:val="24"/>
                <w:szCs w:val="24"/>
                <w:highlight w:val="none"/>
                <w:lang w:val="en-US" w:eastAsia="zh-CN" w:bidi="ar-SA"/>
              </w:rPr>
              <w:t>3021</w:t>
            </w:r>
            <w:r>
              <w:rPr>
                <w:rFonts w:hint="eastAsia" w:ascii="Times New Roman" w:hAnsi="Times New Roman" w:cs="Times New Roman"/>
                <w:snapToGrid w:val="0"/>
                <w:color w:val="auto"/>
                <w:sz w:val="24"/>
                <w:szCs w:val="24"/>
                <w:highlight w:val="none"/>
                <w:lang w:val="en-US" w:eastAsia="zh-CN" w:bidi="ar-SA"/>
              </w:rPr>
              <w:t>提供</w:t>
            </w:r>
            <w:r>
              <w:rPr>
                <w:rFonts w:hint="eastAsia" w:cs="Times New Roman"/>
                <w:snapToGrid w:val="0"/>
                <w:color w:val="auto"/>
                <w:sz w:val="24"/>
                <w:szCs w:val="24"/>
                <w:highlight w:val="none"/>
                <w:lang w:val="en-US" w:eastAsia="zh-CN" w:bidi="ar-SA"/>
              </w:rPr>
              <w:t>“文中提供处理效率为99.7%，考虑实际情况，本项目以99.5%计”），</w:t>
            </w:r>
            <w:r>
              <w:rPr>
                <w:rFonts w:hint="eastAsia" w:cs="Times New Roman"/>
                <w:color w:val="auto"/>
                <w:kern w:val="2"/>
                <w:szCs w:val="24"/>
                <w:highlight w:val="none"/>
                <w:lang w:val="en-US" w:eastAsia="zh-CN"/>
              </w:rPr>
              <w:t>收集效率80%计（收集效率参考《主要污染物总量减排核算技术指南（2022 年修订）》中表2-3密闭型集气罩收集效率），20%未收集部分无组织逸散，（参考《排气罩分类及技术条件》(GB/T16758-2008)，本项目选用上吸罩，为保证集气罩收集效率50%，集气罩的设计参考《大气污染控制工程》（高等教育出版社）中的集气罩的设计规范，集气罩规格为1.0-1.0*1.0-1.0，且要求各产生无组织废气工段距离不得＞4m，收集总风量能确保开口处保持微负压（开截面处的吸入风速不小于0.3m/s)，不让废气外泄。），由引风机引至吸附-布袋除尘装置进</w:t>
            </w:r>
            <w:r>
              <w:rPr>
                <w:rFonts w:hint="eastAsia" w:cs="Times New Roman"/>
                <w:color w:val="auto"/>
                <w:kern w:val="2"/>
                <w:sz w:val="24"/>
                <w:szCs w:val="24"/>
                <w:highlight w:val="none"/>
                <w:lang w:val="en-US" w:eastAsia="zh-CN"/>
              </w:rPr>
              <w:t>行统一处理。</w:t>
            </w:r>
          </w:p>
          <w:p w14:paraId="084E6B3F">
            <w:pPr>
              <w:keepNext w:val="0"/>
              <w:keepLines w:val="0"/>
              <w:pageBreakBefore w:val="0"/>
              <w:kinsoku/>
              <w:wordWrap/>
              <w:overflowPunct w:val="0"/>
              <w:topLinePunct w:val="0"/>
              <w:autoSpaceDE w:val="0"/>
              <w:autoSpaceDN w:val="0"/>
              <w:bidi w:val="0"/>
              <w:adjustRightInd w:val="0"/>
              <w:snapToGrid w:val="0"/>
              <w:spacing w:line="476" w:lineRule="exact"/>
              <w:ind w:right="0" w:firstLine="482" w:firstLineChars="200"/>
              <w:jc w:val="both"/>
              <w:textAlignment w:val="auto"/>
              <w:rPr>
                <w:rFonts w:hint="default"/>
                <w:b/>
                <w:bCs/>
                <w:color w:val="auto"/>
                <w:szCs w:val="24"/>
                <w:highlight w:val="none"/>
                <w:lang w:val="en-US" w:eastAsia="zh-CN" w:bidi="ar"/>
              </w:rPr>
            </w:pPr>
            <w:r>
              <w:rPr>
                <w:rFonts w:hint="eastAsia"/>
                <w:b/>
                <w:bCs/>
                <w:color w:val="auto"/>
                <w:szCs w:val="24"/>
                <w:highlight w:val="none"/>
                <w:lang w:val="en-US" w:eastAsia="zh-CN" w:bidi="ar"/>
              </w:rPr>
              <w:t>1.1.5物料输送废气（2#生产线）</w:t>
            </w:r>
          </w:p>
          <w:p w14:paraId="551D8F46">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b w:val="0"/>
                <w:bCs w:val="0"/>
                <w:color w:val="auto"/>
                <w:highlight w:val="none"/>
                <w:lang w:val="en-US" w:eastAsia="zh-CN"/>
              </w:rPr>
            </w:pPr>
            <w:r>
              <w:rPr>
                <w:rFonts w:hint="eastAsia" w:eastAsia="宋体" w:cs="Times New Roman"/>
                <w:color w:val="auto"/>
                <w:kern w:val="2"/>
                <w:szCs w:val="24"/>
                <w:highlight w:val="none"/>
                <w:lang w:val="en-US" w:eastAsia="zh-CN"/>
              </w:rPr>
              <w:t>根据《排放源统计调查产排污核算方法和系数手册》3021水泥制品制造</w:t>
            </w:r>
            <w:r>
              <w:rPr>
                <w:rFonts w:hint="eastAsia" w:cs="Times New Roman"/>
                <w:color w:val="auto"/>
                <w:kern w:val="2"/>
                <w:szCs w:val="24"/>
                <w:highlight w:val="none"/>
                <w:lang w:val="en-US" w:eastAsia="zh-CN"/>
              </w:rPr>
              <w:t>行业系数</w:t>
            </w:r>
            <w:r>
              <w:rPr>
                <w:rFonts w:hint="eastAsia" w:eastAsia="宋体" w:cs="Times New Roman"/>
                <w:color w:val="auto"/>
                <w:kern w:val="2"/>
                <w:szCs w:val="24"/>
                <w:highlight w:val="none"/>
                <w:lang w:val="en-US" w:eastAsia="zh-CN"/>
              </w:rPr>
              <w:t>，混凝土制品物料输送储存产污系数为0.12kg/t-产品，瓷砖胶共</w:t>
            </w:r>
            <w:r>
              <w:rPr>
                <w:rFonts w:hint="eastAsia" w:cs="Times New Roman"/>
                <w:color w:val="auto"/>
                <w:kern w:val="2"/>
                <w:szCs w:val="24"/>
                <w:highlight w:val="none"/>
                <w:lang w:val="en-US" w:eastAsia="zh-CN"/>
              </w:rPr>
              <w:t>100000</w:t>
            </w:r>
            <w:r>
              <w:rPr>
                <w:rFonts w:hint="eastAsia" w:eastAsia="宋体" w:cs="Times New Roman"/>
                <w:color w:val="auto"/>
                <w:kern w:val="2"/>
                <w:szCs w:val="24"/>
                <w:highlight w:val="none"/>
                <w:lang w:val="en-US" w:eastAsia="zh-CN"/>
              </w:rPr>
              <w:t>t/a，因此</w:t>
            </w:r>
            <w:r>
              <w:rPr>
                <w:rFonts w:hint="eastAsia" w:cs="Times New Roman"/>
                <w:color w:val="auto"/>
                <w:kern w:val="2"/>
                <w:szCs w:val="24"/>
                <w:highlight w:val="none"/>
                <w:lang w:val="en-US" w:eastAsia="zh-CN"/>
              </w:rPr>
              <w:t>物料输送</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共</w:t>
            </w:r>
            <w:r>
              <w:rPr>
                <w:rFonts w:hint="eastAsia" w:cs="Times New Roman"/>
                <w:color w:val="auto"/>
                <w:kern w:val="2"/>
                <w:szCs w:val="24"/>
                <w:highlight w:val="none"/>
                <w:lang w:val="en-US" w:eastAsia="zh-CN"/>
              </w:rPr>
              <w:t>12</w:t>
            </w:r>
            <w:r>
              <w:rPr>
                <w:rFonts w:hint="eastAsia" w:eastAsia="宋体" w:cs="Times New Roman"/>
                <w:color w:val="auto"/>
                <w:kern w:val="2"/>
                <w:szCs w:val="24"/>
                <w:highlight w:val="none"/>
                <w:lang w:val="en-US" w:eastAsia="zh-CN"/>
              </w:rPr>
              <w:t>t/a</w:t>
            </w:r>
            <w:r>
              <w:rPr>
                <w:rFonts w:hint="eastAsia" w:cs="Times New Roman"/>
                <w:color w:val="auto"/>
                <w:kern w:val="2"/>
                <w:szCs w:val="24"/>
                <w:highlight w:val="none"/>
                <w:lang w:val="en-US" w:eastAsia="zh-CN"/>
              </w:rPr>
              <w:t>，该部分经收集处理后排放（封闭生产设施，收集效率95%计，5%未收集部分无组织逸散）收集效率参考《主要污染物总量减排核算技术指南（2022 年修订）》中表2-3密闭管道收集效率。</w:t>
            </w:r>
          </w:p>
          <w:p w14:paraId="0A374CDF">
            <w:pPr>
              <w:keepNext w:val="0"/>
              <w:keepLines w:val="0"/>
              <w:pageBreakBefore w:val="0"/>
              <w:kinsoku/>
              <w:wordWrap/>
              <w:overflowPunct w:val="0"/>
              <w:topLinePunct w:val="0"/>
              <w:autoSpaceDE w:val="0"/>
              <w:autoSpaceDN w:val="0"/>
              <w:bidi w:val="0"/>
              <w:adjustRightInd w:val="0"/>
              <w:snapToGrid w:val="0"/>
              <w:spacing w:line="476" w:lineRule="exact"/>
              <w:ind w:right="0" w:firstLine="482" w:firstLineChars="200"/>
              <w:jc w:val="both"/>
              <w:textAlignment w:val="auto"/>
              <w:rPr>
                <w:rFonts w:hint="eastAsia" w:cs="Times New Roman"/>
                <w:b/>
                <w:bCs/>
                <w:color w:val="auto"/>
                <w:sz w:val="24"/>
                <w:szCs w:val="20"/>
                <w:highlight w:val="none"/>
                <w:lang w:val="en-US" w:eastAsia="zh-CN"/>
              </w:rPr>
            </w:pPr>
            <w:r>
              <w:rPr>
                <w:rFonts w:hint="eastAsia" w:cs="Times New Roman"/>
                <w:b/>
                <w:bCs/>
                <w:color w:val="auto"/>
                <w:sz w:val="24"/>
                <w:szCs w:val="20"/>
                <w:highlight w:val="none"/>
                <w:lang w:val="en-US" w:eastAsia="zh-CN"/>
              </w:rPr>
              <w:t>1.1.6混合搅拌废气</w:t>
            </w:r>
            <w:r>
              <w:rPr>
                <w:rFonts w:hint="eastAsia"/>
                <w:b/>
                <w:bCs/>
                <w:color w:val="auto"/>
                <w:szCs w:val="24"/>
                <w:highlight w:val="none"/>
                <w:lang w:val="en-US" w:eastAsia="zh-CN" w:bidi="ar"/>
              </w:rPr>
              <w:t>（2#生产线）</w:t>
            </w:r>
          </w:p>
          <w:p w14:paraId="001339FB">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b w:val="0"/>
                <w:bCs w:val="0"/>
                <w:color w:val="auto"/>
                <w:highlight w:val="none"/>
                <w:lang w:val="en-US" w:eastAsia="zh-CN"/>
              </w:rPr>
            </w:pPr>
            <w:r>
              <w:rPr>
                <w:rFonts w:hint="eastAsia" w:cs="Times New Roman"/>
                <w:color w:val="auto"/>
                <w:kern w:val="2"/>
                <w:szCs w:val="24"/>
                <w:highlight w:val="none"/>
                <w:lang w:val="en-US" w:eastAsia="zh-CN"/>
              </w:rPr>
              <w:t>搅拌混合</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主要为</w:t>
            </w:r>
            <w:r>
              <w:rPr>
                <w:rFonts w:hint="eastAsia" w:cs="Times New Roman"/>
                <w:color w:val="auto"/>
                <w:kern w:val="2"/>
                <w:szCs w:val="24"/>
                <w:highlight w:val="none"/>
                <w:lang w:val="en-US" w:eastAsia="zh-CN"/>
              </w:rPr>
              <w:t>搅拌机混合搅拌</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。根据《排放源统计调查产排污核算方法和系数手册》3021水泥制品制造</w:t>
            </w:r>
            <w:r>
              <w:rPr>
                <w:rFonts w:hint="eastAsia" w:cs="Times New Roman"/>
                <w:color w:val="auto"/>
                <w:kern w:val="2"/>
                <w:szCs w:val="24"/>
                <w:highlight w:val="none"/>
                <w:lang w:val="en-US" w:eastAsia="zh-CN"/>
              </w:rPr>
              <w:t>行业系数，物料混合搅拌产污系数为</w:t>
            </w:r>
            <w:r>
              <w:rPr>
                <w:rFonts w:hint="eastAsia" w:eastAsia="宋体" w:cs="Times New Roman"/>
                <w:color w:val="auto"/>
                <w:kern w:val="2"/>
                <w:szCs w:val="24"/>
                <w:highlight w:val="none"/>
                <w:lang w:val="en-US" w:eastAsia="zh-CN"/>
              </w:rPr>
              <w:t>0.</w:t>
            </w:r>
            <w:r>
              <w:rPr>
                <w:rFonts w:hint="eastAsia" w:cs="Times New Roman"/>
                <w:color w:val="auto"/>
                <w:kern w:val="2"/>
                <w:szCs w:val="24"/>
                <w:highlight w:val="none"/>
                <w:lang w:val="en-US" w:eastAsia="zh-CN"/>
              </w:rPr>
              <w:t>13</w:t>
            </w:r>
            <w:r>
              <w:rPr>
                <w:rFonts w:hint="eastAsia" w:eastAsia="宋体" w:cs="Times New Roman"/>
                <w:color w:val="auto"/>
                <w:kern w:val="2"/>
                <w:szCs w:val="24"/>
                <w:highlight w:val="none"/>
                <w:lang w:val="en-US" w:eastAsia="zh-CN"/>
              </w:rPr>
              <w:t>kg/t-产品，该</w:t>
            </w:r>
            <w:r>
              <w:rPr>
                <w:rFonts w:hint="eastAsia" w:cs="Times New Roman"/>
                <w:color w:val="auto"/>
                <w:kern w:val="2"/>
                <w:szCs w:val="24"/>
                <w:highlight w:val="none"/>
                <w:lang w:val="en-US" w:eastAsia="zh-CN"/>
              </w:rPr>
              <w:t>产品</w:t>
            </w:r>
            <w:r>
              <w:rPr>
                <w:rFonts w:hint="eastAsia" w:eastAsia="宋体" w:cs="Times New Roman"/>
                <w:color w:val="auto"/>
                <w:kern w:val="2"/>
                <w:szCs w:val="24"/>
                <w:highlight w:val="none"/>
                <w:lang w:val="en-US" w:eastAsia="zh-CN"/>
              </w:rPr>
              <w:t>共</w:t>
            </w:r>
            <w:r>
              <w:rPr>
                <w:rFonts w:hint="eastAsia" w:cs="Times New Roman"/>
                <w:color w:val="auto"/>
                <w:kern w:val="2"/>
                <w:szCs w:val="24"/>
                <w:highlight w:val="none"/>
                <w:lang w:val="en-US" w:eastAsia="zh-CN"/>
              </w:rPr>
              <w:t>50000</w:t>
            </w:r>
            <w:r>
              <w:rPr>
                <w:rFonts w:hint="eastAsia" w:eastAsia="宋体" w:cs="Times New Roman"/>
                <w:color w:val="auto"/>
                <w:kern w:val="2"/>
                <w:szCs w:val="24"/>
                <w:highlight w:val="none"/>
                <w:lang w:val="en-US" w:eastAsia="zh-CN"/>
              </w:rPr>
              <w:t>t/a，因此</w:t>
            </w:r>
            <w:r>
              <w:rPr>
                <w:rFonts w:hint="eastAsia" w:cs="Times New Roman"/>
                <w:color w:val="auto"/>
                <w:kern w:val="2"/>
                <w:szCs w:val="24"/>
                <w:highlight w:val="none"/>
                <w:lang w:val="en-US" w:eastAsia="zh-CN"/>
              </w:rPr>
              <w:t>混合搅拌</w:t>
            </w:r>
            <w:r>
              <w:rPr>
                <w:rFonts w:hint="eastAsia" w:cs="Times New Roman"/>
                <w:snapToGrid w:val="0"/>
                <w:color w:val="auto"/>
                <w:sz w:val="24"/>
                <w:szCs w:val="24"/>
                <w:highlight w:val="none"/>
                <w:lang w:val="en-US" w:eastAsia="zh-CN" w:bidi="ar-SA"/>
              </w:rPr>
              <w:t>粉尘</w:t>
            </w:r>
            <w:r>
              <w:rPr>
                <w:rFonts w:hint="eastAsia" w:eastAsia="宋体" w:cs="Times New Roman"/>
                <w:color w:val="auto"/>
                <w:kern w:val="2"/>
                <w:szCs w:val="24"/>
                <w:highlight w:val="none"/>
                <w:lang w:val="en-US" w:eastAsia="zh-CN"/>
              </w:rPr>
              <w:t>共</w:t>
            </w:r>
            <w:r>
              <w:rPr>
                <w:rFonts w:hint="eastAsia" w:cs="Times New Roman"/>
                <w:color w:val="auto"/>
                <w:kern w:val="2"/>
                <w:szCs w:val="24"/>
                <w:highlight w:val="none"/>
                <w:lang w:val="en-US" w:eastAsia="zh-CN"/>
              </w:rPr>
              <w:t>13</w:t>
            </w:r>
            <w:r>
              <w:rPr>
                <w:rFonts w:hint="eastAsia" w:eastAsia="宋体" w:cs="Times New Roman"/>
                <w:color w:val="auto"/>
                <w:kern w:val="2"/>
                <w:szCs w:val="24"/>
                <w:highlight w:val="none"/>
                <w:lang w:val="en-US" w:eastAsia="zh-CN"/>
              </w:rPr>
              <w:t>t/a</w:t>
            </w:r>
            <w:r>
              <w:rPr>
                <w:rFonts w:hint="eastAsia" w:cs="Times New Roman"/>
                <w:color w:val="auto"/>
                <w:kern w:val="2"/>
                <w:szCs w:val="24"/>
                <w:highlight w:val="none"/>
                <w:lang w:val="en-US" w:eastAsia="zh-CN"/>
              </w:rPr>
              <w:t>，该部分经收集处理后排放（封闭生产设施，收集效率95%计，5%未收集部分无组织逸散）收集效率参考《主要污染物总量减排核算技术指南（2022 年修订）》中表2-3密闭管道收集效率。</w:t>
            </w:r>
          </w:p>
          <w:p w14:paraId="4C62C73B">
            <w:pPr>
              <w:keepNext w:val="0"/>
              <w:keepLines w:val="0"/>
              <w:pageBreakBefore w:val="0"/>
              <w:kinsoku/>
              <w:wordWrap/>
              <w:overflowPunct w:val="0"/>
              <w:topLinePunct w:val="0"/>
              <w:autoSpaceDE w:val="0"/>
              <w:autoSpaceDN w:val="0"/>
              <w:bidi w:val="0"/>
              <w:adjustRightInd w:val="0"/>
              <w:snapToGrid w:val="0"/>
              <w:spacing w:line="476" w:lineRule="exact"/>
              <w:ind w:right="0" w:firstLine="482" w:firstLineChars="200"/>
              <w:jc w:val="both"/>
              <w:textAlignment w:val="auto"/>
              <w:rPr>
                <w:rFonts w:hint="default"/>
                <w:b/>
                <w:bCs/>
                <w:color w:val="auto"/>
                <w:szCs w:val="24"/>
                <w:highlight w:val="none"/>
                <w:lang w:val="en-US" w:eastAsia="zh-CN" w:bidi="ar"/>
              </w:rPr>
            </w:pPr>
            <w:r>
              <w:rPr>
                <w:rFonts w:hint="eastAsia"/>
                <w:b/>
                <w:bCs/>
                <w:color w:val="auto"/>
                <w:szCs w:val="24"/>
                <w:highlight w:val="none"/>
                <w:lang w:val="en-US" w:eastAsia="zh-CN" w:bidi="ar"/>
              </w:rPr>
              <w:t>1.1.7辅料投料粉尘（2#生产线投料口）</w:t>
            </w:r>
          </w:p>
          <w:p w14:paraId="2CF8609C">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cs="Times New Roman"/>
                <w:color w:val="auto"/>
                <w:sz w:val="24"/>
                <w:szCs w:val="22"/>
                <w:highlight w:val="none"/>
              </w:rPr>
            </w:pPr>
            <w:r>
              <w:rPr>
                <w:rFonts w:hint="eastAsia" w:cs="Times New Roman"/>
                <w:color w:val="auto"/>
                <w:sz w:val="24"/>
                <w:szCs w:val="22"/>
                <w:highlight w:val="none"/>
                <w:lang w:val="en-US" w:eastAsia="zh-CN"/>
              </w:rPr>
              <w:t>1#生产线</w:t>
            </w:r>
            <w:r>
              <w:rPr>
                <w:rFonts w:hint="default" w:ascii="Times New Roman" w:hAnsi="Times New Roman" w:cs="Times New Roman"/>
                <w:color w:val="auto"/>
                <w:sz w:val="24"/>
                <w:szCs w:val="22"/>
                <w:highlight w:val="none"/>
              </w:rPr>
              <w:t>共</w:t>
            </w:r>
            <w:r>
              <w:rPr>
                <w:rFonts w:hint="eastAsia" w:ascii="Times New Roman" w:hAnsi="Times New Roman" w:cs="Times New Roman"/>
                <w:color w:val="auto"/>
                <w:sz w:val="24"/>
                <w:szCs w:val="22"/>
                <w:highlight w:val="none"/>
                <w:lang w:val="en-US" w:eastAsia="zh-CN"/>
              </w:rPr>
              <w:t>投辅料</w:t>
            </w:r>
            <w:r>
              <w:rPr>
                <w:rFonts w:hint="eastAsia" w:cs="Times New Roman"/>
                <w:color w:val="auto"/>
                <w:sz w:val="24"/>
                <w:szCs w:val="22"/>
                <w:highlight w:val="none"/>
                <w:lang w:val="en-US" w:eastAsia="zh-CN"/>
              </w:rPr>
              <w:t>1000</w:t>
            </w:r>
            <w:r>
              <w:rPr>
                <w:rFonts w:hint="default" w:ascii="Times New Roman" w:hAnsi="Times New Roman" w:cs="Times New Roman"/>
                <w:color w:val="auto"/>
                <w:sz w:val="24"/>
                <w:szCs w:val="22"/>
                <w:highlight w:val="none"/>
              </w:rPr>
              <w:t>t/a</w:t>
            </w:r>
            <w:r>
              <w:rPr>
                <w:rFonts w:hint="eastAsia"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val="en-US" w:eastAsia="zh-CN"/>
              </w:rPr>
              <w:t>其中</w:t>
            </w:r>
            <w:r>
              <w:rPr>
                <w:rFonts w:hint="eastAsia" w:cs="Times New Roman"/>
                <w:color w:val="auto"/>
                <w:sz w:val="24"/>
                <w:szCs w:val="22"/>
                <w:highlight w:val="none"/>
                <w:lang w:val="en-US" w:eastAsia="zh-CN"/>
              </w:rPr>
              <w:t>乳胶粉</w:t>
            </w:r>
            <w:r>
              <w:rPr>
                <w:rFonts w:hint="eastAsia" w:ascii="Times New Roman" w:hAnsi="Times New Roman" w:cs="Times New Roman"/>
                <w:color w:val="auto"/>
                <w:sz w:val="24"/>
                <w:szCs w:val="22"/>
                <w:highlight w:val="none"/>
                <w:lang w:val="en-US" w:eastAsia="zh-CN"/>
              </w:rPr>
              <w:t>计</w:t>
            </w:r>
            <w:r>
              <w:rPr>
                <w:rFonts w:hint="eastAsia" w:cs="Times New Roman"/>
                <w:color w:val="auto"/>
                <w:sz w:val="24"/>
                <w:szCs w:val="22"/>
                <w:highlight w:val="none"/>
                <w:lang w:val="en-US" w:eastAsia="zh-CN"/>
              </w:rPr>
              <w:t>7</w:t>
            </w:r>
            <w:r>
              <w:rPr>
                <w:rFonts w:hint="eastAsia" w:ascii="Times New Roman" w:hAnsi="Times New Roman" w:cs="Times New Roman"/>
                <w:color w:val="auto"/>
                <w:sz w:val="24"/>
                <w:szCs w:val="22"/>
                <w:highlight w:val="none"/>
                <w:lang w:val="en-US" w:eastAsia="zh-CN"/>
              </w:rPr>
              <w:t>00t、纤维素计</w:t>
            </w:r>
            <w:r>
              <w:rPr>
                <w:rFonts w:hint="eastAsia" w:cs="Times New Roman"/>
                <w:color w:val="auto"/>
                <w:sz w:val="24"/>
                <w:szCs w:val="22"/>
                <w:highlight w:val="none"/>
                <w:lang w:val="en-US" w:eastAsia="zh-CN"/>
              </w:rPr>
              <w:t>3</w:t>
            </w:r>
            <w:r>
              <w:rPr>
                <w:rFonts w:hint="eastAsia" w:ascii="Times New Roman" w:hAnsi="Times New Roman" w:cs="Times New Roman"/>
                <w:color w:val="auto"/>
                <w:sz w:val="24"/>
                <w:szCs w:val="22"/>
                <w:highlight w:val="none"/>
                <w:lang w:val="en-US" w:eastAsia="zh-CN"/>
              </w:rPr>
              <w:t>00t</w:t>
            </w:r>
            <w:r>
              <w:rPr>
                <w:rFonts w:hint="default" w:ascii="Times New Roman" w:hAnsi="Times New Roman" w:cs="Times New Roman"/>
                <w:color w:val="auto"/>
                <w:sz w:val="24"/>
                <w:szCs w:val="22"/>
                <w:highlight w:val="none"/>
              </w:rPr>
              <w:t>。</w:t>
            </w:r>
          </w:p>
          <w:p w14:paraId="42979294">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ascii="Times New Roman" w:hAnsi="Times New Roman" w:cs="Times New Roman"/>
                <w:color w:val="auto"/>
                <w:sz w:val="24"/>
                <w:szCs w:val="22"/>
                <w:highlight w:val="none"/>
                <w:lang w:eastAsia="zh-CN"/>
              </w:rPr>
            </w:pPr>
            <w:r>
              <w:rPr>
                <w:rFonts w:hint="default" w:ascii="Times New Roman" w:hAnsi="Times New Roman" w:cs="Times New Roman"/>
                <w:color w:val="auto"/>
                <w:sz w:val="24"/>
                <w:szCs w:val="22"/>
                <w:highlight w:val="none"/>
              </w:rPr>
              <w:t>参考《逸散性工业粉尘控制技术》、《工业污染核算》等书，并类比调查同类型加工行业数据，本项目</w:t>
            </w:r>
            <w:r>
              <w:rPr>
                <w:rFonts w:hint="eastAsia" w:ascii="Times New Roman" w:hAnsi="Times New Roman" w:cs="Times New Roman"/>
                <w:color w:val="auto"/>
                <w:sz w:val="24"/>
                <w:szCs w:val="22"/>
                <w:highlight w:val="none"/>
                <w:lang w:val="en-US" w:eastAsia="zh-CN"/>
              </w:rPr>
              <w:t>投料</w:t>
            </w:r>
            <w:r>
              <w:rPr>
                <w:rFonts w:hint="default" w:ascii="Times New Roman" w:hAnsi="Times New Roman" w:cs="Times New Roman"/>
                <w:color w:val="auto"/>
                <w:sz w:val="24"/>
                <w:szCs w:val="22"/>
                <w:highlight w:val="none"/>
              </w:rPr>
              <w:t>粉尘产生系数约为0.01kg/t原料</w:t>
            </w:r>
            <w:r>
              <w:rPr>
                <w:rFonts w:hint="eastAsia" w:ascii="Times New Roman" w:hAnsi="Times New Roman" w:cs="Times New Roman"/>
                <w:color w:val="auto"/>
                <w:sz w:val="24"/>
                <w:szCs w:val="22"/>
                <w:highlight w:val="none"/>
                <w:lang w:eastAsia="zh-CN"/>
              </w:rPr>
              <w:t>。</w:t>
            </w:r>
          </w:p>
          <w:p w14:paraId="07B0B373">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eastAsia="宋体" w:cs="Times New Roman"/>
                <w:snapToGrid w:val="0"/>
                <w:color w:val="auto"/>
                <w:sz w:val="24"/>
                <w:szCs w:val="24"/>
                <w:highlight w:val="none"/>
                <w:lang w:val="en-US" w:eastAsia="zh-CN" w:bidi="ar-SA"/>
              </w:rPr>
            </w:pPr>
            <w:r>
              <w:rPr>
                <w:rFonts w:hint="eastAsia" w:cs="Times New Roman"/>
                <w:color w:val="auto"/>
                <w:sz w:val="24"/>
                <w:szCs w:val="22"/>
                <w:highlight w:val="none"/>
                <w:lang w:val="en-US" w:eastAsia="zh-CN"/>
              </w:rPr>
              <w:t>2个</w:t>
            </w:r>
            <w:r>
              <w:rPr>
                <w:rFonts w:hint="eastAsia" w:ascii="Times New Roman" w:hAnsi="Times New Roman" w:cs="Times New Roman"/>
                <w:color w:val="auto"/>
                <w:sz w:val="24"/>
                <w:szCs w:val="22"/>
                <w:highlight w:val="none"/>
                <w:lang w:val="en-US" w:eastAsia="zh-CN"/>
              </w:rPr>
              <w:t>投料口上方</w:t>
            </w:r>
            <w:r>
              <w:rPr>
                <w:rFonts w:hint="eastAsia" w:cs="Times New Roman"/>
                <w:color w:val="auto"/>
                <w:sz w:val="24"/>
                <w:szCs w:val="22"/>
                <w:highlight w:val="none"/>
                <w:lang w:val="en-US" w:eastAsia="zh-CN"/>
              </w:rPr>
              <w:t>各</w:t>
            </w:r>
            <w:r>
              <w:rPr>
                <w:rFonts w:hint="eastAsia" w:ascii="Times New Roman" w:hAnsi="Times New Roman" w:cs="Times New Roman"/>
                <w:color w:val="auto"/>
                <w:sz w:val="24"/>
                <w:szCs w:val="22"/>
                <w:highlight w:val="none"/>
                <w:lang w:val="en-US" w:eastAsia="zh-CN"/>
              </w:rPr>
              <w:t>设置</w:t>
            </w:r>
            <w:r>
              <w:rPr>
                <w:rFonts w:hint="eastAsia" w:cs="Times New Roman"/>
                <w:color w:val="auto"/>
                <w:sz w:val="24"/>
                <w:szCs w:val="22"/>
                <w:highlight w:val="none"/>
                <w:lang w:val="en-US" w:eastAsia="zh-CN"/>
              </w:rPr>
              <w:t>1台</w:t>
            </w:r>
            <w:r>
              <w:rPr>
                <w:rFonts w:hint="eastAsia" w:ascii="Times New Roman" w:hAnsi="Times New Roman" w:cs="Times New Roman"/>
                <w:color w:val="auto"/>
                <w:sz w:val="24"/>
                <w:szCs w:val="22"/>
                <w:highlight w:val="none"/>
                <w:lang w:val="en-US" w:eastAsia="zh-CN"/>
              </w:rPr>
              <w:t>密闭集气罩，收集效率为90%（</w:t>
            </w:r>
            <w:r>
              <w:rPr>
                <w:rFonts w:hint="eastAsia" w:cs="Times New Roman"/>
                <w:color w:val="auto"/>
                <w:kern w:val="2"/>
                <w:szCs w:val="24"/>
                <w:highlight w:val="none"/>
                <w:lang w:val="en-US" w:eastAsia="zh-CN"/>
              </w:rPr>
              <w:t>收集效率参考《主要污染物总量减排核算技术指南（2022 年修订）》中表2-3密闭空间收集效率</w:t>
            </w:r>
            <w:r>
              <w:rPr>
                <w:rFonts w:hint="eastAsia" w:ascii="Times New Roman" w:hAnsi="Times New Roman" w:cs="Times New Roman"/>
                <w:color w:val="auto"/>
                <w:sz w:val="24"/>
                <w:szCs w:val="22"/>
                <w:highlight w:val="none"/>
                <w:lang w:val="en-US" w:eastAsia="zh-CN"/>
              </w:rPr>
              <w:t>），除尘效率99</w:t>
            </w:r>
            <w:r>
              <w:rPr>
                <w:rFonts w:hint="eastAsia" w:cs="Times New Roman"/>
                <w:color w:val="auto"/>
                <w:sz w:val="24"/>
                <w:szCs w:val="22"/>
                <w:highlight w:val="none"/>
                <w:lang w:val="en-US" w:eastAsia="zh-CN"/>
              </w:rPr>
              <w:t>.5</w:t>
            </w:r>
            <w:r>
              <w:rPr>
                <w:rFonts w:hint="eastAsia" w:ascii="Times New Roman" w:hAnsi="Times New Roman" w:cs="Times New Roman"/>
                <w:color w:val="auto"/>
                <w:sz w:val="24"/>
                <w:szCs w:val="22"/>
                <w:highlight w:val="none"/>
                <w:lang w:val="en-US" w:eastAsia="zh-CN"/>
              </w:rPr>
              <w:t>%</w:t>
            </w:r>
            <w:r>
              <w:rPr>
                <w:rFonts w:hint="eastAsia" w:cs="Times New Roman"/>
                <w:snapToGrid w:val="0"/>
                <w:color w:val="auto"/>
                <w:sz w:val="24"/>
                <w:szCs w:val="24"/>
                <w:highlight w:val="none"/>
                <w:lang w:val="en-US" w:eastAsia="zh-CN" w:bidi="ar-SA"/>
              </w:rPr>
              <w:t>（除尘效率由</w:t>
            </w:r>
            <w:r>
              <w:rPr>
                <w:rFonts w:hint="default" w:ascii="Times New Roman" w:hAnsi="Times New Roman" w:eastAsia="宋体" w:cs="Times New Roman"/>
                <w:snapToGrid w:val="0"/>
                <w:color w:val="auto"/>
                <w:sz w:val="24"/>
                <w:szCs w:val="24"/>
                <w:highlight w:val="none"/>
                <w:lang w:val="en-US" w:eastAsia="zh-CN" w:bidi="ar-SA"/>
              </w:rPr>
              <w:t>《排放源统计调查产排污核算方法和系数手册》</w:t>
            </w:r>
            <w:r>
              <w:rPr>
                <w:rFonts w:hint="eastAsia" w:cs="Times New Roman"/>
                <w:snapToGrid w:val="0"/>
                <w:color w:val="auto"/>
                <w:sz w:val="24"/>
                <w:szCs w:val="24"/>
                <w:highlight w:val="none"/>
                <w:lang w:val="en-US" w:eastAsia="zh-CN" w:bidi="ar-SA"/>
              </w:rPr>
              <w:t>3021</w:t>
            </w:r>
            <w:r>
              <w:rPr>
                <w:rFonts w:hint="eastAsia" w:ascii="Times New Roman" w:hAnsi="Times New Roman" w:cs="Times New Roman"/>
                <w:snapToGrid w:val="0"/>
                <w:color w:val="auto"/>
                <w:sz w:val="24"/>
                <w:szCs w:val="24"/>
                <w:highlight w:val="none"/>
                <w:lang w:val="en-US" w:eastAsia="zh-CN" w:bidi="ar-SA"/>
              </w:rPr>
              <w:t>提供</w:t>
            </w:r>
            <w:r>
              <w:rPr>
                <w:rFonts w:hint="eastAsia" w:cs="Times New Roman"/>
                <w:snapToGrid w:val="0"/>
                <w:color w:val="auto"/>
                <w:sz w:val="24"/>
                <w:szCs w:val="24"/>
                <w:highlight w:val="none"/>
                <w:lang w:val="en-US" w:eastAsia="zh-CN" w:bidi="ar-SA"/>
              </w:rPr>
              <w:t>“文中提供处理效率为99.7%，考虑实际情况，本项目以99.5%计”），</w:t>
            </w:r>
            <w:r>
              <w:rPr>
                <w:rFonts w:hint="eastAsia"/>
                <w:b w:val="0"/>
                <w:bCs w:val="0"/>
                <w:color w:val="auto"/>
                <w:szCs w:val="24"/>
                <w:highlight w:val="none"/>
                <w:lang w:val="en-US" w:eastAsia="zh-CN" w:bidi="ar"/>
              </w:rPr>
              <w:t>未收集部分厂房内无组织排放，</w:t>
            </w:r>
            <w:r>
              <w:rPr>
                <w:rFonts w:hint="eastAsia" w:ascii="Times New Roman" w:hAnsi="Times New Roman" w:eastAsia="宋体" w:cs="Times New Roman"/>
                <w:snapToGrid w:val="0"/>
                <w:color w:val="auto"/>
                <w:sz w:val="24"/>
                <w:szCs w:val="24"/>
                <w:highlight w:val="none"/>
                <w:lang w:val="en-US" w:eastAsia="zh-CN" w:bidi="ar-SA"/>
              </w:rPr>
              <w:t>根据《未纳入排污许可管理行业适用的排污系数、物料衡算方法（试行）》可知，木工粉尘的沉降率为85%，而硅酸盐类粉尘的比重大于木料粉尘，前者比后者更易沉降，因此粉尘沉降率按90%计，计算结果如下：</w:t>
            </w:r>
          </w:p>
          <w:p w14:paraId="3386E09C">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投料合计</w:t>
            </w:r>
            <w:r>
              <w:rPr>
                <w:rFonts w:hint="eastAsia" w:cs="Times New Roman"/>
                <w:color w:val="auto"/>
                <w:sz w:val="24"/>
                <w:szCs w:val="22"/>
                <w:highlight w:val="none"/>
                <w:lang w:val="en-US" w:eastAsia="zh-CN"/>
              </w:rPr>
              <w:t>1000</w:t>
            </w:r>
            <w:r>
              <w:rPr>
                <w:rFonts w:hint="eastAsia" w:ascii="Times New Roman" w:hAnsi="Times New Roman" w:cs="Times New Roman"/>
                <w:color w:val="auto"/>
                <w:sz w:val="24"/>
                <w:szCs w:val="22"/>
                <w:highlight w:val="none"/>
                <w:lang w:val="en-US" w:eastAsia="zh-CN"/>
              </w:rPr>
              <w:t>t，按0.01kg/t产物系数计算可得粉尘产生量为</w:t>
            </w:r>
            <w:r>
              <w:rPr>
                <w:rFonts w:hint="eastAsia" w:cs="Times New Roman"/>
                <w:color w:val="auto"/>
                <w:sz w:val="24"/>
                <w:szCs w:val="22"/>
                <w:highlight w:val="none"/>
                <w:lang w:val="en-US" w:eastAsia="zh-CN"/>
              </w:rPr>
              <w:t>1</w:t>
            </w:r>
            <w:r>
              <w:rPr>
                <w:rFonts w:hint="eastAsia" w:ascii="Times New Roman" w:hAnsi="Times New Roman" w:cs="Times New Roman"/>
                <w:color w:val="auto"/>
                <w:sz w:val="24"/>
                <w:szCs w:val="22"/>
                <w:highlight w:val="none"/>
                <w:lang w:val="en-US" w:eastAsia="zh-CN"/>
              </w:rPr>
              <w:t>×10</w:t>
            </w:r>
            <w:r>
              <w:rPr>
                <w:rFonts w:hint="eastAsia" w:ascii="Times New Roman" w:hAnsi="Times New Roman" w:cs="Times New Roman"/>
                <w:color w:val="auto"/>
                <w:sz w:val="24"/>
                <w:szCs w:val="22"/>
                <w:highlight w:val="none"/>
                <w:vertAlign w:val="superscript"/>
                <w:lang w:val="en-US" w:eastAsia="zh-CN"/>
              </w:rPr>
              <w:t>-</w:t>
            </w:r>
            <w:r>
              <w:rPr>
                <w:rFonts w:hint="eastAsia" w:cs="Times New Roman"/>
                <w:color w:val="auto"/>
                <w:sz w:val="24"/>
                <w:szCs w:val="22"/>
                <w:highlight w:val="none"/>
                <w:vertAlign w:val="superscript"/>
                <w:lang w:val="en-US" w:eastAsia="zh-CN"/>
              </w:rPr>
              <w:t>2</w:t>
            </w:r>
            <w:r>
              <w:rPr>
                <w:rFonts w:hint="eastAsia" w:ascii="Times New Roman" w:hAnsi="Times New Roman" w:cs="Times New Roman"/>
                <w:color w:val="auto"/>
                <w:sz w:val="24"/>
                <w:szCs w:val="22"/>
                <w:highlight w:val="none"/>
                <w:lang w:val="en-US" w:eastAsia="zh-CN"/>
              </w:rPr>
              <w:t>t/a，</w:t>
            </w:r>
            <w:r>
              <w:rPr>
                <w:rFonts w:hint="eastAsia" w:cs="Times New Roman"/>
                <w:color w:val="auto"/>
                <w:kern w:val="2"/>
                <w:szCs w:val="24"/>
                <w:highlight w:val="none"/>
                <w:lang w:val="en-US" w:eastAsia="zh-CN"/>
              </w:rPr>
              <w:t>10%未收集部分无组织逸散。</w:t>
            </w:r>
          </w:p>
          <w:p w14:paraId="0F5E2ABD">
            <w:pPr>
              <w:keepNext w:val="0"/>
              <w:keepLines w:val="0"/>
              <w:pageBreakBefore w:val="0"/>
              <w:widowControl/>
              <w:kinsoku/>
              <w:wordWrap/>
              <w:topLinePunct w:val="0"/>
              <w:bidi w:val="0"/>
              <w:spacing w:line="476" w:lineRule="exact"/>
              <w:ind w:right="0" w:firstLine="482" w:firstLineChars="200"/>
              <w:jc w:val="both"/>
              <w:textAlignment w:val="auto"/>
              <w:rPr>
                <w:rFonts w:hint="eastAsia"/>
                <w:b/>
                <w:bCs/>
                <w:color w:val="auto"/>
                <w:szCs w:val="24"/>
                <w:lang w:val="en-US" w:eastAsia="zh-CN" w:bidi="ar"/>
              </w:rPr>
            </w:pPr>
            <w:r>
              <w:rPr>
                <w:rFonts w:hint="eastAsia"/>
                <w:b/>
                <w:bCs/>
                <w:color w:val="auto"/>
                <w:szCs w:val="24"/>
                <w:lang w:val="en-US" w:eastAsia="zh-CN" w:bidi="ar"/>
              </w:rPr>
              <w:t>1.1.8包装粉尘（2#生产线）</w:t>
            </w:r>
          </w:p>
          <w:p w14:paraId="6FD07E01">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rFonts w:hint="eastAsia"/>
                <w:color w:val="auto"/>
                <w:sz w:val="24"/>
                <w:highlight w:val="none"/>
              </w:rPr>
            </w:pPr>
            <w:r>
              <w:rPr>
                <w:rFonts w:hint="default"/>
                <w:b w:val="0"/>
                <w:bCs w:val="0"/>
                <w:color w:val="auto"/>
                <w:szCs w:val="24"/>
                <w:lang w:val="en-US" w:eastAsia="zh-CN" w:bidi="ar"/>
              </w:rPr>
              <w:t>包装工序设计了吨袋包装，包装后的产品由叉车运至产品堆场待售，产品包装外售产生粉尘，参照《逸散性工业粉尘控破制技术》（中国环境科学出版社），包装逸散粉尘产生量为0.125kg/t，</w:t>
            </w:r>
            <w:r>
              <w:rPr>
                <w:rFonts w:hint="eastAsia"/>
                <w:b w:val="0"/>
                <w:bCs w:val="0"/>
                <w:color w:val="auto"/>
                <w:szCs w:val="24"/>
                <w:lang w:val="en-US" w:eastAsia="zh-CN" w:bidi="ar"/>
              </w:rPr>
              <w:t>瓷砖胶</w:t>
            </w:r>
            <w:r>
              <w:rPr>
                <w:rFonts w:hint="default"/>
                <w:b w:val="0"/>
                <w:bCs w:val="0"/>
                <w:color w:val="auto"/>
                <w:szCs w:val="24"/>
                <w:lang w:val="en-US" w:eastAsia="zh-CN" w:bidi="ar"/>
              </w:rPr>
              <w:t>包装粉尘产生量为</w:t>
            </w:r>
            <w:r>
              <w:rPr>
                <w:rFonts w:hint="eastAsia"/>
                <w:b w:val="0"/>
                <w:bCs w:val="0"/>
                <w:color w:val="auto"/>
                <w:szCs w:val="24"/>
                <w:lang w:val="en-US" w:eastAsia="zh-CN" w:bidi="ar"/>
              </w:rPr>
              <w:t>12.5</w:t>
            </w:r>
            <w:r>
              <w:rPr>
                <w:rFonts w:hint="default"/>
                <w:b w:val="0"/>
                <w:bCs w:val="0"/>
                <w:color w:val="auto"/>
                <w:szCs w:val="24"/>
                <w:lang w:val="en-US" w:eastAsia="zh-CN" w:bidi="ar"/>
              </w:rPr>
              <w:t>t/a</w:t>
            </w:r>
            <w:r>
              <w:rPr>
                <w:rFonts w:hint="eastAsia"/>
                <w:b w:val="0"/>
                <w:bCs w:val="0"/>
                <w:color w:val="auto"/>
                <w:szCs w:val="24"/>
                <w:lang w:val="en-US" w:eastAsia="zh-CN" w:bidi="ar"/>
              </w:rPr>
              <w:t>，</w:t>
            </w:r>
            <w:r>
              <w:rPr>
                <w:rFonts w:hint="eastAsia" w:cs="Times New Roman"/>
                <w:color w:val="auto"/>
                <w:kern w:val="2"/>
                <w:szCs w:val="24"/>
                <w:highlight w:val="none"/>
                <w:lang w:val="en-US" w:eastAsia="zh-CN"/>
              </w:rPr>
              <w:t>该部分经1台集气罩收集处理后排放（</w:t>
            </w:r>
            <w:r>
              <w:rPr>
                <w:rFonts w:hint="eastAsia" w:cs="Times New Roman"/>
                <w:snapToGrid w:val="0"/>
                <w:color w:val="auto"/>
                <w:sz w:val="24"/>
                <w:szCs w:val="24"/>
                <w:highlight w:val="none"/>
                <w:lang w:val="en-US" w:eastAsia="zh-CN" w:bidi="ar-SA"/>
              </w:rPr>
              <w:t>除尘</w:t>
            </w:r>
            <w:r>
              <w:rPr>
                <w:rFonts w:hint="default" w:ascii="Times New Roman" w:hAnsi="Times New Roman" w:eastAsia="宋体" w:cs="Times New Roman"/>
                <w:snapToGrid w:val="0"/>
                <w:color w:val="auto"/>
                <w:sz w:val="24"/>
                <w:szCs w:val="24"/>
                <w:highlight w:val="none"/>
                <w:lang w:val="en-US" w:eastAsia="zh-CN" w:bidi="ar-SA"/>
              </w:rPr>
              <w:t>效率为</w:t>
            </w:r>
            <w:r>
              <w:rPr>
                <w:rFonts w:hint="eastAsia" w:cs="Times New Roman"/>
                <w:snapToGrid w:val="0"/>
                <w:color w:val="auto"/>
                <w:sz w:val="24"/>
                <w:szCs w:val="24"/>
                <w:highlight w:val="none"/>
                <w:lang w:val="en-US" w:eastAsia="zh-CN" w:bidi="ar-SA"/>
              </w:rPr>
              <w:t>99.5</w:t>
            </w:r>
            <w:r>
              <w:rPr>
                <w:rFonts w:hint="default" w:ascii="Times New Roman" w:hAnsi="Times New Roman" w:eastAsia="宋体" w:cs="Times New Roman"/>
                <w:snapToGrid w:val="0"/>
                <w:color w:val="auto"/>
                <w:sz w:val="24"/>
                <w:szCs w:val="24"/>
                <w:highlight w:val="none"/>
                <w:lang w:val="en-US" w:eastAsia="zh-CN" w:bidi="ar-SA"/>
              </w:rPr>
              <w:t>%</w:t>
            </w:r>
            <w:r>
              <w:rPr>
                <w:rFonts w:hint="eastAsia" w:cs="Times New Roman"/>
                <w:snapToGrid w:val="0"/>
                <w:color w:val="auto"/>
                <w:sz w:val="24"/>
                <w:szCs w:val="24"/>
                <w:highlight w:val="none"/>
                <w:lang w:val="en-US" w:eastAsia="zh-CN" w:bidi="ar-SA"/>
              </w:rPr>
              <w:t>（除尘效率由</w:t>
            </w:r>
            <w:r>
              <w:rPr>
                <w:rFonts w:hint="default" w:ascii="Times New Roman" w:hAnsi="Times New Roman" w:eastAsia="宋体" w:cs="Times New Roman"/>
                <w:snapToGrid w:val="0"/>
                <w:color w:val="auto"/>
                <w:sz w:val="24"/>
                <w:szCs w:val="24"/>
                <w:highlight w:val="none"/>
                <w:lang w:val="en-US" w:eastAsia="zh-CN" w:bidi="ar-SA"/>
              </w:rPr>
              <w:t>《排放源统计调查产排污核算方法和系数手册》</w:t>
            </w:r>
            <w:r>
              <w:rPr>
                <w:rFonts w:hint="eastAsia" w:cs="Times New Roman"/>
                <w:snapToGrid w:val="0"/>
                <w:color w:val="auto"/>
                <w:sz w:val="24"/>
                <w:szCs w:val="24"/>
                <w:highlight w:val="none"/>
                <w:lang w:val="en-US" w:eastAsia="zh-CN" w:bidi="ar-SA"/>
              </w:rPr>
              <w:t>3021</w:t>
            </w:r>
            <w:r>
              <w:rPr>
                <w:rFonts w:hint="eastAsia" w:ascii="Times New Roman" w:hAnsi="Times New Roman" w:cs="Times New Roman"/>
                <w:snapToGrid w:val="0"/>
                <w:color w:val="auto"/>
                <w:sz w:val="24"/>
                <w:szCs w:val="24"/>
                <w:highlight w:val="none"/>
                <w:lang w:val="en-US" w:eastAsia="zh-CN" w:bidi="ar-SA"/>
              </w:rPr>
              <w:t>提供</w:t>
            </w:r>
            <w:r>
              <w:rPr>
                <w:rFonts w:hint="eastAsia" w:cs="Times New Roman"/>
                <w:snapToGrid w:val="0"/>
                <w:color w:val="auto"/>
                <w:sz w:val="24"/>
                <w:szCs w:val="24"/>
                <w:highlight w:val="none"/>
                <w:lang w:val="en-US" w:eastAsia="zh-CN" w:bidi="ar-SA"/>
              </w:rPr>
              <w:t>“文中提供处理效率为99.7%，考虑实际情况，本项目以99.5%计”），</w:t>
            </w:r>
            <w:r>
              <w:rPr>
                <w:rFonts w:hint="eastAsia" w:cs="Times New Roman"/>
                <w:color w:val="auto"/>
                <w:kern w:val="2"/>
                <w:szCs w:val="24"/>
                <w:highlight w:val="none"/>
                <w:lang w:val="en-US" w:eastAsia="zh-CN"/>
              </w:rPr>
              <w:t>收集效率80%计（收集效率参考《主要污染物总量减排核算技术指南（2022 年修订）》中表2-3密闭型集气罩收集效率），20%未收集部分无组织逸散，（参考《排气罩分类及技术条件》(GB/T16758-2008)，本项目选用上吸罩，为保证集气罩收集效率80%，集气罩的设计参考《大气污染控制工程》（高等教育出版社）中的集气罩的设计规范，集气罩规格为1.0-1.0*1.0-1.0，且要求各产生无组织废气工段距离不得＞4m，收集总风量能确保开口处保持微负压（开截面处的吸入风速不小于0.3m/s)，不让废气外泄。），由引风机引至吸附-布袋除尘装置进</w:t>
            </w:r>
            <w:r>
              <w:rPr>
                <w:rFonts w:hint="eastAsia" w:cs="Times New Roman"/>
                <w:color w:val="auto"/>
                <w:kern w:val="2"/>
                <w:sz w:val="24"/>
                <w:szCs w:val="24"/>
                <w:highlight w:val="none"/>
                <w:lang w:val="en-US" w:eastAsia="zh-CN"/>
              </w:rPr>
              <w:t>行统一处理。</w:t>
            </w:r>
          </w:p>
          <w:p w14:paraId="630E270D">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rFonts w:hint="eastAsia"/>
                <w:color w:val="auto"/>
                <w:sz w:val="24"/>
                <w:highlight w:val="none"/>
              </w:rPr>
            </w:pPr>
            <w:r>
              <w:rPr>
                <w:rFonts w:hint="eastAsia" w:cs="Times New Roman"/>
                <w:color w:val="auto"/>
                <w:sz w:val="24"/>
                <w:szCs w:val="24"/>
                <w:highlight w:val="none"/>
                <w:lang w:val="en-US" w:eastAsia="zh-CN" w:bidi="ar-SA"/>
              </w:rPr>
              <w:t>由于同一套设备物料输送是</w:t>
            </w:r>
            <w:r>
              <w:rPr>
                <w:color w:val="auto"/>
              </w:rPr>
              <w:t>通过</w:t>
            </w:r>
            <w:r>
              <w:rPr>
                <w:rFonts w:hint="eastAsia"/>
                <w:color w:val="auto"/>
                <w:lang w:val="en-US" w:eastAsia="zh-CN"/>
              </w:rPr>
              <w:t>提升机</w:t>
            </w:r>
            <w:r>
              <w:rPr>
                <w:color w:val="auto"/>
              </w:rPr>
              <w:t>送至</w:t>
            </w:r>
            <w:r>
              <w:rPr>
                <w:rFonts w:hint="eastAsia"/>
                <w:color w:val="auto"/>
                <w:lang w:val="en-US" w:eastAsia="zh-CN"/>
              </w:rPr>
              <w:t>搅拌</w:t>
            </w:r>
            <w:r>
              <w:rPr>
                <w:color w:val="auto"/>
              </w:rPr>
              <w:t>仓中</w:t>
            </w:r>
            <w:r>
              <w:rPr>
                <w:rFonts w:hint="eastAsia" w:cs="Times New Roman"/>
                <w:color w:val="auto"/>
                <w:sz w:val="24"/>
                <w:szCs w:val="24"/>
                <w:highlight w:val="none"/>
                <w:lang w:val="en-US" w:eastAsia="zh-CN" w:bidi="ar-SA"/>
              </w:rPr>
              <w:t>，为一体化封闭式设备，因此车间内可通过集中收集后共用同一套袋式除尘，扬尘</w:t>
            </w:r>
            <w:r>
              <w:rPr>
                <w:rFonts w:hint="eastAsia" w:ascii="Times New Roman" w:hAnsi="Times New Roman" w:eastAsia="宋体" w:cs="Times New Roman"/>
                <w:snapToGrid w:val="0"/>
                <w:color w:val="auto"/>
                <w:sz w:val="24"/>
                <w:szCs w:val="24"/>
                <w:highlight w:val="none"/>
                <w:lang w:val="en-US" w:eastAsia="zh-CN" w:bidi="ar-SA"/>
              </w:rPr>
              <w:t>在一体化搅拌设施内</w:t>
            </w:r>
            <w:r>
              <w:rPr>
                <w:rFonts w:hint="default" w:ascii="Times New Roman" w:hAnsi="Times New Roman" w:eastAsia="宋体" w:cs="Times New Roman"/>
                <w:snapToGrid w:val="0"/>
                <w:color w:val="auto"/>
                <w:sz w:val="24"/>
                <w:szCs w:val="24"/>
                <w:highlight w:val="none"/>
                <w:lang w:val="en-US" w:eastAsia="zh-CN" w:bidi="ar-SA"/>
              </w:rPr>
              <w:t>送入</w:t>
            </w:r>
            <w:r>
              <w:rPr>
                <w:rFonts w:hint="eastAsia" w:ascii="Times New Roman" w:hAnsi="Times New Roman" w:eastAsia="宋体" w:cs="Times New Roman"/>
                <w:snapToGrid w:val="0"/>
                <w:color w:val="auto"/>
                <w:sz w:val="24"/>
                <w:szCs w:val="24"/>
                <w:highlight w:val="none"/>
                <w:lang w:val="en-US" w:eastAsia="zh-CN" w:bidi="ar-SA"/>
              </w:rPr>
              <w:t>袋式除尘</w:t>
            </w:r>
            <w:r>
              <w:rPr>
                <w:rFonts w:hint="default" w:ascii="Times New Roman" w:hAnsi="Times New Roman" w:eastAsia="宋体" w:cs="Times New Roman"/>
                <w:snapToGrid w:val="0"/>
                <w:color w:val="auto"/>
                <w:sz w:val="24"/>
                <w:szCs w:val="24"/>
                <w:highlight w:val="none"/>
                <w:lang w:val="en-US" w:eastAsia="zh-CN" w:bidi="ar-SA"/>
              </w:rPr>
              <w:t>处理后</w:t>
            </w:r>
            <w:r>
              <w:rPr>
                <w:rFonts w:hint="eastAsia" w:ascii="Times New Roman" w:hAnsi="Times New Roman" w:eastAsia="宋体" w:cs="Times New Roman"/>
                <w:snapToGrid w:val="0"/>
                <w:color w:val="auto"/>
                <w:sz w:val="24"/>
                <w:szCs w:val="24"/>
                <w:highlight w:val="none"/>
                <w:lang w:val="en-US" w:eastAsia="zh-CN" w:bidi="ar-SA"/>
              </w:rPr>
              <w:t>进行无组织排放</w:t>
            </w:r>
            <w:r>
              <w:rPr>
                <w:rFonts w:hint="default" w:ascii="Times New Roman" w:hAnsi="Times New Roman" w:eastAsia="宋体" w:cs="Times New Roman"/>
                <w:snapToGrid w:val="0"/>
                <w:color w:val="auto"/>
                <w:sz w:val="24"/>
                <w:szCs w:val="24"/>
                <w:highlight w:val="none"/>
                <w:lang w:val="en-US" w:eastAsia="zh-CN" w:bidi="ar-SA"/>
              </w:rPr>
              <w:t>，</w:t>
            </w:r>
            <w:r>
              <w:rPr>
                <w:rFonts w:hint="eastAsia" w:cs="Times New Roman"/>
                <w:snapToGrid w:val="0"/>
                <w:color w:val="auto"/>
                <w:sz w:val="24"/>
                <w:szCs w:val="24"/>
                <w:highlight w:val="none"/>
                <w:lang w:val="en-US" w:eastAsia="zh-CN" w:bidi="ar-SA"/>
              </w:rPr>
              <w:t>除尘</w:t>
            </w:r>
            <w:r>
              <w:rPr>
                <w:rFonts w:hint="default" w:ascii="Times New Roman" w:hAnsi="Times New Roman" w:eastAsia="宋体" w:cs="Times New Roman"/>
                <w:snapToGrid w:val="0"/>
                <w:color w:val="auto"/>
                <w:sz w:val="24"/>
                <w:szCs w:val="24"/>
                <w:highlight w:val="none"/>
                <w:lang w:val="en-US" w:eastAsia="zh-CN" w:bidi="ar-SA"/>
              </w:rPr>
              <w:t>效率为</w:t>
            </w:r>
            <w:r>
              <w:rPr>
                <w:rFonts w:hint="eastAsia" w:cs="Times New Roman"/>
                <w:snapToGrid w:val="0"/>
                <w:color w:val="auto"/>
                <w:sz w:val="24"/>
                <w:szCs w:val="24"/>
                <w:highlight w:val="none"/>
                <w:lang w:val="en-US" w:eastAsia="zh-CN" w:bidi="ar-SA"/>
              </w:rPr>
              <w:t>99.5</w:t>
            </w:r>
            <w:r>
              <w:rPr>
                <w:rFonts w:hint="default" w:ascii="Times New Roman" w:hAnsi="Times New Roman" w:eastAsia="宋体" w:cs="Times New Roman"/>
                <w:snapToGrid w:val="0"/>
                <w:color w:val="auto"/>
                <w:sz w:val="24"/>
                <w:szCs w:val="24"/>
                <w:highlight w:val="none"/>
                <w:lang w:val="en-US" w:eastAsia="zh-CN" w:bidi="ar-SA"/>
              </w:rPr>
              <w:t>%</w:t>
            </w:r>
            <w:r>
              <w:rPr>
                <w:rFonts w:hint="eastAsia" w:cs="Times New Roman"/>
                <w:snapToGrid w:val="0"/>
                <w:color w:val="auto"/>
                <w:sz w:val="24"/>
                <w:szCs w:val="24"/>
                <w:highlight w:val="none"/>
                <w:lang w:val="en-US" w:eastAsia="zh-CN" w:bidi="ar-SA"/>
              </w:rPr>
              <w:t>（除尘效率由</w:t>
            </w:r>
            <w:r>
              <w:rPr>
                <w:rFonts w:hint="default" w:ascii="Times New Roman" w:hAnsi="Times New Roman" w:eastAsia="宋体" w:cs="Times New Roman"/>
                <w:snapToGrid w:val="0"/>
                <w:color w:val="auto"/>
                <w:sz w:val="24"/>
                <w:szCs w:val="24"/>
                <w:highlight w:val="none"/>
                <w:lang w:val="en-US" w:eastAsia="zh-CN" w:bidi="ar-SA"/>
              </w:rPr>
              <w:t>《排放源统计调查产排污核算方法和系数手册》</w:t>
            </w:r>
            <w:r>
              <w:rPr>
                <w:rFonts w:hint="eastAsia" w:cs="Times New Roman"/>
                <w:snapToGrid w:val="0"/>
                <w:color w:val="auto"/>
                <w:sz w:val="24"/>
                <w:szCs w:val="24"/>
                <w:highlight w:val="none"/>
                <w:lang w:val="en-US" w:eastAsia="zh-CN" w:bidi="ar-SA"/>
              </w:rPr>
              <w:t>3021</w:t>
            </w:r>
            <w:r>
              <w:rPr>
                <w:rFonts w:hint="eastAsia" w:ascii="Times New Roman" w:hAnsi="Times New Roman" w:cs="Times New Roman"/>
                <w:snapToGrid w:val="0"/>
                <w:color w:val="auto"/>
                <w:sz w:val="24"/>
                <w:szCs w:val="24"/>
                <w:highlight w:val="none"/>
                <w:lang w:val="en-US" w:eastAsia="zh-CN" w:bidi="ar-SA"/>
              </w:rPr>
              <w:t>提供</w:t>
            </w:r>
            <w:r>
              <w:rPr>
                <w:rFonts w:hint="eastAsia" w:cs="Times New Roman"/>
                <w:snapToGrid w:val="0"/>
                <w:color w:val="auto"/>
                <w:sz w:val="24"/>
                <w:szCs w:val="24"/>
                <w:highlight w:val="none"/>
                <w:lang w:val="en-US" w:eastAsia="zh-CN" w:bidi="ar-SA"/>
              </w:rPr>
              <w:t>“文中提供处理效率为99.7%，考虑实际情况，本项目以99.5%计”）</w:t>
            </w: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由于</w:t>
            </w:r>
            <w:r>
              <w:rPr>
                <w:rFonts w:hint="eastAsia" w:ascii="Times New Roman" w:hAnsi="Times New Roman" w:eastAsia="宋体" w:cs="Times New Roman"/>
                <w:snapToGrid w:val="0"/>
                <w:color w:val="auto"/>
                <w:sz w:val="24"/>
                <w:szCs w:val="24"/>
                <w:highlight w:val="none"/>
                <w:lang w:val="en-US" w:eastAsia="zh-CN" w:bidi="ar-SA"/>
              </w:rPr>
              <w:t>输送、搅拌均在</w:t>
            </w:r>
            <w:r>
              <w:rPr>
                <w:rFonts w:hint="default" w:ascii="Times New Roman" w:hAnsi="Times New Roman" w:eastAsia="宋体" w:cs="Times New Roman"/>
                <w:snapToGrid w:val="0"/>
                <w:color w:val="auto"/>
                <w:sz w:val="24"/>
                <w:szCs w:val="24"/>
                <w:highlight w:val="none"/>
                <w:lang w:val="en-US" w:eastAsia="zh-CN" w:bidi="ar-SA"/>
              </w:rPr>
              <w:t>搅拌车间内，车间内粉尘经顶部除尘器处理后，</w:t>
            </w:r>
            <w:r>
              <w:rPr>
                <w:rFonts w:hint="eastAsia" w:ascii="Times New Roman" w:hAnsi="Times New Roman" w:eastAsia="宋体" w:cs="Times New Roman"/>
                <w:snapToGrid w:val="0"/>
                <w:color w:val="auto"/>
                <w:sz w:val="24"/>
                <w:szCs w:val="24"/>
                <w:highlight w:val="none"/>
                <w:lang w:val="en-US" w:eastAsia="zh-CN" w:bidi="ar-SA"/>
              </w:rPr>
              <w:t>通过15m排气筒有组织排放；</w:t>
            </w:r>
            <w:r>
              <w:rPr>
                <w:rFonts w:hint="default" w:ascii="Times New Roman" w:hAnsi="Times New Roman" w:eastAsia="宋体" w:cs="Times New Roman"/>
                <w:snapToGrid w:val="0"/>
                <w:color w:val="auto"/>
                <w:sz w:val="24"/>
                <w:szCs w:val="24"/>
                <w:highlight w:val="none"/>
                <w:lang w:val="en-US" w:eastAsia="zh-CN" w:bidi="ar-SA"/>
              </w:rPr>
              <w:t>本项目</w:t>
            </w:r>
            <w:r>
              <w:rPr>
                <w:rFonts w:hint="eastAsia" w:cs="Times New Roman"/>
                <w:snapToGrid w:val="0"/>
                <w:color w:val="auto"/>
                <w:sz w:val="24"/>
                <w:szCs w:val="24"/>
                <w:highlight w:val="none"/>
                <w:lang w:val="en-US" w:eastAsia="zh-CN" w:bidi="ar-SA"/>
              </w:rPr>
              <w:t>风机总</w:t>
            </w:r>
            <w:r>
              <w:rPr>
                <w:rFonts w:hint="default" w:ascii="Times New Roman" w:hAnsi="Times New Roman" w:eastAsia="宋体" w:cs="Times New Roman"/>
                <w:snapToGrid w:val="0"/>
                <w:color w:val="auto"/>
                <w:sz w:val="24"/>
                <w:szCs w:val="24"/>
                <w:highlight w:val="none"/>
                <w:lang w:val="en-US" w:eastAsia="zh-CN" w:bidi="ar-SA"/>
              </w:rPr>
              <w:t>风量为</w:t>
            </w:r>
            <w:r>
              <w:rPr>
                <w:rFonts w:hint="eastAsia" w:cs="Times New Roman"/>
                <w:snapToGrid w:val="0"/>
                <w:color w:val="auto"/>
                <w:sz w:val="24"/>
                <w:szCs w:val="24"/>
                <w:highlight w:val="none"/>
                <w:lang w:val="en-US" w:eastAsia="zh-CN" w:bidi="ar-SA"/>
              </w:rPr>
              <w:t>12000</w:t>
            </w:r>
            <w:r>
              <w:rPr>
                <w:rFonts w:hint="default" w:ascii="Times New Roman" w:hAnsi="Times New Roman" w:eastAsia="宋体" w:cs="Times New Roman"/>
                <w:snapToGrid w:val="0"/>
                <w:color w:val="auto"/>
                <w:sz w:val="24"/>
                <w:szCs w:val="24"/>
                <w:highlight w:val="none"/>
                <w:lang w:val="en-US" w:eastAsia="zh-CN" w:bidi="ar-SA"/>
              </w:rPr>
              <w:t>m</w:t>
            </w:r>
            <w:r>
              <w:rPr>
                <w:rFonts w:hint="default" w:ascii="Times New Roman" w:hAnsi="Times New Roman" w:eastAsia="宋体" w:cs="Times New Roman"/>
                <w:snapToGrid w:val="0"/>
                <w:color w:val="auto"/>
                <w:sz w:val="24"/>
                <w:szCs w:val="24"/>
                <w:highlight w:val="none"/>
                <w:vertAlign w:val="superscript"/>
                <w:lang w:val="en-US" w:eastAsia="zh-CN" w:bidi="ar-SA"/>
              </w:rPr>
              <w:t>3</w:t>
            </w:r>
            <w:r>
              <w:rPr>
                <w:rFonts w:hint="default" w:ascii="Times New Roman" w:hAnsi="Times New Roman" w:eastAsia="宋体" w:cs="Times New Roman"/>
                <w:snapToGrid w:val="0"/>
                <w:color w:val="auto"/>
                <w:sz w:val="24"/>
                <w:szCs w:val="24"/>
                <w:highlight w:val="none"/>
                <w:lang w:val="en-US" w:eastAsia="zh-CN" w:bidi="ar-SA"/>
              </w:rPr>
              <w:t>/h，经处理后</w:t>
            </w:r>
            <w:r>
              <w:rPr>
                <w:rFonts w:hint="eastAsia" w:ascii="Times New Roman" w:hAnsi="Times New Roman" w:eastAsia="宋体" w:cs="Times New Roman"/>
                <w:snapToGrid w:val="0"/>
                <w:color w:val="auto"/>
                <w:sz w:val="24"/>
                <w:szCs w:val="24"/>
                <w:highlight w:val="none"/>
                <w:lang w:val="en-US" w:eastAsia="zh-CN" w:bidi="ar-SA"/>
              </w:rPr>
              <w:t>排气筒DA0</w:t>
            </w:r>
            <w:r>
              <w:rPr>
                <w:rFonts w:hint="eastAsia" w:eastAsia="宋体" w:cs="Times New Roman"/>
                <w:snapToGrid w:val="0"/>
                <w:color w:val="auto"/>
                <w:sz w:val="24"/>
                <w:szCs w:val="24"/>
                <w:highlight w:val="none"/>
                <w:lang w:val="en-US" w:eastAsia="zh-CN" w:bidi="ar-SA"/>
              </w:rPr>
              <w:t>01</w:t>
            </w:r>
            <w:r>
              <w:rPr>
                <w:rFonts w:hint="eastAsia"/>
                <w:color w:val="auto"/>
                <w:sz w:val="24"/>
                <w:szCs w:val="24"/>
              </w:rPr>
              <w:t>产生的颗粒物有组织排放量为</w:t>
            </w:r>
            <w:r>
              <w:rPr>
                <w:rFonts w:hint="eastAsia" w:cs="Times New Roman"/>
                <w:color w:val="auto"/>
                <w:kern w:val="2"/>
                <w:sz w:val="24"/>
                <w:szCs w:val="24"/>
                <w:lang w:val="en-US" w:eastAsia="zh-CN"/>
              </w:rPr>
              <w:t>0.254t</w:t>
            </w:r>
            <w:r>
              <w:rPr>
                <w:rFonts w:hint="eastAsia"/>
                <w:color w:val="auto"/>
                <w:sz w:val="24"/>
                <w:szCs w:val="24"/>
              </w:rPr>
              <w:t>/a，排放速率为</w:t>
            </w:r>
            <w:r>
              <w:rPr>
                <w:rFonts w:hint="eastAsia"/>
                <w:color w:val="auto"/>
                <w:sz w:val="24"/>
                <w:szCs w:val="24"/>
                <w:lang w:val="en-US" w:eastAsia="zh-CN"/>
              </w:rPr>
              <w:t>0.1058</w:t>
            </w:r>
            <w:r>
              <w:rPr>
                <w:color w:val="auto"/>
                <w:sz w:val="24"/>
                <w:szCs w:val="24"/>
              </w:rPr>
              <w:t>kg/h</w:t>
            </w:r>
            <w:r>
              <w:rPr>
                <w:rFonts w:hint="eastAsia"/>
                <w:color w:val="auto"/>
                <w:sz w:val="24"/>
                <w:szCs w:val="24"/>
              </w:rPr>
              <w:t>，排放浓度为</w:t>
            </w:r>
            <w:r>
              <w:rPr>
                <w:rFonts w:hint="eastAsia" w:cs="Times New Roman"/>
                <w:color w:val="auto"/>
                <w:kern w:val="2"/>
                <w:sz w:val="24"/>
                <w:szCs w:val="24"/>
                <w:lang w:val="en-US" w:eastAsia="zh-CN"/>
              </w:rPr>
              <w:t>8.82</w:t>
            </w:r>
            <w:r>
              <w:rPr>
                <w:rFonts w:hint="eastAsia"/>
                <w:color w:val="auto"/>
                <w:sz w:val="24"/>
                <w:szCs w:val="24"/>
              </w:rPr>
              <w:t>mg/m</w:t>
            </w:r>
            <w:r>
              <w:rPr>
                <w:rFonts w:hint="eastAsia"/>
                <w:color w:val="auto"/>
                <w:sz w:val="24"/>
                <w:szCs w:val="24"/>
                <w:vertAlign w:val="superscript"/>
              </w:rPr>
              <w:t>3</w:t>
            </w:r>
            <w:r>
              <w:rPr>
                <w:rFonts w:hint="eastAsia"/>
                <w:color w:val="auto"/>
                <w:sz w:val="24"/>
                <w:szCs w:val="24"/>
                <w:vertAlign w:val="baseline"/>
                <w:lang w:eastAsia="zh-CN"/>
              </w:rPr>
              <w:t>；</w:t>
            </w:r>
            <w:r>
              <w:rPr>
                <w:rFonts w:hint="eastAsia"/>
                <w:color w:val="auto"/>
                <w:sz w:val="24"/>
                <w:szCs w:val="24"/>
                <w:highlight w:val="none"/>
              </w:rPr>
              <w:t>有组织排放颗粒物浓度均满足</w:t>
            </w:r>
            <w:r>
              <w:rPr>
                <w:rFonts w:hint="eastAsia" w:ascii="Times New Roman" w:hAnsi="Times New Roman" w:eastAsia="宋体" w:cs="Times New Roman"/>
                <w:color w:val="auto"/>
                <w:kern w:val="2"/>
                <w:sz w:val="24"/>
                <w:szCs w:val="24"/>
                <w:highlight w:val="none"/>
                <w:lang w:val="en-US" w:eastAsia="zh-CN"/>
              </w:rPr>
              <w:t>《水泥工业大气污染物排放标准》（GB4915—2</w:t>
            </w:r>
            <w:r>
              <w:rPr>
                <w:rFonts w:hint="eastAsia" w:ascii="Times New Roman" w:hAnsi="Times New Roman" w:eastAsia="宋体" w:cs="Times New Roman"/>
                <w:color w:val="auto"/>
                <w:kern w:val="2"/>
                <w:szCs w:val="24"/>
                <w:highlight w:val="none"/>
                <w:lang w:val="en-US" w:eastAsia="zh-CN"/>
              </w:rPr>
              <w:t>013）</w:t>
            </w:r>
            <w:r>
              <w:rPr>
                <w:rFonts w:hint="eastAsia"/>
                <w:color w:val="auto"/>
                <w:sz w:val="24"/>
                <w:highlight w:val="none"/>
              </w:rPr>
              <w:t>中</w:t>
            </w:r>
            <w:r>
              <w:rPr>
                <w:rFonts w:hint="eastAsia"/>
                <w:color w:val="auto"/>
                <w:sz w:val="24"/>
                <w:highlight w:val="none"/>
                <w:lang w:val="en-US" w:eastAsia="zh-CN"/>
              </w:rPr>
              <w:t>特别排放限值</w:t>
            </w:r>
            <w:r>
              <w:rPr>
                <w:rFonts w:hint="eastAsia"/>
                <w:color w:val="auto"/>
                <w:sz w:val="24"/>
                <w:highlight w:val="none"/>
              </w:rPr>
              <w:t>有组织排放监控浓度标准限值；</w:t>
            </w:r>
            <w:r>
              <w:rPr>
                <w:rFonts w:hint="eastAsia"/>
                <w:color w:val="auto"/>
                <w:sz w:val="24"/>
                <w:highlight w:val="none"/>
                <w:lang w:val="en-US" w:eastAsia="zh-CN"/>
              </w:rPr>
              <w:t>10.0</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rPr>
              <w:t>。</w:t>
            </w:r>
          </w:p>
          <w:p w14:paraId="4E1B1856">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bidi="ar-SA"/>
              </w:rPr>
              <w:t>未被收集的粉尘量为</w:t>
            </w:r>
            <w:r>
              <w:rPr>
                <w:rFonts w:hint="eastAsia" w:cs="Times New Roman"/>
                <w:snapToGrid w:val="0"/>
                <w:color w:val="auto"/>
                <w:sz w:val="24"/>
                <w:szCs w:val="24"/>
                <w:highlight w:val="none"/>
                <w:lang w:val="en-US" w:eastAsia="zh-CN" w:bidi="ar-SA"/>
              </w:rPr>
              <w:t>5.627</w:t>
            </w:r>
            <w:r>
              <w:rPr>
                <w:rFonts w:hint="eastAsia" w:cs="Times New Roman"/>
                <w:color w:val="auto"/>
                <w:kern w:val="2"/>
                <w:sz w:val="24"/>
                <w:szCs w:val="24"/>
                <w:highlight w:val="none"/>
                <w:lang w:val="en-US" w:eastAsia="zh-CN"/>
              </w:rPr>
              <w:t>t</w:t>
            </w:r>
            <w:r>
              <w:rPr>
                <w:rFonts w:hint="eastAsia"/>
                <w:color w:val="auto"/>
                <w:sz w:val="24"/>
                <w:szCs w:val="24"/>
                <w:highlight w:val="none"/>
              </w:rPr>
              <w:t>/a</w:t>
            </w:r>
            <w:r>
              <w:rPr>
                <w:rFonts w:hint="eastAsia" w:ascii="Times New Roman" w:hAnsi="Times New Roman" w:eastAsia="宋体" w:cs="Times New Roman"/>
                <w:snapToGrid w:val="0"/>
                <w:color w:val="auto"/>
                <w:sz w:val="24"/>
                <w:szCs w:val="24"/>
                <w:highlight w:val="none"/>
                <w:lang w:val="en-US" w:eastAsia="zh-CN" w:bidi="ar-SA"/>
              </w:rPr>
              <w:t>，于室内沉降后无组织排放，根据《未纳入排污许可管理行业适用的排污系数、物料衡算方法（试行）》可知，木工粉尘的沉降率为85%，而硅酸盐类粉尘的比重大于木料粉尘，前者比后者更易沉降，因此粉尘沉降率按90%计，因此</w:t>
            </w:r>
            <w:r>
              <w:rPr>
                <w:rFonts w:hint="eastAsia"/>
                <w:color w:val="auto"/>
                <w:sz w:val="24"/>
                <w:szCs w:val="24"/>
                <w:highlight w:val="none"/>
                <w:lang w:val="en-US" w:eastAsia="zh-CN"/>
              </w:rPr>
              <w:t>无</w:t>
            </w:r>
            <w:r>
              <w:rPr>
                <w:rFonts w:hint="eastAsia"/>
                <w:color w:val="auto"/>
                <w:sz w:val="24"/>
                <w:szCs w:val="24"/>
                <w:highlight w:val="none"/>
              </w:rPr>
              <w:t>组织排放量为</w:t>
            </w:r>
            <w:r>
              <w:rPr>
                <w:rFonts w:hint="eastAsia"/>
                <w:color w:val="auto"/>
                <w:sz w:val="24"/>
                <w:szCs w:val="24"/>
                <w:highlight w:val="none"/>
                <w:lang w:val="en-US" w:eastAsia="zh-CN"/>
              </w:rPr>
              <w:t>0.5627</w:t>
            </w:r>
            <w:r>
              <w:rPr>
                <w:rFonts w:hint="eastAsia" w:cs="Times New Roman"/>
                <w:color w:val="auto"/>
                <w:kern w:val="2"/>
                <w:sz w:val="24"/>
                <w:szCs w:val="24"/>
                <w:highlight w:val="none"/>
                <w:lang w:val="en-US" w:eastAsia="zh-CN"/>
              </w:rPr>
              <w:t>t</w:t>
            </w:r>
            <w:r>
              <w:rPr>
                <w:rFonts w:hint="eastAsia"/>
                <w:color w:val="auto"/>
                <w:sz w:val="24"/>
                <w:szCs w:val="24"/>
                <w:highlight w:val="none"/>
              </w:rPr>
              <w:t>/a，排放速率为</w:t>
            </w:r>
            <w:r>
              <w:rPr>
                <w:rFonts w:hint="eastAsia" w:cs="Times New Roman"/>
                <w:color w:val="auto"/>
                <w:sz w:val="24"/>
                <w:szCs w:val="24"/>
                <w:highlight w:val="none"/>
                <w:lang w:val="en-US" w:eastAsia="zh-CN"/>
              </w:rPr>
              <w:t>0.2345</w:t>
            </w:r>
            <w:r>
              <w:rPr>
                <w:color w:val="auto"/>
                <w:sz w:val="24"/>
                <w:szCs w:val="24"/>
                <w:highlight w:val="none"/>
              </w:rPr>
              <w:t>kg/h</w:t>
            </w:r>
            <w:r>
              <w:rPr>
                <w:rFonts w:hint="eastAsia"/>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根据预测结</w:t>
            </w:r>
            <w:r>
              <w:rPr>
                <w:rFonts w:hint="default" w:ascii="Times New Roman" w:hAnsi="Times New Roman" w:cs="Times New Roman"/>
                <w:color w:val="auto"/>
                <w:sz w:val="24"/>
                <w:highlight w:val="none"/>
                <w:lang w:val="en-US" w:eastAsia="zh-CN"/>
              </w:rPr>
              <w:t>果显示</w:t>
            </w:r>
            <w:r>
              <w:rPr>
                <w:rFonts w:hint="eastAsia" w:cs="Times New Roman"/>
                <w:color w:val="auto"/>
                <w:sz w:val="24"/>
                <w:highlight w:val="none"/>
                <w:lang w:val="en-US" w:eastAsia="zh-CN"/>
              </w:rPr>
              <w:t>厂界</w:t>
            </w:r>
            <w:r>
              <w:rPr>
                <w:rFonts w:hint="default" w:ascii="Times New Roman" w:hAnsi="Times New Roman" w:cs="Times New Roman"/>
                <w:color w:val="auto"/>
                <w:sz w:val="24"/>
                <w:highlight w:val="none"/>
                <w:lang w:val="en-US" w:eastAsia="zh-CN"/>
              </w:rPr>
              <w:t>无组织</w:t>
            </w:r>
            <w:r>
              <w:rPr>
                <w:rFonts w:hint="eastAsia" w:ascii="Times New Roman" w:hAnsi="Times New Roman" w:cs="Times New Roman"/>
                <w:color w:val="auto"/>
                <w:sz w:val="24"/>
                <w:highlight w:val="none"/>
                <w:lang w:val="en-US" w:eastAsia="zh-CN"/>
              </w:rPr>
              <w:t>颗粒物最大落地</w:t>
            </w:r>
            <w:r>
              <w:rPr>
                <w:rFonts w:hint="default" w:ascii="Times New Roman" w:hAnsi="Times New Roman" w:cs="Times New Roman"/>
                <w:color w:val="auto"/>
                <w:sz w:val="24"/>
                <w:highlight w:val="none"/>
                <w:lang w:val="en-US" w:eastAsia="zh-CN"/>
              </w:rPr>
              <w:t>浓度为</w:t>
            </w:r>
            <w:r>
              <w:rPr>
                <w:rFonts w:hint="eastAsia" w:cs="Times New Roman"/>
                <w:color w:val="auto"/>
                <w:sz w:val="24"/>
                <w:szCs w:val="32"/>
                <w:highlight w:val="none"/>
                <w:lang w:val="en-US" w:eastAsia="zh-CN"/>
              </w:rPr>
              <w:t>116.11</w:t>
            </w:r>
            <w:r>
              <w:rPr>
                <w:rFonts w:hint="default" w:ascii="Times New Roman" w:hAnsi="Times New Roman" w:cs="Times New Roman"/>
                <w:color w:val="auto"/>
                <w:sz w:val="24"/>
                <w:szCs w:val="32"/>
                <w:highlight w:val="none"/>
                <w:lang w:val="en-US" w:eastAsia="zh-CN"/>
              </w:rPr>
              <w:t>μg</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w:t>
            </w:r>
            <w:r>
              <w:rPr>
                <w:rFonts w:hint="default" w:ascii="Times New Roman" w:hAnsi="Times New Roman" w:cs="Times New Roman"/>
                <w:color w:val="auto"/>
                <w:sz w:val="24"/>
                <w:highlight w:val="none"/>
              </w:rPr>
              <w:t>故</w:t>
            </w:r>
            <w:r>
              <w:rPr>
                <w:rFonts w:hint="eastAsia" w:cs="Times New Roman"/>
                <w:color w:val="auto"/>
                <w:sz w:val="24"/>
                <w:highlight w:val="none"/>
                <w:lang w:val="en-US" w:eastAsia="zh-CN"/>
              </w:rPr>
              <w:t>车间</w:t>
            </w:r>
            <w:r>
              <w:rPr>
                <w:rFonts w:hint="default" w:ascii="Times New Roman" w:hAnsi="Times New Roman" w:cs="Times New Roman"/>
                <w:color w:val="auto"/>
                <w:sz w:val="24"/>
                <w:highlight w:val="none"/>
              </w:rPr>
              <w:t>粉尘</w:t>
            </w:r>
            <w:r>
              <w:rPr>
                <w:rFonts w:hint="eastAsia" w:cs="Times New Roman"/>
                <w:color w:val="auto"/>
                <w:sz w:val="24"/>
                <w:highlight w:val="none"/>
                <w:lang w:val="en-US" w:eastAsia="zh-CN"/>
              </w:rPr>
              <w:t>无组织排放满足</w:t>
            </w:r>
            <w:r>
              <w:rPr>
                <w:rFonts w:hint="eastAsia" w:ascii="Times New Roman" w:hAnsi="Times New Roman" w:eastAsia="宋体" w:cs="Times New Roman"/>
                <w:color w:val="auto"/>
                <w:kern w:val="2"/>
                <w:szCs w:val="24"/>
                <w:highlight w:val="none"/>
                <w:lang w:val="en-US" w:eastAsia="zh-CN"/>
              </w:rPr>
              <w:t>《水泥工业大气污染物排放标准》（GB4915—2013）</w:t>
            </w:r>
            <w:r>
              <w:rPr>
                <w:rFonts w:hint="default" w:ascii="Times New Roman" w:hAnsi="Times New Roman" w:cs="Times New Roman"/>
                <w:color w:val="auto"/>
                <w:sz w:val="24"/>
                <w:highlight w:val="none"/>
              </w:rPr>
              <w:t>中</w:t>
            </w:r>
            <w:r>
              <w:rPr>
                <w:rFonts w:hint="eastAsia" w:cs="Times New Roman"/>
                <w:color w:val="auto"/>
                <w:sz w:val="24"/>
                <w:highlight w:val="none"/>
                <w:lang w:val="en-US" w:eastAsia="zh-CN"/>
              </w:rPr>
              <w:t>表3大气污染物无组织排放限值</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0.5</w:t>
            </w:r>
            <w:r>
              <w:rPr>
                <w:rFonts w:hint="default" w:ascii="Times New Roman" w:hAnsi="Times New Roman" w:cs="Times New Roman"/>
                <w:color w:val="auto"/>
                <w:sz w:val="24"/>
                <w:highlight w:val="none"/>
                <w:lang w:val="en-US" w:eastAsia="zh-CN"/>
              </w:rPr>
              <w:t>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p>
          <w:p w14:paraId="00361552">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highlight w:val="none"/>
                <w:lang w:val="en-US" w:eastAsia="zh-CN" w:bidi="ar"/>
              </w:rPr>
            </w:pPr>
            <w:r>
              <w:rPr>
                <w:rFonts w:hint="eastAsia"/>
                <w:b/>
                <w:bCs/>
                <w:color w:val="auto"/>
                <w:szCs w:val="24"/>
                <w:highlight w:val="none"/>
                <w:lang w:bidi="ar"/>
              </w:rPr>
              <w:t>1</w:t>
            </w:r>
            <w:r>
              <w:rPr>
                <w:b/>
                <w:bCs/>
                <w:color w:val="auto"/>
                <w:szCs w:val="24"/>
                <w:highlight w:val="none"/>
                <w:lang w:bidi="ar"/>
              </w:rPr>
              <w:t>.</w:t>
            </w:r>
            <w:r>
              <w:rPr>
                <w:rFonts w:hint="eastAsia"/>
                <w:b/>
                <w:bCs/>
                <w:color w:val="auto"/>
                <w:szCs w:val="24"/>
                <w:highlight w:val="none"/>
                <w:lang w:val="en-US" w:eastAsia="zh-CN" w:bidi="ar"/>
              </w:rPr>
              <w:t>1.9筒仓卸料粉尘</w:t>
            </w:r>
          </w:p>
          <w:p w14:paraId="636B5359">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highlight w:val="none"/>
                <w:lang w:val="en-US" w:eastAsia="zh-CN" w:bidi="ar"/>
              </w:rPr>
            </w:pPr>
            <w:r>
              <w:rPr>
                <w:rFonts w:hint="eastAsia"/>
                <w:b/>
                <w:bCs/>
                <w:color w:val="auto"/>
                <w:szCs w:val="24"/>
                <w:highlight w:val="none"/>
                <w:lang w:val="en-US" w:eastAsia="zh-CN" w:bidi="ar"/>
              </w:rPr>
              <w:t>（1）1-1#重钙粉筒仓</w:t>
            </w:r>
          </w:p>
          <w:p w14:paraId="2409DE8A">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22500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2C8DB8BA">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2.7t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4B6646C4">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2.7t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0920C2EA">
            <w:pPr>
              <w:keepNext w:val="0"/>
              <w:keepLines w:val="0"/>
              <w:pageBreakBefore w:val="0"/>
              <w:widowControl/>
              <w:kinsoku/>
              <w:wordWrap/>
              <w:topLinePunct w:val="0"/>
              <w:bidi w:val="0"/>
              <w:spacing w:line="476" w:lineRule="exact"/>
              <w:ind w:right="0" w:firstLine="480" w:firstLineChars="200"/>
              <w:jc w:val="both"/>
              <w:textAlignment w:val="auto"/>
              <w:rPr>
                <w:rFonts w:hint="default"/>
                <w:b w:val="0"/>
                <w:bCs w:val="0"/>
                <w:color w:val="auto"/>
                <w:szCs w:val="24"/>
                <w:highlight w:val="none"/>
                <w:lang w:val="en-US"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排放量为0.054t/a，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0.0225</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47A855E1">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（2）1-2#双飞粉筒仓</w:t>
            </w:r>
          </w:p>
          <w:p w14:paraId="5ECFDD4E">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22500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62BD4EF3">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2.7t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4FC3CF69">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2.7t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6C62F674">
            <w:pPr>
              <w:keepNext w:val="0"/>
              <w:keepLines w:val="0"/>
              <w:pageBreakBefore w:val="0"/>
              <w:widowControl/>
              <w:kinsoku/>
              <w:wordWrap/>
              <w:topLinePunct w:val="0"/>
              <w:bidi w:val="0"/>
              <w:spacing w:line="476" w:lineRule="exact"/>
              <w:ind w:right="0" w:firstLine="480" w:firstLineChars="200"/>
              <w:jc w:val="both"/>
              <w:textAlignment w:val="auto"/>
              <w:rPr>
                <w:rFonts w:hint="default"/>
                <w:b w:val="0"/>
                <w:bCs w:val="0"/>
                <w:color w:val="auto"/>
                <w:szCs w:val="24"/>
                <w:highlight w:val="none"/>
                <w:lang w:val="en-US"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排放量为0.054t/a，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0.0225</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198AC626">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（3）1-3#灰水泥筒仓</w:t>
            </w:r>
          </w:p>
          <w:p w14:paraId="36DA807F">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1500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29E9C069">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0.18t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7216CA56">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0.18t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08B53438">
            <w:pPr>
              <w:keepNext w:val="0"/>
              <w:keepLines w:val="0"/>
              <w:pageBreakBefore w:val="0"/>
              <w:widowControl/>
              <w:kinsoku/>
              <w:wordWrap/>
              <w:topLinePunct w:val="0"/>
              <w:bidi w:val="0"/>
              <w:spacing w:line="476" w:lineRule="exact"/>
              <w:ind w:right="0" w:firstLine="480" w:firstLineChars="200"/>
              <w:jc w:val="both"/>
              <w:textAlignment w:val="auto"/>
              <w:rPr>
                <w:rFonts w:hint="eastAsia" w:eastAsia="宋体"/>
                <w:b w:val="0"/>
                <w:bCs w:val="0"/>
                <w:color w:val="auto"/>
                <w:szCs w:val="24"/>
                <w:highlight w:val="none"/>
                <w:lang w:eastAsia="zh-CN"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排放量为0.0036t/a，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0.0015</w:t>
            </w:r>
            <w:r>
              <w:rPr>
                <w:rFonts w:hint="eastAsia"/>
                <w:b w:val="0"/>
                <w:bCs w:val="0"/>
                <w:color w:val="auto"/>
                <w:szCs w:val="24"/>
                <w:highlight w:val="none"/>
                <w:lang w:bidi="ar"/>
              </w:rPr>
              <w:t>kg/h</w:t>
            </w:r>
            <w:r>
              <w:rPr>
                <w:rFonts w:hint="eastAsia"/>
                <w:b w:val="0"/>
                <w:bCs w:val="0"/>
                <w:color w:val="auto"/>
                <w:szCs w:val="24"/>
                <w:highlight w:val="none"/>
                <w:lang w:eastAsia="zh-CN" w:bidi="ar"/>
              </w:rPr>
              <w:t>。</w:t>
            </w:r>
          </w:p>
          <w:p w14:paraId="0E3A1E29">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（4）1-4#白水泥筒仓</w:t>
            </w:r>
          </w:p>
          <w:p w14:paraId="67CB93D4">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1000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7A58C388">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量为0.12</w:t>
            </w:r>
            <w:r>
              <w:rPr>
                <w:rFonts w:hint="eastAsia" w:cs="Times New Roman"/>
                <w:color w:val="auto"/>
                <w:kern w:val="2"/>
                <w:szCs w:val="24"/>
                <w:highlight w:val="none"/>
                <w:lang w:val="en-US" w:eastAsia="zh-CN"/>
              </w:rPr>
              <w:t>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6ADC3164">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量为0.12</w:t>
            </w:r>
            <w:r>
              <w:rPr>
                <w:rFonts w:hint="eastAsia" w:cs="Times New Roman"/>
                <w:color w:val="auto"/>
                <w:kern w:val="2"/>
                <w:szCs w:val="24"/>
                <w:highlight w:val="none"/>
                <w:lang w:val="en-US" w:eastAsia="zh-CN"/>
              </w:rPr>
              <w:t>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112DFEF4">
            <w:pPr>
              <w:keepNext w:val="0"/>
              <w:keepLines w:val="0"/>
              <w:pageBreakBefore w:val="0"/>
              <w:widowControl/>
              <w:kinsoku/>
              <w:wordWrap/>
              <w:topLinePunct w:val="0"/>
              <w:bidi w:val="0"/>
              <w:spacing w:line="476" w:lineRule="exact"/>
              <w:ind w:right="0" w:firstLine="480" w:firstLineChars="200"/>
              <w:jc w:val="both"/>
              <w:textAlignment w:val="auto"/>
              <w:rPr>
                <w:rFonts w:hint="eastAsia"/>
                <w:b w:val="0"/>
                <w:bCs w:val="0"/>
                <w:color w:val="auto"/>
                <w:szCs w:val="24"/>
                <w:highlight w:val="none"/>
                <w:lang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排放量为0.0024t/a，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0.001</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5F6E1099">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（5）1-5#风积砂（50-100目）筒仓</w:t>
            </w:r>
          </w:p>
          <w:p w14:paraId="2B5E9BEC">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1000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684011A5">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量为0.12</w:t>
            </w:r>
            <w:r>
              <w:rPr>
                <w:rFonts w:hint="eastAsia" w:cs="Times New Roman"/>
                <w:color w:val="auto"/>
                <w:kern w:val="2"/>
                <w:szCs w:val="24"/>
                <w:highlight w:val="none"/>
                <w:lang w:val="en-US" w:eastAsia="zh-CN"/>
              </w:rPr>
              <w:t>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41592F10">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量为0.12</w:t>
            </w:r>
            <w:r>
              <w:rPr>
                <w:rFonts w:hint="eastAsia" w:cs="Times New Roman"/>
                <w:color w:val="auto"/>
                <w:kern w:val="2"/>
                <w:szCs w:val="24"/>
                <w:highlight w:val="none"/>
                <w:lang w:val="en-US" w:eastAsia="zh-CN"/>
              </w:rPr>
              <w:t>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6BF75632">
            <w:pPr>
              <w:keepNext w:val="0"/>
              <w:keepLines w:val="0"/>
              <w:pageBreakBefore w:val="0"/>
              <w:widowControl/>
              <w:kinsoku/>
              <w:wordWrap/>
              <w:topLinePunct w:val="0"/>
              <w:bidi w:val="0"/>
              <w:spacing w:line="476" w:lineRule="exact"/>
              <w:ind w:right="0" w:firstLine="480" w:firstLineChars="200"/>
              <w:jc w:val="both"/>
              <w:textAlignment w:val="auto"/>
              <w:rPr>
                <w:rFonts w:hint="eastAsia"/>
                <w:b w:val="0"/>
                <w:bCs w:val="0"/>
                <w:color w:val="auto"/>
                <w:szCs w:val="24"/>
                <w:highlight w:val="none"/>
                <w:lang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排放量为0.0024t/a，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0.001</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4FD0E313">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（6）1-6#风积砂（70-140目）筒仓</w:t>
            </w:r>
          </w:p>
          <w:p w14:paraId="461643BD">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500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02B9BF66">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量为0.06</w:t>
            </w:r>
            <w:r>
              <w:rPr>
                <w:rFonts w:hint="eastAsia" w:cs="Times New Roman"/>
                <w:color w:val="auto"/>
                <w:kern w:val="2"/>
                <w:szCs w:val="24"/>
                <w:highlight w:val="none"/>
                <w:lang w:val="en-US" w:eastAsia="zh-CN"/>
              </w:rPr>
              <w:t>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0A25C321">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量为0.06</w:t>
            </w:r>
            <w:r>
              <w:rPr>
                <w:rFonts w:hint="eastAsia" w:cs="Times New Roman"/>
                <w:color w:val="auto"/>
                <w:kern w:val="2"/>
                <w:szCs w:val="24"/>
                <w:highlight w:val="none"/>
                <w:lang w:val="en-US" w:eastAsia="zh-CN"/>
              </w:rPr>
              <w:t>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14399850">
            <w:pPr>
              <w:keepNext w:val="0"/>
              <w:keepLines w:val="0"/>
              <w:pageBreakBefore w:val="0"/>
              <w:widowControl/>
              <w:kinsoku/>
              <w:wordWrap/>
              <w:topLinePunct w:val="0"/>
              <w:bidi w:val="0"/>
              <w:spacing w:line="476" w:lineRule="exact"/>
              <w:ind w:right="0" w:firstLine="480" w:firstLineChars="200"/>
              <w:jc w:val="both"/>
              <w:textAlignment w:val="auto"/>
              <w:rPr>
                <w:rFonts w:hint="eastAsia"/>
                <w:b w:val="0"/>
                <w:bCs w:val="0"/>
                <w:color w:val="auto"/>
                <w:szCs w:val="24"/>
                <w:highlight w:val="none"/>
                <w:lang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排放量为0.0012t/a，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0.0005</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613FCDD6">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（7）2-1#灰水泥筒仓</w:t>
            </w:r>
          </w:p>
          <w:p w14:paraId="2F152313">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20000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12A10FB0">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2.4t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64CD948C">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2.4t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67FAE0D0">
            <w:pPr>
              <w:keepNext w:val="0"/>
              <w:keepLines w:val="0"/>
              <w:pageBreakBefore w:val="0"/>
              <w:widowControl/>
              <w:kinsoku/>
              <w:wordWrap/>
              <w:topLinePunct w:val="0"/>
              <w:bidi w:val="0"/>
              <w:spacing w:line="476" w:lineRule="exact"/>
              <w:ind w:right="0" w:firstLine="480" w:firstLineChars="200"/>
              <w:jc w:val="both"/>
              <w:textAlignment w:val="auto"/>
              <w:rPr>
                <w:rFonts w:hint="eastAsia"/>
                <w:b w:val="0"/>
                <w:bCs w:val="0"/>
                <w:color w:val="auto"/>
                <w:szCs w:val="24"/>
                <w:highlight w:val="none"/>
                <w:lang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排放量为0.048t/a，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0.02</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0E843E7E">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（8）2-2#白水泥筒仓</w:t>
            </w:r>
          </w:p>
          <w:p w14:paraId="4D3BE73B">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15000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4C1BFD7C">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1.8t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33D93FB4">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1.8t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3464D282">
            <w:pPr>
              <w:keepNext w:val="0"/>
              <w:keepLines w:val="0"/>
              <w:pageBreakBefore w:val="0"/>
              <w:widowControl/>
              <w:kinsoku/>
              <w:wordWrap/>
              <w:topLinePunct w:val="0"/>
              <w:bidi w:val="0"/>
              <w:spacing w:line="476" w:lineRule="exact"/>
              <w:ind w:right="0" w:firstLine="480" w:firstLineChars="200"/>
              <w:jc w:val="both"/>
              <w:textAlignment w:val="auto"/>
              <w:rPr>
                <w:rFonts w:hint="eastAsia"/>
                <w:b w:val="0"/>
                <w:bCs w:val="0"/>
                <w:color w:val="auto"/>
                <w:szCs w:val="24"/>
                <w:highlight w:val="none"/>
                <w:lang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排放量为0.036t/a，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0.015</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559CE576">
            <w:pPr>
              <w:keepNext w:val="0"/>
              <w:keepLines w:val="0"/>
              <w:pageBreakBefore w:val="0"/>
              <w:widowControl/>
              <w:kinsoku/>
              <w:wordWrap/>
              <w:topLinePunct w:val="0"/>
              <w:bidi w:val="0"/>
              <w:spacing w:line="476" w:lineRule="exact"/>
              <w:ind w:right="0" w:firstLine="482" w:firstLineChars="200"/>
              <w:jc w:val="both"/>
              <w:textAlignment w:val="auto"/>
              <w:rPr>
                <w:rFonts w:hint="default"/>
                <w:b/>
                <w:bCs/>
                <w:color w:val="auto"/>
                <w:szCs w:val="24"/>
                <w:lang w:val="en-US" w:eastAsia="zh-CN" w:bidi="ar"/>
              </w:rPr>
            </w:pPr>
            <w:r>
              <w:rPr>
                <w:rFonts w:hint="eastAsia"/>
                <w:b/>
                <w:bCs/>
                <w:color w:val="auto"/>
                <w:szCs w:val="24"/>
                <w:lang w:val="en-US" w:eastAsia="zh-CN" w:bidi="ar"/>
              </w:rPr>
              <w:t>（9）2-3#风积沙（50-100目）筒仓</w:t>
            </w:r>
          </w:p>
          <w:p w14:paraId="1459A526">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eastAsia" w:cs="Times New Roman"/>
                <w:color w:val="auto"/>
                <w:kern w:val="2"/>
                <w:szCs w:val="24"/>
                <w:highlight w:val="none"/>
                <w:lang w:val="en-US" w:eastAsia="zh-CN"/>
              </w:rPr>
            </w:pPr>
            <w:r>
              <w:rPr>
                <w:rFonts w:hint="eastAsia" w:eastAsia="宋体" w:cs="Times New Roman"/>
                <w:color w:val="auto"/>
                <w:kern w:val="2"/>
                <w:szCs w:val="24"/>
                <w:highlight w:val="none"/>
                <w:lang w:val="en-US" w:eastAsia="zh-CN"/>
              </w:rPr>
              <w:t>本设备</w:t>
            </w:r>
            <w:r>
              <w:rPr>
                <w:rFonts w:hint="eastAsia" w:eastAsia="宋体" w:cs="Times New Roman"/>
                <w:color w:val="auto"/>
                <w:kern w:val="2"/>
                <w:szCs w:val="24"/>
                <w:highlight w:val="none"/>
              </w:rPr>
              <w:t>设计</w:t>
            </w:r>
            <w:r>
              <w:rPr>
                <w:rFonts w:hint="eastAsia" w:eastAsia="宋体" w:cs="Times New Roman"/>
                <w:color w:val="auto"/>
                <w:kern w:val="2"/>
                <w:szCs w:val="24"/>
                <w:highlight w:val="none"/>
                <w:lang w:val="en-US" w:eastAsia="zh-CN"/>
              </w:rPr>
              <w:t>原料</w:t>
            </w:r>
            <w:r>
              <w:rPr>
                <w:rFonts w:hint="eastAsia" w:eastAsia="宋体" w:cs="Times New Roman"/>
                <w:color w:val="auto"/>
                <w:kern w:val="2"/>
                <w:szCs w:val="24"/>
                <w:highlight w:val="none"/>
              </w:rPr>
              <w:t>年</w:t>
            </w:r>
            <w:r>
              <w:rPr>
                <w:rFonts w:hint="eastAsia" w:eastAsia="宋体" w:cs="Times New Roman"/>
                <w:color w:val="auto"/>
                <w:kern w:val="2"/>
                <w:szCs w:val="24"/>
                <w:highlight w:val="none"/>
                <w:lang w:val="en-US" w:eastAsia="zh-CN"/>
              </w:rPr>
              <w:t>贮存</w:t>
            </w:r>
            <w:r>
              <w:rPr>
                <w:rFonts w:hint="eastAsia" w:eastAsia="宋体" w:cs="Times New Roman"/>
                <w:color w:val="auto"/>
                <w:kern w:val="2"/>
                <w:szCs w:val="24"/>
                <w:highlight w:val="none"/>
              </w:rPr>
              <w:t>消耗量</w:t>
            </w:r>
            <w:r>
              <w:rPr>
                <w:rFonts w:hint="eastAsia" w:cs="Times New Roman"/>
                <w:color w:val="auto"/>
                <w:kern w:val="2"/>
                <w:szCs w:val="24"/>
                <w:highlight w:val="none"/>
                <w:lang w:val="en-US" w:eastAsia="zh-CN"/>
              </w:rPr>
              <w:t>共计</w:t>
            </w:r>
            <w:r>
              <w:rPr>
                <w:rFonts w:hint="eastAsia" w:eastAsia="宋体" w:cs="Times New Roman"/>
                <w:color w:val="auto"/>
                <w:kern w:val="2"/>
                <w:szCs w:val="24"/>
                <w:highlight w:val="none"/>
              </w:rPr>
              <w:t>约</w:t>
            </w:r>
            <w:r>
              <w:rPr>
                <w:rFonts w:hint="eastAsia" w:eastAsia="宋体" w:cs="Times New Roman"/>
                <w:color w:val="auto"/>
                <w:kern w:val="2"/>
                <w:szCs w:val="24"/>
                <w:highlight w:val="none"/>
                <w:lang w:val="en-US" w:eastAsia="zh-CN"/>
              </w:rPr>
              <w:t>64000</w:t>
            </w:r>
            <w:r>
              <w:rPr>
                <w:rFonts w:hint="eastAsia" w:eastAsia="宋体" w:cs="Times New Roman"/>
                <w:color w:val="auto"/>
                <w:kern w:val="2"/>
                <w:szCs w:val="24"/>
                <w:highlight w:val="none"/>
              </w:rPr>
              <w:t>t/a</w:t>
            </w:r>
            <w:r>
              <w:rPr>
                <w:rFonts w:hint="eastAsia" w:cs="Times New Roman"/>
                <w:color w:val="auto"/>
                <w:kern w:val="2"/>
                <w:szCs w:val="24"/>
                <w:highlight w:val="none"/>
                <w:lang w:val="en-US" w:eastAsia="zh-CN"/>
              </w:rPr>
              <w:t>。</w:t>
            </w:r>
          </w:p>
          <w:p w14:paraId="552C047D">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eastAsia="宋体" w:cs="Times New Roman"/>
                <w:color w:val="auto"/>
                <w:kern w:val="2"/>
                <w:szCs w:val="24"/>
                <w:highlight w:val="none"/>
                <w:lang w:val="en-US" w:eastAsia="zh-CN"/>
              </w:rPr>
            </w:pPr>
            <w:r>
              <w:rPr>
                <w:rFonts w:hint="eastAsia" w:eastAsia="宋体" w:cs="Times New Roman"/>
                <w:color w:val="auto"/>
                <w:kern w:val="2"/>
                <w:szCs w:val="24"/>
                <w:highlight w:val="none"/>
              </w:rPr>
              <w:t>粉料运输车放空口在抽料时</w:t>
            </w:r>
            <w:r>
              <w:rPr>
                <w:rFonts w:hint="eastAsia" w:eastAsia="宋体" w:cs="Times New Roman"/>
                <w:color w:val="auto"/>
                <w:kern w:val="2"/>
                <w:szCs w:val="24"/>
                <w:highlight w:val="none"/>
                <w:lang w:val="en-US" w:eastAsia="zh-CN"/>
              </w:rPr>
              <w:t>产生少量粉尘，</w:t>
            </w:r>
            <w:r>
              <w:rPr>
                <w:rFonts w:hint="eastAsia" w:eastAsia="宋体" w:cs="Times New Roman"/>
                <w:color w:val="auto"/>
                <w:kern w:val="2"/>
                <w:szCs w:val="24"/>
                <w:highlight w:val="none"/>
              </w:rPr>
              <w:t>通过在出料口处安装接料衔接口，待每次放料结束后先关闭料口阀门，这样不仅加强了输接料口的密封性，同时也减少了原料的损耗，从而降低了粉尘的产生量</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w:t>
            </w:r>
            <w:r>
              <w:rPr>
                <w:rFonts w:hint="eastAsia" w:eastAsia="宋体" w:cs="Times New Roman"/>
                <w:color w:val="auto"/>
                <w:kern w:val="2"/>
                <w:szCs w:val="24"/>
                <w:highlight w:val="none"/>
                <w:lang w:eastAsia="zh-CN"/>
              </w:rPr>
              <w:t>，</w:t>
            </w:r>
            <w:r>
              <w:rPr>
                <w:rFonts w:hint="eastAsia" w:eastAsia="宋体" w:cs="Times New Roman"/>
                <w:color w:val="auto"/>
                <w:kern w:val="2"/>
                <w:szCs w:val="24"/>
                <w:highlight w:val="none"/>
                <w:lang w:val="en-US" w:eastAsia="zh-CN"/>
              </w:rPr>
              <w:t>贮仓排气逸散尘排放因子以0.12kg/t计</w:t>
            </w:r>
            <w:r>
              <w:rPr>
                <w:rFonts w:hint="eastAsia" w:cs="Times New Roman"/>
                <w:color w:val="auto"/>
                <w:kern w:val="2"/>
                <w:szCs w:val="24"/>
                <w:highlight w:val="none"/>
                <w:lang w:val="en-US" w:eastAsia="zh-CN"/>
              </w:rPr>
              <w:t>，</w:t>
            </w:r>
            <w:r>
              <w:rPr>
                <w:rFonts w:hint="eastAsia" w:eastAsia="宋体" w:cs="Times New Roman"/>
                <w:color w:val="auto"/>
                <w:kern w:val="2"/>
                <w:szCs w:val="24"/>
                <w:highlight w:val="none"/>
              </w:rPr>
              <w:t>则</w:t>
            </w:r>
            <w:r>
              <w:rPr>
                <w:rFonts w:hint="eastAsia" w:eastAsia="宋体" w:cs="Times New Roman"/>
                <w:color w:val="auto"/>
                <w:kern w:val="2"/>
                <w:szCs w:val="24"/>
                <w:highlight w:val="none"/>
                <w:lang w:val="en-US" w:eastAsia="zh-CN"/>
              </w:rPr>
              <w:t>贮仓排气</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7.68t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该部分以无组织形式排放。</w:t>
            </w:r>
          </w:p>
          <w:p w14:paraId="59AB057F">
            <w:pPr>
              <w:keepNext w:val="0"/>
              <w:keepLines w:val="0"/>
              <w:pageBreakBefore w:val="0"/>
              <w:widowControl/>
              <w:kinsoku/>
              <w:wordWrap/>
              <w:topLinePunct w:val="0"/>
              <w:bidi w:val="0"/>
              <w:spacing w:line="476" w:lineRule="exact"/>
              <w:ind w:right="0" w:firstLine="480" w:firstLineChars="200"/>
              <w:jc w:val="both"/>
              <w:textAlignment w:val="auto"/>
              <w:rPr>
                <w:rFonts w:hint="eastAsia"/>
                <w:b/>
                <w:bCs/>
                <w:color w:val="auto"/>
                <w:szCs w:val="24"/>
                <w:lang w:bidi="ar"/>
              </w:rPr>
            </w:pPr>
            <w:r>
              <w:rPr>
                <w:rFonts w:hint="eastAsia" w:eastAsia="宋体" w:cs="Times New Roman"/>
                <w:color w:val="auto"/>
                <w:kern w:val="2"/>
                <w:szCs w:val="24"/>
                <w:highlight w:val="none"/>
                <w:lang w:val="en-US" w:eastAsia="zh-CN"/>
              </w:rPr>
              <w:t>卸料入高架驻仓产生部分粉尘，根据</w:t>
            </w:r>
            <w:r>
              <w:rPr>
                <w:rFonts w:hint="eastAsia" w:eastAsia="宋体" w:cs="Times New Roman"/>
                <w:color w:val="auto"/>
                <w:kern w:val="2"/>
                <w:szCs w:val="24"/>
                <w:highlight w:val="none"/>
              </w:rPr>
              <w:t>《</w:t>
            </w:r>
            <w:r>
              <w:rPr>
                <w:rFonts w:hint="eastAsia" w:eastAsia="宋体" w:cs="Times New Roman"/>
                <w:color w:val="auto"/>
                <w:kern w:val="2"/>
                <w:szCs w:val="24"/>
                <w:highlight w:val="none"/>
                <w:lang w:eastAsia="zh-CN"/>
              </w:rPr>
              <w:t>逸散性工业粉尘控制技术</w:t>
            </w:r>
            <w:r>
              <w:rPr>
                <w:rFonts w:hint="eastAsia" w:eastAsia="宋体" w:cs="Times New Roman"/>
                <w:color w:val="auto"/>
                <w:kern w:val="2"/>
                <w:szCs w:val="24"/>
                <w:highlight w:val="none"/>
              </w:rPr>
              <w:t>》（中国环境科学出版社）卸料入高架驻仓逸散尘的排放因子0.</w:t>
            </w:r>
            <w:r>
              <w:rPr>
                <w:rFonts w:hint="eastAsia" w:eastAsia="宋体" w:cs="Times New Roman"/>
                <w:color w:val="auto"/>
                <w:kern w:val="2"/>
                <w:szCs w:val="24"/>
                <w:highlight w:val="none"/>
                <w:lang w:val="en-US" w:eastAsia="zh-CN"/>
              </w:rPr>
              <w:t>12</w:t>
            </w:r>
            <w:r>
              <w:rPr>
                <w:rFonts w:hint="eastAsia" w:eastAsia="宋体" w:cs="Times New Roman"/>
                <w:color w:val="auto"/>
                <w:kern w:val="2"/>
                <w:szCs w:val="24"/>
                <w:highlight w:val="none"/>
              </w:rPr>
              <w:t>kg/t，则</w:t>
            </w:r>
            <w:r>
              <w:rPr>
                <w:rFonts w:hint="eastAsia" w:cs="Times New Roman"/>
                <w:color w:val="auto"/>
                <w:kern w:val="2"/>
                <w:szCs w:val="24"/>
                <w:highlight w:val="none"/>
                <w:lang w:val="en-US" w:eastAsia="zh-CN"/>
              </w:rPr>
              <w:t>筒仓卸料</w:t>
            </w:r>
            <w:r>
              <w:rPr>
                <w:rFonts w:hint="eastAsia" w:eastAsia="宋体" w:cs="Times New Roman"/>
                <w:color w:val="auto"/>
                <w:kern w:val="2"/>
                <w:szCs w:val="24"/>
                <w:highlight w:val="none"/>
              </w:rPr>
              <w:t>产生粉尘</w:t>
            </w:r>
            <w:r>
              <w:rPr>
                <w:rFonts w:hint="eastAsia" w:eastAsia="宋体" w:cs="Times New Roman"/>
                <w:color w:val="auto"/>
                <w:kern w:val="2"/>
                <w:szCs w:val="24"/>
                <w:highlight w:val="none"/>
                <w:lang w:val="en-US" w:eastAsia="zh-CN"/>
              </w:rPr>
              <w:t>量为</w:t>
            </w:r>
            <w:r>
              <w:rPr>
                <w:rFonts w:hint="eastAsia" w:cs="Times New Roman"/>
                <w:color w:val="auto"/>
                <w:kern w:val="2"/>
                <w:szCs w:val="24"/>
                <w:highlight w:val="none"/>
                <w:lang w:val="en-US" w:eastAsia="zh-CN"/>
              </w:rPr>
              <w:t>7.68t</w:t>
            </w:r>
            <w:r>
              <w:rPr>
                <w:rFonts w:hint="eastAsia" w:eastAsia="宋体" w:cs="Times New Roman"/>
                <w:color w:val="auto"/>
                <w:kern w:val="2"/>
                <w:szCs w:val="24"/>
                <w:highlight w:val="none"/>
              </w:rPr>
              <w:t>/a</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处理后的粉尘以无组织形式排放。</w:t>
            </w:r>
          </w:p>
          <w:p w14:paraId="13705B27">
            <w:pPr>
              <w:keepNext w:val="0"/>
              <w:keepLines w:val="0"/>
              <w:pageBreakBefore w:val="0"/>
              <w:widowControl/>
              <w:kinsoku/>
              <w:wordWrap/>
              <w:topLinePunct w:val="0"/>
              <w:bidi w:val="0"/>
              <w:spacing w:line="476" w:lineRule="exact"/>
              <w:ind w:right="0" w:firstLine="480" w:firstLineChars="200"/>
              <w:jc w:val="both"/>
              <w:textAlignment w:val="auto"/>
              <w:rPr>
                <w:rFonts w:hint="eastAsia"/>
                <w:b w:val="0"/>
                <w:bCs w:val="0"/>
                <w:color w:val="auto"/>
                <w:szCs w:val="24"/>
                <w:highlight w:val="none"/>
                <w:lang w:bidi="ar"/>
              </w:rPr>
            </w:pPr>
            <w:r>
              <w:rPr>
                <w:rFonts w:hint="eastAsia"/>
                <w:b w:val="0"/>
                <w:bCs w:val="0"/>
                <w:color w:val="auto"/>
                <w:szCs w:val="24"/>
                <w:highlight w:val="none"/>
                <w:lang w:bidi="ar"/>
              </w:rPr>
              <w:t>筒仓经除尘器除尘</w:t>
            </w:r>
            <w:r>
              <w:rPr>
                <w:rFonts w:hint="eastAsia"/>
                <w:b w:val="0"/>
                <w:bCs w:val="0"/>
                <w:color w:val="auto"/>
                <w:szCs w:val="24"/>
                <w:highlight w:val="none"/>
                <w:lang w:eastAsia="zh-CN" w:bidi="ar"/>
              </w:rPr>
              <w:t>（</w:t>
            </w:r>
            <w:r>
              <w:rPr>
                <w:rFonts w:hint="eastAsia"/>
                <w:b w:val="0"/>
                <w:bCs w:val="0"/>
                <w:color w:val="auto"/>
                <w:szCs w:val="24"/>
                <w:highlight w:val="none"/>
                <w:lang w:val="en-US" w:eastAsia="zh-CN" w:bidi="ar"/>
              </w:rPr>
              <w:t>除尘效率99%</w:t>
            </w:r>
            <w:r>
              <w:rPr>
                <w:rFonts w:hint="eastAsia"/>
                <w:b w:val="0"/>
                <w:bCs w:val="0"/>
                <w:color w:val="auto"/>
                <w:szCs w:val="24"/>
                <w:highlight w:val="none"/>
                <w:lang w:eastAsia="zh-CN" w:bidi="ar"/>
              </w:rPr>
              <w:t>）</w:t>
            </w:r>
            <w:r>
              <w:rPr>
                <w:rFonts w:hint="eastAsia"/>
                <w:b w:val="0"/>
                <w:bCs w:val="0"/>
                <w:color w:val="auto"/>
                <w:szCs w:val="24"/>
                <w:highlight w:val="none"/>
                <w:lang w:bidi="ar"/>
              </w:rPr>
              <w:t>后，</w:t>
            </w:r>
            <w:r>
              <w:rPr>
                <w:rFonts w:hint="eastAsia"/>
                <w:b w:val="0"/>
                <w:bCs w:val="0"/>
                <w:color w:val="auto"/>
                <w:szCs w:val="24"/>
                <w:highlight w:val="none"/>
                <w:lang w:val="en-US" w:eastAsia="zh-CN" w:bidi="ar"/>
              </w:rPr>
              <w:t>排放量为0.1536t/a，</w:t>
            </w:r>
            <w:r>
              <w:rPr>
                <w:rFonts w:hint="eastAsia"/>
                <w:b w:val="0"/>
                <w:bCs w:val="0"/>
                <w:color w:val="auto"/>
                <w:szCs w:val="24"/>
                <w:highlight w:val="none"/>
                <w:lang w:bidi="ar"/>
              </w:rPr>
              <w:t>排放速率为</w:t>
            </w:r>
            <w:r>
              <w:rPr>
                <w:rFonts w:hint="eastAsia"/>
                <w:b w:val="0"/>
                <w:bCs w:val="0"/>
                <w:color w:val="auto"/>
                <w:szCs w:val="24"/>
                <w:highlight w:val="none"/>
                <w:lang w:val="en-US" w:eastAsia="zh-CN" w:bidi="ar"/>
              </w:rPr>
              <w:t>0.064</w:t>
            </w:r>
            <w:r>
              <w:rPr>
                <w:rFonts w:hint="eastAsia"/>
                <w:b w:val="0"/>
                <w:bCs w:val="0"/>
                <w:color w:val="auto"/>
                <w:szCs w:val="24"/>
                <w:highlight w:val="none"/>
                <w:lang w:bidi="ar"/>
              </w:rPr>
              <w:t>kg/h</w:t>
            </w:r>
            <w:r>
              <w:rPr>
                <w:rFonts w:hint="eastAsia" w:ascii="Times New Roman" w:hAnsi="Times New Roman" w:eastAsia="宋体" w:cs="Times New Roman"/>
                <w:snapToGrid w:val="0"/>
                <w:color w:val="auto"/>
                <w:sz w:val="24"/>
                <w:szCs w:val="24"/>
                <w:highlight w:val="none"/>
                <w:lang w:val="en-US" w:eastAsia="zh-CN" w:bidi="ar-SA"/>
              </w:rPr>
              <w:t>。</w:t>
            </w:r>
          </w:p>
          <w:p w14:paraId="78AFC754">
            <w:pPr>
              <w:keepNext w:val="0"/>
              <w:keepLines w:val="0"/>
              <w:pageBreakBefore w:val="0"/>
              <w:widowControl w:val="0"/>
              <w:kinsoku/>
              <w:wordWrap/>
              <w:overflowPunct/>
              <w:topLinePunct w:val="0"/>
              <w:autoSpaceDE/>
              <w:autoSpaceDN/>
              <w:bidi w:val="0"/>
              <w:adjustRightInd/>
              <w:snapToGrid/>
              <w:spacing w:line="476" w:lineRule="exact"/>
              <w:ind w:right="0" w:firstLine="482" w:firstLineChars="200"/>
              <w:jc w:val="both"/>
              <w:textAlignment w:val="auto"/>
              <w:rPr>
                <w:rFonts w:hint="default" w:ascii="Times New Roman" w:hAnsi="Times New Roman" w:eastAsia="宋体" w:cs="Times New Roman"/>
                <w:b/>
                <w:bCs/>
                <w:color w:val="auto"/>
                <w:sz w:val="24"/>
                <w:szCs w:val="20"/>
                <w:highlight w:val="none"/>
                <w:lang w:val="en-US" w:eastAsia="zh-CN"/>
              </w:rPr>
            </w:pPr>
            <w:r>
              <w:rPr>
                <w:rFonts w:hint="eastAsia"/>
                <w:b/>
                <w:bCs/>
                <w:color w:val="auto"/>
                <w:szCs w:val="24"/>
                <w:lang w:val="en-US" w:eastAsia="zh-CN" w:bidi="ar"/>
              </w:rPr>
              <w:t>（10）筒仓</w:t>
            </w:r>
            <w:r>
              <w:rPr>
                <w:rFonts w:hint="eastAsia" w:ascii="Times New Roman" w:hAnsi="Times New Roman" w:eastAsia="宋体" w:cs="Times New Roman"/>
                <w:b/>
                <w:bCs/>
                <w:color w:val="auto"/>
                <w:sz w:val="24"/>
                <w:szCs w:val="20"/>
                <w:highlight w:val="none"/>
                <w:lang w:val="en-US" w:eastAsia="zh-CN"/>
              </w:rPr>
              <w:t>治理措施</w:t>
            </w:r>
            <w:r>
              <w:rPr>
                <w:rFonts w:hint="eastAsia" w:eastAsia="宋体" w:cs="Times New Roman"/>
                <w:b/>
                <w:bCs/>
                <w:color w:val="auto"/>
                <w:sz w:val="24"/>
                <w:szCs w:val="20"/>
                <w:highlight w:val="none"/>
                <w:lang w:val="en-US" w:eastAsia="zh-CN"/>
              </w:rPr>
              <w:t>及可行性分析</w:t>
            </w:r>
          </w:p>
          <w:p w14:paraId="1551B6B0">
            <w:pPr>
              <w:pStyle w:val="20"/>
              <w:keepNext w:val="0"/>
              <w:keepLines w:val="0"/>
              <w:pageBreakBefore w:val="0"/>
              <w:widowControl w:val="0"/>
              <w:tabs>
                <w:tab w:val="center" w:pos="4019"/>
              </w:tabs>
              <w:kinsoku/>
              <w:wordWrap/>
              <w:overflowPunct/>
              <w:topLinePunct w:val="0"/>
              <w:bidi w:val="0"/>
              <w:adjustRightInd/>
              <w:snapToGrid/>
              <w:spacing w:after="0" w:line="476" w:lineRule="exact"/>
              <w:ind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筒仓粉尘：</w:t>
            </w:r>
          </w:p>
          <w:p w14:paraId="53868A8F">
            <w:pPr>
              <w:pStyle w:val="20"/>
              <w:keepNext w:val="0"/>
              <w:keepLines w:val="0"/>
              <w:pageBreakBefore w:val="0"/>
              <w:widowControl w:val="0"/>
              <w:kinsoku/>
              <w:wordWrap/>
              <w:overflowPunct/>
              <w:topLinePunct w:val="0"/>
              <w:bidi w:val="0"/>
              <w:adjustRightInd/>
              <w:snapToGrid/>
              <w:spacing w:after="0" w:line="476" w:lineRule="exact"/>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参考</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lang w:eastAsia="zh-CN"/>
              </w:rPr>
              <w:t>逸散性工业粉尘控制技术</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lang w:val="en-US" w:eastAsia="zh-CN"/>
              </w:rPr>
              <w:t>以及《排放源统计调查产排污核算方法和系数手册》3021水泥制品制造行业系数</w:t>
            </w:r>
            <w:r>
              <w:rPr>
                <w:rFonts w:hint="eastAsia" w:ascii="Times New Roman" w:hAnsi="Times New Roman" w:eastAsia="宋体" w:cs="Times New Roman"/>
                <w:color w:val="auto"/>
                <w:kern w:val="2"/>
                <w:sz w:val="24"/>
                <w:szCs w:val="24"/>
                <w:highlight w:val="none"/>
                <w:lang w:val="en-US" w:eastAsia="zh-CN"/>
              </w:rPr>
              <w:t>要求</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应使用封闭+纤维过滤袋/布袋除尘器，</w:t>
            </w:r>
            <w:r>
              <w:rPr>
                <w:rFonts w:hint="default" w:ascii="Times New Roman" w:hAnsi="Times New Roman" w:eastAsia="宋体" w:cs="Times New Roman"/>
                <w:color w:val="auto"/>
                <w:sz w:val="24"/>
                <w:szCs w:val="24"/>
              </w:rPr>
              <w:t>该项目使用</w:t>
            </w:r>
            <w:r>
              <w:rPr>
                <w:rFonts w:hint="default" w:ascii="Times New Roman" w:hAnsi="Times New Roman" w:eastAsia="宋体" w:cs="Times New Roman"/>
                <w:color w:val="auto"/>
                <w:sz w:val="24"/>
                <w:szCs w:val="24"/>
                <w:lang w:val="en-US" w:eastAsia="zh-CN"/>
              </w:rPr>
              <w:t>全封闭负压收集+布袋除尘器</w:t>
            </w:r>
            <w:r>
              <w:rPr>
                <w:rFonts w:hint="default" w:ascii="Times New Roman" w:hAnsi="Times New Roman" w:eastAsia="宋体" w:cs="Times New Roman"/>
                <w:color w:val="auto"/>
                <w:sz w:val="24"/>
                <w:szCs w:val="24"/>
              </w:rPr>
              <w:t>作为环保设施，</w:t>
            </w:r>
            <w:r>
              <w:rPr>
                <w:rFonts w:hint="eastAsia" w:ascii="Times New Roman" w:hAnsi="Times New Roman" w:eastAsia="宋体" w:cs="Times New Roman"/>
                <w:color w:val="auto"/>
                <w:sz w:val="24"/>
                <w:szCs w:val="24"/>
                <w:lang w:val="en-US" w:eastAsia="zh-CN"/>
              </w:rPr>
              <w:t>满足要求，</w:t>
            </w:r>
            <w:r>
              <w:rPr>
                <w:rFonts w:hint="default" w:ascii="Times New Roman" w:hAnsi="Times New Roman" w:eastAsia="宋体" w:cs="Times New Roman"/>
                <w:color w:val="auto"/>
                <w:sz w:val="24"/>
                <w:szCs w:val="24"/>
              </w:rPr>
              <w:t>能够有效降低</w:t>
            </w:r>
            <w:r>
              <w:rPr>
                <w:rFonts w:hint="default" w:ascii="Times New Roman" w:hAnsi="Times New Roman" w:eastAsia="宋体" w:cs="Times New Roman"/>
                <w:color w:val="auto"/>
                <w:sz w:val="24"/>
                <w:szCs w:val="24"/>
                <w:lang w:val="en-US" w:eastAsia="zh-CN"/>
              </w:rPr>
              <w:t>生产过程中产生的粉尘</w:t>
            </w:r>
            <w:r>
              <w:rPr>
                <w:rFonts w:hint="default" w:ascii="Times New Roman" w:hAnsi="Times New Roman" w:eastAsia="宋体" w:cs="Times New Roman"/>
                <w:color w:val="auto"/>
                <w:sz w:val="24"/>
                <w:szCs w:val="24"/>
              </w:rPr>
              <w:t>。</w:t>
            </w:r>
          </w:p>
          <w:p w14:paraId="2C1723AB">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参考</w:t>
            </w:r>
            <w:r>
              <w:rPr>
                <w:rFonts w:hint="default" w:ascii="Times New Roman" w:hAnsi="Times New Roman" w:eastAsia="宋体" w:cs="Times New Roman"/>
                <w:color w:val="auto"/>
                <w:kern w:val="2"/>
                <w:sz w:val="24"/>
                <w:szCs w:val="24"/>
                <w:highlight w:val="none"/>
                <w:lang w:val="en-US" w:eastAsia="zh-CN"/>
              </w:rPr>
              <w:t>《排放源统计调查产排污核算方法和系数手册》3021水泥制品制造行业系数</w:t>
            </w:r>
            <w:r>
              <w:rPr>
                <w:rFonts w:hint="default" w:ascii="Times New Roman" w:hAnsi="Times New Roman" w:eastAsia="宋体" w:cs="Times New Roman"/>
                <w:color w:val="auto"/>
                <w:sz w:val="24"/>
                <w:szCs w:val="24"/>
                <w:highlight w:val="none"/>
                <w:lang w:val="en-US" w:eastAsia="zh-CN"/>
              </w:rPr>
              <w:t>，布袋除尘器处理效率99%</w:t>
            </w:r>
            <w:r>
              <w:rPr>
                <w:rFonts w:hint="default" w:ascii="Times New Roman" w:hAnsi="Times New Roman" w:eastAsia="宋体" w:cs="Times New Roman"/>
                <w:snapToGrid w:val="0"/>
                <w:color w:val="auto"/>
                <w:kern w:val="0"/>
                <w:sz w:val="24"/>
                <w:szCs w:val="24"/>
              </w:rPr>
              <w:t>（处理风量在</w:t>
            </w:r>
            <w:r>
              <w:rPr>
                <w:rFonts w:hint="default" w:ascii="Times New Roman" w:hAnsi="Times New Roman" w:eastAsia="宋体" w:cs="Times New Roman"/>
                <w:snapToGrid w:val="0"/>
                <w:color w:val="auto"/>
                <w:kern w:val="0"/>
                <w:sz w:val="24"/>
                <w:szCs w:val="24"/>
                <w:lang w:val="en-US" w:eastAsia="zh-CN"/>
              </w:rPr>
              <w:t>1000</w:t>
            </w:r>
            <w:r>
              <w:rPr>
                <w:rFonts w:hint="eastAsia" w:eastAsia="宋体" w:cs="Times New Roman"/>
                <w:snapToGrid w:val="0"/>
                <w:color w:val="auto"/>
                <w:kern w:val="0"/>
                <w:sz w:val="24"/>
                <w:szCs w:val="24"/>
                <w:lang w:val="en-US" w:eastAsia="zh-CN"/>
              </w:rPr>
              <w:t>~7000</w:t>
            </w:r>
            <w:r>
              <w:rPr>
                <w:rFonts w:hint="default" w:ascii="Times New Roman" w:hAnsi="Times New Roman" w:eastAsia="宋体" w:cs="Times New Roman"/>
                <w:snapToGrid w:val="0"/>
                <w:color w:val="auto"/>
                <w:kern w:val="0"/>
                <w:sz w:val="24"/>
                <w:szCs w:val="24"/>
                <w:lang w:val="en-US" w:eastAsia="zh-CN"/>
              </w:rPr>
              <w:t>m</w:t>
            </w:r>
            <w:r>
              <w:rPr>
                <w:rFonts w:hint="default" w:ascii="Times New Roman" w:hAnsi="Times New Roman" w:eastAsia="宋体" w:cs="Times New Roman"/>
                <w:snapToGrid w:val="0"/>
                <w:color w:val="auto"/>
                <w:kern w:val="0"/>
                <w:sz w:val="24"/>
                <w:szCs w:val="24"/>
                <w:vertAlign w:val="superscript"/>
                <w:lang w:val="en-US" w:eastAsia="zh-CN"/>
              </w:rPr>
              <w:t>3</w:t>
            </w:r>
            <w:r>
              <w:rPr>
                <w:rFonts w:hint="default" w:ascii="Times New Roman" w:hAnsi="Times New Roman" w:eastAsia="宋体" w:cs="Times New Roman"/>
                <w:snapToGrid w:val="0"/>
                <w:color w:val="auto"/>
                <w:kern w:val="0"/>
                <w:sz w:val="24"/>
                <w:szCs w:val="24"/>
                <w:lang w:val="en-US" w:eastAsia="zh-CN"/>
              </w:rPr>
              <w:t>/h</w:t>
            </w:r>
            <w:r>
              <w:rPr>
                <w:rFonts w:hint="default" w:ascii="Times New Roman" w:hAnsi="Times New Roman" w:eastAsia="宋体" w:cs="Times New Roman"/>
                <w:snapToGrid w:val="0"/>
                <w:color w:val="auto"/>
                <w:kern w:val="0"/>
                <w:sz w:val="24"/>
                <w:szCs w:val="24"/>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因本次环评使用</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lang w:eastAsia="zh-CN"/>
              </w:rPr>
              <w:t>逸散性工业粉尘控制技术</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sz w:val="24"/>
                <w:szCs w:val="24"/>
                <w:lang w:val="en-US" w:eastAsia="zh-CN"/>
              </w:rPr>
              <w:t>中对筒仓产污情况是由原料总量决定，无法进行分仓预测。故本次环评针对筒仓</w:t>
            </w:r>
            <w:r>
              <w:rPr>
                <w:rFonts w:hint="eastAsia" w:cs="Times New Roman"/>
                <w:color w:val="auto"/>
                <w:sz w:val="24"/>
                <w:szCs w:val="24"/>
                <w:lang w:val="en-US" w:eastAsia="zh-CN"/>
              </w:rPr>
              <w:t>仓顶除尘器</w:t>
            </w:r>
            <w:r>
              <w:rPr>
                <w:rFonts w:hint="default" w:ascii="Times New Roman" w:hAnsi="Times New Roman" w:eastAsia="宋体" w:cs="Times New Roman"/>
                <w:color w:val="auto"/>
                <w:sz w:val="24"/>
                <w:szCs w:val="24"/>
                <w:lang w:val="en-US" w:eastAsia="zh-CN"/>
              </w:rPr>
              <w:t>排口进行综合浓度排放情况分析。</w:t>
            </w:r>
          </w:p>
          <w:p w14:paraId="110316BE">
            <w:pPr>
              <w:keepNext w:val="0"/>
              <w:keepLines w:val="0"/>
              <w:pageBreakBefore w:val="0"/>
              <w:kinsoku/>
              <w:wordWrap/>
              <w:overflowPunct w:val="0"/>
              <w:topLinePunct w:val="0"/>
              <w:autoSpaceDE w:val="0"/>
              <w:autoSpaceDN w:val="0"/>
              <w:bidi w:val="0"/>
              <w:adjustRightInd w:val="0"/>
              <w:snapToGrid w:val="0"/>
              <w:spacing w:line="476" w:lineRule="exact"/>
              <w:ind w:right="0" w:firstLine="480" w:firstLineChars="200"/>
              <w:jc w:val="both"/>
              <w:textAlignment w:val="auto"/>
              <w:rPr>
                <w:rFonts w:hint="default" w:ascii="Times New Roman" w:hAnsi="Times New Roman" w:eastAsia="宋体" w:cs="Times New Roman"/>
                <w:color w:val="auto"/>
                <w:kern w:val="2"/>
                <w:szCs w:val="24"/>
                <w:highlight w:val="none"/>
                <w:lang w:val="en-US" w:eastAsia="zh-CN"/>
              </w:rPr>
            </w:pPr>
            <w:r>
              <w:rPr>
                <w:rFonts w:hint="default" w:ascii="Times New Roman" w:hAnsi="Times New Roman" w:eastAsia="宋体" w:cs="Times New Roman"/>
                <w:color w:val="auto"/>
                <w:kern w:val="2"/>
                <w:szCs w:val="24"/>
                <w:highlight w:val="none"/>
                <w:lang w:val="en-US" w:eastAsia="zh-CN"/>
              </w:rPr>
              <w:t>筒仓废气</w:t>
            </w:r>
            <w:r>
              <w:rPr>
                <w:rFonts w:hint="eastAsia" w:cs="Times New Roman"/>
                <w:color w:val="auto"/>
                <w:kern w:val="2"/>
                <w:szCs w:val="24"/>
                <w:highlight w:val="none"/>
                <w:lang w:val="en-US" w:eastAsia="zh-CN"/>
              </w:rPr>
              <w:t>及辅料投料粉尘</w:t>
            </w:r>
            <w:r>
              <w:rPr>
                <w:rFonts w:hint="default" w:ascii="Times New Roman" w:hAnsi="Times New Roman" w:eastAsia="宋体" w:cs="Times New Roman"/>
                <w:color w:val="auto"/>
                <w:kern w:val="2"/>
                <w:szCs w:val="24"/>
                <w:highlight w:val="none"/>
                <w:lang w:val="en-US" w:eastAsia="zh-CN"/>
              </w:rPr>
              <w:t>经布袋除尘器处理后，从</w:t>
            </w:r>
            <w:r>
              <w:rPr>
                <w:rFonts w:hint="eastAsia" w:cs="Times New Roman"/>
                <w:color w:val="auto"/>
                <w:kern w:val="2"/>
                <w:szCs w:val="24"/>
                <w:highlight w:val="none"/>
                <w:lang w:val="en-US" w:eastAsia="zh-CN"/>
              </w:rPr>
              <w:t>除尘器</w:t>
            </w:r>
            <w:r>
              <w:rPr>
                <w:rFonts w:hint="default" w:ascii="Times New Roman" w:hAnsi="Times New Roman" w:eastAsia="宋体" w:cs="Times New Roman"/>
                <w:color w:val="auto"/>
                <w:kern w:val="2"/>
                <w:szCs w:val="24"/>
                <w:highlight w:val="none"/>
                <w:lang w:val="en-US" w:eastAsia="zh-CN"/>
              </w:rPr>
              <w:t>顶端排放，根据废气排放口情况，排气口呈0.5m×0.5m方形排口，无法满足《固定源废气检测技术规范》（HJ/T397-2007）“采样位置应优先选择在垂直管段，应避开烟道弯头和断面急剧变化的部位。采样位置应设置在距弯头、阀门、变径管下游方向不小于6倍直径，和距上述部件上游方向不小于3倍直径处。”相关要求，因此，筒仓废气以无组织废气进行管控和监测，执行《水泥工业大气污染物排放标准》（GB4915—2013）限值要求。</w:t>
            </w:r>
          </w:p>
          <w:p w14:paraId="6816745A">
            <w:pPr>
              <w:keepNext w:val="0"/>
              <w:keepLines w:val="0"/>
              <w:pageBreakBefore w:val="0"/>
              <w:widowControl w:val="0"/>
              <w:kinsoku/>
              <w:wordWrap/>
              <w:overflowPunct/>
              <w:topLinePunct w:val="0"/>
              <w:bidi w:val="0"/>
              <w:snapToGrid/>
              <w:spacing w:line="476" w:lineRule="exact"/>
              <w:ind w:right="0" w:firstLine="480" w:firstLineChars="200"/>
              <w:jc w:val="both"/>
              <w:textAlignment w:val="auto"/>
              <w:rPr>
                <w:rFonts w:hint="default" w:ascii="Times New Roman" w:hAnsi="Times New Roman" w:eastAsia="宋体" w:cs="Times New Roman"/>
                <w:color w:val="auto"/>
                <w:sz w:val="24"/>
                <w:highlight w:val="green"/>
                <w:lang w:val="en-US" w:eastAsia="zh-CN"/>
              </w:rPr>
            </w:pPr>
            <w:r>
              <w:rPr>
                <w:rFonts w:hint="default" w:ascii="Times New Roman" w:hAnsi="Times New Roman" w:cs="Times New Roman"/>
                <w:color w:val="auto"/>
                <w:sz w:val="24"/>
                <w:highlight w:val="none"/>
                <w:lang w:val="en-US" w:eastAsia="zh-CN"/>
              </w:rPr>
              <w:t>根据预测结果显示</w:t>
            </w:r>
            <w:r>
              <w:rPr>
                <w:rFonts w:hint="eastAsia" w:cs="Times New Roman"/>
                <w:color w:val="auto"/>
                <w:sz w:val="24"/>
                <w:highlight w:val="none"/>
                <w:lang w:val="en-US" w:eastAsia="zh-CN"/>
              </w:rPr>
              <w:t>厂界</w:t>
            </w:r>
            <w:r>
              <w:rPr>
                <w:rFonts w:hint="default" w:ascii="Times New Roman" w:hAnsi="Times New Roman" w:cs="Times New Roman"/>
                <w:color w:val="auto"/>
                <w:sz w:val="24"/>
                <w:highlight w:val="none"/>
                <w:lang w:val="en-US" w:eastAsia="zh-CN"/>
              </w:rPr>
              <w:t>无组织</w:t>
            </w:r>
            <w:r>
              <w:rPr>
                <w:rFonts w:hint="eastAsia" w:ascii="Times New Roman" w:hAnsi="Times New Roman" w:cs="Times New Roman"/>
                <w:color w:val="auto"/>
                <w:sz w:val="24"/>
                <w:highlight w:val="none"/>
                <w:lang w:val="en-US" w:eastAsia="zh-CN"/>
              </w:rPr>
              <w:t>颗粒物最大落地</w:t>
            </w:r>
            <w:r>
              <w:rPr>
                <w:rFonts w:hint="default" w:ascii="Times New Roman" w:hAnsi="Times New Roman" w:cs="Times New Roman"/>
                <w:color w:val="auto"/>
                <w:sz w:val="24"/>
                <w:highlight w:val="none"/>
                <w:lang w:val="en-US" w:eastAsia="zh-CN"/>
              </w:rPr>
              <w:t>浓度为</w:t>
            </w:r>
            <w:r>
              <w:rPr>
                <w:rFonts w:hint="eastAsia" w:cs="Times New Roman"/>
                <w:color w:val="auto"/>
                <w:sz w:val="24"/>
                <w:szCs w:val="32"/>
                <w:highlight w:val="none"/>
                <w:lang w:val="en-US" w:eastAsia="zh-CN"/>
              </w:rPr>
              <w:t>116.11</w:t>
            </w:r>
            <w:r>
              <w:rPr>
                <w:rFonts w:hint="default" w:ascii="Times New Roman" w:hAnsi="Times New Roman" w:cs="Times New Roman"/>
                <w:color w:val="auto"/>
                <w:sz w:val="24"/>
                <w:szCs w:val="32"/>
                <w:highlight w:val="none"/>
                <w:lang w:val="en-US" w:eastAsia="zh-CN"/>
              </w:rPr>
              <w:t>μg</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w:t>
            </w:r>
            <w:r>
              <w:rPr>
                <w:rFonts w:hint="default" w:ascii="Times New Roman" w:hAnsi="Times New Roman" w:cs="Times New Roman"/>
                <w:color w:val="auto"/>
                <w:sz w:val="24"/>
                <w:highlight w:val="none"/>
              </w:rPr>
              <w:t>故</w:t>
            </w:r>
            <w:r>
              <w:rPr>
                <w:rFonts w:hint="eastAsia" w:cs="Times New Roman"/>
                <w:color w:val="auto"/>
                <w:sz w:val="24"/>
                <w:highlight w:val="none"/>
                <w:lang w:val="en-US" w:eastAsia="zh-CN"/>
              </w:rPr>
              <w:t>车间</w:t>
            </w:r>
            <w:r>
              <w:rPr>
                <w:rFonts w:hint="default" w:ascii="Times New Roman" w:hAnsi="Times New Roman" w:cs="Times New Roman"/>
                <w:color w:val="auto"/>
                <w:sz w:val="24"/>
                <w:highlight w:val="none"/>
              </w:rPr>
              <w:t>粉尘</w:t>
            </w:r>
            <w:r>
              <w:rPr>
                <w:rFonts w:hint="eastAsia" w:cs="Times New Roman"/>
                <w:color w:val="auto"/>
                <w:sz w:val="24"/>
                <w:highlight w:val="none"/>
                <w:lang w:val="en-US" w:eastAsia="zh-CN"/>
              </w:rPr>
              <w:t>无组织排放满足</w:t>
            </w:r>
            <w:r>
              <w:rPr>
                <w:rFonts w:hint="eastAsia" w:ascii="Times New Roman" w:hAnsi="Times New Roman" w:eastAsia="宋体" w:cs="Times New Roman"/>
                <w:color w:val="auto"/>
                <w:kern w:val="2"/>
                <w:szCs w:val="24"/>
                <w:highlight w:val="none"/>
                <w:lang w:val="en-US" w:eastAsia="zh-CN"/>
              </w:rPr>
              <w:t>《水泥工业大气污染物排放标准》（GB4915—2013）</w:t>
            </w:r>
            <w:r>
              <w:rPr>
                <w:rFonts w:hint="default" w:ascii="Times New Roman" w:hAnsi="Times New Roman" w:cs="Times New Roman"/>
                <w:color w:val="auto"/>
                <w:sz w:val="24"/>
                <w:highlight w:val="none"/>
              </w:rPr>
              <w:t>中</w:t>
            </w:r>
            <w:r>
              <w:rPr>
                <w:rFonts w:hint="eastAsia" w:cs="Times New Roman"/>
                <w:color w:val="auto"/>
                <w:sz w:val="24"/>
                <w:highlight w:val="none"/>
                <w:lang w:val="en-US" w:eastAsia="zh-CN"/>
              </w:rPr>
              <w:t>表3大气污染物无组织排放限值</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0.5</w:t>
            </w:r>
            <w:r>
              <w:rPr>
                <w:rFonts w:hint="default" w:ascii="Times New Roman" w:hAnsi="Times New Roman" w:cs="Times New Roman"/>
                <w:color w:val="auto"/>
                <w:sz w:val="24"/>
                <w:highlight w:val="none"/>
                <w:lang w:val="en-US" w:eastAsia="zh-CN"/>
              </w:rPr>
              <w:t>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p>
          <w:p w14:paraId="33ADA806">
            <w:pPr>
              <w:keepNext w:val="0"/>
              <w:keepLines w:val="0"/>
              <w:pageBreakBefore w:val="0"/>
              <w:widowControl w:val="0"/>
              <w:kinsoku/>
              <w:wordWrap/>
              <w:overflowPunct/>
              <w:topLinePunct w:val="0"/>
              <w:autoSpaceDE/>
              <w:autoSpaceDN/>
              <w:bidi w:val="0"/>
              <w:adjustRightInd/>
              <w:snapToGrid/>
              <w:spacing w:line="476" w:lineRule="exact"/>
              <w:ind w:right="0" w:firstLine="482" w:firstLineChars="200"/>
              <w:jc w:val="both"/>
              <w:textAlignment w:val="auto"/>
              <w:rPr>
                <w:rFonts w:hint="default"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1.2车辆扬尘</w:t>
            </w:r>
          </w:p>
          <w:p w14:paraId="7C1F79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rPr>
            </w:pPr>
            <w:r>
              <w:rPr>
                <w:rFonts w:hint="eastAsia"/>
                <w:color w:val="auto"/>
              </w:rPr>
              <w:t>项目原辅材料及成品运输过程会产生道路扬尘及汽车尾气，运营过程对运输车辆进行清洗会极大程度抑制道路扬尘产生，但仍会有少量粉尘无组织排放。</w:t>
            </w:r>
          </w:p>
          <w:p w14:paraId="45AC767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rPr>
            </w:pPr>
            <w:r>
              <w:rPr>
                <w:color w:val="auto"/>
              </w:rPr>
              <w:t>本项目使用的原辅材料水泥、</w:t>
            </w:r>
            <w:r>
              <w:rPr>
                <w:rFonts w:hint="eastAsia"/>
                <w:color w:val="auto"/>
                <w:lang w:val="en-US" w:eastAsia="zh-CN"/>
              </w:rPr>
              <w:t>风积沙</w:t>
            </w:r>
            <w:r>
              <w:rPr>
                <w:color w:val="auto"/>
              </w:rPr>
              <w:t>等都需要外购，原辅材料及成品的运输车辆所走道路均硬化，车辆在运输过程中会产生扬尘，该过程产生的扬尘量不大。</w:t>
            </w:r>
          </w:p>
          <w:p w14:paraId="2ECE29D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rPr>
            </w:pPr>
            <w:r>
              <w:rPr>
                <w:color w:val="auto"/>
              </w:rPr>
              <w:t>起尘采用下述经验公式讲行计算：</w:t>
            </w:r>
          </w:p>
          <w:p w14:paraId="4D8E2D65">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contextualSpacing/>
              <w:textAlignment w:val="auto"/>
              <w:rPr>
                <w:color w:val="auto"/>
                <w:sz w:val="24"/>
              </w:rPr>
            </w:pPr>
            <w:r>
              <w:rPr>
                <w:color w:val="auto"/>
              </w:rPr>
              <w:drawing>
                <wp:anchor distT="0" distB="0" distL="114300" distR="114300" simplePos="0" relativeHeight="251668480" behindDoc="0" locked="0" layoutInCell="1" allowOverlap="1">
                  <wp:simplePos x="0" y="0"/>
                  <wp:positionH relativeFrom="column">
                    <wp:posOffset>463550</wp:posOffset>
                  </wp:positionH>
                  <wp:positionV relativeFrom="paragraph">
                    <wp:posOffset>97155</wp:posOffset>
                  </wp:positionV>
                  <wp:extent cx="3401695" cy="592455"/>
                  <wp:effectExtent l="0" t="0" r="8255" b="7620"/>
                  <wp:wrapTopAndBottom/>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8"/>
                          <a:srcRect l="-9122" b="17653"/>
                          <a:stretch>
                            <a:fillRect/>
                          </a:stretch>
                        </pic:blipFill>
                        <pic:spPr>
                          <a:xfrm>
                            <a:off x="0" y="0"/>
                            <a:ext cx="3401695" cy="592455"/>
                          </a:xfrm>
                          <a:prstGeom prst="rect">
                            <a:avLst/>
                          </a:prstGeom>
                          <a:noFill/>
                          <a:ln>
                            <a:noFill/>
                          </a:ln>
                        </pic:spPr>
                      </pic:pic>
                    </a:graphicData>
                  </a:graphic>
                </wp:anchor>
              </w:drawing>
            </w:r>
          </w:p>
          <w:p w14:paraId="247E70AD">
            <w:pPr>
              <w:keepNext w:val="0"/>
              <w:keepLines w:val="0"/>
              <w:pageBreakBefore w:val="0"/>
              <w:widowControl w:val="0"/>
              <w:kinsoku/>
              <w:wordWrap/>
              <w:overflowPunct/>
              <w:topLinePunct w:val="0"/>
              <w:autoSpaceDE w:val="0"/>
              <w:autoSpaceDN w:val="0"/>
              <w:bidi w:val="0"/>
              <w:adjustRightInd w:val="0"/>
              <w:snapToGrid w:val="0"/>
              <w:spacing w:before="95" w:beforeLines="30" w:line="240" w:lineRule="auto"/>
              <w:ind w:firstLine="960" w:firstLineChars="300"/>
              <w:contextualSpacing/>
              <w:jc w:val="left"/>
              <w:textAlignment w:val="auto"/>
              <w:rPr>
                <w:color w:val="auto"/>
                <w:sz w:val="32"/>
                <w:szCs w:val="32"/>
              </w:rPr>
            </w:pPr>
            <w:r>
              <w:rPr>
                <w:color w:val="auto"/>
                <w:sz w:val="32"/>
                <w:szCs w:val="32"/>
              </w:rPr>
              <w:t>Q´p=Qp·L·Q/M</w:t>
            </w:r>
          </w:p>
          <w:p w14:paraId="36DB3DD7">
            <w:pPr>
              <w:bidi w:val="0"/>
              <w:rPr>
                <w:rFonts w:hint="eastAsia"/>
                <w:color w:val="auto"/>
                <w:lang w:val="en-US" w:eastAsia="zh-CN"/>
              </w:rPr>
            </w:pPr>
            <w:r>
              <w:rPr>
                <w:rFonts w:hint="eastAsia"/>
                <w:color w:val="auto"/>
                <w:lang w:val="en-US" w:eastAsia="zh-CN"/>
              </w:rPr>
              <w:t xml:space="preserve">     </w:t>
            </w:r>
            <w:r>
              <w:rPr>
                <w:rFonts w:ascii="Times New Roman" w:hAnsi="Times New Roman"/>
                <w:color w:val="auto"/>
                <w:sz w:val="24"/>
              </w:rPr>
              <w:t>式中：</w:t>
            </w:r>
            <w:r>
              <w:rPr>
                <w:rFonts w:hint="eastAsia"/>
                <w:color w:val="auto"/>
                <w:lang w:val="en-US" w:eastAsia="zh-CN"/>
              </w:rPr>
              <w:t xml:space="preserve"> </w:t>
            </w:r>
          </w:p>
          <w:p w14:paraId="3496A9E2">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color w:val="auto"/>
              </w:rPr>
            </w:pPr>
            <w:r>
              <w:rPr>
                <w:color w:val="auto"/>
              </w:rPr>
              <w:t xml:space="preserve">Qp——道路扬尘量，（kg/km·辆）；  </w:t>
            </w:r>
          </w:p>
          <w:p w14:paraId="1ED82C70">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color w:val="auto"/>
              </w:rPr>
            </w:pPr>
            <w:r>
              <w:rPr>
                <w:color w:val="auto"/>
              </w:rPr>
              <w:t>Q´p——总扬尘量，（kg/a）；</w:t>
            </w:r>
          </w:p>
          <w:p w14:paraId="6487313B">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color w:val="auto"/>
              </w:rPr>
            </w:pPr>
            <w:r>
              <w:rPr>
                <w:color w:val="auto"/>
              </w:rPr>
              <w:t>V——车辆速度，（</w:t>
            </w:r>
            <w:r>
              <w:rPr>
                <w:rFonts w:hint="eastAsia"/>
                <w:color w:val="auto"/>
                <w:lang w:val="en-US" w:eastAsia="zh-CN"/>
              </w:rPr>
              <w:t>15</w:t>
            </w:r>
            <w:r>
              <w:rPr>
                <w:color w:val="auto"/>
              </w:rPr>
              <w:t>km/h）；</w:t>
            </w:r>
          </w:p>
          <w:p w14:paraId="089C4845">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color w:val="auto"/>
              </w:rPr>
            </w:pPr>
            <w:r>
              <w:rPr>
                <w:color w:val="auto"/>
              </w:rPr>
              <w:t>M——车辆载重，（</w:t>
            </w:r>
            <w:r>
              <w:rPr>
                <w:rFonts w:hint="eastAsia"/>
                <w:color w:val="auto"/>
                <w:lang w:val="en-US" w:eastAsia="zh-CN"/>
              </w:rPr>
              <w:t>3</w:t>
            </w:r>
            <w:r>
              <w:rPr>
                <w:color w:val="auto"/>
              </w:rPr>
              <w:t>0t/辆）；</w:t>
            </w:r>
          </w:p>
          <w:p w14:paraId="37BA03E5">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ascii="Times New Roman" w:hAnsi="Times New Roman" w:eastAsia="宋体" w:cs="Times New Roman"/>
                <w:color w:val="auto"/>
              </w:rPr>
            </w:pPr>
            <w:r>
              <w:rPr>
                <w:rFonts w:ascii="Times New Roman" w:hAnsi="Times New Roman" w:eastAsia="宋体" w:cs="Times New Roman"/>
                <w:color w:val="auto"/>
              </w:rPr>
              <w:t>P——路面覆盖率，（0.</w:t>
            </w:r>
            <w:r>
              <w:rPr>
                <w:rFonts w:hint="eastAsia" w:eastAsia="宋体" w:cs="Times New Roman"/>
                <w:color w:val="auto"/>
                <w:lang w:val="en-US" w:eastAsia="zh-CN"/>
              </w:rPr>
              <w:t>1</w:t>
            </w:r>
            <w:r>
              <w:rPr>
                <w:rFonts w:ascii="Times New Roman" w:hAnsi="Times New Roman" w:eastAsia="宋体" w:cs="Times New Roman"/>
                <w:color w:val="auto"/>
              </w:rPr>
              <w:t>kg/</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lang w:val="en-US" w:eastAsia="zh-CN"/>
              </w:rPr>
              <w:t>2</w:t>
            </w:r>
            <w:r>
              <w:rPr>
                <w:rFonts w:ascii="Times New Roman" w:hAnsi="Times New Roman" w:eastAsia="宋体" w:cs="Times New Roman"/>
                <w:color w:val="auto"/>
              </w:rPr>
              <w:t>）；</w:t>
            </w:r>
          </w:p>
          <w:p w14:paraId="6DAF9992">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ascii="Times New Roman" w:hAnsi="Times New Roman" w:eastAsia="宋体" w:cs="Times New Roman"/>
                <w:color w:val="auto"/>
              </w:rPr>
            </w:pPr>
            <w:r>
              <w:rPr>
                <w:rFonts w:ascii="Times New Roman" w:hAnsi="Times New Roman" w:eastAsia="宋体" w:cs="Times New Roman"/>
                <w:color w:val="auto"/>
              </w:rPr>
              <w:t>L——运距，（</w:t>
            </w:r>
            <w:r>
              <w:rPr>
                <w:rFonts w:hint="eastAsia" w:ascii="Times New Roman" w:hAnsi="Times New Roman" w:eastAsia="宋体" w:cs="Times New Roman"/>
                <w:color w:val="auto"/>
                <w:lang w:val="en-US" w:eastAsia="zh-CN"/>
              </w:rPr>
              <w:t>0.1k</w:t>
            </w:r>
            <w:r>
              <w:rPr>
                <w:rFonts w:ascii="Times New Roman" w:hAnsi="Times New Roman" w:eastAsia="宋体" w:cs="Times New Roman"/>
                <w:color w:val="auto"/>
              </w:rPr>
              <w:t>m）；</w:t>
            </w:r>
          </w:p>
          <w:p w14:paraId="2AA63628">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lang w:val="en-US" w:eastAsia="zh-CN"/>
              </w:rPr>
            </w:pPr>
            <w:r>
              <w:rPr>
                <w:rFonts w:ascii="Times New Roman" w:hAnsi="Times New Roman" w:eastAsia="宋体" w:cs="Times New Roman"/>
                <w:color w:val="auto"/>
              </w:rPr>
              <w:t>Q——运输量</w:t>
            </w:r>
            <w:r>
              <w:rPr>
                <w:rFonts w:hint="eastAsia" w:ascii="Times New Roman" w:hAnsi="Times New Roman" w:eastAsia="宋体" w:cs="Times New Roman"/>
                <w:color w:val="auto"/>
              </w:rPr>
              <w:t>（</w:t>
            </w:r>
            <w:r>
              <w:rPr>
                <w:rFonts w:hint="eastAsia" w:eastAsia="宋体" w:cs="Times New Roman"/>
                <w:color w:val="auto"/>
                <w:lang w:val="en-US" w:eastAsia="zh-CN"/>
              </w:rPr>
              <w:t>30</w:t>
            </w:r>
            <w:r>
              <w:rPr>
                <w:rFonts w:hint="eastAsia" w:ascii="Times New Roman" w:hAnsi="Times New Roman" w:eastAsia="宋体" w:cs="Times New Roman"/>
                <w:color w:val="auto"/>
              </w:rPr>
              <w:t>万t）</w:t>
            </w:r>
            <w:r>
              <w:rPr>
                <w:rFonts w:ascii="Times New Roman" w:hAnsi="Times New Roman" w:eastAsia="宋体" w:cs="Times New Roman"/>
                <w:color w:val="auto"/>
              </w:rPr>
              <w:t>。</w:t>
            </w:r>
          </w:p>
          <w:p w14:paraId="7E8C15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lang w:val="en-US" w:eastAsia="zh-CN"/>
              </w:rPr>
            </w:pPr>
            <w:r>
              <w:rPr>
                <w:color w:val="auto"/>
              </w:rPr>
              <w:t>本项目的车流量：</w:t>
            </w:r>
            <w:r>
              <w:rPr>
                <w:rFonts w:hint="eastAsia"/>
                <w:color w:val="auto"/>
                <w:lang w:val="en-US" w:eastAsia="zh-CN"/>
              </w:rPr>
              <w:t>原料运输总量为15万t，</w:t>
            </w:r>
            <w:r>
              <w:rPr>
                <w:color w:val="auto"/>
              </w:rPr>
              <w:t>成品运输量为</w:t>
            </w:r>
            <w:r>
              <w:rPr>
                <w:rFonts w:hint="eastAsia"/>
                <w:color w:val="auto"/>
                <w:lang w:val="en-US" w:eastAsia="zh-CN"/>
              </w:rPr>
              <w:t>15</w:t>
            </w:r>
            <w:r>
              <w:rPr>
                <w:color w:val="auto"/>
              </w:rPr>
              <w:t>万</w:t>
            </w:r>
            <w:r>
              <w:rPr>
                <w:rFonts w:hint="eastAsia"/>
                <w:color w:val="auto"/>
                <w:lang w:val="en-US" w:eastAsia="zh-CN"/>
              </w:rPr>
              <w:t>t</w:t>
            </w:r>
            <w:r>
              <w:rPr>
                <w:color w:val="auto"/>
              </w:rPr>
              <w:t>，</w:t>
            </w:r>
            <w:r>
              <w:rPr>
                <w:rFonts w:hint="eastAsia"/>
                <w:color w:val="auto"/>
              </w:rPr>
              <w:t>经计算，运输起尘量为</w:t>
            </w:r>
            <w:r>
              <w:rPr>
                <w:rFonts w:hint="eastAsia"/>
                <w:color w:val="auto"/>
                <w:lang w:val="en-US" w:eastAsia="zh-CN"/>
              </w:rPr>
              <w:t>0.041</w:t>
            </w:r>
            <w:r>
              <w:rPr>
                <w:rFonts w:hint="eastAsia"/>
                <w:color w:val="auto"/>
              </w:rPr>
              <w:t>t/a，通过密闭运输物料及采取</w:t>
            </w:r>
            <w:r>
              <w:rPr>
                <w:rFonts w:hint="eastAsia"/>
                <w:color w:val="auto"/>
                <w:lang w:val="en-US" w:eastAsia="zh-CN"/>
              </w:rPr>
              <w:t>清扫道路</w:t>
            </w:r>
            <w:r>
              <w:rPr>
                <w:rFonts w:hint="eastAsia"/>
                <w:color w:val="auto"/>
              </w:rPr>
              <w:t>措施，可使运输起尘量减少66%左右（控制效率来源于《扬尘源颗粒物排放清单编制技术指南（试行）》中表8），则运输扬尘排放量为</w:t>
            </w:r>
            <w:r>
              <w:rPr>
                <w:rFonts w:hint="eastAsia"/>
                <w:color w:val="auto"/>
                <w:lang w:val="en-US" w:eastAsia="zh-CN"/>
              </w:rPr>
              <w:t>0.014</w:t>
            </w:r>
            <w:r>
              <w:rPr>
                <w:rFonts w:hint="eastAsia"/>
                <w:color w:val="auto"/>
              </w:rPr>
              <w:t>t/a</w:t>
            </w:r>
            <w:r>
              <w:rPr>
                <w:color w:val="auto"/>
              </w:rPr>
              <w:t>。</w:t>
            </w:r>
            <w:r>
              <w:rPr>
                <w:rFonts w:hint="eastAsia"/>
                <w:color w:val="auto"/>
                <w:lang w:val="en-US" w:eastAsia="zh-CN"/>
              </w:rPr>
              <w:t>车辆运输扬尘为无组织排放，排放速率为0.0058kg/h。</w:t>
            </w:r>
          </w:p>
          <w:p w14:paraId="50399F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rPr>
            </w:pPr>
            <w:r>
              <w:rPr>
                <w:rFonts w:hint="eastAsia"/>
                <w:color w:val="auto"/>
              </w:rPr>
              <w:t>项目车辆使用符合国家环保要求的柴油，定期接受车管部门环保检查。在车辆使用过程中会以线源形式向外界排放少量以</w:t>
            </w:r>
            <w:r>
              <w:rPr>
                <w:rFonts w:hint="eastAsia"/>
                <w:color w:val="auto"/>
                <w:lang w:val="en-US" w:eastAsia="zh-CN"/>
              </w:rPr>
              <w:t>TSP</w:t>
            </w:r>
            <w:r>
              <w:rPr>
                <w:rFonts w:hint="eastAsia"/>
                <w:color w:val="auto"/>
              </w:rPr>
              <w:t>、VOCs、NO</w:t>
            </w:r>
            <w:r>
              <w:rPr>
                <w:rFonts w:hint="eastAsia"/>
                <w:color w:val="auto"/>
                <w:lang w:val="en-US" w:eastAsia="zh-CN"/>
              </w:rPr>
              <w:t>x</w:t>
            </w:r>
            <w:r>
              <w:rPr>
                <w:rFonts w:hint="eastAsia"/>
                <w:color w:val="auto"/>
              </w:rPr>
              <w:t>为主要污染物的车辆尾气。</w:t>
            </w:r>
          </w:p>
          <w:p w14:paraId="3ADD3D79">
            <w:pPr>
              <w:pStyle w:val="3"/>
              <w:keepNext w:val="0"/>
              <w:keepLines w:val="0"/>
              <w:pageBreakBefore w:val="0"/>
              <w:widowControl w:val="0"/>
              <w:kinsoku/>
              <w:wordWrap/>
              <w:topLinePunct w:val="0"/>
              <w:bidi w:val="0"/>
              <w:spacing w:line="440" w:lineRule="exac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1.3</w:t>
            </w:r>
            <w:r>
              <w:rPr>
                <w:rFonts w:hint="eastAsia" w:ascii="Times New Roman" w:hAnsi="Times New Roman" w:eastAsia="宋体" w:cs="宋体"/>
                <w:color w:val="auto"/>
                <w:lang w:val="en-US" w:eastAsia="zh-CN"/>
              </w:rPr>
              <w:t>污染物排放参数</w:t>
            </w:r>
          </w:p>
          <w:p w14:paraId="570B7247">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jc w:val="both"/>
              <w:textAlignment w:val="auto"/>
              <w:rPr>
                <w:rFonts w:hint="eastAsia"/>
                <w:color w:val="auto"/>
                <w:lang w:val="en-US" w:eastAsia="zh-CN"/>
              </w:rPr>
            </w:pPr>
            <w:r>
              <w:rPr>
                <w:color w:val="auto"/>
              </w:rPr>
              <w:t>根据计算，项目营运期废气排放情况如</w:t>
            </w:r>
            <w:r>
              <w:rPr>
                <w:rFonts w:hint="eastAsia"/>
                <w:color w:val="auto"/>
                <w:lang w:val="en-US" w:eastAsia="zh-CN"/>
              </w:rPr>
              <w:t>下</w:t>
            </w:r>
            <w:r>
              <w:rPr>
                <w:color w:val="auto"/>
              </w:rPr>
              <w:t>表</w:t>
            </w:r>
            <w:r>
              <w:rPr>
                <w:rFonts w:hint="eastAsia"/>
                <w:color w:val="auto"/>
                <w:lang w:val="en-US" w:eastAsia="zh-CN"/>
              </w:rPr>
              <w:t>。</w:t>
            </w:r>
          </w:p>
          <w:p w14:paraId="6A05B913">
            <w:pPr>
              <w:widowControl w:val="0"/>
              <w:overflowPunct w:val="0"/>
              <w:autoSpaceDE w:val="0"/>
              <w:autoSpaceDN w:val="0"/>
              <w:adjustRightInd w:val="0"/>
              <w:snapToGrid w:val="0"/>
              <w:spacing w:before="0" w:after="0" w:line="360" w:lineRule="auto"/>
              <w:ind w:right="0" w:firstLine="380" w:firstLineChars="200"/>
              <w:jc w:val="left"/>
              <w:rPr>
                <w:rFonts w:ascii="Times New Roman" w:hAnsi="Times New Roman" w:eastAsia="宋体" w:cs="宋体"/>
                <w:bCs/>
                <w:snapToGrid w:val="0"/>
                <w:color w:val="auto"/>
                <w:spacing w:val="-10"/>
                <w:kern w:val="2"/>
                <w:sz w:val="21"/>
                <w:szCs w:val="21"/>
                <w:highlight w:val="none"/>
                <w:lang w:val="en-US" w:eastAsia="zh-CN" w:bidi="ar-SA"/>
              </w:rPr>
            </w:pPr>
          </w:p>
        </w:tc>
      </w:tr>
    </w:tbl>
    <w:p w14:paraId="280CE27E">
      <w:pPr>
        <w:pStyle w:val="28"/>
        <w:bidi w:val="0"/>
        <w:rPr>
          <w:rFonts w:hint="eastAsia"/>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CDD4AAE">
      <w:pPr>
        <w:pStyle w:val="28"/>
        <w:bidi w:val="0"/>
        <w:rPr>
          <w:rFonts w:hint="eastAsia"/>
          <w:color w:val="auto"/>
          <w:lang w:val="en-US" w:eastAsia="zh-CN"/>
        </w:rPr>
      </w:pPr>
      <w:r>
        <w:rPr>
          <w:rFonts w:hint="eastAsia"/>
          <w:color w:val="auto"/>
        </w:rPr>
        <w:t>表4</w:t>
      </w:r>
      <w:r>
        <w:rPr>
          <w:rFonts w:hint="eastAsia"/>
          <w:color w:val="auto"/>
          <w:lang w:val="en-US" w:eastAsia="zh-CN"/>
        </w:rPr>
        <w:t xml:space="preserve">-1 </w:t>
      </w:r>
      <w:r>
        <w:rPr>
          <w:rFonts w:hint="eastAsia"/>
          <w:color w:val="auto"/>
        </w:rPr>
        <w:t>本项目废气产生、排放情况一览表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612"/>
        <w:gridCol w:w="745"/>
        <w:gridCol w:w="763"/>
        <w:gridCol w:w="1333"/>
        <w:gridCol w:w="754"/>
        <w:gridCol w:w="2988"/>
        <w:gridCol w:w="707"/>
        <w:gridCol w:w="1240"/>
        <w:gridCol w:w="723"/>
        <w:gridCol w:w="1347"/>
        <w:gridCol w:w="1116"/>
        <w:gridCol w:w="1283"/>
      </w:tblGrid>
      <w:tr w14:paraId="29BB6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5" w:type="dxa"/>
            <w:gridSpan w:val="2"/>
            <w:vMerge w:val="restart"/>
            <w:tcBorders>
              <w:tl2br w:val="nil"/>
              <w:tr2bl w:val="nil"/>
            </w:tcBorders>
            <w:noWrap w:val="0"/>
            <w:vAlign w:val="center"/>
          </w:tcPr>
          <w:p w14:paraId="2150A027">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auto"/>
                <w:kern w:val="2"/>
                <w:sz w:val="18"/>
                <w:szCs w:val="18"/>
                <w:lang w:val="en-US" w:eastAsia="zh-CN"/>
              </w:rPr>
            </w:pPr>
            <w:r>
              <w:rPr>
                <w:rFonts w:hint="eastAsia" w:ascii="Times New Roman" w:hAnsi="Times New Roman" w:eastAsia="宋体" w:cs="Times New Roman"/>
                <w:b w:val="0"/>
                <w:bCs w:val="0"/>
                <w:color w:val="auto"/>
                <w:kern w:val="2"/>
                <w:sz w:val="18"/>
                <w:szCs w:val="18"/>
                <w:lang w:val="en-US" w:eastAsia="zh-CN"/>
              </w:rPr>
              <w:t>产污环节</w:t>
            </w:r>
          </w:p>
        </w:tc>
        <w:tc>
          <w:tcPr>
            <w:tcW w:w="745" w:type="dxa"/>
            <w:vMerge w:val="restart"/>
            <w:tcBorders>
              <w:tl2br w:val="nil"/>
              <w:tr2bl w:val="nil"/>
            </w:tcBorders>
            <w:noWrap w:val="0"/>
            <w:vAlign w:val="center"/>
          </w:tcPr>
          <w:p w14:paraId="6AF82904">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lang w:val="en-US" w:eastAsia="zh-CN"/>
              </w:rPr>
            </w:pPr>
            <w:r>
              <w:rPr>
                <w:rFonts w:hint="eastAsia" w:ascii="Times New Roman" w:hAnsi="Times New Roman" w:eastAsia="宋体" w:cs="Times New Roman"/>
                <w:b w:val="0"/>
                <w:bCs w:val="0"/>
                <w:color w:val="auto"/>
                <w:kern w:val="2"/>
                <w:sz w:val="18"/>
                <w:szCs w:val="18"/>
                <w:lang w:val="en-US" w:eastAsia="zh-CN"/>
              </w:rPr>
              <w:t>污染物</w:t>
            </w:r>
            <w:r>
              <w:rPr>
                <w:rFonts w:hint="eastAsia" w:cs="Times New Roman"/>
                <w:b w:val="0"/>
                <w:bCs w:val="0"/>
                <w:color w:val="auto"/>
                <w:kern w:val="2"/>
                <w:sz w:val="18"/>
                <w:szCs w:val="18"/>
                <w:lang w:val="en-US" w:eastAsia="zh-CN"/>
              </w:rPr>
              <w:t>种类</w:t>
            </w:r>
          </w:p>
        </w:tc>
        <w:tc>
          <w:tcPr>
            <w:tcW w:w="763" w:type="dxa"/>
            <w:vMerge w:val="restart"/>
            <w:tcBorders>
              <w:tl2br w:val="nil"/>
              <w:tr2bl w:val="nil"/>
            </w:tcBorders>
            <w:noWrap w:val="0"/>
            <w:vAlign w:val="center"/>
          </w:tcPr>
          <w:p w14:paraId="218627B9">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rPr>
              <w:t>产生量</w:t>
            </w:r>
          </w:p>
          <w:p w14:paraId="1BF4D9BE">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lang w:val="en-US" w:eastAsia="zh-CN"/>
              </w:rPr>
              <w:t>t</w:t>
            </w:r>
            <w:r>
              <w:rPr>
                <w:rFonts w:hint="default" w:ascii="Times New Roman" w:hAnsi="Times New Roman" w:eastAsia="宋体" w:cs="Times New Roman"/>
                <w:b w:val="0"/>
                <w:bCs w:val="0"/>
                <w:color w:val="auto"/>
                <w:kern w:val="2"/>
                <w:sz w:val="18"/>
                <w:szCs w:val="18"/>
              </w:rPr>
              <w:t>/a</w:t>
            </w:r>
          </w:p>
        </w:tc>
        <w:tc>
          <w:tcPr>
            <w:tcW w:w="1333" w:type="dxa"/>
            <w:vMerge w:val="restart"/>
            <w:tcBorders>
              <w:tl2br w:val="nil"/>
              <w:tr2bl w:val="nil"/>
            </w:tcBorders>
            <w:noWrap w:val="0"/>
            <w:vAlign w:val="center"/>
          </w:tcPr>
          <w:p w14:paraId="0B59D6AA">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lang w:val="en-US" w:eastAsia="zh-CN"/>
              </w:rPr>
            </w:pPr>
            <w:r>
              <w:rPr>
                <w:rFonts w:hint="eastAsia" w:cs="Times New Roman"/>
                <w:b w:val="0"/>
                <w:bCs w:val="0"/>
                <w:color w:val="auto"/>
                <w:kern w:val="2"/>
                <w:sz w:val="18"/>
                <w:szCs w:val="18"/>
                <w:lang w:val="en-US" w:eastAsia="zh-CN"/>
              </w:rPr>
              <w:t>产生浓度</w:t>
            </w:r>
            <w:r>
              <w:rPr>
                <w:rFonts w:hint="default" w:ascii="Times New Roman" w:hAnsi="Times New Roman" w:eastAsia="宋体" w:cs="Times New Roman"/>
                <w:b w:val="0"/>
                <w:bCs w:val="0"/>
                <w:color w:val="auto"/>
                <w:kern w:val="2"/>
                <w:sz w:val="18"/>
                <w:szCs w:val="18"/>
              </w:rPr>
              <w:t>（mg/m</w:t>
            </w:r>
            <w:r>
              <w:rPr>
                <w:rFonts w:hint="default" w:ascii="Times New Roman" w:hAnsi="Times New Roman" w:eastAsia="宋体" w:cs="Times New Roman"/>
                <w:b w:val="0"/>
                <w:bCs w:val="0"/>
                <w:color w:val="auto"/>
                <w:kern w:val="2"/>
                <w:sz w:val="18"/>
                <w:szCs w:val="18"/>
                <w:vertAlign w:val="superscript"/>
                <w:lang w:val="en-US" w:eastAsia="zh-CN"/>
              </w:rPr>
              <w:t>3</w:t>
            </w:r>
            <w:r>
              <w:rPr>
                <w:rFonts w:hint="default" w:ascii="Times New Roman" w:hAnsi="Times New Roman" w:eastAsia="宋体" w:cs="Times New Roman"/>
                <w:b w:val="0"/>
                <w:bCs w:val="0"/>
                <w:color w:val="auto"/>
                <w:kern w:val="2"/>
                <w:sz w:val="18"/>
                <w:szCs w:val="18"/>
              </w:rPr>
              <w:t>）</w:t>
            </w:r>
          </w:p>
        </w:tc>
        <w:tc>
          <w:tcPr>
            <w:tcW w:w="0" w:type="auto"/>
            <w:vMerge w:val="restart"/>
            <w:tcBorders>
              <w:tl2br w:val="nil"/>
              <w:tr2bl w:val="nil"/>
            </w:tcBorders>
            <w:noWrap w:val="0"/>
            <w:vAlign w:val="center"/>
          </w:tcPr>
          <w:p w14:paraId="41726949">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auto"/>
                <w:kern w:val="2"/>
                <w:sz w:val="18"/>
                <w:szCs w:val="18"/>
                <w:lang w:val="en-US" w:eastAsia="zh-CN"/>
              </w:rPr>
            </w:pPr>
            <w:r>
              <w:rPr>
                <w:rFonts w:hint="eastAsia" w:cs="Times New Roman"/>
                <w:b w:val="0"/>
                <w:bCs w:val="0"/>
                <w:color w:val="auto"/>
                <w:kern w:val="2"/>
                <w:sz w:val="18"/>
                <w:szCs w:val="18"/>
                <w:lang w:val="en-US" w:eastAsia="zh-CN"/>
              </w:rPr>
              <w:t>去除</w:t>
            </w:r>
            <w:r>
              <w:rPr>
                <w:rFonts w:hint="eastAsia" w:ascii="Times New Roman" w:hAnsi="Times New Roman" w:eastAsia="宋体" w:cs="Times New Roman"/>
                <w:b w:val="0"/>
                <w:bCs w:val="0"/>
                <w:color w:val="auto"/>
                <w:kern w:val="2"/>
                <w:sz w:val="18"/>
                <w:szCs w:val="18"/>
                <w:lang w:val="en-US" w:eastAsia="zh-CN"/>
              </w:rPr>
              <w:t>效率</w:t>
            </w:r>
          </w:p>
        </w:tc>
        <w:tc>
          <w:tcPr>
            <w:tcW w:w="0" w:type="auto"/>
            <w:vMerge w:val="restart"/>
            <w:tcBorders>
              <w:tl2br w:val="nil"/>
              <w:tr2bl w:val="nil"/>
            </w:tcBorders>
            <w:noWrap w:val="0"/>
            <w:vAlign w:val="center"/>
          </w:tcPr>
          <w:p w14:paraId="7BA0383C">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lang w:val="en-US" w:eastAsia="zh-CN"/>
              </w:rPr>
            </w:pPr>
            <w:r>
              <w:rPr>
                <w:rFonts w:hint="eastAsia" w:eastAsia="宋体" w:cs="Times New Roman"/>
                <w:b w:val="0"/>
                <w:bCs w:val="0"/>
                <w:color w:val="auto"/>
                <w:kern w:val="2"/>
                <w:sz w:val="18"/>
                <w:szCs w:val="18"/>
                <w:lang w:val="en-US" w:eastAsia="zh-CN"/>
              </w:rPr>
              <w:t>处理措施（合计20台仓顶负压除尘器）</w:t>
            </w:r>
          </w:p>
        </w:tc>
        <w:tc>
          <w:tcPr>
            <w:tcW w:w="0" w:type="auto"/>
            <w:vMerge w:val="restart"/>
            <w:tcBorders>
              <w:tl2br w:val="nil"/>
              <w:tr2bl w:val="nil"/>
            </w:tcBorders>
            <w:noWrap w:val="0"/>
            <w:vAlign w:val="center"/>
          </w:tcPr>
          <w:p w14:paraId="481A173C">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eastAsia="宋体" w:cs="Times New Roman"/>
                <w:b w:val="0"/>
                <w:bCs w:val="0"/>
                <w:color w:val="auto"/>
                <w:kern w:val="2"/>
                <w:sz w:val="18"/>
                <w:szCs w:val="18"/>
                <w:lang w:val="en-US" w:eastAsia="zh-CN"/>
              </w:rPr>
            </w:pPr>
            <w:r>
              <w:rPr>
                <w:rFonts w:hint="eastAsia" w:cs="Times New Roman"/>
                <w:b w:val="0"/>
                <w:bCs w:val="0"/>
                <w:color w:val="auto"/>
                <w:kern w:val="2"/>
                <w:sz w:val="18"/>
                <w:szCs w:val="18"/>
                <w:lang w:val="en-US" w:eastAsia="zh-CN"/>
              </w:rPr>
              <w:t>是否为可行技术</w:t>
            </w:r>
          </w:p>
        </w:tc>
        <w:tc>
          <w:tcPr>
            <w:tcW w:w="0" w:type="auto"/>
            <w:gridSpan w:val="5"/>
            <w:tcBorders>
              <w:tl2br w:val="nil"/>
              <w:tr2bl w:val="nil"/>
            </w:tcBorders>
            <w:noWrap w:val="0"/>
            <w:vAlign w:val="center"/>
          </w:tcPr>
          <w:p w14:paraId="5FF75D43">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rPr>
              <w:t>污染物排放情况</w:t>
            </w:r>
          </w:p>
        </w:tc>
      </w:tr>
      <w:tr w14:paraId="0F7F3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5" w:type="dxa"/>
            <w:gridSpan w:val="2"/>
            <w:vMerge w:val="continue"/>
            <w:tcBorders>
              <w:tl2br w:val="nil"/>
              <w:tr2bl w:val="nil"/>
            </w:tcBorders>
            <w:noWrap w:val="0"/>
            <w:vAlign w:val="center"/>
          </w:tcPr>
          <w:p w14:paraId="31C8DE43">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p>
        </w:tc>
        <w:tc>
          <w:tcPr>
            <w:tcW w:w="745" w:type="dxa"/>
            <w:vMerge w:val="continue"/>
            <w:tcBorders>
              <w:tl2br w:val="nil"/>
              <w:tr2bl w:val="nil"/>
            </w:tcBorders>
            <w:noWrap w:val="0"/>
            <w:vAlign w:val="center"/>
          </w:tcPr>
          <w:p w14:paraId="68899CD9">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p>
        </w:tc>
        <w:tc>
          <w:tcPr>
            <w:tcW w:w="763" w:type="dxa"/>
            <w:vMerge w:val="continue"/>
            <w:tcBorders>
              <w:tl2br w:val="nil"/>
              <w:tr2bl w:val="nil"/>
            </w:tcBorders>
            <w:noWrap w:val="0"/>
            <w:vAlign w:val="center"/>
          </w:tcPr>
          <w:p w14:paraId="11A7D070">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p>
        </w:tc>
        <w:tc>
          <w:tcPr>
            <w:tcW w:w="1333" w:type="dxa"/>
            <w:vMerge w:val="continue"/>
            <w:tcBorders>
              <w:tl2br w:val="nil"/>
              <w:tr2bl w:val="nil"/>
            </w:tcBorders>
            <w:noWrap w:val="0"/>
            <w:vAlign w:val="center"/>
          </w:tcPr>
          <w:p w14:paraId="75A22185">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p>
        </w:tc>
        <w:tc>
          <w:tcPr>
            <w:tcW w:w="0" w:type="auto"/>
            <w:vMerge w:val="continue"/>
            <w:tcBorders>
              <w:tl2br w:val="nil"/>
              <w:tr2bl w:val="nil"/>
            </w:tcBorders>
            <w:noWrap w:val="0"/>
            <w:vAlign w:val="center"/>
          </w:tcPr>
          <w:p w14:paraId="24FD8ECA">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p>
        </w:tc>
        <w:tc>
          <w:tcPr>
            <w:tcW w:w="0" w:type="auto"/>
            <w:vMerge w:val="continue"/>
            <w:tcBorders>
              <w:tl2br w:val="nil"/>
              <w:tr2bl w:val="nil"/>
            </w:tcBorders>
            <w:noWrap w:val="0"/>
            <w:vAlign w:val="center"/>
          </w:tcPr>
          <w:p w14:paraId="3408D61C">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p>
        </w:tc>
        <w:tc>
          <w:tcPr>
            <w:tcW w:w="0" w:type="auto"/>
            <w:vMerge w:val="continue"/>
            <w:tcBorders>
              <w:tl2br w:val="nil"/>
              <w:tr2bl w:val="nil"/>
            </w:tcBorders>
            <w:noWrap w:val="0"/>
            <w:vAlign w:val="center"/>
          </w:tcPr>
          <w:p w14:paraId="2BD41835">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p>
        </w:tc>
        <w:tc>
          <w:tcPr>
            <w:tcW w:w="1240" w:type="dxa"/>
            <w:tcBorders>
              <w:tl2br w:val="nil"/>
              <w:tr2bl w:val="nil"/>
            </w:tcBorders>
            <w:noWrap w:val="0"/>
            <w:vAlign w:val="center"/>
          </w:tcPr>
          <w:p w14:paraId="42F3AFD9">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rPr>
              <w:t>排放量（</w:t>
            </w:r>
            <w:r>
              <w:rPr>
                <w:rFonts w:hint="default" w:ascii="Times New Roman" w:hAnsi="Times New Roman" w:eastAsia="宋体" w:cs="Times New Roman"/>
                <w:b w:val="0"/>
                <w:bCs w:val="0"/>
                <w:color w:val="auto"/>
                <w:kern w:val="2"/>
                <w:sz w:val="18"/>
                <w:szCs w:val="18"/>
                <w:lang w:val="en-US" w:eastAsia="zh-CN"/>
              </w:rPr>
              <w:t>t</w:t>
            </w:r>
            <w:r>
              <w:rPr>
                <w:rFonts w:hint="default" w:ascii="Times New Roman" w:hAnsi="Times New Roman" w:eastAsia="宋体" w:cs="Times New Roman"/>
                <w:b w:val="0"/>
                <w:bCs w:val="0"/>
                <w:color w:val="auto"/>
                <w:kern w:val="2"/>
                <w:sz w:val="18"/>
                <w:szCs w:val="18"/>
              </w:rPr>
              <w:t>/a）</w:t>
            </w:r>
          </w:p>
        </w:tc>
        <w:tc>
          <w:tcPr>
            <w:tcW w:w="723" w:type="dxa"/>
            <w:tcBorders>
              <w:tl2br w:val="nil"/>
              <w:tr2bl w:val="nil"/>
            </w:tcBorders>
            <w:noWrap w:val="0"/>
            <w:vAlign w:val="center"/>
          </w:tcPr>
          <w:p w14:paraId="3CA1FC44">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rPr>
              <w:t>排放</w:t>
            </w:r>
            <w:r>
              <w:rPr>
                <w:rFonts w:hint="eastAsia" w:cs="Times New Roman"/>
                <w:b w:val="0"/>
                <w:bCs w:val="0"/>
                <w:color w:val="auto"/>
                <w:kern w:val="2"/>
                <w:sz w:val="18"/>
                <w:szCs w:val="18"/>
                <w:lang w:val="en-US" w:eastAsia="zh-CN"/>
              </w:rPr>
              <w:t>时长</w:t>
            </w:r>
          </w:p>
        </w:tc>
        <w:tc>
          <w:tcPr>
            <w:tcW w:w="0" w:type="auto"/>
            <w:tcBorders>
              <w:tl2br w:val="nil"/>
              <w:tr2bl w:val="nil"/>
            </w:tcBorders>
            <w:noWrap w:val="0"/>
            <w:vAlign w:val="center"/>
          </w:tcPr>
          <w:p w14:paraId="5800F1B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rPr>
              <w:t>排放浓度（mg/m</w:t>
            </w:r>
            <w:r>
              <w:rPr>
                <w:rFonts w:hint="default" w:ascii="Times New Roman" w:hAnsi="Times New Roman" w:eastAsia="宋体" w:cs="Times New Roman"/>
                <w:b w:val="0"/>
                <w:bCs w:val="0"/>
                <w:color w:val="auto"/>
                <w:kern w:val="2"/>
                <w:sz w:val="18"/>
                <w:szCs w:val="18"/>
                <w:vertAlign w:val="superscript"/>
                <w:lang w:val="en-US" w:eastAsia="zh-CN"/>
              </w:rPr>
              <w:t>3</w:t>
            </w:r>
            <w:r>
              <w:rPr>
                <w:rFonts w:hint="default" w:ascii="Times New Roman" w:hAnsi="Times New Roman" w:eastAsia="宋体" w:cs="Times New Roman"/>
                <w:b w:val="0"/>
                <w:bCs w:val="0"/>
                <w:color w:val="auto"/>
                <w:kern w:val="2"/>
                <w:sz w:val="18"/>
                <w:szCs w:val="18"/>
              </w:rPr>
              <w:t>）</w:t>
            </w:r>
          </w:p>
        </w:tc>
        <w:tc>
          <w:tcPr>
            <w:tcW w:w="0" w:type="auto"/>
            <w:tcBorders>
              <w:tl2br w:val="nil"/>
              <w:tr2bl w:val="nil"/>
            </w:tcBorders>
            <w:noWrap w:val="0"/>
            <w:vAlign w:val="center"/>
          </w:tcPr>
          <w:p w14:paraId="0AB45D1F">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r>
              <w:rPr>
                <w:rFonts w:hint="eastAsia" w:ascii="Times New Roman" w:hAnsi="Times New Roman" w:eastAsia="宋体" w:cs="Times New Roman"/>
                <w:b w:val="0"/>
                <w:bCs w:val="0"/>
                <w:color w:val="auto"/>
                <w:kern w:val="2"/>
                <w:sz w:val="18"/>
                <w:szCs w:val="18"/>
                <w:lang w:val="en-US" w:eastAsia="zh-CN"/>
              </w:rPr>
              <w:t>排放方式</w:t>
            </w:r>
          </w:p>
        </w:tc>
        <w:tc>
          <w:tcPr>
            <w:tcW w:w="0" w:type="auto"/>
            <w:tcBorders>
              <w:tl2br w:val="nil"/>
              <w:tr2bl w:val="nil"/>
            </w:tcBorders>
            <w:noWrap w:val="0"/>
            <w:vAlign w:val="center"/>
          </w:tcPr>
          <w:p w14:paraId="2E7DEBE6">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rPr>
              <w:t>排放速率（kg/h）</w:t>
            </w:r>
          </w:p>
        </w:tc>
      </w:tr>
      <w:tr w14:paraId="3AFB0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563" w:type="dxa"/>
            <w:vMerge w:val="restart"/>
            <w:tcBorders>
              <w:tl2br w:val="nil"/>
              <w:tr2bl w:val="nil"/>
            </w:tcBorders>
            <w:noWrap w:val="0"/>
            <w:vAlign w:val="center"/>
          </w:tcPr>
          <w:p w14:paraId="66D99C83">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生产车间</w:t>
            </w:r>
          </w:p>
        </w:tc>
        <w:tc>
          <w:tcPr>
            <w:tcW w:w="612" w:type="dxa"/>
            <w:vMerge w:val="restart"/>
            <w:tcBorders>
              <w:tl2br w:val="nil"/>
              <w:tr2bl w:val="nil"/>
            </w:tcBorders>
            <w:noWrap w:val="0"/>
            <w:vAlign w:val="center"/>
          </w:tcPr>
          <w:p w14:paraId="5672BD96">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1#号生产线、</w:t>
            </w:r>
          </w:p>
          <w:p w14:paraId="6332596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2#号生产线</w:t>
            </w:r>
          </w:p>
        </w:tc>
        <w:tc>
          <w:tcPr>
            <w:tcW w:w="745" w:type="dxa"/>
            <w:tcBorders>
              <w:tl2br w:val="nil"/>
              <w:tr2bl w:val="nil"/>
            </w:tcBorders>
            <w:noWrap w:val="0"/>
            <w:vAlign w:val="center"/>
          </w:tcPr>
          <w:p w14:paraId="387F0ED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682EEFDA">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50.643</w:t>
            </w:r>
          </w:p>
        </w:tc>
        <w:tc>
          <w:tcPr>
            <w:tcW w:w="1333" w:type="dxa"/>
            <w:tcBorders>
              <w:tl2br w:val="nil"/>
              <w:tr2bl w:val="nil"/>
            </w:tcBorders>
            <w:noWrap w:val="0"/>
            <w:vAlign w:val="center"/>
          </w:tcPr>
          <w:p w14:paraId="36741BF5">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eastAsia="宋体" w:cs="Times New Roman"/>
                <w:color w:val="auto"/>
                <w:kern w:val="2"/>
                <w:sz w:val="18"/>
                <w:szCs w:val="18"/>
                <w:lang w:val="en-US" w:eastAsia="zh-CN"/>
              </w:rPr>
            </w:pPr>
            <w:r>
              <w:rPr>
                <w:rFonts w:hint="eastAsia" w:cs="Times New Roman"/>
                <w:color w:val="auto"/>
                <w:kern w:val="2"/>
                <w:sz w:val="18"/>
                <w:szCs w:val="18"/>
                <w:lang w:val="en-US" w:eastAsia="zh-CN"/>
              </w:rPr>
              <w:t>/</w:t>
            </w:r>
          </w:p>
        </w:tc>
        <w:tc>
          <w:tcPr>
            <w:tcW w:w="754" w:type="dxa"/>
            <w:tcBorders>
              <w:tl2br w:val="nil"/>
              <w:tr2bl w:val="nil"/>
            </w:tcBorders>
            <w:noWrap w:val="0"/>
            <w:vAlign w:val="center"/>
          </w:tcPr>
          <w:p w14:paraId="2C421224">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99.5%</w:t>
            </w:r>
          </w:p>
        </w:tc>
        <w:tc>
          <w:tcPr>
            <w:tcW w:w="2988" w:type="dxa"/>
            <w:tcBorders>
              <w:tl2br w:val="nil"/>
              <w:tr2bl w:val="nil"/>
            </w:tcBorders>
            <w:noWrap w:val="0"/>
            <w:vAlign w:val="center"/>
          </w:tcPr>
          <w:p w14:paraId="09BF3045">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eastAsia="宋体" w:cs="Times New Roman"/>
                <w:color w:val="auto"/>
                <w:kern w:val="2"/>
                <w:sz w:val="18"/>
                <w:szCs w:val="18"/>
                <w:lang w:val="en-US" w:eastAsia="zh-CN"/>
              </w:rPr>
            </w:pPr>
            <w:r>
              <w:rPr>
                <w:rFonts w:hint="eastAsia" w:cs="Times New Roman"/>
                <w:color w:val="auto"/>
                <w:kern w:val="2"/>
                <w:sz w:val="18"/>
                <w:szCs w:val="18"/>
                <w:lang w:val="en-US" w:eastAsia="zh-CN"/>
              </w:rPr>
              <w:t>6台</w:t>
            </w:r>
            <w:r>
              <w:rPr>
                <w:rFonts w:hint="eastAsia" w:eastAsia="宋体" w:cs="Times New Roman"/>
                <w:color w:val="auto"/>
                <w:kern w:val="2"/>
                <w:sz w:val="18"/>
                <w:szCs w:val="18"/>
                <w:lang w:val="en-US" w:eastAsia="zh-CN"/>
              </w:rPr>
              <w:t>集气罩+1#布袋除尘器+15m排气筒（DA001）</w:t>
            </w:r>
          </w:p>
        </w:tc>
        <w:tc>
          <w:tcPr>
            <w:tcW w:w="707" w:type="dxa"/>
            <w:tcBorders>
              <w:tl2br w:val="nil"/>
              <w:tr2bl w:val="nil"/>
            </w:tcBorders>
            <w:noWrap w:val="0"/>
            <w:vAlign w:val="center"/>
          </w:tcPr>
          <w:p w14:paraId="7B0E60C9">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eastAsia="宋体"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7E86981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0.254</w:t>
            </w:r>
          </w:p>
        </w:tc>
        <w:tc>
          <w:tcPr>
            <w:tcW w:w="723" w:type="dxa"/>
            <w:tcBorders>
              <w:tl2br w:val="nil"/>
              <w:tr2bl w:val="nil"/>
            </w:tcBorders>
            <w:noWrap w:val="0"/>
            <w:vAlign w:val="center"/>
          </w:tcPr>
          <w:p w14:paraId="520A1B26">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1347" w:type="dxa"/>
            <w:tcBorders>
              <w:tl2br w:val="nil"/>
              <w:tr2bl w:val="nil"/>
            </w:tcBorders>
            <w:noWrap w:val="0"/>
            <w:vAlign w:val="center"/>
          </w:tcPr>
          <w:p w14:paraId="041B3A96">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8.82</w:t>
            </w:r>
          </w:p>
        </w:tc>
        <w:tc>
          <w:tcPr>
            <w:tcW w:w="1116" w:type="dxa"/>
            <w:tcBorders>
              <w:tl2br w:val="nil"/>
              <w:tr2bl w:val="nil"/>
            </w:tcBorders>
            <w:noWrap w:val="0"/>
            <w:vAlign w:val="center"/>
          </w:tcPr>
          <w:p w14:paraId="2863F5FB">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有组织</w:t>
            </w:r>
            <w:r>
              <w:rPr>
                <w:rFonts w:hint="eastAsia" w:cs="Times New Roman"/>
                <w:color w:val="auto"/>
                <w:kern w:val="2"/>
                <w:sz w:val="18"/>
                <w:szCs w:val="18"/>
                <w:highlight w:val="none"/>
                <w:lang w:val="en-US" w:eastAsia="zh-CN"/>
              </w:rPr>
              <w:t>排放</w:t>
            </w:r>
          </w:p>
        </w:tc>
        <w:tc>
          <w:tcPr>
            <w:tcW w:w="1283" w:type="dxa"/>
            <w:tcBorders>
              <w:tl2br w:val="nil"/>
              <w:tr2bl w:val="nil"/>
            </w:tcBorders>
            <w:noWrap w:val="0"/>
            <w:vAlign w:val="center"/>
          </w:tcPr>
          <w:p w14:paraId="2605590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2"/>
                <w:sz w:val="18"/>
                <w:szCs w:val="18"/>
                <w:lang w:val="en-US" w:eastAsia="zh-CN"/>
              </w:rPr>
              <w:t>0.1058</w:t>
            </w:r>
          </w:p>
        </w:tc>
      </w:tr>
      <w:tr w14:paraId="59C01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3" w:type="dxa"/>
            <w:vMerge w:val="continue"/>
            <w:tcBorders>
              <w:tl2br w:val="nil"/>
              <w:tr2bl w:val="nil"/>
            </w:tcBorders>
            <w:noWrap w:val="0"/>
            <w:vAlign w:val="center"/>
          </w:tcPr>
          <w:p w14:paraId="30CFE9C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vMerge w:val="continue"/>
            <w:tcBorders>
              <w:tl2br w:val="nil"/>
              <w:tr2bl w:val="nil"/>
            </w:tcBorders>
            <w:noWrap w:val="0"/>
            <w:vAlign w:val="center"/>
          </w:tcPr>
          <w:p w14:paraId="307DD33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745" w:type="dxa"/>
            <w:tcBorders>
              <w:tl2br w:val="nil"/>
              <w:tr2bl w:val="nil"/>
            </w:tcBorders>
            <w:noWrap w:val="0"/>
            <w:vAlign w:val="center"/>
          </w:tcPr>
          <w:p w14:paraId="55383A24">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2AAB388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5.627</w:t>
            </w:r>
          </w:p>
        </w:tc>
        <w:tc>
          <w:tcPr>
            <w:tcW w:w="1333" w:type="dxa"/>
            <w:tcBorders>
              <w:tl2br w:val="nil"/>
              <w:tr2bl w:val="nil"/>
            </w:tcBorders>
            <w:noWrap w:val="0"/>
            <w:vAlign w:val="center"/>
          </w:tcPr>
          <w:p w14:paraId="14B51B8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754" w:type="dxa"/>
            <w:tcBorders>
              <w:tl2br w:val="nil"/>
              <w:tr2bl w:val="nil"/>
            </w:tcBorders>
            <w:noWrap w:val="0"/>
            <w:vAlign w:val="center"/>
          </w:tcPr>
          <w:p w14:paraId="2A5CE95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90%</w:t>
            </w:r>
          </w:p>
        </w:tc>
        <w:tc>
          <w:tcPr>
            <w:tcW w:w="2988" w:type="dxa"/>
            <w:tcBorders>
              <w:tl2br w:val="nil"/>
              <w:tr2bl w:val="nil"/>
            </w:tcBorders>
            <w:noWrap w:val="0"/>
            <w:vAlign w:val="center"/>
          </w:tcPr>
          <w:p w14:paraId="1D5B2E3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cs="Times New Roman"/>
                <w:color w:val="auto"/>
                <w:kern w:val="2"/>
                <w:sz w:val="18"/>
                <w:szCs w:val="18"/>
                <w:lang w:val="en-US" w:eastAsia="zh-CN"/>
              </w:rPr>
              <w:t>车间封闭+</w:t>
            </w:r>
            <w:r>
              <w:rPr>
                <w:rFonts w:hint="eastAsia" w:eastAsia="宋体" w:cs="Times New Roman"/>
                <w:color w:val="auto"/>
                <w:kern w:val="2"/>
                <w:sz w:val="18"/>
                <w:szCs w:val="18"/>
                <w:lang w:val="en-US" w:eastAsia="zh-CN"/>
              </w:rPr>
              <w:t>室内沉降</w:t>
            </w:r>
          </w:p>
        </w:tc>
        <w:tc>
          <w:tcPr>
            <w:tcW w:w="707" w:type="dxa"/>
            <w:tcBorders>
              <w:tl2br w:val="nil"/>
              <w:tr2bl w:val="nil"/>
            </w:tcBorders>
            <w:noWrap w:val="0"/>
            <w:vAlign w:val="center"/>
          </w:tcPr>
          <w:p w14:paraId="6E6EAC5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0715735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0.5627</w:t>
            </w:r>
          </w:p>
        </w:tc>
        <w:tc>
          <w:tcPr>
            <w:tcW w:w="723" w:type="dxa"/>
            <w:tcBorders>
              <w:tl2br w:val="nil"/>
              <w:tr2bl w:val="nil"/>
            </w:tcBorders>
            <w:noWrap w:val="0"/>
            <w:vAlign w:val="center"/>
          </w:tcPr>
          <w:p w14:paraId="230DEC4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1347" w:type="dxa"/>
            <w:tcBorders>
              <w:tl2br w:val="nil"/>
              <w:tr2bl w:val="nil"/>
            </w:tcBorders>
            <w:noWrap w:val="0"/>
            <w:vAlign w:val="center"/>
          </w:tcPr>
          <w:p w14:paraId="53578BE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1116" w:type="dxa"/>
            <w:tcBorders>
              <w:tl2br w:val="nil"/>
              <w:tr2bl w:val="nil"/>
            </w:tcBorders>
            <w:noWrap w:val="0"/>
            <w:vAlign w:val="center"/>
          </w:tcPr>
          <w:p w14:paraId="1CF456C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无组织</w:t>
            </w:r>
            <w:r>
              <w:rPr>
                <w:rFonts w:hint="eastAsia" w:cs="Times New Roman"/>
                <w:color w:val="auto"/>
                <w:kern w:val="2"/>
                <w:sz w:val="18"/>
                <w:szCs w:val="18"/>
                <w:highlight w:val="none"/>
                <w:lang w:val="en-US" w:eastAsia="zh-CN"/>
              </w:rPr>
              <w:t>排放</w:t>
            </w:r>
          </w:p>
        </w:tc>
        <w:tc>
          <w:tcPr>
            <w:tcW w:w="1283" w:type="dxa"/>
            <w:tcBorders>
              <w:tl2br w:val="nil"/>
              <w:tr2bl w:val="nil"/>
            </w:tcBorders>
            <w:noWrap w:val="0"/>
            <w:vAlign w:val="center"/>
          </w:tcPr>
          <w:p w14:paraId="1A1271F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highlight w:val="none"/>
                <w:lang w:val="en-US" w:eastAsia="zh-CN"/>
              </w:rPr>
              <w:t>0.2345</w:t>
            </w:r>
          </w:p>
        </w:tc>
      </w:tr>
      <w:tr w14:paraId="5A1DD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63" w:type="dxa"/>
            <w:vMerge w:val="continue"/>
            <w:tcBorders>
              <w:tl2br w:val="nil"/>
              <w:tr2bl w:val="nil"/>
            </w:tcBorders>
            <w:noWrap w:val="0"/>
            <w:vAlign w:val="center"/>
          </w:tcPr>
          <w:p w14:paraId="0205B8AF">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rPr>
            </w:pPr>
          </w:p>
        </w:tc>
        <w:tc>
          <w:tcPr>
            <w:tcW w:w="612" w:type="dxa"/>
            <w:tcBorders>
              <w:tl2br w:val="nil"/>
              <w:tr2bl w:val="nil"/>
            </w:tcBorders>
            <w:noWrap w:val="0"/>
            <w:vAlign w:val="center"/>
          </w:tcPr>
          <w:p w14:paraId="0BFF329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筒仓1-1</w:t>
            </w:r>
          </w:p>
        </w:tc>
        <w:tc>
          <w:tcPr>
            <w:tcW w:w="745" w:type="dxa"/>
            <w:tcBorders>
              <w:tl2br w:val="nil"/>
              <w:tr2bl w:val="nil"/>
            </w:tcBorders>
            <w:noWrap w:val="0"/>
            <w:vAlign w:val="center"/>
          </w:tcPr>
          <w:p w14:paraId="64168AB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664AEBD4">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5.4</w:t>
            </w:r>
          </w:p>
        </w:tc>
        <w:tc>
          <w:tcPr>
            <w:tcW w:w="1333" w:type="dxa"/>
            <w:tcBorders>
              <w:tl2br w:val="nil"/>
              <w:tr2bl w:val="nil"/>
            </w:tcBorders>
            <w:noWrap w:val="0"/>
            <w:vAlign w:val="center"/>
          </w:tcPr>
          <w:p w14:paraId="46F461CA">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4BD3E3A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0" w:type="auto"/>
            <w:tcBorders>
              <w:tl2br w:val="nil"/>
              <w:tr2bl w:val="nil"/>
            </w:tcBorders>
            <w:noWrap w:val="0"/>
            <w:vAlign w:val="center"/>
          </w:tcPr>
          <w:p w14:paraId="238F289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1-1#仓顶除尘器+室内沉降</w:t>
            </w:r>
          </w:p>
        </w:tc>
        <w:tc>
          <w:tcPr>
            <w:tcW w:w="0" w:type="auto"/>
            <w:tcBorders>
              <w:tl2br w:val="nil"/>
              <w:tr2bl w:val="nil"/>
            </w:tcBorders>
            <w:noWrap w:val="0"/>
            <w:vAlign w:val="center"/>
          </w:tcPr>
          <w:p w14:paraId="0A3CA80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6950F4FB">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0.054</w:t>
            </w:r>
          </w:p>
        </w:tc>
        <w:tc>
          <w:tcPr>
            <w:tcW w:w="723" w:type="dxa"/>
            <w:tcBorders>
              <w:tl2br w:val="nil"/>
              <w:tr2bl w:val="nil"/>
            </w:tcBorders>
            <w:noWrap w:val="0"/>
            <w:vAlign w:val="center"/>
          </w:tcPr>
          <w:p w14:paraId="3036107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1347" w:type="dxa"/>
            <w:tcBorders>
              <w:tl2br w:val="nil"/>
              <w:tr2bl w:val="nil"/>
            </w:tcBorders>
            <w:noWrap w:val="0"/>
            <w:vAlign w:val="center"/>
          </w:tcPr>
          <w:p w14:paraId="70E86F6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w:t>
            </w:r>
          </w:p>
        </w:tc>
        <w:tc>
          <w:tcPr>
            <w:tcW w:w="1116" w:type="dxa"/>
            <w:tcBorders>
              <w:tl2br w:val="nil"/>
              <w:tr2bl w:val="nil"/>
            </w:tcBorders>
            <w:noWrap w:val="0"/>
            <w:vAlign w:val="center"/>
          </w:tcPr>
          <w:p w14:paraId="2C9229A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highlight w:val="none"/>
                <w:lang w:val="en-US" w:eastAsia="zh-CN"/>
              </w:rPr>
              <w:t>无组织排放</w:t>
            </w:r>
          </w:p>
        </w:tc>
        <w:tc>
          <w:tcPr>
            <w:tcW w:w="1283" w:type="dxa"/>
            <w:tcBorders>
              <w:tl2br w:val="nil"/>
              <w:tr2bl w:val="nil"/>
            </w:tcBorders>
            <w:noWrap w:val="0"/>
            <w:vAlign w:val="center"/>
          </w:tcPr>
          <w:p w14:paraId="1F6FBE1B">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0.0225</w:t>
            </w:r>
          </w:p>
        </w:tc>
      </w:tr>
      <w:tr w14:paraId="794AF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63" w:type="dxa"/>
            <w:vMerge w:val="continue"/>
            <w:tcBorders>
              <w:tl2br w:val="nil"/>
              <w:tr2bl w:val="nil"/>
            </w:tcBorders>
            <w:noWrap w:val="0"/>
            <w:vAlign w:val="center"/>
          </w:tcPr>
          <w:p w14:paraId="4C85ECD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6BD83796">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筒仓1-2</w:t>
            </w:r>
          </w:p>
        </w:tc>
        <w:tc>
          <w:tcPr>
            <w:tcW w:w="745" w:type="dxa"/>
            <w:tcBorders>
              <w:tl2br w:val="nil"/>
              <w:tr2bl w:val="nil"/>
            </w:tcBorders>
            <w:noWrap w:val="0"/>
            <w:vAlign w:val="center"/>
          </w:tcPr>
          <w:p w14:paraId="0362CE0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7C8C4E9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5.4</w:t>
            </w:r>
          </w:p>
        </w:tc>
        <w:tc>
          <w:tcPr>
            <w:tcW w:w="1333" w:type="dxa"/>
            <w:tcBorders>
              <w:tl2br w:val="nil"/>
              <w:tr2bl w:val="nil"/>
            </w:tcBorders>
            <w:noWrap w:val="0"/>
            <w:vAlign w:val="center"/>
          </w:tcPr>
          <w:p w14:paraId="67E28FA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2FCDB2E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0" w:type="auto"/>
            <w:tcBorders>
              <w:tl2br w:val="nil"/>
              <w:tr2bl w:val="nil"/>
            </w:tcBorders>
            <w:noWrap w:val="0"/>
            <w:vAlign w:val="center"/>
          </w:tcPr>
          <w:p w14:paraId="6EF508C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1-2#仓顶除尘器+室内沉降</w:t>
            </w:r>
          </w:p>
        </w:tc>
        <w:tc>
          <w:tcPr>
            <w:tcW w:w="0" w:type="auto"/>
            <w:tcBorders>
              <w:tl2br w:val="nil"/>
              <w:tr2bl w:val="nil"/>
            </w:tcBorders>
            <w:noWrap w:val="0"/>
            <w:vAlign w:val="center"/>
          </w:tcPr>
          <w:p w14:paraId="7588F7C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1E9715B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0.054</w:t>
            </w:r>
          </w:p>
        </w:tc>
        <w:tc>
          <w:tcPr>
            <w:tcW w:w="723" w:type="dxa"/>
            <w:tcBorders>
              <w:tl2br w:val="nil"/>
              <w:tr2bl w:val="nil"/>
            </w:tcBorders>
            <w:noWrap w:val="0"/>
            <w:vAlign w:val="center"/>
          </w:tcPr>
          <w:p w14:paraId="24ADE4F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44D9FE0B">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2B4B044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3E2AF65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0.0225</w:t>
            </w:r>
          </w:p>
        </w:tc>
      </w:tr>
      <w:tr w14:paraId="2DB4D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63" w:type="dxa"/>
            <w:vMerge w:val="continue"/>
            <w:tcBorders>
              <w:tl2br w:val="nil"/>
              <w:tr2bl w:val="nil"/>
            </w:tcBorders>
            <w:noWrap w:val="0"/>
            <w:vAlign w:val="center"/>
          </w:tcPr>
          <w:p w14:paraId="6D45ADE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7BE2123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筒仓1-3</w:t>
            </w:r>
          </w:p>
        </w:tc>
        <w:tc>
          <w:tcPr>
            <w:tcW w:w="745" w:type="dxa"/>
            <w:tcBorders>
              <w:tl2br w:val="nil"/>
              <w:tr2bl w:val="nil"/>
            </w:tcBorders>
            <w:noWrap w:val="0"/>
            <w:vAlign w:val="center"/>
          </w:tcPr>
          <w:p w14:paraId="7D02161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6FF41FD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0.36</w:t>
            </w:r>
          </w:p>
        </w:tc>
        <w:tc>
          <w:tcPr>
            <w:tcW w:w="1333" w:type="dxa"/>
            <w:tcBorders>
              <w:tl2br w:val="nil"/>
              <w:tr2bl w:val="nil"/>
            </w:tcBorders>
            <w:noWrap w:val="0"/>
            <w:vAlign w:val="center"/>
          </w:tcPr>
          <w:p w14:paraId="5F9D4AA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6DC5D78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0" w:type="auto"/>
            <w:tcBorders>
              <w:tl2br w:val="nil"/>
              <w:tr2bl w:val="nil"/>
            </w:tcBorders>
            <w:noWrap w:val="0"/>
            <w:vAlign w:val="center"/>
          </w:tcPr>
          <w:p w14:paraId="527EC63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1-3#仓顶除尘器+室内沉降</w:t>
            </w:r>
          </w:p>
        </w:tc>
        <w:tc>
          <w:tcPr>
            <w:tcW w:w="0" w:type="auto"/>
            <w:tcBorders>
              <w:tl2br w:val="nil"/>
              <w:tr2bl w:val="nil"/>
            </w:tcBorders>
            <w:noWrap w:val="0"/>
            <w:vAlign w:val="center"/>
          </w:tcPr>
          <w:p w14:paraId="2850423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1FC8B1E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0.0036</w:t>
            </w:r>
          </w:p>
        </w:tc>
        <w:tc>
          <w:tcPr>
            <w:tcW w:w="723" w:type="dxa"/>
            <w:tcBorders>
              <w:tl2br w:val="nil"/>
              <w:tr2bl w:val="nil"/>
            </w:tcBorders>
            <w:noWrap w:val="0"/>
            <w:vAlign w:val="center"/>
          </w:tcPr>
          <w:p w14:paraId="7D4974C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107963E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4DAF957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057F7EC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0.0015</w:t>
            </w:r>
          </w:p>
        </w:tc>
      </w:tr>
      <w:tr w14:paraId="55503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63" w:type="dxa"/>
            <w:vMerge w:val="continue"/>
            <w:tcBorders>
              <w:tl2br w:val="nil"/>
              <w:tr2bl w:val="nil"/>
            </w:tcBorders>
            <w:noWrap w:val="0"/>
            <w:vAlign w:val="center"/>
          </w:tcPr>
          <w:p w14:paraId="5CFBCE8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0A788C5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筒仓筒仓1-4</w:t>
            </w:r>
          </w:p>
        </w:tc>
        <w:tc>
          <w:tcPr>
            <w:tcW w:w="745" w:type="dxa"/>
            <w:tcBorders>
              <w:tl2br w:val="nil"/>
              <w:tr2bl w:val="nil"/>
            </w:tcBorders>
            <w:noWrap w:val="0"/>
            <w:vAlign w:val="center"/>
          </w:tcPr>
          <w:p w14:paraId="404C05B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5022492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0.24</w:t>
            </w:r>
          </w:p>
        </w:tc>
        <w:tc>
          <w:tcPr>
            <w:tcW w:w="1333" w:type="dxa"/>
            <w:tcBorders>
              <w:tl2br w:val="nil"/>
              <w:tr2bl w:val="nil"/>
            </w:tcBorders>
            <w:noWrap w:val="0"/>
            <w:vAlign w:val="center"/>
          </w:tcPr>
          <w:p w14:paraId="6C43709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2582903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0" w:type="auto"/>
            <w:tcBorders>
              <w:tl2br w:val="nil"/>
              <w:tr2bl w:val="nil"/>
            </w:tcBorders>
            <w:noWrap w:val="0"/>
            <w:vAlign w:val="center"/>
          </w:tcPr>
          <w:p w14:paraId="353E8A1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1-4#仓顶除尘器+室内沉降</w:t>
            </w:r>
          </w:p>
        </w:tc>
        <w:tc>
          <w:tcPr>
            <w:tcW w:w="0" w:type="auto"/>
            <w:tcBorders>
              <w:tl2br w:val="nil"/>
              <w:tr2bl w:val="nil"/>
            </w:tcBorders>
            <w:noWrap w:val="0"/>
            <w:vAlign w:val="center"/>
          </w:tcPr>
          <w:p w14:paraId="177797B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7F6BD74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0.0024</w:t>
            </w:r>
          </w:p>
        </w:tc>
        <w:tc>
          <w:tcPr>
            <w:tcW w:w="723" w:type="dxa"/>
            <w:tcBorders>
              <w:tl2br w:val="nil"/>
              <w:tr2bl w:val="nil"/>
            </w:tcBorders>
            <w:noWrap w:val="0"/>
            <w:vAlign w:val="center"/>
          </w:tcPr>
          <w:p w14:paraId="22C3498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1347" w:type="dxa"/>
            <w:tcBorders>
              <w:tl2br w:val="nil"/>
              <w:tr2bl w:val="nil"/>
            </w:tcBorders>
            <w:noWrap w:val="0"/>
            <w:vAlign w:val="center"/>
          </w:tcPr>
          <w:p w14:paraId="6672B02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w:t>
            </w:r>
          </w:p>
        </w:tc>
        <w:tc>
          <w:tcPr>
            <w:tcW w:w="1116" w:type="dxa"/>
            <w:tcBorders>
              <w:tl2br w:val="nil"/>
              <w:tr2bl w:val="nil"/>
            </w:tcBorders>
            <w:noWrap w:val="0"/>
            <w:vAlign w:val="center"/>
          </w:tcPr>
          <w:p w14:paraId="0704859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无组织排放</w:t>
            </w:r>
          </w:p>
        </w:tc>
        <w:tc>
          <w:tcPr>
            <w:tcW w:w="1283" w:type="dxa"/>
            <w:tcBorders>
              <w:tl2br w:val="nil"/>
              <w:tr2bl w:val="nil"/>
            </w:tcBorders>
            <w:noWrap w:val="0"/>
            <w:vAlign w:val="center"/>
          </w:tcPr>
          <w:p w14:paraId="250C228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0.001</w:t>
            </w:r>
          </w:p>
        </w:tc>
      </w:tr>
      <w:tr w14:paraId="00FDF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63" w:type="dxa"/>
            <w:vMerge w:val="continue"/>
            <w:tcBorders>
              <w:tl2br w:val="nil"/>
              <w:tr2bl w:val="nil"/>
            </w:tcBorders>
            <w:noWrap w:val="0"/>
            <w:vAlign w:val="center"/>
          </w:tcPr>
          <w:p w14:paraId="53A7836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50A9D0F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筒仓1-5</w:t>
            </w:r>
          </w:p>
        </w:tc>
        <w:tc>
          <w:tcPr>
            <w:tcW w:w="745" w:type="dxa"/>
            <w:tcBorders>
              <w:tl2br w:val="nil"/>
              <w:tr2bl w:val="nil"/>
            </w:tcBorders>
            <w:noWrap w:val="0"/>
            <w:vAlign w:val="center"/>
          </w:tcPr>
          <w:p w14:paraId="1A22ECE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482C27F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0.24</w:t>
            </w:r>
          </w:p>
        </w:tc>
        <w:tc>
          <w:tcPr>
            <w:tcW w:w="1333" w:type="dxa"/>
            <w:tcBorders>
              <w:tl2br w:val="nil"/>
              <w:tr2bl w:val="nil"/>
            </w:tcBorders>
            <w:noWrap w:val="0"/>
            <w:vAlign w:val="center"/>
          </w:tcPr>
          <w:p w14:paraId="37B54644">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75285F0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0" w:type="auto"/>
            <w:tcBorders>
              <w:tl2br w:val="nil"/>
              <w:tr2bl w:val="nil"/>
            </w:tcBorders>
            <w:noWrap w:val="0"/>
            <w:vAlign w:val="center"/>
          </w:tcPr>
          <w:p w14:paraId="5C11592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1-5#仓顶除尘器+室内沉降</w:t>
            </w:r>
          </w:p>
        </w:tc>
        <w:tc>
          <w:tcPr>
            <w:tcW w:w="0" w:type="auto"/>
            <w:tcBorders>
              <w:tl2br w:val="nil"/>
              <w:tr2bl w:val="nil"/>
            </w:tcBorders>
            <w:noWrap w:val="0"/>
            <w:vAlign w:val="center"/>
          </w:tcPr>
          <w:p w14:paraId="25C82F9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0F75F89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0.0024</w:t>
            </w:r>
          </w:p>
        </w:tc>
        <w:tc>
          <w:tcPr>
            <w:tcW w:w="723" w:type="dxa"/>
            <w:tcBorders>
              <w:tl2br w:val="nil"/>
              <w:tr2bl w:val="nil"/>
            </w:tcBorders>
            <w:noWrap w:val="0"/>
            <w:vAlign w:val="center"/>
          </w:tcPr>
          <w:p w14:paraId="0218FC7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12C382F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45034B1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20CACE4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0.001</w:t>
            </w:r>
          </w:p>
        </w:tc>
      </w:tr>
      <w:tr w14:paraId="3DCE5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63" w:type="dxa"/>
            <w:vMerge w:val="continue"/>
            <w:tcBorders>
              <w:tl2br w:val="nil"/>
              <w:tr2bl w:val="nil"/>
            </w:tcBorders>
            <w:noWrap w:val="0"/>
            <w:vAlign w:val="center"/>
          </w:tcPr>
          <w:p w14:paraId="65A2A1E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0F5ED95B">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筒仓1-6</w:t>
            </w:r>
          </w:p>
        </w:tc>
        <w:tc>
          <w:tcPr>
            <w:tcW w:w="745" w:type="dxa"/>
            <w:tcBorders>
              <w:tl2br w:val="nil"/>
              <w:tr2bl w:val="nil"/>
            </w:tcBorders>
            <w:noWrap w:val="0"/>
            <w:vAlign w:val="center"/>
          </w:tcPr>
          <w:p w14:paraId="5122891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3BAA71D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0.12</w:t>
            </w:r>
          </w:p>
        </w:tc>
        <w:tc>
          <w:tcPr>
            <w:tcW w:w="1333" w:type="dxa"/>
            <w:tcBorders>
              <w:tl2br w:val="nil"/>
              <w:tr2bl w:val="nil"/>
            </w:tcBorders>
            <w:noWrap w:val="0"/>
            <w:vAlign w:val="center"/>
          </w:tcPr>
          <w:p w14:paraId="724E8FB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619CF24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0" w:type="auto"/>
            <w:tcBorders>
              <w:tl2br w:val="nil"/>
              <w:tr2bl w:val="nil"/>
            </w:tcBorders>
            <w:noWrap w:val="0"/>
            <w:vAlign w:val="center"/>
          </w:tcPr>
          <w:p w14:paraId="72E8903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1-6#仓顶除尘器+室内沉降</w:t>
            </w:r>
          </w:p>
        </w:tc>
        <w:tc>
          <w:tcPr>
            <w:tcW w:w="0" w:type="auto"/>
            <w:tcBorders>
              <w:tl2br w:val="nil"/>
              <w:tr2bl w:val="nil"/>
            </w:tcBorders>
            <w:noWrap w:val="0"/>
            <w:vAlign w:val="center"/>
          </w:tcPr>
          <w:p w14:paraId="52592F3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67B11B8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0.0012</w:t>
            </w:r>
          </w:p>
        </w:tc>
        <w:tc>
          <w:tcPr>
            <w:tcW w:w="723" w:type="dxa"/>
            <w:tcBorders>
              <w:tl2br w:val="nil"/>
              <w:tr2bl w:val="nil"/>
            </w:tcBorders>
            <w:noWrap w:val="0"/>
            <w:vAlign w:val="center"/>
          </w:tcPr>
          <w:p w14:paraId="3E56C56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384B8B6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4462A45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264A154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0.0005</w:t>
            </w:r>
          </w:p>
        </w:tc>
      </w:tr>
      <w:tr w14:paraId="21B5A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63" w:type="dxa"/>
            <w:vMerge w:val="continue"/>
            <w:tcBorders>
              <w:tl2br w:val="nil"/>
              <w:tr2bl w:val="nil"/>
            </w:tcBorders>
            <w:noWrap w:val="0"/>
            <w:vAlign w:val="center"/>
          </w:tcPr>
          <w:p w14:paraId="5CBBCACB">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001CB65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筒仓2-1</w:t>
            </w:r>
          </w:p>
        </w:tc>
        <w:tc>
          <w:tcPr>
            <w:tcW w:w="745" w:type="dxa"/>
            <w:tcBorders>
              <w:tl2br w:val="nil"/>
              <w:tr2bl w:val="nil"/>
            </w:tcBorders>
            <w:noWrap w:val="0"/>
            <w:vAlign w:val="center"/>
          </w:tcPr>
          <w:p w14:paraId="3A9C3EBB">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3F35CFA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4.8</w:t>
            </w:r>
          </w:p>
        </w:tc>
        <w:tc>
          <w:tcPr>
            <w:tcW w:w="1333" w:type="dxa"/>
            <w:tcBorders>
              <w:tl2br w:val="nil"/>
              <w:tr2bl w:val="nil"/>
            </w:tcBorders>
            <w:noWrap w:val="0"/>
            <w:vAlign w:val="center"/>
          </w:tcPr>
          <w:p w14:paraId="6814D07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2B967D6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2988" w:type="dxa"/>
            <w:tcBorders>
              <w:tl2br w:val="nil"/>
              <w:tr2bl w:val="nil"/>
            </w:tcBorders>
            <w:noWrap w:val="0"/>
            <w:vAlign w:val="center"/>
          </w:tcPr>
          <w:p w14:paraId="4BE9BAC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2-1#仓顶除尘器+室内沉降</w:t>
            </w:r>
          </w:p>
        </w:tc>
        <w:tc>
          <w:tcPr>
            <w:tcW w:w="0" w:type="auto"/>
            <w:tcBorders>
              <w:tl2br w:val="nil"/>
              <w:tr2bl w:val="nil"/>
            </w:tcBorders>
            <w:noWrap w:val="0"/>
            <w:vAlign w:val="center"/>
          </w:tcPr>
          <w:p w14:paraId="37C4679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2EBB656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0.048</w:t>
            </w:r>
          </w:p>
        </w:tc>
        <w:tc>
          <w:tcPr>
            <w:tcW w:w="723" w:type="dxa"/>
            <w:tcBorders>
              <w:tl2br w:val="nil"/>
              <w:tr2bl w:val="nil"/>
            </w:tcBorders>
            <w:noWrap w:val="0"/>
            <w:vAlign w:val="center"/>
          </w:tcPr>
          <w:p w14:paraId="00A171E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1FD8A99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05CC228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03E4C28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0.02</w:t>
            </w:r>
          </w:p>
        </w:tc>
      </w:tr>
      <w:tr w14:paraId="0AC55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63" w:type="dxa"/>
            <w:vMerge w:val="continue"/>
            <w:tcBorders>
              <w:tl2br w:val="nil"/>
              <w:tr2bl w:val="nil"/>
            </w:tcBorders>
            <w:noWrap w:val="0"/>
            <w:vAlign w:val="center"/>
          </w:tcPr>
          <w:p w14:paraId="150CF3B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523C88D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筒仓2-2</w:t>
            </w:r>
          </w:p>
        </w:tc>
        <w:tc>
          <w:tcPr>
            <w:tcW w:w="745" w:type="dxa"/>
            <w:tcBorders>
              <w:tl2br w:val="nil"/>
              <w:tr2bl w:val="nil"/>
            </w:tcBorders>
            <w:noWrap w:val="0"/>
            <w:vAlign w:val="center"/>
          </w:tcPr>
          <w:p w14:paraId="64BF458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2A6184B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3.6</w:t>
            </w:r>
          </w:p>
        </w:tc>
        <w:tc>
          <w:tcPr>
            <w:tcW w:w="1333" w:type="dxa"/>
            <w:tcBorders>
              <w:tl2br w:val="nil"/>
              <w:tr2bl w:val="nil"/>
            </w:tcBorders>
            <w:noWrap w:val="0"/>
            <w:vAlign w:val="center"/>
          </w:tcPr>
          <w:p w14:paraId="2336A5E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211134C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2988" w:type="dxa"/>
            <w:tcBorders>
              <w:tl2br w:val="nil"/>
              <w:tr2bl w:val="nil"/>
            </w:tcBorders>
            <w:noWrap w:val="0"/>
            <w:vAlign w:val="center"/>
          </w:tcPr>
          <w:p w14:paraId="7AF6224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2-2#仓顶除尘器+室内沉降</w:t>
            </w:r>
          </w:p>
        </w:tc>
        <w:tc>
          <w:tcPr>
            <w:tcW w:w="0" w:type="auto"/>
            <w:tcBorders>
              <w:tl2br w:val="nil"/>
              <w:tr2bl w:val="nil"/>
            </w:tcBorders>
            <w:noWrap w:val="0"/>
            <w:vAlign w:val="center"/>
          </w:tcPr>
          <w:p w14:paraId="44EDECE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2217A786">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0.036</w:t>
            </w:r>
          </w:p>
        </w:tc>
        <w:tc>
          <w:tcPr>
            <w:tcW w:w="723" w:type="dxa"/>
            <w:tcBorders>
              <w:tl2br w:val="nil"/>
              <w:tr2bl w:val="nil"/>
            </w:tcBorders>
            <w:noWrap w:val="0"/>
            <w:vAlign w:val="center"/>
          </w:tcPr>
          <w:p w14:paraId="198D666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0682D83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607306D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092EEE9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0.015</w:t>
            </w:r>
          </w:p>
        </w:tc>
      </w:tr>
      <w:tr w14:paraId="77985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63" w:type="dxa"/>
            <w:vMerge w:val="continue"/>
            <w:tcBorders>
              <w:tl2br w:val="nil"/>
              <w:tr2bl w:val="nil"/>
            </w:tcBorders>
            <w:noWrap w:val="0"/>
            <w:vAlign w:val="center"/>
          </w:tcPr>
          <w:p w14:paraId="01281D6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p>
        </w:tc>
        <w:tc>
          <w:tcPr>
            <w:tcW w:w="612" w:type="dxa"/>
            <w:tcBorders>
              <w:tl2br w:val="nil"/>
              <w:tr2bl w:val="nil"/>
            </w:tcBorders>
            <w:noWrap w:val="0"/>
            <w:vAlign w:val="center"/>
          </w:tcPr>
          <w:p w14:paraId="6F56DCE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筒仓2-3</w:t>
            </w:r>
          </w:p>
        </w:tc>
        <w:tc>
          <w:tcPr>
            <w:tcW w:w="745" w:type="dxa"/>
            <w:tcBorders>
              <w:tl2br w:val="nil"/>
              <w:tr2bl w:val="nil"/>
            </w:tcBorders>
            <w:noWrap w:val="0"/>
            <w:vAlign w:val="center"/>
          </w:tcPr>
          <w:p w14:paraId="58F1749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06457FD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15.36</w:t>
            </w:r>
          </w:p>
        </w:tc>
        <w:tc>
          <w:tcPr>
            <w:tcW w:w="1333" w:type="dxa"/>
            <w:tcBorders>
              <w:tl2br w:val="nil"/>
              <w:tr2bl w:val="nil"/>
            </w:tcBorders>
            <w:noWrap w:val="0"/>
            <w:vAlign w:val="center"/>
          </w:tcPr>
          <w:p w14:paraId="33390FE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53FBA0B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99%</w:t>
            </w:r>
          </w:p>
        </w:tc>
        <w:tc>
          <w:tcPr>
            <w:tcW w:w="2988" w:type="dxa"/>
            <w:tcBorders>
              <w:tl2br w:val="nil"/>
              <w:tr2bl w:val="nil"/>
            </w:tcBorders>
            <w:noWrap w:val="0"/>
            <w:vAlign w:val="center"/>
          </w:tcPr>
          <w:p w14:paraId="64929A2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2-3#仓顶除尘器+室内沉降</w:t>
            </w:r>
          </w:p>
        </w:tc>
        <w:tc>
          <w:tcPr>
            <w:tcW w:w="0" w:type="auto"/>
            <w:tcBorders>
              <w:tl2br w:val="nil"/>
              <w:tr2bl w:val="nil"/>
            </w:tcBorders>
            <w:noWrap w:val="0"/>
            <w:vAlign w:val="center"/>
          </w:tcPr>
          <w:p w14:paraId="0E4B38E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是</w:t>
            </w:r>
          </w:p>
        </w:tc>
        <w:tc>
          <w:tcPr>
            <w:tcW w:w="1240" w:type="dxa"/>
            <w:tcBorders>
              <w:tl2br w:val="nil"/>
              <w:tr2bl w:val="nil"/>
            </w:tcBorders>
            <w:noWrap w:val="0"/>
            <w:vAlign w:val="center"/>
          </w:tcPr>
          <w:p w14:paraId="113C281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0.1536</w:t>
            </w:r>
          </w:p>
        </w:tc>
        <w:tc>
          <w:tcPr>
            <w:tcW w:w="723" w:type="dxa"/>
            <w:tcBorders>
              <w:tl2br w:val="nil"/>
              <w:tr2bl w:val="nil"/>
            </w:tcBorders>
            <w:noWrap w:val="0"/>
            <w:vAlign w:val="center"/>
          </w:tcPr>
          <w:p w14:paraId="7AA4A2E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626229BF">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3ED82051">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254412A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0.064</w:t>
            </w:r>
          </w:p>
        </w:tc>
      </w:tr>
      <w:tr w14:paraId="7A3D9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63" w:type="dxa"/>
            <w:tcBorders>
              <w:tl2br w:val="nil"/>
              <w:tr2bl w:val="nil"/>
            </w:tcBorders>
            <w:noWrap w:val="0"/>
            <w:vAlign w:val="center"/>
          </w:tcPr>
          <w:p w14:paraId="71C3ABF6">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厂区</w:t>
            </w:r>
          </w:p>
        </w:tc>
        <w:tc>
          <w:tcPr>
            <w:tcW w:w="612" w:type="dxa"/>
            <w:tcBorders>
              <w:tl2br w:val="nil"/>
              <w:tr2bl w:val="nil"/>
            </w:tcBorders>
            <w:noWrap w:val="0"/>
            <w:vAlign w:val="center"/>
          </w:tcPr>
          <w:p w14:paraId="6856C450">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车辆运输</w:t>
            </w:r>
          </w:p>
        </w:tc>
        <w:tc>
          <w:tcPr>
            <w:tcW w:w="745" w:type="dxa"/>
            <w:tcBorders>
              <w:tl2br w:val="nil"/>
              <w:tr2bl w:val="nil"/>
            </w:tcBorders>
            <w:noWrap w:val="0"/>
            <w:vAlign w:val="center"/>
          </w:tcPr>
          <w:p w14:paraId="3E9230B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颗粒物</w:t>
            </w:r>
          </w:p>
        </w:tc>
        <w:tc>
          <w:tcPr>
            <w:tcW w:w="763" w:type="dxa"/>
            <w:tcBorders>
              <w:tl2br w:val="nil"/>
              <w:tr2bl w:val="nil"/>
            </w:tcBorders>
            <w:noWrap w:val="0"/>
            <w:vAlign w:val="center"/>
          </w:tcPr>
          <w:p w14:paraId="3B5BAF8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0.041</w:t>
            </w:r>
          </w:p>
        </w:tc>
        <w:tc>
          <w:tcPr>
            <w:tcW w:w="1333" w:type="dxa"/>
            <w:tcBorders>
              <w:tl2br w:val="nil"/>
              <w:tr2bl w:val="nil"/>
            </w:tcBorders>
            <w:noWrap w:val="0"/>
            <w:vAlign w:val="center"/>
          </w:tcPr>
          <w:p w14:paraId="34D71F9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2757AD25">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66%</w:t>
            </w:r>
          </w:p>
        </w:tc>
        <w:tc>
          <w:tcPr>
            <w:tcW w:w="0" w:type="auto"/>
            <w:tcBorders>
              <w:tl2br w:val="nil"/>
              <w:tr2bl w:val="nil"/>
            </w:tcBorders>
            <w:noWrap w:val="0"/>
            <w:vAlign w:val="center"/>
          </w:tcPr>
          <w:p w14:paraId="7FA7A20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密闭运输物料、</w:t>
            </w:r>
            <w:r>
              <w:rPr>
                <w:rFonts w:hint="eastAsia" w:cs="Times New Roman"/>
                <w:color w:val="auto"/>
                <w:kern w:val="2"/>
                <w:sz w:val="18"/>
                <w:szCs w:val="18"/>
                <w:lang w:val="en-US" w:eastAsia="zh-CN"/>
              </w:rPr>
              <w:t>清理道路</w:t>
            </w:r>
          </w:p>
        </w:tc>
        <w:tc>
          <w:tcPr>
            <w:tcW w:w="0" w:type="auto"/>
            <w:tcBorders>
              <w:tl2br w:val="nil"/>
              <w:tr2bl w:val="nil"/>
            </w:tcBorders>
            <w:noWrap w:val="0"/>
            <w:vAlign w:val="center"/>
          </w:tcPr>
          <w:p w14:paraId="727D510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color w:val="auto"/>
                <w:kern w:val="2"/>
                <w:sz w:val="18"/>
                <w:szCs w:val="18"/>
                <w:lang w:val="en-US" w:eastAsia="zh-CN"/>
              </w:rPr>
            </w:pPr>
            <w:r>
              <w:rPr>
                <w:rFonts w:hint="eastAsia" w:cs="Times New Roman"/>
                <w:color w:val="auto"/>
                <w:kern w:val="2"/>
                <w:sz w:val="18"/>
                <w:szCs w:val="18"/>
                <w:lang w:val="en-US" w:eastAsia="zh-CN"/>
              </w:rPr>
              <w:t>/</w:t>
            </w:r>
          </w:p>
        </w:tc>
        <w:tc>
          <w:tcPr>
            <w:tcW w:w="1240" w:type="dxa"/>
            <w:tcBorders>
              <w:tl2br w:val="nil"/>
              <w:tr2bl w:val="nil"/>
            </w:tcBorders>
            <w:noWrap w:val="0"/>
            <w:vAlign w:val="center"/>
          </w:tcPr>
          <w:p w14:paraId="67D4B048">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18"/>
                <w:szCs w:val="18"/>
                <w:highlight w:val="none"/>
                <w:lang w:val="en-US" w:eastAsia="zh-CN" w:bidi="ar-SA"/>
              </w:rPr>
            </w:pPr>
            <w:r>
              <w:rPr>
                <w:rFonts w:hint="eastAsia" w:eastAsia="宋体" w:cs="Times New Roman"/>
                <w:snapToGrid w:val="0"/>
                <w:color w:val="auto"/>
                <w:sz w:val="18"/>
                <w:szCs w:val="18"/>
                <w:highlight w:val="none"/>
                <w:lang w:val="en-US" w:eastAsia="zh-CN" w:bidi="ar-SA"/>
              </w:rPr>
              <w:t>0.014</w:t>
            </w:r>
          </w:p>
        </w:tc>
        <w:tc>
          <w:tcPr>
            <w:tcW w:w="723" w:type="dxa"/>
            <w:tcBorders>
              <w:tl2br w:val="nil"/>
              <w:tr2bl w:val="nil"/>
            </w:tcBorders>
            <w:noWrap w:val="0"/>
            <w:vAlign w:val="center"/>
          </w:tcPr>
          <w:p w14:paraId="201690B4">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2</w:t>
            </w:r>
            <w:r>
              <w:rPr>
                <w:rFonts w:hint="eastAsia" w:ascii="Times New Roman" w:hAnsi="Times New Roman" w:eastAsia="宋体" w:cs="Times New Roman"/>
                <w:color w:val="auto"/>
                <w:kern w:val="2"/>
                <w:sz w:val="18"/>
                <w:szCs w:val="18"/>
                <w:lang w:val="en-US" w:eastAsia="zh-CN"/>
              </w:rPr>
              <w:t>400</w:t>
            </w:r>
          </w:p>
        </w:tc>
        <w:tc>
          <w:tcPr>
            <w:tcW w:w="0" w:type="auto"/>
            <w:tcBorders>
              <w:tl2br w:val="nil"/>
              <w:tr2bl w:val="nil"/>
            </w:tcBorders>
            <w:noWrap w:val="0"/>
            <w:vAlign w:val="center"/>
          </w:tcPr>
          <w:p w14:paraId="3DBA85D7">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lang w:val="en-US" w:eastAsia="zh-CN"/>
              </w:rPr>
            </w:pPr>
            <w:r>
              <w:rPr>
                <w:rFonts w:hint="eastAsia" w:cs="Times New Roman"/>
                <w:color w:val="auto"/>
                <w:kern w:val="2"/>
                <w:sz w:val="18"/>
                <w:szCs w:val="18"/>
                <w:lang w:val="en-US" w:eastAsia="zh-CN"/>
              </w:rPr>
              <w:t>/</w:t>
            </w:r>
          </w:p>
        </w:tc>
        <w:tc>
          <w:tcPr>
            <w:tcW w:w="0" w:type="auto"/>
            <w:tcBorders>
              <w:tl2br w:val="nil"/>
              <w:tr2bl w:val="nil"/>
            </w:tcBorders>
            <w:noWrap w:val="0"/>
            <w:vAlign w:val="center"/>
          </w:tcPr>
          <w:p w14:paraId="1F035F6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无组织排放</w:t>
            </w:r>
          </w:p>
        </w:tc>
        <w:tc>
          <w:tcPr>
            <w:tcW w:w="0" w:type="auto"/>
            <w:tcBorders>
              <w:tl2br w:val="nil"/>
              <w:tr2bl w:val="nil"/>
            </w:tcBorders>
            <w:noWrap w:val="0"/>
            <w:vAlign w:val="center"/>
          </w:tcPr>
          <w:p w14:paraId="1C11130D">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b w:val="0"/>
                <w:bCs w:val="0"/>
                <w:color w:val="auto"/>
                <w:sz w:val="18"/>
                <w:szCs w:val="18"/>
                <w:highlight w:val="none"/>
                <w:lang w:val="en-US" w:eastAsia="zh-CN" w:bidi="ar"/>
              </w:rPr>
            </w:pPr>
            <w:r>
              <w:rPr>
                <w:rFonts w:hint="eastAsia"/>
                <w:b w:val="0"/>
                <w:bCs w:val="0"/>
                <w:color w:val="auto"/>
                <w:sz w:val="18"/>
                <w:szCs w:val="18"/>
                <w:highlight w:val="none"/>
                <w:lang w:val="en-US" w:eastAsia="zh-CN" w:bidi="ar"/>
              </w:rPr>
              <w:t>0.0058</w:t>
            </w:r>
          </w:p>
        </w:tc>
      </w:tr>
    </w:tbl>
    <w:p w14:paraId="63589609">
      <w:pPr>
        <w:pStyle w:val="28"/>
        <w:bidi w:val="0"/>
        <w:rPr>
          <w:color w:val="auto"/>
          <w:lang w:val="zh-CN"/>
        </w:rPr>
      </w:pPr>
    </w:p>
    <w:p w14:paraId="2C598C5C">
      <w:pPr>
        <w:pStyle w:val="28"/>
        <w:bidi w:val="0"/>
        <w:rPr>
          <w:color w:val="auto"/>
        </w:rPr>
      </w:pPr>
      <w:r>
        <w:rPr>
          <w:color w:val="auto"/>
          <w:lang w:val="zh-CN"/>
        </w:rPr>
        <w:t>表</w:t>
      </w:r>
      <w:r>
        <w:rPr>
          <w:rFonts w:hint="eastAsia"/>
          <w:color w:val="auto"/>
        </w:rPr>
        <w:t>4-</w:t>
      </w:r>
      <w:r>
        <w:rPr>
          <w:rFonts w:hint="eastAsia"/>
          <w:color w:val="auto"/>
          <w:lang w:val="en-US" w:eastAsia="zh-CN"/>
        </w:rPr>
        <w:t xml:space="preserve">3 </w:t>
      </w:r>
      <w:r>
        <w:rPr>
          <w:rFonts w:hint="eastAsia"/>
          <w:color w:val="auto"/>
        </w:rPr>
        <w:t>点源大气排放口基本情况表</w:t>
      </w:r>
    </w:p>
    <w:tbl>
      <w:tblPr>
        <w:tblStyle w:val="1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013"/>
        <w:gridCol w:w="1114"/>
        <w:gridCol w:w="1085"/>
        <w:gridCol w:w="917"/>
        <w:gridCol w:w="1100"/>
        <w:gridCol w:w="1083"/>
        <w:gridCol w:w="902"/>
        <w:gridCol w:w="641"/>
        <w:gridCol w:w="886"/>
        <w:gridCol w:w="1882"/>
        <w:gridCol w:w="1691"/>
        <w:gridCol w:w="1316"/>
      </w:tblGrid>
      <w:tr w14:paraId="1546F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vMerge w:val="restart"/>
            <w:noWrap w:val="0"/>
            <w:vAlign w:val="center"/>
          </w:tcPr>
          <w:p w14:paraId="360D470F">
            <w:pPr>
              <w:pStyle w:val="30"/>
              <w:bidi w:val="0"/>
              <w:rPr>
                <w:color w:val="auto"/>
                <w:sz w:val="18"/>
                <w:szCs w:val="20"/>
              </w:rPr>
            </w:pPr>
            <w:r>
              <w:rPr>
                <w:rFonts w:hint="eastAsia"/>
                <w:color w:val="auto"/>
                <w:sz w:val="18"/>
                <w:szCs w:val="20"/>
              </w:rPr>
              <w:t>编号</w:t>
            </w:r>
          </w:p>
        </w:tc>
        <w:tc>
          <w:tcPr>
            <w:tcW w:w="357" w:type="pct"/>
            <w:vMerge w:val="restart"/>
            <w:noWrap w:val="0"/>
            <w:vAlign w:val="center"/>
          </w:tcPr>
          <w:p w14:paraId="4DCCD04D">
            <w:pPr>
              <w:pStyle w:val="30"/>
              <w:bidi w:val="0"/>
              <w:rPr>
                <w:color w:val="auto"/>
                <w:sz w:val="18"/>
                <w:szCs w:val="20"/>
              </w:rPr>
            </w:pPr>
            <w:r>
              <w:rPr>
                <w:color w:val="auto"/>
                <w:sz w:val="18"/>
                <w:szCs w:val="20"/>
              </w:rPr>
              <w:t>污染源</w:t>
            </w:r>
          </w:p>
          <w:p w14:paraId="40B0564F">
            <w:pPr>
              <w:pStyle w:val="30"/>
              <w:bidi w:val="0"/>
              <w:rPr>
                <w:color w:val="auto"/>
                <w:sz w:val="18"/>
                <w:szCs w:val="20"/>
              </w:rPr>
            </w:pPr>
            <w:r>
              <w:rPr>
                <w:color w:val="auto"/>
                <w:sz w:val="18"/>
                <w:szCs w:val="20"/>
              </w:rPr>
              <w:t>名称</w:t>
            </w:r>
          </w:p>
        </w:tc>
        <w:tc>
          <w:tcPr>
            <w:tcW w:w="776" w:type="pct"/>
            <w:gridSpan w:val="2"/>
            <w:noWrap w:val="0"/>
            <w:vAlign w:val="center"/>
          </w:tcPr>
          <w:p w14:paraId="4826C9E0">
            <w:pPr>
              <w:pStyle w:val="30"/>
              <w:bidi w:val="0"/>
              <w:rPr>
                <w:color w:val="auto"/>
                <w:sz w:val="18"/>
                <w:szCs w:val="20"/>
              </w:rPr>
            </w:pPr>
            <w:r>
              <w:rPr>
                <w:color w:val="auto"/>
                <w:sz w:val="18"/>
                <w:szCs w:val="20"/>
              </w:rPr>
              <w:t>排气筒底部中心坐标</w:t>
            </w:r>
          </w:p>
        </w:tc>
        <w:tc>
          <w:tcPr>
            <w:tcW w:w="323" w:type="pct"/>
            <w:vMerge w:val="restart"/>
            <w:noWrap w:val="0"/>
            <w:vAlign w:val="center"/>
          </w:tcPr>
          <w:p w14:paraId="65E366CC">
            <w:pPr>
              <w:pStyle w:val="30"/>
              <w:bidi w:val="0"/>
              <w:rPr>
                <w:color w:val="auto"/>
                <w:sz w:val="18"/>
                <w:szCs w:val="20"/>
              </w:rPr>
            </w:pPr>
            <w:r>
              <w:rPr>
                <w:color w:val="auto"/>
                <w:sz w:val="18"/>
                <w:szCs w:val="20"/>
              </w:rPr>
              <w:t>排气筒高度/m</w:t>
            </w:r>
          </w:p>
        </w:tc>
        <w:tc>
          <w:tcPr>
            <w:tcW w:w="388" w:type="pct"/>
            <w:vMerge w:val="restart"/>
            <w:noWrap w:val="0"/>
            <w:vAlign w:val="center"/>
          </w:tcPr>
          <w:p w14:paraId="4B9EB39E">
            <w:pPr>
              <w:pStyle w:val="30"/>
              <w:bidi w:val="0"/>
              <w:rPr>
                <w:color w:val="auto"/>
                <w:sz w:val="18"/>
                <w:szCs w:val="20"/>
              </w:rPr>
            </w:pPr>
            <w:r>
              <w:rPr>
                <w:color w:val="auto"/>
                <w:sz w:val="18"/>
                <w:szCs w:val="20"/>
              </w:rPr>
              <w:t>排气筒出口内径/m</w:t>
            </w:r>
          </w:p>
        </w:tc>
        <w:tc>
          <w:tcPr>
            <w:tcW w:w="382" w:type="pct"/>
            <w:vMerge w:val="restart"/>
            <w:noWrap w:val="0"/>
            <w:vAlign w:val="center"/>
          </w:tcPr>
          <w:p w14:paraId="062C129B">
            <w:pPr>
              <w:pStyle w:val="30"/>
              <w:bidi w:val="0"/>
              <w:rPr>
                <w:color w:val="auto"/>
                <w:sz w:val="18"/>
                <w:szCs w:val="20"/>
              </w:rPr>
            </w:pPr>
            <w:r>
              <w:rPr>
                <w:rFonts w:hint="eastAsia"/>
                <w:color w:val="auto"/>
                <w:sz w:val="18"/>
                <w:szCs w:val="20"/>
              </w:rPr>
              <w:t>废气出口温度/℃</w:t>
            </w:r>
          </w:p>
        </w:tc>
        <w:tc>
          <w:tcPr>
            <w:tcW w:w="318" w:type="pct"/>
            <w:vMerge w:val="restart"/>
            <w:noWrap w:val="0"/>
            <w:vAlign w:val="center"/>
          </w:tcPr>
          <w:p w14:paraId="7777E4A2">
            <w:pPr>
              <w:pStyle w:val="30"/>
              <w:bidi w:val="0"/>
              <w:rPr>
                <w:color w:val="auto"/>
                <w:sz w:val="18"/>
                <w:szCs w:val="20"/>
              </w:rPr>
            </w:pPr>
            <w:r>
              <w:rPr>
                <w:rFonts w:hint="eastAsia"/>
                <w:color w:val="auto"/>
                <w:sz w:val="18"/>
                <w:szCs w:val="20"/>
              </w:rPr>
              <w:t>排放口</w:t>
            </w:r>
          </w:p>
          <w:p w14:paraId="192734B2">
            <w:pPr>
              <w:pStyle w:val="30"/>
              <w:bidi w:val="0"/>
              <w:rPr>
                <w:color w:val="auto"/>
                <w:sz w:val="18"/>
                <w:szCs w:val="20"/>
              </w:rPr>
            </w:pPr>
            <w:r>
              <w:rPr>
                <w:rFonts w:hint="eastAsia"/>
                <w:color w:val="auto"/>
                <w:sz w:val="18"/>
                <w:szCs w:val="20"/>
              </w:rPr>
              <w:t>类型</w:t>
            </w:r>
          </w:p>
        </w:tc>
        <w:tc>
          <w:tcPr>
            <w:tcW w:w="226" w:type="pct"/>
            <w:vMerge w:val="restart"/>
            <w:noWrap w:val="0"/>
            <w:vAlign w:val="center"/>
          </w:tcPr>
          <w:p w14:paraId="2D825C2B">
            <w:pPr>
              <w:pStyle w:val="30"/>
              <w:bidi w:val="0"/>
              <w:rPr>
                <w:color w:val="auto"/>
                <w:sz w:val="18"/>
                <w:szCs w:val="20"/>
              </w:rPr>
            </w:pPr>
            <w:r>
              <w:rPr>
                <w:rFonts w:hint="eastAsia"/>
                <w:color w:val="auto"/>
                <w:sz w:val="18"/>
                <w:szCs w:val="20"/>
              </w:rPr>
              <w:t>排放</w:t>
            </w:r>
          </w:p>
          <w:p w14:paraId="52605B80">
            <w:pPr>
              <w:pStyle w:val="30"/>
              <w:bidi w:val="0"/>
              <w:rPr>
                <w:color w:val="auto"/>
                <w:sz w:val="18"/>
                <w:szCs w:val="20"/>
              </w:rPr>
            </w:pPr>
            <w:r>
              <w:rPr>
                <w:rFonts w:hint="eastAsia"/>
                <w:color w:val="auto"/>
                <w:sz w:val="18"/>
                <w:szCs w:val="20"/>
              </w:rPr>
              <w:t>工况</w:t>
            </w:r>
          </w:p>
        </w:tc>
        <w:tc>
          <w:tcPr>
            <w:tcW w:w="2038" w:type="pct"/>
            <w:gridSpan w:val="4"/>
            <w:noWrap w:val="0"/>
            <w:vAlign w:val="center"/>
          </w:tcPr>
          <w:p w14:paraId="4C2460D5">
            <w:pPr>
              <w:pStyle w:val="30"/>
              <w:bidi w:val="0"/>
              <w:rPr>
                <w:color w:val="auto"/>
                <w:sz w:val="18"/>
                <w:szCs w:val="20"/>
              </w:rPr>
            </w:pPr>
            <w:r>
              <w:rPr>
                <w:rFonts w:hint="eastAsia"/>
                <w:color w:val="auto"/>
                <w:sz w:val="18"/>
                <w:szCs w:val="20"/>
              </w:rPr>
              <w:t>污染物排放情况</w:t>
            </w:r>
          </w:p>
        </w:tc>
      </w:tr>
      <w:tr w14:paraId="0530D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vMerge w:val="continue"/>
            <w:noWrap w:val="0"/>
            <w:vAlign w:val="center"/>
          </w:tcPr>
          <w:p w14:paraId="0AF97DBA">
            <w:pPr>
              <w:pStyle w:val="30"/>
              <w:bidi w:val="0"/>
              <w:rPr>
                <w:color w:val="auto"/>
                <w:sz w:val="18"/>
                <w:szCs w:val="20"/>
              </w:rPr>
            </w:pPr>
          </w:p>
        </w:tc>
        <w:tc>
          <w:tcPr>
            <w:tcW w:w="357" w:type="pct"/>
            <w:vMerge w:val="continue"/>
            <w:noWrap w:val="0"/>
            <w:vAlign w:val="center"/>
          </w:tcPr>
          <w:p w14:paraId="0D0FDD09">
            <w:pPr>
              <w:pStyle w:val="30"/>
              <w:bidi w:val="0"/>
              <w:rPr>
                <w:color w:val="auto"/>
                <w:sz w:val="18"/>
                <w:szCs w:val="20"/>
              </w:rPr>
            </w:pPr>
          </w:p>
        </w:tc>
        <w:tc>
          <w:tcPr>
            <w:tcW w:w="393" w:type="pct"/>
            <w:noWrap w:val="0"/>
            <w:vAlign w:val="center"/>
          </w:tcPr>
          <w:p w14:paraId="2E722B37">
            <w:pPr>
              <w:pStyle w:val="30"/>
              <w:bidi w:val="0"/>
              <w:rPr>
                <w:rFonts w:hint="eastAsia" w:eastAsia="宋体"/>
                <w:color w:val="auto"/>
                <w:sz w:val="18"/>
                <w:szCs w:val="20"/>
                <w:lang w:eastAsia="zh-CN"/>
              </w:rPr>
            </w:pPr>
            <w:r>
              <w:rPr>
                <w:rFonts w:hint="eastAsia"/>
                <w:color w:val="auto"/>
                <w:sz w:val="18"/>
                <w:szCs w:val="20"/>
                <w:lang w:val="en-US" w:eastAsia="zh-CN"/>
              </w:rPr>
              <w:t>东经</w:t>
            </w:r>
          </w:p>
        </w:tc>
        <w:tc>
          <w:tcPr>
            <w:tcW w:w="382" w:type="pct"/>
            <w:noWrap w:val="0"/>
            <w:vAlign w:val="center"/>
          </w:tcPr>
          <w:p w14:paraId="40F90FE5">
            <w:pPr>
              <w:pStyle w:val="30"/>
              <w:bidi w:val="0"/>
              <w:rPr>
                <w:rFonts w:hint="eastAsia" w:eastAsia="宋体"/>
                <w:color w:val="auto"/>
                <w:sz w:val="18"/>
                <w:szCs w:val="20"/>
                <w:lang w:eastAsia="zh-CN"/>
              </w:rPr>
            </w:pPr>
            <w:r>
              <w:rPr>
                <w:rFonts w:hint="eastAsia"/>
                <w:color w:val="auto"/>
                <w:sz w:val="18"/>
                <w:szCs w:val="20"/>
                <w:lang w:val="en-US" w:eastAsia="zh-CN"/>
              </w:rPr>
              <w:t>北纬</w:t>
            </w:r>
          </w:p>
        </w:tc>
        <w:tc>
          <w:tcPr>
            <w:tcW w:w="323" w:type="pct"/>
            <w:vMerge w:val="continue"/>
            <w:noWrap w:val="0"/>
            <w:vAlign w:val="center"/>
          </w:tcPr>
          <w:p w14:paraId="0C845DB2">
            <w:pPr>
              <w:pStyle w:val="30"/>
              <w:bidi w:val="0"/>
              <w:rPr>
                <w:color w:val="auto"/>
                <w:sz w:val="18"/>
                <w:szCs w:val="20"/>
              </w:rPr>
            </w:pPr>
          </w:p>
        </w:tc>
        <w:tc>
          <w:tcPr>
            <w:tcW w:w="388" w:type="pct"/>
            <w:vMerge w:val="continue"/>
            <w:noWrap w:val="0"/>
            <w:vAlign w:val="center"/>
          </w:tcPr>
          <w:p w14:paraId="6F79D737">
            <w:pPr>
              <w:pStyle w:val="30"/>
              <w:bidi w:val="0"/>
              <w:rPr>
                <w:color w:val="auto"/>
                <w:sz w:val="18"/>
                <w:szCs w:val="20"/>
              </w:rPr>
            </w:pPr>
          </w:p>
        </w:tc>
        <w:tc>
          <w:tcPr>
            <w:tcW w:w="382" w:type="pct"/>
            <w:vMerge w:val="continue"/>
            <w:noWrap w:val="0"/>
            <w:vAlign w:val="center"/>
          </w:tcPr>
          <w:p w14:paraId="64572FF7">
            <w:pPr>
              <w:pStyle w:val="30"/>
              <w:bidi w:val="0"/>
              <w:rPr>
                <w:color w:val="auto"/>
                <w:sz w:val="18"/>
                <w:szCs w:val="20"/>
              </w:rPr>
            </w:pPr>
          </w:p>
        </w:tc>
        <w:tc>
          <w:tcPr>
            <w:tcW w:w="318" w:type="pct"/>
            <w:vMerge w:val="continue"/>
            <w:noWrap w:val="0"/>
            <w:vAlign w:val="center"/>
          </w:tcPr>
          <w:p w14:paraId="60530BA7">
            <w:pPr>
              <w:pStyle w:val="30"/>
              <w:bidi w:val="0"/>
              <w:rPr>
                <w:color w:val="auto"/>
                <w:sz w:val="18"/>
                <w:szCs w:val="20"/>
              </w:rPr>
            </w:pPr>
          </w:p>
        </w:tc>
        <w:tc>
          <w:tcPr>
            <w:tcW w:w="226" w:type="pct"/>
            <w:vMerge w:val="continue"/>
            <w:noWrap w:val="0"/>
            <w:vAlign w:val="center"/>
          </w:tcPr>
          <w:p w14:paraId="6F0978A0">
            <w:pPr>
              <w:pStyle w:val="30"/>
              <w:bidi w:val="0"/>
              <w:rPr>
                <w:color w:val="auto"/>
                <w:sz w:val="18"/>
                <w:szCs w:val="20"/>
              </w:rPr>
            </w:pPr>
          </w:p>
        </w:tc>
        <w:tc>
          <w:tcPr>
            <w:tcW w:w="312" w:type="pct"/>
            <w:noWrap w:val="0"/>
            <w:vAlign w:val="center"/>
          </w:tcPr>
          <w:p w14:paraId="1CB98AE6">
            <w:pPr>
              <w:pStyle w:val="30"/>
              <w:bidi w:val="0"/>
              <w:jc w:val="center"/>
              <w:rPr>
                <w:color w:val="auto"/>
                <w:sz w:val="18"/>
                <w:szCs w:val="20"/>
              </w:rPr>
            </w:pPr>
            <w:r>
              <w:rPr>
                <w:rFonts w:hint="eastAsia"/>
                <w:color w:val="auto"/>
                <w:sz w:val="18"/>
                <w:szCs w:val="20"/>
              </w:rPr>
              <w:t>名称</w:t>
            </w:r>
          </w:p>
        </w:tc>
        <w:tc>
          <w:tcPr>
            <w:tcW w:w="664" w:type="pct"/>
            <w:noWrap w:val="0"/>
            <w:vAlign w:val="center"/>
          </w:tcPr>
          <w:p w14:paraId="28ADAF80">
            <w:pPr>
              <w:pStyle w:val="30"/>
              <w:bidi w:val="0"/>
              <w:jc w:val="center"/>
              <w:rPr>
                <w:color w:val="auto"/>
                <w:sz w:val="18"/>
                <w:szCs w:val="20"/>
              </w:rPr>
            </w:pPr>
            <w:r>
              <w:rPr>
                <w:rFonts w:hint="eastAsia"/>
                <w:color w:val="auto"/>
                <w:sz w:val="18"/>
                <w:szCs w:val="20"/>
              </w:rPr>
              <w:t>排放浓度（mg/</w:t>
            </w:r>
            <w:r>
              <w:rPr>
                <w:rFonts w:hint="eastAsia"/>
                <w:color w:val="auto"/>
                <w:sz w:val="18"/>
                <w:szCs w:val="20"/>
                <w:lang w:val="en-US" w:eastAsia="zh-CN"/>
              </w:rPr>
              <w:t>m³</w:t>
            </w:r>
            <w:r>
              <w:rPr>
                <w:rFonts w:hint="eastAsia"/>
                <w:color w:val="auto"/>
                <w:sz w:val="18"/>
                <w:szCs w:val="20"/>
              </w:rPr>
              <w:t>）</w:t>
            </w:r>
          </w:p>
        </w:tc>
        <w:tc>
          <w:tcPr>
            <w:tcW w:w="596" w:type="pct"/>
            <w:noWrap w:val="0"/>
            <w:vAlign w:val="center"/>
          </w:tcPr>
          <w:p w14:paraId="0DA8CF1B">
            <w:pPr>
              <w:pStyle w:val="30"/>
              <w:bidi w:val="0"/>
              <w:jc w:val="center"/>
              <w:rPr>
                <w:color w:val="auto"/>
                <w:sz w:val="18"/>
                <w:szCs w:val="20"/>
              </w:rPr>
            </w:pPr>
            <w:r>
              <w:rPr>
                <w:rFonts w:hint="eastAsia"/>
                <w:color w:val="auto"/>
                <w:sz w:val="18"/>
                <w:szCs w:val="20"/>
              </w:rPr>
              <w:t>排放速率（kg/h）</w:t>
            </w:r>
          </w:p>
        </w:tc>
        <w:tc>
          <w:tcPr>
            <w:tcW w:w="464" w:type="pct"/>
            <w:noWrap w:val="0"/>
            <w:vAlign w:val="center"/>
          </w:tcPr>
          <w:p w14:paraId="2DECE202">
            <w:pPr>
              <w:pStyle w:val="30"/>
              <w:bidi w:val="0"/>
              <w:jc w:val="center"/>
              <w:rPr>
                <w:color w:val="auto"/>
                <w:sz w:val="18"/>
                <w:szCs w:val="20"/>
              </w:rPr>
            </w:pPr>
            <w:r>
              <w:rPr>
                <w:rFonts w:hint="eastAsia"/>
                <w:color w:val="auto"/>
                <w:sz w:val="18"/>
                <w:szCs w:val="20"/>
              </w:rPr>
              <w:t>排放量（t/a）</w:t>
            </w:r>
          </w:p>
        </w:tc>
      </w:tr>
      <w:tr w14:paraId="1D708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 w:type="pct"/>
            <w:noWrap w:val="0"/>
            <w:vAlign w:val="center"/>
          </w:tcPr>
          <w:p w14:paraId="72544DFE">
            <w:pPr>
              <w:pStyle w:val="30"/>
              <w:bidi w:val="0"/>
              <w:rPr>
                <w:rFonts w:hint="default" w:eastAsia="宋体"/>
                <w:color w:val="auto"/>
                <w:sz w:val="18"/>
                <w:szCs w:val="20"/>
                <w:lang w:val="en-US" w:eastAsia="zh-CN"/>
              </w:rPr>
            </w:pPr>
            <w:r>
              <w:rPr>
                <w:rFonts w:hint="eastAsia"/>
                <w:color w:val="auto"/>
                <w:sz w:val="18"/>
                <w:szCs w:val="20"/>
                <w:lang w:val="en-US" w:eastAsia="zh-CN"/>
              </w:rPr>
              <w:t>DA001</w:t>
            </w:r>
          </w:p>
        </w:tc>
        <w:tc>
          <w:tcPr>
            <w:tcW w:w="357" w:type="pct"/>
            <w:noWrap w:val="0"/>
            <w:vAlign w:val="center"/>
          </w:tcPr>
          <w:p w14:paraId="64934D01">
            <w:pPr>
              <w:pStyle w:val="30"/>
              <w:bidi w:val="0"/>
              <w:rPr>
                <w:rFonts w:hint="default" w:ascii="Times New Roman" w:hAnsi="Times New Roman" w:eastAsia="宋体" w:cs="Times New Roman"/>
                <w:color w:val="auto"/>
                <w:sz w:val="18"/>
                <w:szCs w:val="20"/>
                <w:lang w:val="en-US" w:eastAsia="zh-CN"/>
              </w:rPr>
            </w:pPr>
            <w:r>
              <w:rPr>
                <w:rFonts w:hint="eastAsia" w:cs="宋体"/>
                <w:color w:val="auto"/>
                <w:sz w:val="18"/>
                <w:szCs w:val="20"/>
                <w:lang w:val="en-US" w:eastAsia="zh-CN"/>
              </w:rPr>
              <w:t>1#2#号生产线排气筒</w:t>
            </w:r>
          </w:p>
        </w:tc>
        <w:tc>
          <w:tcPr>
            <w:tcW w:w="393" w:type="pct"/>
            <w:noWrap w:val="0"/>
            <w:vAlign w:val="center"/>
          </w:tcPr>
          <w:p w14:paraId="6190B89A">
            <w:pPr>
              <w:pStyle w:val="30"/>
              <w:bidi w:val="0"/>
              <w:ind w:firstLine="0" w:firstLineChars="0"/>
              <w:rPr>
                <w:rFonts w:hint="default" w:ascii="Times New Roman" w:hAnsi="Times New Roman" w:eastAsia="宋体" w:cs="Times New Roman"/>
                <w:color w:val="auto"/>
                <w:sz w:val="18"/>
                <w:szCs w:val="20"/>
                <w:highlight w:val="none"/>
                <w:lang w:eastAsia="zh-CN"/>
              </w:rPr>
            </w:pPr>
          </w:p>
        </w:tc>
        <w:tc>
          <w:tcPr>
            <w:tcW w:w="382" w:type="pct"/>
            <w:noWrap w:val="0"/>
            <w:vAlign w:val="center"/>
          </w:tcPr>
          <w:p w14:paraId="6CF757E6">
            <w:pPr>
              <w:pStyle w:val="30"/>
              <w:bidi w:val="0"/>
              <w:ind w:firstLine="0" w:firstLineChars="0"/>
              <w:rPr>
                <w:rFonts w:hint="default" w:ascii="Times New Roman" w:hAnsi="Times New Roman" w:cs="Times New Roman"/>
                <w:color w:val="auto"/>
                <w:sz w:val="18"/>
                <w:szCs w:val="20"/>
                <w:highlight w:val="none"/>
              </w:rPr>
            </w:pPr>
          </w:p>
        </w:tc>
        <w:tc>
          <w:tcPr>
            <w:tcW w:w="323" w:type="pct"/>
            <w:noWrap w:val="0"/>
            <w:vAlign w:val="center"/>
          </w:tcPr>
          <w:p w14:paraId="18FF4058">
            <w:pPr>
              <w:pStyle w:val="30"/>
              <w:bidi w:val="0"/>
              <w:rPr>
                <w:rFonts w:hint="default" w:ascii="Times New Roman" w:hAnsi="Times New Roman" w:cs="Times New Roman"/>
                <w:color w:val="auto"/>
                <w:sz w:val="18"/>
                <w:szCs w:val="20"/>
                <w:lang w:val="en-US"/>
              </w:rPr>
            </w:pPr>
            <w:r>
              <w:rPr>
                <w:rFonts w:hint="default" w:ascii="Times New Roman" w:hAnsi="Times New Roman" w:cs="Times New Roman"/>
                <w:color w:val="auto"/>
                <w:sz w:val="18"/>
                <w:szCs w:val="20"/>
                <w:lang w:val="en-US" w:eastAsia="zh-CN"/>
              </w:rPr>
              <w:t>15</w:t>
            </w:r>
          </w:p>
        </w:tc>
        <w:tc>
          <w:tcPr>
            <w:tcW w:w="388" w:type="pct"/>
            <w:noWrap w:val="0"/>
            <w:vAlign w:val="center"/>
          </w:tcPr>
          <w:p w14:paraId="12D2C18A">
            <w:pPr>
              <w:pStyle w:val="30"/>
              <w:bidi w:val="0"/>
              <w:rPr>
                <w:rFonts w:hint="default" w:ascii="Times New Roman" w:hAnsi="Times New Roman" w:eastAsia="宋体" w:cs="Times New Roman"/>
                <w:color w:val="auto"/>
                <w:sz w:val="18"/>
                <w:szCs w:val="20"/>
                <w:lang w:eastAsia="zh-CN"/>
              </w:rPr>
            </w:pPr>
            <w:r>
              <w:rPr>
                <w:rFonts w:hint="default" w:ascii="Times New Roman" w:hAnsi="Times New Roman" w:cs="Times New Roman"/>
                <w:color w:val="auto"/>
                <w:sz w:val="18"/>
                <w:szCs w:val="20"/>
              </w:rPr>
              <w:t>0.</w:t>
            </w:r>
            <w:r>
              <w:rPr>
                <w:rFonts w:hint="eastAsia" w:cs="Times New Roman"/>
                <w:color w:val="auto"/>
                <w:sz w:val="18"/>
                <w:szCs w:val="20"/>
                <w:lang w:val="en-US" w:eastAsia="zh-CN"/>
              </w:rPr>
              <w:t>4</w:t>
            </w:r>
          </w:p>
        </w:tc>
        <w:tc>
          <w:tcPr>
            <w:tcW w:w="382" w:type="pct"/>
            <w:noWrap w:val="0"/>
            <w:vAlign w:val="center"/>
          </w:tcPr>
          <w:p w14:paraId="02B674CF">
            <w:pPr>
              <w:pStyle w:val="30"/>
              <w:bidi w:val="0"/>
              <w:rPr>
                <w:rFonts w:hint="default" w:ascii="Times New Roman" w:hAnsi="Times New Roman" w:cs="Times New Roman"/>
                <w:color w:val="auto"/>
                <w:sz w:val="18"/>
                <w:szCs w:val="20"/>
                <w:lang w:val="en-US"/>
              </w:rPr>
            </w:pPr>
            <w:r>
              <w:rPr>
                <w:rFonts w:hint="eastAsia" w:cs="Times New Roman"/>
                <w:color w:val="auto"/>
                <w:sz w:val="18"/>
                <w:szCs w:val="20"/>
                <w:lang w:val="en-US" w:eastAsia="zh-CN"/>
              </w:rPr>
              <w:t>25</w:t>
            </w:r>
          </w:p>
        </w:tc>
        <w:tc>
          <w:tcPr>
            <w:tcW w:w="318" w:type="pct"/>
            <w:noWrap w:val="0"/>
            <w:vAlign w:val="center"/>
          </w:tcPr>
          <w:p w14:paraId="22A7015E">
            <w:pPr>
              <w:pStyle w:val="30"/>
              <w:bidi w:val="0"/>
              <w:rPr>
                <w:rFonts w:hint="default" w:ascii="Times New Roman" w:hAnsi="Times New Roman" w:cs="Times New Roman"/>
                <w:color w:val="auto"/>
                <w:sz w:val="18"/>
                <w:szCs w:val="20"/>
              </w:rPr>
            </w:pPr>
            <w:r>
              <w:rPr>
                <w:rFonts w:hint="default" w:ascii="Times New Roman" w:hAnsi="Times New Roman" w:cs="Times New Roman"/>
                <w:color w:val="auto"/>
                <w:sz w:val="18"/>
                <w:szCs w:val="20"/>
              </w:rPr>
              <w:t>一般排放口</w:t>
            </w:r>
          </w:p>
        </w:tc>
        <w:tc>
          <w:tcPr>
            <w:tcW w:w="226" w:type="pct"/>
            <w:noWrap w:val="0"/>
            <w:vAlign w:val="center"/>
          </w:tcPr>
          <w:p w14:paraId="3BAF5ADD">
            <w:pPr>
              <w:pStyle w:val="30"/>
              <w:bidi w:val="0"/>
              <w:rPr>
                <w:rFonts w:hint="default" w:ascii="Times New Roman" w:hAnsi="Times New Roman" w:cs="Times New Roman"/>
                <w:color w:val="auto"/>
                <w:sz w:val="18"/>
                <w:szCs w:val="20"/>
              </w:rPr>
            </w:pPr>
            <w:r>
              <w:rPr>
                <w:rFonts w:hint="default" w:ascii="Times New Roman" w:hAnsi="Times New Roman" w:cs="Times New Roman"/>
                <w:color w:val="auto"/>
                <w:sz w:val="18"/>
                <w:szCs w:val="20"/>
              </w:rPr>
              <w:t>正常工况</w:t>
            </w:r>
          </w:p>
        </w:tc>
        <w:tc>
          <w:tcPr>
            <w:tcW w:w="312" w:type="pct"/>
            <w:noWrap w:val="0"/>
            <w:vAlign w:val="center"/>
          </w:tcPr>
          <w:p w14:paraId="1B3689AC">
            <w:pPr>
              <w:pStyle w:val="30"/>
              <w:bidi w:val="0"/>
              <w:ind w:firstLine="0" w:firstLineChars="0"/>
              <w:jc w:val="center"/>
              <w:rPr>
                <w:rFonts w:hint="default" w:ascii="Times New Roman" w:hAnsi="Times New Roman" w:eastAsia="宋体" w:cs="Times New Roman"/>
                <w:color w:val="auto"/>
                <w:sz w:val="18"/>
                <w:szCs w:val="20"/>
                <w:lang w:val="en-US" w:eastAsia="zh-CN" w:bidi="ar-SA"/>
              </w:rPr>
            </w:pPr>
            <w:r>
              <w:rPr>
                <w:rFonts w:hint="eastAsia"/>
                <w:color w:val="auto"/>
                <w:sz w:val="18"/>
                <w:szCs w:val="18"/>
                <w:lang w:val="en-US" w:eastAsia="zh-CN"/>
              </w:rPr>
              <w:t>颗粒物</w:t>
            </w:r>
          </w:p>
        </w:tc>
        <w:tc>
          <w:tcPr>
            <w:tcW w:w="664" w:type="pct"/>
            <w:noWrap w:val="0"/>
            <w:vAlign w:val="center"/>
          </w:tcPr>
          <w:p w14:paraId="1D2F3978">
            <w:pPr>
              <w:pStyle w:val="30"/>
              <w:bidi w:val="0"/>
              <w:ind w:firstLine="0" w:firstLineChars="0"/>
              <w:jc w:val="center"/>
              <w:rPr>
                <w:rFonts w:hint="eastAsia" w:ascii="Times New Roman" w:hAnsi="Times New Roman" w:eastAsia="宋体" w:cs="Times New Roman"/>
                <w:color w:val="auto"/>
                <w:sz w:val="18"/>
                <w:szCs w:val="20"/>
                <w:lang w:val="en-US" w:eastAsia="zh-CN"/>
              </w:rPr>
            </w:pPr>
            <w:r>
              <w:rPr>
                <w:rFonts w:hint="eastAsia" w:cs="Times New Roman"/>
                <w:color w:val="auto"/>
                <w:kern w:val="2"/>
                <w:sz w:val="18"/>
                <w:szCs w:val="18"/>
                <w:lang w:val="en-US" w:eastAsia="zh-CN"/>
              </w:rPr>
              <w:t>8.82</w:t>
            </w:r>
          </w:p>
        </w:tc>
        <w:tc>
          <w:tcPr>
            <w:tcW w:w="596" w:type="pct"/>
            <w:noWrap w:val="0"/>
            <w:vAlign w:val="center"/>
          </w:tcPr>
          <w:p w14:paraId="672E5F90">
            <w:pPr>
              <w:pStyle w:val="23"/>
              <w:bidi w:val="0"/>
              <w:jc w:val="center"/>
              <w:rPr>
                <w:rFonts w:hint="default" w:ascii="Times New Roman" w:hAnsi="Times New Roman" w:cs="Times New Roman"/>
                <w:color w:val="auto"/>
                <w:sz w:val="18"/>
                <w:szCs w:val="16"/>
                <w:lang w:val="en-US"/>
              </w:rPr>
            </w:pPr>
            <w:r>
              <w:rPr>
                <w:rFonts w:hint="eastAsia" w:cs="Times New Roman"/>
                <w:color w:val="auto"/>
                <w:kern w:val="2"/>
                <w:sz w:val="18"/>
                <w:szCs w:val="18"/>
                <w:lang w:val="en-US" w:eastAsia="zh-CN"/>
              </w:rPr>
              <w:t>0.1058</w:t>
            </w:r>
          </w:p>
        </w:tc>
        <w:tc>
          <w:tcPr>
            <w:tcW w:w="464" w:type="pct"/>
            <w:noWrap w:val="0"/>
            <w:vAlign w:val="center"/>
          </w:tcPr>
          <w:p w14:paraId="14E842E7">
            <w:pPr>
              <w:pStyle w:val="30"/>
              <w:bidi w:val="0"/>
              <w:ind w:firstLine="0" w:firstLineChars="0"/>
              <w:jc w:val="center"/>
              <w:rPr>
                <w:rFonts w:hint="default" w:ascii="Times New Roman" w:hAnsi="Times New Roman" w:cs="Times New Roman"/>
                <w:color w:val="auto"/>
                <w:sz w:val="18"/>
                <w:szCs w:val="20"/>
                <w:lang w:val="en-US"/>
              </w:rPr>
            </w:pPr>
            <w:r>
              <w:rPr>
                <w:rFonts w:hint="eastAsia" w:cs="Times New Roman"/>
                <w:color w:val="auto"/>
                <w:kern w:val="2"/>
                <w:sz w:val="18"/>
                <w:szCs w:val="18"/>
                <w:lang w:val="en-US" w:eastAsia="zh-CN"/>
              </w:rPr>
              <w:t>0.254</w:t>
            </w:r>
          </w:p>
        </w:tc>
      </w:tr>
    </w:tbl>
    <w:p w14:paraId="6409AB89">
      <w:pPr>
        <w:pStyle w:val="28"/>
        <w:rPr>
          <w:color w:val="auto"/>
        </w:rPr>
      </w:pPr>
      <w:r>
        <w:rPr>
          <w:rFonts w:hint="eastAsia"/>
          <w:color w:val="auto"/>
        </w:rPr>
        <w:t>表4-</w:t>
      </w:r>
      <w:r>
        <w:rPr>
          <w:rFonts w:hint="eastAsia"/>
          <w:color w:val="auto"/>
          <w:lang w:val="en-US" w:eastAsia="zh-CN"/>
        </w:rPr>
        <w:t>4</w:t>
      </w:r>
      <w:r>
        <w:rPr>
          <w:rFonts w:hint="eastAsia"/>
          <w:color w:val="auto"/>
        </w:rPr>
        <w:t xml:space="preserve"> 面源污染物排放基本情况表</w:t>
      </w:r>
    </w:p>
    <w:tbl>
      <w:tblPr>
        <w:tblStyle w:val="15"/>
        <w:tblW w:w="50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41"/>
        <w:gridCol w:w="1838"/>
        <w:gridCol w:w="1436"/>
        <w:gridCol w:w="1156"/>
        <w:gridCol w:w="982"/>
        <w:gridCol w:w="1772"/>
        <w:gridCol w:w="2572"/>
        <w:gridCol w:w="1353"/>
        <w:gridCol w:w="806"/>
        <w:gridCol w:w="1999"/>
      </w:tblGrid>
      <w:tr w14:paraId="19820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5" w:type="pct"/>
            <w:vMerge w:val="restart"/>
            <w:tcBorders>
              <w:tl2br w:val="nil"/>
              <w:tr2bl w:val="nil"/>
            </w:tcBorders>
            <w:noWrap/>
            <w:vAlign w:val="center"/>
          </w:tcPr>
          <w:p w14:paraId="32B63E33">
            <w:pPr>
              <w:pStyle w:val="30"/>
              <w:rPr>
                <w:color w:val="auto"/>
                <w:sz w:val="18"/>
                <w:szCs w:val="20"/>
              </w:rPr>
            </w:pPr>
            <w:r>
              <w:rPr>
                <w:rFonts w:hint="eastAsia"/>
                <w:color w:val="auto"/>
                <w:sz w:val="18"/>
                <w:szCs w:val="20"/>
              </w:rPr>
              <w:t>编号</w:t>
            </w:r>
          </w:p>
        </w:tc>
        <w:tc>
          <w:tcPr>
            <w:tcW w:w="649" w:type="pct"/>
            <w:vMerge w:val="restart"/>
            <w:tcBorders>
              <w:tl2br w:val="nil"/>
              <w:tr2bl w:val="nil"/>
            </w:tcBorders>
            <w:noWrap/>
            <w:vAlign w:val="center"/>
          </w:tcPr>
          <w:p w14:paraId="23A13983">
            <w:pPr>
              <w:pStyle w:val="30"/>
              <w:rPr>
                <w:color w:val="auto"/>
                <w:sz w:val="18"/>
                <w:szCs w:val="20"/>
              </w:rPr>
            </w:pPr>
            <w:r>
              <w:rPr>
                <w:rFonts w:hint="eastAsia"/>
                <w:color w:val="auto"/>
                <w:sz w:val="18"/>
                <w:szCs w:val="20"/>
              </w:rPr>
              <w:t>生产设施编号/无组织排放编号</w:t>
            </w:r>
          </w:p>
        </w:tc>
        <w:tc>
          <w:tcPr>
            <w:tcW w:w="507" w:type="pct"/>
            <w:vMerge w:val="restart"/>
            <w:tcBorders>
              <w:tl2br w:val="nil"/>
              <w:tr2bl w:val="nil"/>
            </w:tcBorders>
            <w:noWrap/>
            <w:vAlign w:val="center"/>
          </w:tcPr>
          <w:p w14:paraId="0EF8DBF1">
            <w:pPr>
              <w:pStyle w:val="30"/>
              <w:rPr>
                <w:color w:val="auto"/>
                <w:sz w:val="18"/>
                <w:szCs w:val="20"/>
              </w:rPr>
            </w:pPr>
            <w:r>
              <w:rPr>
                <w:rFonts w:hint="eastAsia"/>
                <w:color w:val="auto"/>
                <w:sz w:val="18"/>
                <w:szCs w:val="20"/>
              </w:rPr>
              <w:t>产污环节</w:t>
            </w:r>
          </w:p>
        </w:tc>
        <w:tc>
          <w:tcPr>
            <w:tcW w:w="408" w:type="pct"/>
            <w:vMerge w:val="restart"/>
            <w:tcBorders>
              <w:tl2br w:val="nil"/>
              <w:tr2bl w:val="nil"/>
            </w:tcBorders>
            <w:noWrap/>
            <w:vAlign w:val="center"/>
          </w:tcPr>
          <w:p w14:paraId="0070B67B">
            <w:pPr>
              <w:pStyle w:val="30"/>
              <w:rPr>
                <w:color w:val="auto"/>
                <w:sz w:val="18"/>
                <w:szCs w:val="20"/>
              </w:rPr>
            </w:pPr>
            <w:r>
              <w:rPr>
                <w:rFonts w:hint="eastAsia"/>
                <w:color w:val="auto"/>
                <w:sz w:val="18"/>
                <w:szCs w:val="20"/>
              </w:rPr>
              <w:t>污染物种类</w:t>
            </w:r>
          </w:p>
        </w:tc>
        <w:tc>
          <w:tcPr>
            <w:tcW w:w="972" w:type="pct"/>
            <w:gridSpan w:val="2"/>
            <w:tcBorders>
              <w:tl2br w:val="nil"/>
              <w:tr2bl w:val="nil"/>
            </w:tcBorders>
            <w:noWrap/>
            <w:vAlign w:val="center"/>
          </w:tcPr>
          <w:p w14:paraId="0FE72648">
            <w:pPr>
              <w:pStyle w:val="30"/>
              <w:rPr>
                <w:color w:val="auto"/>
                <w:sz w:val="18"/>
                <w:szCs w:val="20"/>
              </w:rPr>
            </w:pPr>
            <w:r>
              <w:rPr>
                <w:rFonts w:hint="eastAsia"/>
                <w:color w:val="auto"/>
                <w:sz w:val="18"/>
                <w:szCs w:val="20"/>
              </w:rPr>
              <w:t>国家或地方污染物排放标准</w:t>
            </w:r>
          </w:p>
        </w:tc>
        <w:tc>
          <w:tcPr>
            <w:tcW w:w="908" w:type="pct"/>
            <w:vMerge w:val="restart"/>
            <w:tcBorders>
              <w:tl2br w:val="nil"/>
              <w:tr2bl w:val="nil"/>
            </w:tcBorders>
            <w:noWrap/>
            <w:vAlign w:val="center"/>
          </w:tcPr>
          <w:p w14:paraId="392B0419">
            <w:pPr>
              <w:pStyle w:val="30"/>
              <w:rPr>
                <w:color w:val="auto"/>
                <w:sz w:val="18"/>
                <w:szCs w:val="20"/>
              </w:rPr>
            </w:pPr>
            <w:r>
              <w:rPr>
                <w:rFonts w:hint="eastAsia"/>
                <w:color w:val="auto"/>
                <w:sz w:val="18"/>
                <w:szCs w:val="20"/>
              </w:rPr>
              <w:t>其他信息</w:t>
            </w:r>
          </w:p>
        </w:tc>
        <w:tc>
          <w:tcPr>
            <w:tcW w:w="477" w:type="pct"/>
            <w:vMerge w:val="restart"/>
            <w:tcBorders>
              <w:tl2br w:val="nil"/>
              <w:tr2bl w:val="nil"/>
            </w:tcBorders>
            <w:noWrap/>
            <w:vAlign w:val="center"/>
          </w:tcPr>
          <w:p w14:paraId="6C77C42C">
            <w:pPr>
              <w:pStyle w:val="30"/>
              <w:rPr>
                <w:color w:val="auto"/>
                <w:sz w:val="18"/>
                <w:szCs w:val="20"/>
              </w:rPr>
            </w:pPr>
            <w:r>
              <w:rPr>
                <w:rFonts w:hint="eastAsia"/>
                <w:color w:val="auto"/>
                <w:sz w:val="18"/>
                <w:szCs w:val="20"/>
              </w:rPr>
              <w:t>年排放小时数/h</w:t>
            </w:r>
          </w:p>
        </w:tc>
        <w:tc>
          <w:tcPr>
            <w:tcW w:w="284" w:type="pct"/>
            <w:vMerge w:val="restart"/>
            <w:tcBorders>
              <w:tl2br w:val="nil"/>
              <w:tr2bl w:val="nil"/>
            </w:tcBorders>
            <w:noWrap/>
            <w:vAlign w:val="center"/>
          </w:tcPr>
          <w:p w14:paraId="50CE19BE">
            <w:pPr>
              <w:pStyle w:val="30"/>
              <w:rPr>
                <w:color w:val="auto"/>
                <w:sz w:val="18"/>
                <w:szCs w:val="20"/>
              </w:rPr>
            </w:pPr>
            <w:r>
              <w:rPr>
                <w:rFonts w:hint="eastAsia"/>
                <w:color w:val="auto"/>
                <w:sz w:val="18"/>
                <w:szCs w:val="20"/>
              </w:rPr>
              <w:t>排放工况</w:t>
            </w:r>
          </w:p>
        </w:tc>
        <w:tc>
          <w:tcPr>
            <w:tcW w:w="706" w:type="pct"/>
            <w:vMerge w:val="restart"/>
            <w:tcBorders>
              <w:tl2br w:val="nil"/>
              <w:tr2bl w:val="nil"/>
            </w:tcBorders>
            <w:noWrap/>
            <w:vAlign w:val="center"/>
          </w:tcPr>
          <w:p w14:paraId="5C52F11D">
            <w:pPr>
              <w:pStyle w:val="30"/>
              <w:rPr>
                <w:rFonts w:hint="eastAsia"/>
                <w:color w:val="auto"/>
                <w:sz w:val="18"/>
                <w:szCs w:val="20"/>
              </w:rPr>
            </w:pPr>
            <w:r>
              <w:rPr>
                <w:rFonts w:hint="eastAsia"/>
                <w:color w:val="auto"/>
                <w:sz w:val="18"/>
                <w:szCs w:val="20"/>
              </w:rPr>
              <w:t>污染物排放速率/（kg/h）</w:t>
            </w:r>
          </w:p>
        </w:tc>
      </w:tr>
      <w:tr w14:paraId="71563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85" w:type="pct"/>
            <w:vMerge w:val="continue"/>
            <w:tcBorders>
              <w:tl2br w:val="nil"/>
              <w:tr2bl w:val="nil"/>
            </w:tcBorders>
            <w:noWrap/>
            <w:vAlign w:val="center"/>
          </w:tcPr>
          <w:p w14:paraId="462E4053">
            <w:pPr>
              <w:pStyle w:val="30"/>
              <w:rPr>
                <w:color w:val="auto"/>
                <w:sz w:val="18"/>
                <w:szCs w:val="20"/>
              </w:rPr>
            </w:pPr>
          </w:p>
        </w:tc>
        <w:tc>
          <w:tcPr>
            <w:tcW w:w="649" w:type="pct"/>
            <w:vMerge w:val="continue"/>
            <w:tcBorders>
              <w:tl2br w:val="nil"/>
              <w:tr2bl w:val="nil"/>
            </w:tcBorders>
            <w:noWrap/>
            <w:vAlign w:val="center"/>
          </w:tcPr>
          <w:p w14:paraId="511582B8">
            <w:pPr>
              <w:pStyle w:val="30"/>
              <w:rPr>
                <w:color w:val="auto"/>
                <w:sz w:val="18"/>
                <w:szCs w:val="20"/>
              </w:rPr>
            </w:pPr>
          </w:p>
        </w:tc>
        <w:tc>
          <w:tcPr>
            <w:tcW w:w="507" w:type="pct"/>
            <w:vMerge w:val="continue"/>
            <w:tcBorders>
              <w:tl2br w:val="nil"/>
              <w:tr2bl w:val="nil"/>
            </w:tcBorders>
            <w:noWrap/>
            <w:vAlign w:val="center"/>
          </w:tcPr>
          <w:p w14:paraId="46763380">
            <w:pPr>
              <w:pStyle w:val="30"/>
              <w:rPr>
                <w:color w:val="auto"/>
                <w:sz w:val="18"/>
                <w:szCs w:val="20"/>
              </w:rPr>
            </w:pPr>
          </w:p>
        </w:tc>
        <w:tc>
          <w:tcPr>
            <w:tcW w:w="408" w:type="pct"/>
            <w:vMerge w:val="continue"/>
            <w:tcBorders>
              <w:tl2br w:val="nil"/>
              <w:tr2bl w:val="nil"/>
            </w:tcBorders>
            <w:noWrap/>
            <w:vAlign w:val="center"/>
          </w:tcPr>
          <w:p w14:paraId="43252B25">
            <w:pPr>
              <w:pStyle w:val="30"/>
              <w:rPr>
                <w:color w:val="auto"/>
                <w:sz w:val="18"/>
                <w:szCs w:val="20"/>
              </w:rPr>
            </w:pPr>
          </w:p>
        </w:tc>
        <w:tc>
          <w:tcPr>
            <w:tcW w:w="346" w:type="pct"/>
            <w:tcBorders>
              <w:tl2br w:val="nil"/>
              <w:tr2bl w:val="nil"/>
            </w:tcBorders>
            <w:noWrap/>
            <w:vAlign w:val="center"/>
          </w:tcPr>
          <w:p w14:paraId="2A63C996">
            <w:pPr>
              <w:pStyle w:val="30"/>
              <w:rPr>
                <w:color w:val="auto"/>
                <w:sz w:val="18"/>
                <w:szCs w:val="20"/>
              </w:rPr>
            </w:pPr>
            <w:r>
              <w:rPr>
                <w:rFonts w:hint="eastAsia"/>
                <w:color w:val="auto"/>
                <w:sz w:val="18"/>
                <w:szCs w:val="20"/>
              </w:rPr>
              <w:t>名称</w:t>
            </w:r>
          </w:p>
        </w:tc>
        <w:tc>
          <w:tcPr>
            <w:tcW w:w="625" w:type="pct"/>
            <w:tcBorders>
              <w:tl2br w:val="nil"/>
              <w:tr2bl w:val="nil"/>
            </w:tcBorders>
            <w:noWrap/>
            <w:vAlign w:val="center"/>
          </w:tcPr>
          <w:p w14:paraId="70366E5E">
            <w:pPr>
              <w:pStyle w:val="30"/>
              <w:rPr>
                <w:color w:val="auto"/>
                <w:sz w:val="18"/>
                <w:szCs w:val="20"/>
              </w:rPr>
            </w:pPr>
            <w:r>
              <w:rPr>
                <w:rFonts w:hint="eastAsia"/>
                <w:color w:val="auto"/>
                <w:sz w:val="18"/>
                <w:szCs w:val="20"/>
              </w:rPr>
              <w:t>浓度限值（mg/m³）</w:t>
            </w:r>
          </w:p>
        </w:tc>
        <w:tc>
          <w:tcPr>
            <w:tcW w:w="908" w:type="pct"/>
            <w:vMerge w:val="continue"/>
            <w:tcBorders>
              <w:tl2br w:val="nil"/>
              <w:tr2bl w:val="nil"/>
            </w:tcBorders>
            <w:noWrap/>
            <w:vAlign w:val="center"/>
          </w:tcPr>
          <w:p w14:paraId="30E9E3B3">
            <w:pPr>
              <w:pStyle w:val="30"/>
              <w:rPr>
                <w:color w:val="auto"/>
                <w:sz w:val="18"/>
                <w:szCs w:val="20"/>
              </w:rPr>
            </w:pPr>
          </w:p>
        </w:tc>
        <w:tc>
          <w:tcPr>
            <w:tcW w:w="477" w:type="pct"/>
            <w:vMerge w:val="continue"/>
            <w:tcBorders>
              <w:tl2br w:val="nil"/>
              <w:tr2bl w:val="nil"/>
            </w:tcBorders>
            <w:noWrap/>
            <w:vAlign w:val="center"/>
          </w:tcPr>
          <w:p w14:paraId="44566CF2">
            <w:pPr>
              <w:pStyle w:val="30"/>
              <w:rPr>
                <w:color w:val="auto"/>
                <w:sz w:val="18"/>
                <w:szCs w:val="20"/>
              </w:rPr>
            </w:pPr>
          </w:p>
        </w:tc>
        <w:tc>
          <w:tcPr>
            <w:tcW w:w="284" w:type="pct"/>
            <w:vMerge w:val="continue"/>
            <w:tcBorders>
              <w:tl2br w:val="nil"/>
              <w:tr2bl w:val="nil"/>
            </w:tcBorders>
            <w:noWrap/>
            <w:vAlign w:val="center"/>
          </w:tcPr>
          <w:p w14:paraId="4DDBDD8F">
            <w:pPr>
              <w:pStyle w:val="30"/>
              <w:rPr>
                <w:color w:val="auto"/>
                <w:sz w:val="18"/>
                <w:szCs w:val="20"/>
              </w:rPr>
            </w:pPr>
          </w:p>
        </w:tc>
        <w:tc>
          <w:tcPr>
            <w:tcW w:w="706" w:type="pct"/>
            <w:vMerge w:val="continue"/>
            <w:tcBorders>
              <w:tl2br w:val="nil"/>
              <w:tr2bl w:val="nil"/>
            </w:tcBorders>
            <w:noWrap/>
            <w:vAlign w:val="center"/>
          </w:tcPr>
          <w:p w14:paraId="420D4FE4">
            <w:pPr>
              <w:pStyle w:val="30"/>
              <w:rPr>
                <w:rFonts w:hint="eastAsia" w:eastAsia="宋体"/>
                <w:color w:val="auto"/>
                <w:sz w:val="18"/>
                <w:szCs w:val="20"/>
                <w:lang w:val="en-US" w:eastAsia="zh-CN"/>
              </w:rPr>
            </w:pPr>
          </w:p>
        </w:tc>
      </w:tr>
      <w:tr w14:paraId="438F1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85" w:type="pct"/>
            <w:tcBorders>
              <w:tl2br w:val="nil"/>
              <w:tr2bl w:val="nil"/>
            </w:tcBorders>
            <w:noWrap/>
            <w:vAlign w:val="center"/>
          </w:tcPr>
          <w:p w14:paraId="633F4E75">
            <w:pPr>
              <w:pStyle w:val="30"/>
              <w:rPr>
                <w:color w:val="auto"/>
                <w:sz w:val="18"/>
                <w:szCs w:val="20"/>
              </w:rPr>
            </w:pPr>
            <w:r>
              <w:rPr>
                <w:rFonts w:hint="eastAsia"/>
                <w:color w:val="auto"/>
                <w:sz w:val="18"/>
                <w:szCs w:val="20"/>
              </w:rPr>
              <w:t>1</w:t>
            </w:r>
          </w:p>
        </w:tc>
        <w:tc>
          <w:tcPr>
            <w:tcW w:w="649" w:type="pct"/>
            <w:tcBorders>
              <w:tl2br w:val="nil"/>
              <w:tr2bl w:val="nil"/>
            </w:tcBorders>
            <w:noWrap/>
            <w:vAlign w:val="center"/>
          </w:tcPr>
          <w:p w14:paraId="7675138B">
            <w:pPr>
              <w:pStyle w:val="30"/>
              <w:rPr>
                <w:rFonts w:hint="default" w:eastAsia="宋体"/>
                <w:color w:val="auto"/>
                <w:sz w:val="18"/>
                <w:szCs w:val="20"/>
                <w:lang w:val="en-US" w:eastAsia="zh-CN"/>
              </w:rPr>
            </w:pPr>
            <w:r>
              <w:rPr>
                <w:rFonts w:hint="eastAsia"/>
                <w:color w:val="auto"/>
                <w:sz w:val="18"/>
                <w:szCs w:val="20"/>
                <w:lang w:val="en-US" w:eastAsia="zh-CN"/>
              </w:rPr>
              <w:t>生产车间</w:t>
            </w:r>
          </w:p>
        </w:tc>
        <w:tc>
          <w:tcPr>
            <w:tcW w:w="507" w:type="pct"/>
            <w:tcBorders>
              <w:tl2br w:val="nil"/>
              <w:tr2bl w:val="nil"/>
            </w:tcBorders>
            <w:noWrap/>
            <w:vAlign w:val="center"/>
          </w:tcPr>
          <w:p w14:paraId="339EF1C7">
            <w:pPr>
              <w:pStyle w:val="23"/>
              <w:bidi w:val="0"/>
              <w:rPr>
                <w:rFonts w:hint="eastAsia" w:eastAsia="宋体"/>
                <w:color w:val="auto"/>
                <w:sz w:val="18"/>
                <w:szCs w:val="16"/>
                <w:lang w:eastAsia="zh-CN"/>
              </w:rPr>
            </w:pPr>
            <w:r>
              <w:rPr>
                <w:rFonts w:hint="eastAsia"/>
                <w:color w:val="auto"/>
                <w:sz w:val="18"/>
                <w:szCs w:val="16"/>
                <w:lang w:val="en-US" w:eastAsia="zh-CN"/>
              </w:rPr>
              <w:t>腻子粉、瓷砖胶生产</w:t>
            </w:r>
          </w:p>
        </w:tc>
        <w:tc>
          <w:tcPr>
            <w:tcW w:w="408" w:type="pct"/>
            <w:tcBorders>
              <w:tl2br w:val="nil"/>
              <w:tr2bl w:val="nil"/>
            </w:tcBorders>
            <w:noWrap/>
            <w:vAlign w:val="center"/>
          </w:tcPr>
          <w:p w14:paraId="68D4DF6E">
            <w:pPr>
              <w:pStyle w:val="23"/>
              <w:bidi w:val="0"/>
              <w:rPr>
                <w:color w:val="auto"/>
                <w:sz w:val="18"/>
                <w:szCs w:val="16"/>
              </w:rPr>
            </w:pPr>
            <w:r>
              <w:rPr>
                <w:rFonts w:hint="eastAsia"/>
                <w:color w:val="auto"/>
                <w:sz w:val="18"/>
                <w:szCs w:val="16"/>
                <w:lang w:val="en-US" w:eastAsia="zh-CN"/>
              </w:rPr>
              <w:t>颗粒物</w:t>
            </w:r>
          </w:p>
        </w:tc>
        <w:tc>
          <w:tcPr>
            <w:tcW w:w="346" w:type="pct"/>
            <w:tcBorders>
              <w:tl2br w:val="nil"/>
              <w:tr2bl w:val="nil"/>
            </w:tcBorders>
            <w:noWrap/>
            <w:vAlign w:val="center"/>
          </w:tcPr>
          <w:p w14:paraId="264721FE">
            <w:pPr>
              <w:pStyle w:val="23"/>
              <w:bidi w:val="0"/>
              <w:rPr>
                <w:color w:val="auto"/>
                <w:sz w:val="18"/>
                <w:szCs w:val="16"/>
              </w:rPr>
            </w:pPr>
            <w:r>
              <w:rPr>
                <w:rFonts w:hint="eastAsia"/>
                <w:color w:val="auto"/>
                <w:sz w:val="18"/>
                <w:szCs w:val="16"/>
                <w:lang w:val="en-US" w:eastAsia="zh-CN"/>
              </w:rPr>
              <w:t>颗粒物</w:t>
            </w:r>
          </w:p>
        </w:tc>
        <w:tc>
          <w:tcPr>
            <w:tcW w:w="625" w:type="pct"/>
            <w:tcBorders>
              <w:tl2br w:val="nil"/>
              <w:tr2bl w:val="nil"/>
            </w:tcBorders>
            <w:noWrap/>
            <w:vAlign w:val="center"/>
          </w:tcPr>
          <w:p w14:paraId="08C72E2E">
            <w:pPr>
              <w:pStyle w:val="30"/>
              <w:rPr>
                <w:rFonts w:hint="default"/>
                <w:color w:val="auto"/>
                <w:sz w:val="18"/>
                <w:szCs w:val="20"/>
                <w:lang w:val="en-US"/>
              </w:rPr>
            </w:pPr>
            <w:r>
              <w:rPr>
                <w:rFonts w:hint="eastAsia" w:eastAsia="宋体" w:cs="Times New Roman"/>
                <w:color w:val="auto"/>
                <w:spacing w:val="-3"/>
                <w:sz w:val="18"/>
                <w:szCs w:val="18"/>
                <w:lang w:val="en-US" w:eastAsia="zh-CN"/>
              </w:rPr>
              <w:t>0.5</w:t>
            </w:r>
          </w:p>
        </w:tc>
        <w:tc>
          <w:tcPr>
            <w:tcW w:w="908" w:type="pct"/>
            <w:tcBorders>
              <w:tl2br w:val="nil"/>
              <w:tr2bl w:val="nil"/>
            </w:tcBorders>
            <w:noWrap/>
            <w:vAlign w:val="center"/>
          </w:tcPr>
          <w:p w14:paraId="25398C98">
            <w:pPr>
              <w:pStyle w:val="30"/>
              <w:rPr>
                <w:rFonts w:hint="default" w:eastAsia="宋体"/>
                <w:color w:val="auto"/>
                <w:sz w:val="18"/>
                <w:szCs w:val="20"/>
                <w:lang w:val="en-US" w:eastAsia="zh-CN"/>
              </w:rPr>
            </w:pPr>
            <w:r>
              <w:rPr>
                <w:rFonts w:hint="eastAsia"/>
                <w:color w:val="auto"/>
                <w:sz w:val="18"/>
                <w:szCs w:val="20"/>
                <w:lang w:val="en-US" w:eastAsia="zh-CN"/>
              </w:rPr>
              <w:t>/</w:t>
            </w:r>
          </w:p>
        </w:tc>
        <w:tc>
          <w:tcPr>
            <w:tcW w:w="477" w:type="pct"/>
            <w:tcBorders>
              <w:tl2br w:val="nil"/>
              <w:tr2bl w:val="nil"/>
            </w:tcBorders>
            <w:noWrap/>
            <w:vAlign w:val="center"/>
          </w:tcPr>
          <w:p w14:paraId="438CAE91">
            <w:pPr>
              <w:pStyle w:val="30"/>
              <w:rPr>
                <w:rFonts w:hint="default"/>
                <w:color w:val="auto"/>
                <w:sz w:val="18"/>
                <w:szCs w:val="20"/>
                <w:lang w:val="en-US"/>
              </w:rPr>
            </w:pPr>
            <w:r>
              <w:rPr>
                <w:rFonts w:hint="eastAsia"/>
                <w:color w:val="auto"/>
                <w:sz w:val="18"/>
                <w:szCs w:val="20"/>
                <w:lang w:val="en-US" w:eastAsia="zh-CN"/>
              </w:rPr>
              <w:t>2400</w:t>
            </w:r>
          </w:p>
        </w:tc>
        <w:tc>
          <w:tcPr>
            <w:tcW w:w="284" w:type="pct"/>
            <w:tcBorders>
              <w:tl2br w:val="nil"/>
              <w:tr2bl w:val="nil"/>
            </w:tcBorders>
            <w:noWrap/>
            <w:vAlign w:val="center"/>
          </w:tcPr>
          <w:p w14:paraId="568959CB">
            <w:pPr>
              <w:pStyle w:val="30"/>
              <w:rPr>
                <w:rFonts w:hint="eastAsia" w:eastAsia="宋体"/>
                <w:color w:val="auto"/>
                <w:sz w:val="18"/>
                <w:szCs w:val="20"/>
                <w:lang w:eastAsia="zh-CN"/>
              </w:rPr>
            </w:pPr>
            <w:r>
              <w:rPr>
                <w:rFonts w:hint="eastAsia"/>
                <w:color w:val="auto"/>
                <w:sz w:val="18"/>
                <w:szCs w:val="20"/>
                <w:lang w:eastAsia="zh-CN"/>
              </w:rPr>
              <w:t>连续</w:t>
            </w:r>
          </w:p>
        </w:tc>
        <w:tc>
          <w:tcPr>
            <w:tcW w:w="706" w:type="pct"/>
            <w:tcBorders>
              <w:tl2br w:val="nil"/>
              <w:tr2bl w:val="nil"/>
            </w:tcBorders>
            <w:noWrap/>
            <w:vAlign w:val="center"/>
          </w:tcPr>
          <w:p w14:paraId="56DBFABB">
            <w:pPr>
              <w:pStyle w:val="30"/>
              <w:rPr>
                <w:rFonts w:hint="default" w:eastAsia="宋体"/>
                <w:color w:val="auto"/>
                <w:sz w:val="18"/>
                <w:szCs w:val="20"/>
                <w:lang w:val="en-US" w:eastAsia="zh-CN"/>
              </w:rPr>
            </w:pPr>
            <w:r>
              <w:rPr>
                <w:rFonts w:hint="eastAsia"/>
                <w:color w:val="auto"/>
                <w:sz w:val="18"/>
                <w:szCs w:val="20"/>
                <w:lang w:val="en-US" w:eastAsia="zh-CN"/>
              </w:rPr>
              <w:t>0.3825</w:t>
            </w:r>
          </w:p>
        </w:tc>
      </w:tr>
      <w:tr w14:paraId="5DFD6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85" w:type="pct"/>
            <w:tcBorders>
              <w:tl2br w:val="nil"/>
              <w:tr2bl w:val="nil"/>
            </w:tcBorders>
            <w:noWrap/>
            <w:vAlign w:val="center"/>
          </w:tcPr>
          <w:p w14:paraId="5AEF76EF">
            <w:pPr>
              <w:pStyle w:val="30"/>
              <w:rPr>
                <w:rFonts w:hint="eastAsia" w:eastAsia="宋体"/>
                <w:color w:val="auto"/>
                <w:sz w:val="18"/>
                <w:szCs w:val="20"/>
                <w:lang w:val="en-US" w:eastAsia="zh-CN"/>
              </w:rPr>
            </w:pPr>
            <w:r>
              <w:rPr>
                <w:rFonts w:hint="eastAsia"/>
                <w:color w:val="auto"/>
                <w:sz w:val="18"/>
                <w:szCs w:val="20"/>
                <w:lang w:val="en-US" w:eastAsia="zh-CN"/>
              </w:rPr>
              <w:t>2</w:t>
            </w:r>
          </w:p>
        </w:tc>
        <w:tc>
          <w:tcPr>
            <w:tcW w:w="649" w:type="pct"/>
            <w:tcBorders>
              <w:tl2br w:val="nil"/>
              <w:tr2bl w:val="nil"/>
            </w:tcBorders>
            <w:noWrap/>
            <w:vAlign w:val="center"/>
          </w:tcPr>
          <w:p w14:paraId="60CC7172">
            <w:pPr>
              <w:pStyle w:val="30"/>
              <w:rPr>
                <w:rFonts w:hint="default"/>
                <w:color w:val="auto"/>
                <w:sz w:val="18"/>
                <w:szCs w:val="20"/>
                <w:lang w:val="en-US" w:eastAsia="zh-CN"/>
              </w:rPr>
            </w:pPr>
            <w:r>
              <w:rPr>
                <w:rFonts w:hint="eastAsia"/>
                <w:color w:val="auto"/>
                <w:sz w:val="18"/>
                <w:szCs w:val="20"/>
                <w:lang w:val="en-US" w:eastAsia="zh-CN"/>
              </w:rPr>
              <w:t>车辆运输</w:t>
            </w:r>
          </w:p>
        </w:tc>
        <w:tc>
          <w:tcPr>
            <w:tcW w:w="507" w:type="pct"/>
            <w:tcBorders>
              <w:tl2br w:val="nil"/>
              <w:tr2bl w:val="nil"/>
            </w:tcBorders>
            <w:noWrap/>
            <w:vAlign w:val="center"/>
          </w:tcPr>
          <w:p w14:paraId="4D1533DD">
            <w:pPr>
              <w:pStyle w:val="23"/>
              <w:bidi w:val="0"/>
              <w:rPr>
                <w:rFonts w:hint="default"/>
                <w:color w:val="auto"/>
                <w:sz w:val="18"/>
                <w:szCs w:val="16"/>
                <w:lang w:val="en-US" w:eastAsia="zh-CN"/>
              </w:rPr>
            </w:pPr>
            <w:r>
              <w:rPr>
                <w:rFonts w:hint="eastAsia"/>
                <w:color w:val="auto"/>
                <w:sz w:val="18"/>
                <w:szCs w:val="16"/>
                <w:lang w:val="en-US" w:eastAsia="zh-CN"/>
              </w:rPr>
              <w:t>车辆扬尘</w:t>
            </w:r>
          </w:p>
        </w:tc>
        <w:tc>
          <w:tcPr>
            <w:tcW w:w="408" w:type="pct"/>
            <w:tcBorders>
              <w:tl2br w:val="nil"/>
              <w:tr2bl w:val="nil"/>
            </w:tcBorders>
            <w:noWrap/>
            <w:vAlign w:val="center"/>
          </w:tcPr>
          <w:p w14:paraId="1722BD12">
            <w:pPr>
              <w:pStyle w:val="23"/>
              <w:bidi w:val="0"/>
              <w:rPr>
                <w:rFonts w:hint="eastAsia"/>
                <w:color w:val="auto"/>
                <w:sz w:val="18"/>
                <w:szCs w:val="16"/>
                <w:lang w:val="en-US" w:eastAsia="zh-CN"/>
              </w:rPr>
            </w:pPr>
            <w:r>
              <w:rPr>
                <w:rFonts w:hint="eastAsia"/>
                <w:color w:val="auto"/>
                <w:sz w:val="18"/>
                <w:szCs w:val="16"/>
                <w:lang w:val="en-US" w:eastAsia="zh-CN"/>
              </w:rPr>
              <w:t>颗粒物</w:t>
            </w:r>
          </w:p>
        </w:tc>
        <w:tc>
          <w:tcPr>
            <w:tcW w:w="346" w:type="pct"/>
            <w:tcBorders>
              <w:tl2br w:val="nil"/>
              <w:tr2bl w:val="nil"/>
            </w:tcBorders>
            <w:noWrap/>
            <w:vAlign w:val="center"/>
          </w:tcPr>
          <w:p w14:paraId="5C57808D">
            <w:pPr>
              <w:pStyle w:val="23"/>
              <w:bidi w:val="0"/>
              <w:rPr>
                <w:rFonts w:hint="eastAsia"/>
                <w:color w:val="auto"/>
                <w:sz w:val="18"/>
                <w:szCs w:val="16"/>
                <w:lang w:val="en-US" w:eastAsia="zh-CN"/>
              </w:rPr>
            </w:pPr>
            <w:r>
              <w:rPr>
                <w:rFonts w:hint="eastAsia"/>
                <w:color w:val="auto"/>
                <w:sz w:val="18"/>
                <w:szCs w:val="16"/>
                <w:lang w:val="en-US" w:eastAsia="zh-CN"/>
              </w:rPr>
              <w:t>颗粒物</w:t>
            </w:r>
          </w:p>
        </w:tc>
        <w:tc>
          <w:tcPr>
            <w:tcW w:w="625" w:type="pct"/>
            <w:tcBorders>
              <w:tl2br w:val="nil"/>
              <w:tr2bl w:val="nil"/>
            </w:tcBorders>
            <w:noWrap/>
            <w:vAlign w:val="center"/>
          </w:tcPr>
          <w:p w14:paraId="763D452E">
            <w:pPr>
              <w:pStyle w:val="30"/>
              <w:rPr>
                <w:rFonts w:hint="eastAsia" w:eastAsia="宋体" w:cs="Times New Roman"/>
                <w:color w:val="auto"/>
                <w:spacing w:val="-3"/>
                <w:sz w:val="18"/>
                <w:szCs w:val="18"/>
                <w:lang w:val="en-US" w:eastAsia="zh-CN"/>
              </w:rPr>
            </w:pPr>
            <w:r>
              <w:rPr>
                <w:rFonts w:hint="eastAsia" w:eastAsia="宋体" w:cs="Times New Roman"/>
                <w:color w:val="auto"/>
                <w:spacing w:val="-3"/>
                <w:sz w:val="18"/>
                <w:szCs w:val="18"/>
                <w:lang w:val="en-US" w:eastAsia="zh-CN"/>
              </w:rPr>
              <w:t>0.5</w:t>
            </w:r>
          </w:p>
        </w:tc>
        <w:tc>
          <w:tcPr>
            <w:tcW w:w="908" w:type="pct"/>
            <w:tcBorders>
              <w:tl2br w:val="nil"/>
              <w:tr2bl w:val="nil"/>
            </w:tcBorders>
            <w:noWrap/>
            <w:vAlign w:val="center"/>
          </w:tcPr>
          <w:p w14:paraId="25940817">
            <w:pPr>
              <w:pStyle w:val="30"/>
              <w:rPr>
                <w:rFonts w:hint="eastAsia"/>
                <w:color w:val="auto"/>
                <w:sz w:val="18"/>
                <w:szCs w:val="20"/>
                <w:lang w:val="en-US" w:eastAsia="zh-CN"/>
              </w:rPr>
            </w:pPr>
            <w:r>
              <w:rPr>
                <w:rFonts w:hint="eastAsia"/>
                <w:color w:val="auto"/>
                <w:sz w:val="18"/>
                <w:szCs w:val="20"/>
                <w:lang w:val="en-US" w:eastAsia="zh-CN"/>
              </w:rPr>
              <w:t>/</w:t>
            </w:r>
          </w:p>
        </w:tc>
        <w:tc>
          <w:tcPr>
            <w:tcW w:w="477" w:type="pct"/>
            <w:tcBorders>
              <w:tl2br w:val="nil"/>
              <w:tr2bl w:val="nil"/>
            </w:tcBorders>
            <w:noWrap/>
            <w:vAlign w:val="center"/>
          </w:tcPr>
          <w:p w14:paraId="7A3EB068">
            <w:pPr>
              <w:pStyle w:val="30"/>
              <w:ind w:firstLine="0" w:firstLineChars="0"/>
              <w:rPr>
                <w:rFonts w:hint="eastAsia"/>
                <w:color w:val="auto"/>
                <w:sz w:val="18"/>
                <w:szCs w:val="20"/>
                <w:lang w:val="en-US" w:eastAsia="zh-CN"/>
              </w:rPr>
            </w:pPr>
            <w:r>
              <w:rPr>
                <w:rFonts w:hint="eastAsia"/>
                <w:color w:val="auto"/>
                <w:sz w:val="18"/>
                <w:szCs w:val="20"/>
                <w:lang w:val="en-US" w:eastAsia="zh-CN"/>
              </w:rPr>
              <w:t>2400</w:t>
            </w:r>
          </w:p>
        </w:tc>
        <w:tc>
          <w:tcPr>
            <w:tcW w:w="284" w:type="pct"/>
            <w:tcBorders>
              <w:tl2br w:val="nil"/>
              <w:tr2bl w:val="nil"/>
            </w:tcBorders>
            <w:noWrap/>
            <w:vAlign w:val="center"/>
          </w:tcPr>
          <w:p w14:paraId="7E906674">
            <w:pPr>
              <w:pStyle w:val="30"/>
              <w:ind w:firstLine="0" w:firstLineChars="0"/>
              <w:rPr>
                <w:rFonts w:hint="eastAsia"/>
                <w:color w:val="auto"/>
                <w:sz w:val="18"/>
                <w:szCs w:val="20"/>
                <w:lang w:eastAsia="zh-CN"/>
              </w:rPr>
            </w:pPr>
            <w:r>
              <w:rPr>
                <w:rFonts w:hint="eastAsia"/>
                <w:color w:val="auto"/>
                <w:sz w:val="18"/>
                <w:szCs w:val="20"/>
                <w:lang w:eastAsia="zh-CN"/>
              </w:rPr>
              <w:t>连续</w:t>
            </w:r>
          </w:p>
        </w:tc>
        <w:tc>
          <w:tcPr>
            <w:tcW w:w="706" w:type="pct"/>
            <w:tcBorders>
              <w:tl2br w:val="nil"/>
              <w:tr2bl w:val="nil"/>
            </w:tcBorders>
            <w:noWrap/>
            <w:vAlign w:val="center"/>
          </w:tcPr>
          <w:p w14:paraId="34E56E60">
            <w:pPr>
              <w:pStyle w:val="30"/>
              <w:rPr>
                <w:rFonts w:hint="default"/>
                <w:color w:val="auto"/>
                <w:sz w:val="18"/>
                <w:szCs w:val="18"/>
                <w:lang w:val="en-US" w:eastAsia="zh-CN"/>
              </w:rPr>
            </w:pPr>
            <w:r>
              <w:rPr>
                <w:rFonts w:hint="eastAsia"/>
                <w:b w:val="0"/>
                <w:bCs w:val="0"/>
                <w:color w:val="auto"/>
                <w:sz w:val="18"/>
                <w:szCs w:val="18"/>
                <w:highlight w:val="none"/>
                <w:lang w:val="en-US" w:eastAsia="zh-CN" w:bidi="ar"/>
              </w:rPr>
              <w:t>0.0058</w:t>
            </w:r>
          </w:p>
        </w:tc>
      </w:tr>
    </w:tbl>
    <w:p w14:paraId="7A48FB07">
      <w:pPr>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637"/>
      </w:tblGrid>
      <w:tr w14:paraId="0E382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9" w:hRule="atLeast"/>
          <w:jc w:val="center"/>
        </w:trPr>
        <w:tc>
          <w:tcPr>
            <w:tcW w:w="434" w:type="dxa"/>
            <w:noWrap w:val="0"/>
            <w:tcMar>
              <w:left w:w="28" w:type="dxa"/>
              <w:right w:w="28" w:type="dxa"/>
            </w:tcMar>
            <w:vAlign w:val="center"/>
          </w:tcPr>
          <w:p w14:paraId="128A8707">
            <w:pPr>
              <w:widowControl/>
              <w:spacing w:before="0" w:beforeAutospacing="0" w:after="0" w:afterAutospacing="0" w:line="360" w:lineRule="auto"/>
              <w:ind w:right="-175" w:rightChars="-73" w:firstLine="482"/>
              <w:jc w:val="center"/>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运</w:t>
            </w:r>
          </w:p>
          <w:p w14:paraId="02A62DC1">
            <w:pPr>
              <w:bidi w:val="0"/>
              <w:spacing w:line="36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kern w:val="2"/>
                <w:sz w:val="24"/>
                <w:szCs w:val="24"/>
                <w:highlight w:val="none"/>
                <w:lang w:val="en-US" w:eastAsia="zh-CN" w:bidi="ar-SA"/>
              </w:rPr>
              <w:t>运营期环保措施</w:t>
            </w:r>
          </w:p>
        </w:tc>
        <w:tc>
          <w:tcPr>
            <w:tcW w:w="8637" w:type="dxa"/>
            <w:noWrap w:val="0"/>
            <w:vAlign w:val="center"/>
          </w:tcPr>
          <w:p w14:paraId="5606C29A">
            <w:pPr>
              <w:widowControl w:val="0"/>
              <w:overflowPunct w:val="0"/>
              <w:autoSpaceDE w:val="0"/>
              <w:autoSpaceDN w:val="0"/>
              <w:adjustRightInd w:val="0"/>
              <w:snapToGrid w:val="0"/>
              <w:spacing w:before="0" w:after="0" w:line="240" w:lineRule="auto"/>
              <w:ind w:left="0" w:right="0" w:firstLine="422" w:firstLineChars="20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w:t>
            </w:r>
            <w:r>
              <w:rPr>
                <w:rFonts w:hint="eastAsia" w:ascii="Times New Roman" w:hAnsi="Times New Roman" w:eastAsia="宋体" w:cs="Times New Roman"/>
                <w:b/>
                <w:color w:val="auto"/>
                <w:kern w:val="2"/>
                <w:sz w:val="21"/>
                <w:szCs w:val="21"/>
                <w:highlight w:val="none"/>
                <w:lang w:val="en-US" w:eastAsia="zh-CN" w:bidi="ar-SA"/>
              </w:rPr>
              <w:t>4.5-1</w:t>
            </w:r>
            <w:r>
              <w:rPr>
                <w:rFonts w:hint="eastAsia" w:cs="Times New Roman"/>
                <w:b/>
                <w:color w:val="auto"/>
                <w:kern w:val="2"/>
                <w:sz w:val="21"/>
                <w:szCs w:val="21"/>
                <w:highlight w:val="none"/>
                <w:lang w:val="en-US" w:eastAsia="zh-CN" w:bidi="ar-SA"/>
              </w:rPr>
              <w:t>5</w:t>
            </w:r>
            <w:r>
              <w:rPr>
                <w:rFonts w:hint="default" w:ascii="Times New Roman" w:hAnsi="Times New Roman" w:eastAsia="宋体" w:cs="Times New Roman"/>
                <w:b/>
                <w:color w:val="auto"/>
                <w:kern w:val="2"/>
                <w:sz w:val="21"/>
                <w:szCs w:val="21"/>
                <w:highlight w:val="none"/>
                <w:lang w:val="en-US" w:eastAsia="zh-CN" w:bidi="ar-SA"/>
              </w:rPr>
              <w:t>本项目</w:t>
            </w:r>
            <w:r>
              <w:rPr>
                <w:rFonts w:hint="eastAsia" w:ascii="Times New Roman" w:hAnsi="Times New Roman" w:eastAsia="宋体" w:cs="Times New Roman"/>
                <w:b/>
                <w:color w:val="auto"/>
                <w:kern w:val="2"/>
                <w:sz w:val="21"/>
                <w:szCs w:val="21"/>
                <w:highlight w:val="none"/>
                <w:lang w:val="en-US" w:eastAsia="zh-CN" w:bidi="ar-SA"/>
              </w:rPr>
              <w:t>无组织</w:t>
            </w:r>
            <w:r>
              <w:rPr>
                <w:rFonts w:hint="default" w:ascii="Times New Roman" w:hAnsi="Times New Roman" w:eastAsia="宋体" w:cs="Times New Roman"/>
                <w:b/>
                <w:color w:val="auto"/>
                <w:kern w:val="2"/>
                <w:sz w:val="21"/>
                <w:szCs w:val="21"/>
                <w:highlight w:val="none"/>
                <w:lang w:val="en-US" w:eastAsia="zh-CN" w:bidi="ar-SA"/>
              </w:rPr>
              <w:t>大气污染物年排放核算表</w:t>
            </w:r>
          </w:p>
          <w:tbl>
            <w:tblPr>
              <w:tblStyle w:val="15"/>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344"/>
              <w:gridCol w:w="3246"/>
              <w:gridCol w:w="2914"/>
            </w:tblGrid>
            <w:tr w14:paraId="38AF35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2344" w:type="dxa"/>
                  <w:tcBorders>
                    <w:tl2br w:val="nil"/>
                    <w:tr2bl w:val="nil"/>
                  </w:tcBorders>
                  <w:noWrap w:val="0"/>
                  <w:vAlign w:val="center"/>
                </w:tcPr>
                <w:p w14:paraId="08865288">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序号</w:t>
                  </w:r>
                </w:p>
              </w:tc>
              <w:tc>
                <w:tcPr>
                  <w:tcW w:w="3246" w:type="dxa"/>
                  <w:tcBorders>
                    <w:tl2br w:val="nil"/>
                    <w:tr2bl w:val="nil"/>
                  </w:tcBorders>
                  <w:noWrap w:val="0"/>
                  <w:vAlign w:val="center"/>
                </w:tcPr>
                <w:p w14:paraId="05400A97">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w:t>
                  </w:r>
                </w:p>
              </w:tc>
              <w:tc>
                <w:tcPr>
                  <w:tcW w:w="2914" w:type="dxa"/>
                  <w:tcBorders>
                    <w:tl2br w:val="nil"/>
                    <w:tr2bl w:val="nil"/>
                  </w:tcBorders>
                  <w:noWrap w:val="0"/>
                  <w:vAlign w:val="center"/>
                </w:tcPr>
                <w:p w14:paraId="06B4391E">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年排放量/(t/a)</w:t>
                  </w:r>
                </w:p>
              </w:tc>
            </w:tr>
            <w:tr w14:paraId="5797B9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4" w:type="dxa"/>
                  <w:tcBorders>
                    <w:tl2br w:val="nil"/>
                    <w:tr2bl w:val="nil"/>
                  </w:tcBorders>
                  <w:noWrap w:val="0"/>
                  <w:vAlign w:val="center"/>
                </w:tcPr>
                <w:p w14:paraId="7B2B1D4F">
                  <w:pPr>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w:t>
                  </w:r>
                </w:p>
              </w:tc>
              <w:tc>
                <w:tcPr>
                  <w:tcW w:w="3246" w:type="dxa"/>
                  <w:tcBorders>
                    <w:tl2br w:val="nil"/>
                    <w:tr2bl w:val="nil"/>
                  </w:tcBorders>
                  <w:noWrap w:val="0"/>
                  <w:vAlign w:val="center"/>
                </w:tcPr>
                <w:p w14:paraId="32C9370F">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lang w:val="en-US" w:eastAsia="zh-CN" w:bidi="ar-SA"/>
                    </w:rPr>
                    <w:t>颗粒物</w:t>
                  </w:r>
                </w:p>
              </w:tc>
              <w:tc>
                <w:tcPr>
                  <w:tcW w:w="2914" w:type="dxa"/>
                  <w:tcBorders>
                    <w:tl2br w:val="nil"/>
                    <w:tr2bl w:val="nil"/>
                  </w:tcBorders>
                  <w:noWrap w:val="0"/>
                  <w:vAlign w:val="center"/>
                </w:tcPr>
                <w:p w14:paraId="53D810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0.9319</w:t>
                  </w:r>
                </w:p>
              </w:tc>
            </w:tr>
          </w:tbl>
          <w:p w14:paraId="75F505F6">
            <w:pPr>
              <w:keepNext w:val="0"/>
              <w:keepLines w:val="0"/>
              <w:pageBreakBefore w:val="0"/>
              <w:widowControl w:val="0"/>
              <w:kinsoku/>
              <w:wordWrap/>
              <w:overflowPunct/>
              <w:topLinePunct w:val="0"/>
              <w:autoSpaceDE/>
              <w:autoSpaceDN/>
              <w:bidi w:val="0"/>
              <w:adjustRightInd/>
              <w:snapToGrid/>
              <w:spacing w:line="476" w:lineRule="exact"/>
              <w:ind w:right="0" w:firstLine="482" w:firstLineChars="200"/>
              <w:jc w:val="both"/>
              <w:textAlignment w:val="auto"/>
              <w:rPr>
                <w:rFonts w:hint="eastAsia"/>
                <w:b/>
                <w:bCs/>
                <w:color w:val="auto"/>
              </w:rPr>
            </w:pPr>
            <w:r>
              <w:rPr>
                <w:rFonts w:hint="default" w:ascii="Times New Roman" w:hAnsi="Times New Roman" w:eastAsia="宋体" w:cs="Times New Roman"/>
                <w:b/>
                <w:bCs/>
                <w:color w:val="auto"/>
                <w:sz w:val="24"/>
                <w:szCs w:val="20"/>
                <w:lang w:val="en-US" w:eastAsia="zh-CN"/>
              </w:rPr>
              <w:t>1.</w:t>
            </w:r>
            <w:r>
              <w:rPr>
                <w:rFonts w:hint="eastAsia" w:cs="Times New Roman"/>
                <w:b/>
                <w:bCs/>
                <w:color w:val="auto"/>
                <w:sz w:val="24"/>
                <w:szCs w:val="20"/>
                <w:lang w:val="en-US" w:eastAsia="zh-CN"/>
              </w:rPr>
              <w:t>4</w:t>
            </w:r>
            <w:r>
              <w:rPr>
                <w:rFonts w:hint="eastAsia"/>
                <w:b/>
                <w:bCs/>
                <w:color w:val="auto"/>
              </w:rPr>
              <w:t>非正常工况</w:t>
            </w:r>
          </w:p>
          <w:p w14:paraId="6B75F8AC">
            <w:pPr>
              <w:keepNext w:val="0"/>
              <w:keepLines w:val="0"/>
              <w:pageBreakBefore w:val="0"/>
              <w:kinsoku/>
              <w:wordWrap/>
              <w:topLinePunct w:val="0"/>
              <w:bidi w:val="0"/>
              <w:spacing w:line="476" w:lineRule="exact"/>
              <w:ind w:right="0"/>
              <w:jc w:val="both"/>
              <w:textAlignment w:val="auto"/>
              <w:rPr>
                <w:rFonts w:hint="eastAsia"/>
                <w:color w:val="auto"/>
                <w:lang w:val="en-US" w:eastAsia="zh-CN"/>
              </w:rPr>
            </w:pPr>
            <w:r>
              <w:rPr>
                <w:rFonts w:hint="eastAsia"/>
                <w:color w:val="auto"/>
              </w:rPr>
              <w:t>项目非正常工况是指生产过程中因开停车、设备故障而导致环保设施未能运行，此过程持续时间为</w:t>
            </w:r>
            <w:r>
              <w:rPr>
                <w:rFonts w:hint="eastAsia"/>
                <w:color w:val="auto"/>
                <w:lang w:val="en-US" w:eastAsia="zh-CN"/>
              </w:rPr>
              <w:t>1h</w:t>
            </w:r>
            <w:r>
              <w:rPr>
                <w:rFonts w:hint="eastAsia"/>
                <w:color w:val="auto"/>
              </w:rPr>
              <w:t>。此工况下会导致物料输送、储存及搅拌过程中颗粒物排放增加，此过中</w:t>
            </w:r>
            <w:r>
              <w:rPr>
                <w:rFonts w:hint="eastAsia"/>
                <w:color w:val="auto"/>
                <w:lang w:val="en-US" w:eastAsia="zh-CN"/>
              </w:rPr>
              <w:t>粉</w:t>
            </w:r>
            <w:r>
              <w:rPr>
                <w:rFonts w:hint="eastAsia"/>
                <w:color w:val="auto"/>
              </w:rPr>
              <w:t>料输送、储存及搅拌</w:t>
            </w:r>
            <w:r>
              <w:rPr>
                <w:rFonts w:hint="eastAsia"/>
                <w:color w:val="auto"/>
                <w:lang w:val="en-US" w:eastAsia="zh-CN"/>
              </w:rPr>
              <w:t>环节产生无组织排放。</w:t>
            </w:r>
          </w:p>
          <w:p w14:paraId="00384046">
            <w:pPr>
              <w:pStyle w:val="18"/>
              <w:tabs>
                <w:tab w:val="left" w:pos="1845"/>
              </w:tabs>
              <w:spacing w:line="480" w:lineRule="exact"/>
              <w:ind w:firstLine="480" w:firstLineChars="200"/>
              <w:jc w:val="left"/>
              <w:rPr>
                <w:rFonts w:hint="default" w:ascii="Times New Roman" w:hAnsi="Times New Roman" w:eastAsia="宋体" w:cs="Times New Roman"/>
                <w:b w:val="0"/>
                <w:bCs/>
                <w:color w:val="auto"/>
                <w:szCs w:val="32"/>
              </w:rPr>
            </w:pPr>
            <w:r>
              <w:rPr>
                <w:rFonts w:hint="default" w:ascii="Times New Roman" w:hAnsi="Times New Roman" w:eastAsia="宋体" w:cs="Times New Roman"/>
                <w:b w:val="0"/>
                <w:bCs/>
                <w:color w:val="auto"/>
                <w:szCs w:val="32"/>
              </w:rPr>
              <w:t>针对本项目的非正常排放源强、发生频次和排放方式如下表4-</w:t>
            </w:r>
            <w:r>
              <w:rPr>
                <w:rFonts w:hint="eastAsia" w:ascii="Times New Roman" w:hAnsi="Times New Roman" w:eastAsia="宋体" w:cs="Times New Roman"/>
                <w:b w:val="0"/>
                <w:bCs/>
                <w:color w:val="auto"/>
                <w:szCs w:val="32"/>
                <w:lang w:val="en-US" w:eastAsia="zh-CN"/>
              </w:rPr>
              <w:t>6</w:t>
            </w:r>
            <w:r>
              <w:rPr>
                <w:rFonts w:hint="default" w:ascii="Times New Roman" w:hAnsi="Times New Roman" w:eastAsia="宋体" w:cs="Times New Roman"/>
                <w:b w:val="0"/>
                <w:bCs/>
                <w:color w:val="auto"/>
                <w:szCs w:val="32"/>
              </w:rPr>
              <w:t>所示。</w:t>
            </w:r>
          </w:p>
          <w:p w14:paraId="74AD6FA0">
            <w:pPr>
              <w:adjustRightInd w:val="0"/>
              <w:snapToGrid w:val="0"/>
              <w:spacing w:line="320" w:lineRule="exact"/>
              <w:jc w:val="center"/>
              <w:rPr>
                <w:rFonts w:hint="default" w:ascii="Times New Roman" w:hAnsi="Times New Roman" w:cs="Times New Roman"/>
                <w:color w:val="auto"/>
                <w:sz w:val="18"/>
                <w:szCs w:val="21"/>
              </w:rPr>
            </w:pPr>
            <w:r>
              <w:rPr>
                <w:rFonts w:hint="default"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6</w:t>
            </w:r>
            <w:r>
              <w:rPr>
                <w:rFonts w:hint="default" w:ascii="Times New Roman" w:hAnsi="Times New Roman" w:cs="Times New Roman"/>
                <w:b/>
                <w:bCs/>
                <w:color w:val="auto"/>
                <w:szCs w:val="21"/>
              </w:rPr>
              <w:t>非正常工况达标情况表</w:t>
            </w:r>
          </w:p>
          <w:tbl>
            <w:tblPr>
              <w:tblStyle w:val="15"/>
              <w:tblW w:w="481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5"/>
              <w:gridCol w:w="851"/>
              <w:gridCol w:w="864"/>
              <w:gridCol w:w="900"/>
              <w:gridCol w:w="729"/>
              <w:gridCol w:w="1104"/>
              <w:gridCol w:w="1036"/>
              <w:gridCol w:w="1157"/>
              <w:gridCol w:w="779"/>
            </w:tblGrid>
            <w:tr w14:paraId="0285D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28" w:type="pct"/>
                  <w:tcBorders>
                    <w:left w:val="single" w:color="auto" w:sz="12" w:space="0"/>
                  </w:tcBorders>
                  <w:noWrap w:val="0"/>
                  <w:vAlign w:val="center"/>
                </w:tcPr>
                <w:p w14:paraId="2F7083BC">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非正常排放源</w:t>
                  </w:r>
                </w:p>
              </w:tc>
              <w:tc>
                <w:tcPr>
                  <w:tcW w:w="524" w:type="pct"/>
                  <w:noWrap w:val="0"/>
                  <w:vAlign w:val="center"/>
                </w:tcPr>
                <w:p w14:paraId="45BB8530">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w:t>
                  </w:r>
                </w:p>
              </w:tc>
              <w:tc>
                <w:tcPr>
                  <w:tcW w:w="532" w:type="pct"/>
                  <w:noWrap w:val="0"/>
                  <w:vAlign w:val="center"/>
                </w:tcPr>
                <w:p w14:paraId="5972C533">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554" w:type="pct"/>
                  <w:noWrap w:val="0"/>
                  <w:vAlign w:val="center"/>
                </w:tcPr>
                <w:p w14:paraId="31506622">
                  <w:pPr>
                    <w:pStyle w:val="43"/>
                    <w:keepNext w:val="0"/>
                    <w:keepLines w:val="0"/>
                    <w:pageBreakBefore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sz w:val="21"/>
                      <w:szCs w:val="21"/>
                      <w:lang w:eastAsia="zh-CN"/>
                    </w:rPr>
                    <w:t>单次持续时间（h）</w:t>
                  </w:r>
                </w:p>
              </w:tc>
              <w:tc>
                <w:tcPr>
                  <w:tcW w:w="449" w:type="pct"/>
                  <w:noWrap w:val="0"/>
                  <w:vAlign w:val="center"/>
                </w:tcPr>
                <w:p w14:paraId="5B1E4762">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年发生频次（次）</w:t>
                  </w:r>
                </w:p>
              </w:tc>
              <w:tc>
                <w:tcPr>
                  <w:tcW w:w="680" w:type="pct"/>
                  <w:noWrap w:val="0"/>
                  <w:vAlign w:val="center"/>
                </w:tcPr>
                <w:p w14:paraId="327FC6E3">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处理设施最低处理效率</w:t>
                  </w:r>
                </w:p>
              </w:tc>
              <w:tc>
                <w:tcPr>
                  <w:tcW w:w="638" w:type="pct"/>
                  <w:noWrap w:val="0"/>
                  <w:vAlign w:val="center"/>
                </w:tcPr>
                <w:p w14:paraId="17839F9B">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非正常排放速率（</w:t>
                  </w:r>
                  <w:r>
                    <w:rPr>
                      <w:rFonts w:hint="default" w:ascii="Times New Roman" w:hAnsi="Times New Roman" w:eastAsia="宋体" w:cs="Times New Roman"/>
                      <w:color w:val="auto"/>
                      <w:sz w:val="21"/>
                      <w:szCs w:val="21"/>
                      <w:shd w:val="clear" w:color="auto" w:fill="FFFFFF"/>
                    </w:rPr>
                    <w:t>kg/h</w:t>
                  </w:r>
                  <w:r>
                    <w:rPr>
                      <w:rFonts w:hint="default" w:ascii="Times New Roman" w:hAnsi="Times New Roman" w:eastAsia="宋体" w:cs="Times New Roman"/>
                      <w:color w:val="auto"/>
                      <w:sz w:val="21"/>
                      <w:szCs w:val="21"/>
                    </w:rPr>
                    <w:t>）</w:t>
                  </w:r>
                </w:p>
              </w:tc>
              <w:tc>
                <w:tcPr>
                  <w:tcW w:w="712" w:type="pct"/>
                  <w:noWrap w:val="0"/>
                  <w:vAlign w:val="center"/>
                </w:tcPr>
                <w:p w14:paraId="4FF0BAEA">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79" w:type="pct"/>
                  <w:tcBorders>
                    <w:right w:val="single" w:color="auto" w:sz="12" w:space="0"/>
                  </w:tcBorders>
                  <w:noWrap w:val="0"/>
                  <w:vAlign w:val="center"/>
                </w:tcPr>
                <w:p w14:paraId="379C9532">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14:paraId="5CBA2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428" w:type="pct"/>
                  <w:tcBorders>
                    <w:left w:val="single" w:color="auto" w:sz="12" w:space="0"/>
                  </w:tcBorders>
                  <w:noWrap w:val="0"/>
                  <w:vAlign w:val="center"/>
                </w:tcPr>
                <w:p w14:paraId="7FFCA158">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除尘器</w:t>
                  </w:r>
                  <w:r>
                    <w:rPr>
                      <w:rFonts w:hint="default" w:ascii="Times New Roman" w:hAnsi="Times New Roman" w:eastAsia="宋体" w:cs="Times New Roman"/>
                      <w:color w:val="auto"/>
                      <w:sz w:val="21"/>
                      <w:szCs w:val="21"/>
                    </w:rPr>
                    <w:t>排气筒</w:t>
                  </w:r>
                </w:p>
              </w:tc>
              <w:tc>
                <w:tcPr>
                  <w:tcW w:w="524" w:type="pct"/>
                  <w:noWrap w:val="0"/>
                  <w:vAlign w:val="center"/>
                </w:tcPr>
                <w:p w14:paraId="225BC773">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532" w:type="pct"/>
                  <w:noWrap w:val="0"/>
                  <w:vAlign w:val="center"/>
                </w:tcPr>
                <w:p w14:paraId="13EE309B">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54" w:type="pct"/>
                  <w:noWrap w:val="0"/>
                  <w:vAlign w:val="center"/>
                </w:tcPr>
                <w:p w14:paraId="09439B87">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49" w:type="pct"/>
                  <w:noWrap w:val="0"/>
                  <w:vAlign w:val="center"/>
                </w:tcPr>
                <w:p w14:paraId="4C9DF098">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80" w:type="pct"/>
                  <w:noWrap w:val="0"/>
                  <w:vAlign w:val="center"/>
                </w:tcPr>
                <w:p w14:paraId="2DF12F64">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w:t>
                  </w:r>
                </w:p>
              </w:tc>
              <w:tc>
                <w:tcPr>
                  <w:tcW w:w="638" w:type="pct"/>
                  <w:noWrap w:val="0"/>
                  <w:vAlign w:val="center"/>
                </w:tcPr>
                <w:p w14:paraId="12CF607F">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21.10</w:t>
                  </w:r>
                </w:p>
              </w:tc>
              <w:tc>
                <w:tcPr>
                  <w:tcW w:w="712" w:type="pct"/>
                  <w:noWrap w:val="0"/>
                  <w:vAlign w:val="center"/>
                </w:tcPr>
                <w:p w14:paraId="5C7F9BAD">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178.44</w:t>
                  </w:r>
                </w:p>
              </w:tc>
              <w:tc>
                <w:tcPr>
                  <w:tcW w:w="479" w:type="pct"/>
                  <w:tcBorders>
                    <w:right w:val="single" w:color="auto" w:sz="12" w:space="0"/>
                  </w:tcBorders>
                  <w:noWrap w:val="0"/>
                  <w:vAlign w:val="center"/>
                </w:tcPr>
                <w:p w14:paraId="44329CA1">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超标</w:t>
                  </w:r>
                </w:p>
              </w:tc>
            </w:tr>
          </w:tbl>
          <w:p w14:paraId="7E7F1E2A">
            <w:pPr>
              <w:keepNext w:val="0"/>
              <w:keepLines w:val="0"/>
              <w:pageBreakBefore w:val="0"/>
              <w:widowControl w:val="0"/>
              <w:kinsoku/>
              <w:wordWrap/>
              <w:overflowPunct/>
              <w:topLinePunct w:val="0"/>
              <w:bidi w:val="0"/>
              <w:spacing w:line="476" w:lineRule="exact"/>
              <w:ind w:right="0" w:firstLine="480" w:firstLineChars="200"/>
              <w:jc w:val="both"/>
              <w:textAlignment w:val="auto"/>
              <w:rPr>
                <w:color w:val="auto"/>
              </w:rPr>
            </w:pPr>
            <w:r>
              <w:rPr>
                <w:color w:val="auto"/>
              </w:rPr>
              <w:t>对于布袋除尘器来说，主要是布袋除尘部分有可能出现布袋破漏的现象，在这种情况下会造成粉尘暂时性的非正常排放。通常情况下，项目安装布袋除尘器的生产设施可以随时停机，持续时间一般30分钟，需要立即停产检修。</w:t>
            </w:r>
          </w:p>
          <w:p w14:paraId="7CCB7DA5">
            <w:pPr>
              <w:keepNext w:val="0"/>
              <w:keepLines w:val="0"/>
              <w:pageBreakBefore w:val="0"/>
              <w:widowControl w:val="0"/>
              <w:kinsoku/>
              <w:wordWrap/>
              <w:overflowPunct/>
              <w:topLinePunct w:val="0"/>
              <w:bidi w:val="0"/>
              <w:spacing w:line="476" w:lineRule="exact"/>
              <w:ind w:right="0" w:firstLine="480" w:firstLineChars="200"/>
              <w:jc w:val="both"/>
              <w:textAlignment w:val="auto"/>
              <w:rPr>
                <w:rFonts w:hint="eastAsia"/>
                <w:color w:val="auto"/>
                <w:lang w:eastAsia="zh-CN"/>
              </w:rPr>
            </w:pPr>
            <w:r>
              <w:rPr>
                <w:rFonts w:hint="eastAsia"/>
                <w:color w:val="auto"/>
              </w:rPr>
              <w:t>非正常情况下粉尘的排放次数，一般很难确定，它与布袋的质量、布袋的维护及工人的管理水平有关。当布袋的使用寿命已到预定期限，及时更换</w:t>
            </w:r>
            <w:r>
              <w:rPr>
                <w:rFonts w:hint="eastAsia"/>
                <w:color w:val="auto"/>
                <w:lang w:eastAsia="zh-CN"/>
              </w:rPr>
              <w:t>，</w:t>
            </w:r>
            <w:r>
              <w:rPr>
                <w:rFonts w:hint="eastAsia"/>
                <w:color w:val="auto"/>
              </w:rPr>
              <w:t>粉尘的非正常排放的几率很小。一旦出现故障，要求立即关停生产设施，不允许牺牲环境，进行生产的现象存在。</w:t>
            </w:r>
          </w:p>
          <w:p w14:paraId="0310C4BC">
            <w:pPr>
              <w:keepNext w:val="0"/>
              <w:keepLines w:val="0"/>
              <w:pageBreakBefore w:val="0"/>
              <w:widowControl w:val="0"/>
              <w:kinsoku/>
              <w:wordWrap/>
              <w:overflowPunct/>
              <w:topLinePunct w:val="0"/>
              <w:bidi w:val="0"/>
              <w:spacing w:line="476" w:lineRule="exact"/>
              <w:ind w:right="0" w:firstLine="480" w:firstLineChars="200"/>
              <w:jc w:val="both"/>
              <w:textAlignment w:val="auto"/>
              <w:rPr>
                <w:rFonts w:hint="default"/>
                <w:color w:val="auto"/>
                <w:lang w:val="en-US" w:eastAsia="zh-CN"/>
              </w:rPr>
            </w:pPr>
            <w:r>
              <w:rPr>
                <w:rFonts w:hint="eastAsia"/>
                <w:color w:val="auto"/>
                <w:lang w:val="en-US" w:eastAsia="zh-CN"/>
              </w:rPr>
              <w:t>非正常工况下，排放浓度均为超标排放。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78AAFA82">
            <w:pPr>
              <w:keepNext w:val="0"/>
              <w:keepLines w:val="0"/>
              <w:pageBreakBefore w:val="0"/>
              <w:widowControl w:val="0"/>
              <w:kinsoku/>
              <w:wordWrap/>
              <w:overflowPunct/>
              <w:topLinePunct w:val="0"/>
              <w:bidi w:val="0"/>
              <w:spacing w:line="476" w:lineRule="exact"/>
              <w:ind w:right="0" w:firstLine="480" w:firstLineChars="200"/>
              <w:jc w:val="both"/>
              <w:textAlignment w:val="auto"/>
              <w:rPr>
                <w:rFonts w:hint="default"/>
                <w:color w:val="auto"/>
                <w:lang w:val="en-US" w:eastAsia="zh-CN"/>
              </w:rPr>
            </w:pPr>
            <w:r>
              <w:rPr>
                <w:rFonts w:hint="eastAsia"/>
                <w:color w:val="auto"/>
                <w:lang w:val="en-US" w:eastAsia="zh-CN"/>
              </w:rPr>
              <w:t>①安排专人负责环保设备的日常维护和管理，每个固定时间检查、汇报情况，及时发现废气处理设备的隐患，确保废气处理系统正常运行；</w:t>
            </w:r>
          </w:p>
          <w:p w14:paraId="1A48ED07">
            <w:pPr>
              <w:keepNext w:val="0"/>
              <w:keepLines w:val="0"/>
              <w:pageBreakBefore w:val="0"/>
              <w:widowControl w:val="0"/>
              <w:kinsoku/>
              <w:wordWrap/>
              <w:overflowPunct/>
              <w:topLinePunct w:val="0"/>
              <w:bidi w:val="0"/>
              <w:spacing w:line="476" w:lineRule="exact"/>
              <w:ind w:right="0" w:firstLine="480" w:firstLineChars="200"/>
              <w:jc w:val="both"/>
              <w:textAlignment w:val="auto"/>
              <w:rPr>
                <w:rFonts w:hint="default"/>
                <w:color w:val="auto"/>
                <w:lang w:val="en-US" w:eastAsia="zh-CN"/>
              </w:rPr>
            </w:pPr>
            <w:r>
              <w:rPr>
                <w:rFonts w:hint="eastAsia"/>
                <w:color w:val="auto"/>
                <w:lang w:val="en-US" w:eastAsia="zh-CN"/>
              </w:rPr>
              <w:t>②建立健全的环保管理机构，对环保管理人员和技术人员进行岗位培训，委托具有专业资质的环境检测单位对项目排放的各类污染物进行定期检测；</w:t>
            </w:r>
          </w:p>
          <w:p w14:paraId="3EEA897D">
            <w:pPr>
              <w:keepNext w:val="0"/>
              <w:keepLines w:val="0"/>
              <w:pageBreakBefore w:val="0"/>
              <w:widowControl w:val="0"/>
              <w:kinsoku/>
              <w:wordWrap/>
              <w:overflowPunct/>
              <w:topLinePunct w:val="0"/>
              <w:bidi w:val="0"/>
              <w:spacing w:line="476" w:lineRule="exact"/>
              <w:ind w:right="0" w:firstLine="480" w:firstLineChars="200"/>
              <w:jc w:val="both"/>
              <w:textAlignment w:val="auto"/>
              <w:rPr>
                <w:rFonts w:hint="eastAsia"/>
                <w:color w:val="auto"/>
                <w:lang w:val="en-US" w:eastAsia="zh-CN"/>
              </w:rPr>
            </w:pPr>
            <w:r>
              <w:rPr>
                <w:rFonts w:hint="eastAsia"/>
                <w:color w:val="auto"/>
                <w:lang w:val="en-US" w:eastAsia="zh-CN"/>
              </w:rPr>
              <w:t>③应定期维护、检修废气处理装置，以保持废气处理装置的净化能力。</w:t>
            </w:r>
          </w:p>
          <w:p w14:paraId="4A54A703">
            <w:pPr>
              <w:pStyle w:val="3"/>
              <w:keepNext w:val="0"/>
              <w:keepLines w:val="0"/>
              <w:pageBreakBefore w:val="0"/>
              <w:kinsoku/>
              <w:wordWrap/>
              <w:topLinePunct w:val="0"/>
              <w:bidi w:val="0"/>
              <w:spacing w:line="476" w:lineRule="exact"/>
              <w:ind w:right="0"/>
              <w:jc w:val="both"/>
              <w:textAlignment w:val="auto"/>
              <w:rPr>
                <w:rFonts w:hint="eastAsia"/>
                <w:color w:val="auto"/>
              </w:rPr>
            </w:pPr>
            <w:r>
              <w:rPr>
                <w:rFonts w:hint="eastAsia"/>
                <w:color w:val="auto"/>
                <w:lang w:val="en-US" w:eastAsia="zh-CN"/>
              </w:rPr>
              <w:t>1.5</w:t>
            </w:r>
            <w:r>
              <w:rPr>
                <w:rFonts w:hint="eastAsia"/>
                <w:color w:val="auto"/>
              </w:rPr>
              <w:t>废气污染治理措施可行性</w:t>
            </w:r>
          </w:p>
          <w:p w14:paraId="188C04A9">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rFonts w:hint="default"/>
                <w:color w:val="auto"/>
                <w:lang w:val="en-US" w:eastAsia="zh-CN"/>
              </w:rPr>
            </w:pPr>
            <w:r>
              <w:rPr>
                <w:rFonts w:hint="eastAsia"/>
                <w:color w:val="auto"/>
              </w:rPr>
              <w:t>目前生态环境部尚未发布有关水泥制品行业的排污污染防治可行技术指南。</w:t>
            </w:r>
            <w:r>
              <w:rPr>
                <w:rFonts w:hint="eastAsia"/>
                <w:color w:val="auto"/>
                <w:lang w:val="en-US" w:eastAsia="zh-CN"/>
              </w:rPr>
              <w:t>由于本项目无组织废气均执行《水泥工业大气污染物排放标准》（GB4915-2013）相关标准要求，因此本项目对照《排污许可证申请与核发技术规范 水泥工业》（HJ847-2017）文件进行废气污染物防治措施可行性分析。对照附录B中包装机及其他通风生产设施等排气筒，采用袋式除尘器处理颗粒物可满足排放标准限值要求。</w:t>
            </w:r>
          </w:p>
          <w:p w14:paraId="122F0FAF">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rFonts w:hint="default"/>
                <w:color w:val="auto"/>
                <w:lang w:val="en-US" w:eastAsia="zh-CN"/>
              </w:rPr>
            </w:pPr>
            <w:r>
              <w:rPr>
                <w:rFonts w:hint="eastAsia"/>
                <w:color w:val="auto"/>
              </w:rPr>
              <w:t>项目针对物料输送、储存、搅拌环节设置密闭车间、密闭</w:t>
            </w:r>
            <w:r>
              <w:rPr>
                <w:rFonts w:hint="eastAsia"/>
                <w:color w:val="auto"/>
                <w:lang w:val="en-US" w:eastAsia="zh-CN"/>
              </w:rPr>
              <w:t>绞龙</w:t>
            </w:r>
            <w:r>
              <w:rPr>
                <w:rFonts w:hint="eastAsia"/>
                <w:color w:val="auto"/>
              </w:rPr>
              <w:t>，</w:t>
            </w:r>
            <w:r>
              <w:rPr>
                <w:rFonts w:hint="eastAsia"/>
                <w:color w:val="auto"/>
                <w:lang w:val="en-US" w:eastAsia="zh-CN"/>
              </w:rPr>
              <w:t>在人工投料工段、包装工段，分别设置集气罩（合计6台集气罩），收集的粉尘与</w:t>
            </w:r>
            <w:r>
              <w:rPr>
                <w:rFonts w:hint="eastAsia"/>
                <w:color w:val="auto"/>
              </w:rPr>
              <w:t>对主楼</w:t>
            </w:r>
            <w:r>
              <w:rPr>
                <w:rFonts w:hint="eastAsia"/>
                <w:color w:val="auto"/>
                <w:lang w:val="en-US" w:eastAsia="zh-CN"/>
              </w:rPr>
              <w:t>收集的粉尘一同通过</w:t>
            </w:r>
            <w:r>
              <w:rPr>
                <w:rFonts w:hint="eastAsia"/>
                <w:color w:val="auto"/>
              </w:rPr>
              <w:t>设置</w:t>
            </w:r>
            <w:r>
              <w:rPr>
                <w:rFonts w:hint="eastAsia"/>
                <w:color w:val="auto"/>
                <w:lang w:eastAsia="zh-CN"/>
              </w:rPr>
              <w:t>的</w:t>
            </w:r>
            <w:r>
              <w:rPr>
                <w:rFonts w:hint="eastAsia"/>
                <w:color w:val="auto"/>
                <w:lang w:val="en-US" w:eastAsia="zh-CN"/>
              </w:rPr>
              <w:t>2台布袋除尘器进行集中处置</w:t>
            </w:r>
            <w:r>
              <w:rPr>
                <w:rFonts w:hint="eastAsia"/>
                <w:color w:val="auto"/>
                <w:lang w:eastAsia="zh-CN"/>
              </w:rPr>
              <w:t>，</w:t>
            </w:r>
            <w:r>
              <w:rPr>
                <w:rFonts w:hint="eastAsia"/>
                <w:color w:val="auto"/>
                <w:lang w:val="en-US" w:eastAsia="zh-CN"/>
              </w:rPr>
              <w:t>将处理后的废气通过15m排气筒（DA001）有组织排放，经核算，</w:t>
            </w:r>
            <w:r>
              <w:rPr>
                <w:rFonts w:hint="eastAsia"/>
                <w:color w:val="auto"/>
              </w:rPr>
              <w:t>污染物排放</w:t>
            </w:r>
            <w:r>
              <w:rPr>
                <w:rFonts w:hint="eastAsia"/>
                <w:color w:val="auto"/>
                <w:lang w:val="en-US" w:eastAsia="zh-CN"/>
              </w:rPr>
              <w:t>浓度</w:t>
            </w:r>
            <w:r>
              <w:rPr>
                <w:rFonts w:hint="eastAsia"/>
                <w:color w:val="auto"/>
              </w:rPr>
              <w:t>满足《水泥工业大气污染物排放标准》</w:t>
            </w:r>
            <w:r>
              <w:rPr>
                <w:rFonts w:hint="eastAsia"/>
                <w:color w:val="auto"/>
                <w:lang w:eastAsia="zh-CN"/>
              </w:rPr>
              <w:t>（</w:t>
            </w:r>
            <w:r>
              <w:rPr>
                <w:rFonts w:hint="eastAsia"/>
                <w:color w:val="auto"/>
              </w:rPr>
              <w:t>GB4915-2013</w:t>
            </w:r>
            <w:r>
              <w:rPr>
                <w:rFonts w:hint="eastAsia"/>
                <w:color w:val="auto"/>
                <w:lang w:eastAsia="zh-CN"/>
              </w:rPr>
              <w:t>）</w:t>
            </w:r>
            <w:r>
              <w:rPr>
                <w:rFonts w:hint="eastAsia"/>
                <w:color w:val="auto"/>
              </w:rPr>
              <w:t>大气污染物</w:t>
            </w:r>
            <w:r>
              <w:rPr>
                <w:rFonts w:hint="eastAsia"/>
                <w:color w:val="auto"/>
                <w:lang w:val="en-US" w:eastAsia="zh-CN"/>
              </w:rPr>
              <w:t>特别</w:t>
            </w:r>
            <w:r>
              <w:rPr>
                <w:rFonts w:hint="eastAsia"/>
                <w:color w:val="auto"/>
              </w:rPr>
              <w:t>排放限值要求。</w:t>
            </w:r>
            <w:r>
              <w:rPr>
                <w:rFonts w:hint="eastAsia"/>
                <w:color w:val="auto"/>
                <w:lang w:val="en-US" w:eastAsia="zh-CN"/>
              </w:rPr>
              <w:t>本项目生产工艺设备、废气收集系统以及污染治理设施同步运行，废气收集或污染治理设施发生故障或检修过程中，严格落实停止运转，对应的生产工艺设备，待检修完毕后共同投入使用。</w:t>
            </w:r>
          </w:p>
          <w:p w14:paraId="7C3E1868">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color w:val="auto"/>
              </w:rPr>
            </w:pPr>
            <w:r>
              <w:rPr>
                <w:rFonts w:hint="eastAsia"/>
                <w:color w:val="auto"/>
              </w:rPr>
              <w:t>综上，</w:t>
            </w:r>
            <w:r>
              <w:rPr>
                <w:rFonts w:hint="eastAsia"/>
                <w:color w:val="auto"/>
                <w:lang w:val="en-US" w:eastAsia="zh-CN"/>
              </w:rPr>
              <w:t>在项目运营期落实以上环保治理措施及制度的情况下，</w:t>
            </w:r>
            <w:r>
              <w:rPr>
                <w:rFonts w:hint="eastAsia"/>
                <w:color w:val="auto"/>
              </w:rPr>
              <w:t>项目污染物排放满足《水泥工业大气污染物排放标准》</w:t>
            </w:r>
            <w:r>
              <w:rPr>
                <w:rFonts w:hint="eastAsia"/>
                <w:color w:val="auto"/>
                <w:lang w:eastAsia="zh-CN"/>
              </w:rPr>
              <w:t>（</w:t>
            </w:r>
            <w:r>
              <w:rPr>
                <w:rFonts w:hint="eastAsia"/>
                <w:color w:val="auto"/>
              </w:rPr>
              <w:t>GB4915-2013</w:t>
            </w:r>
            <w:r>
              <w:rPr>
                <w:rFonts w:hint="eastAsia"/>
                <w:color w:val="auto"/>
                <w:lang w:eastAsia="zh-CN"/>
              </w:rPr>
              <w:t>）</w:t>
            </w:r>
            <w:r>
              <w:rPr>
                <w:rFonts w:hint="eastAsia"/>
                <w:color w:val="auto"/>
              </w:rPr>
              <w:t>区域</w:t>
            </w:r>
            <w:r>
              <w:rPr>
                <w:rFonts w:hint="eastAsia"/>
                <w:color w:val="auto"/>
                <w:lang w:val="en-US" w:eastAsia="zh-CN"/>
              </w:rPr>
              <w:t>特别</w:t>
            </w:r>
            <w:r>
              <w:rPr>
                <w:rFonts w:hint="eastAsia"/>
                <w:color w:val="auto"/>
              </w:rPr>
              <w:t>排放限值要求，符合《排污许可证申请与核发技术规范 总则》（GB4915-2013）</w:t>
            </w:r>
            <w:r>
              <w:rPr>
                <w:rFonts w:hint="eastAsia"/>
                <w:color w:val="auto"/>
                <w:lang w:val="en-US" w:eastAsia="zh-CN"/>
              </w:rPr>
              <w:t>和《排污许可证申请与核发技术规范 水泥工业》（HJ847-2017）</w:t>
            </w:r>
            <w:r>
              <w:rPr>
                <w:rFonts w:hint="eastAsia"/>
                <w:color w:val="auto"/>
              </w:rPr>
              <w:t>可行性技术的要求，故废气污染治理措施技术合理可行。</w:t>
            </w:r>
          </w:p>
          <w:p w14:paraId="03774A83">
            <w:pPr>
              <w:pStyle w:val="3"/>
              <w:keepNext w:val="0"/>
              <w:keepLines w:val="0"/>
              <w:pageBreakBefore w:val="0"/>
              <w:kinsoku/>
              <w:wordWrap/>
              <w:topLinePunct w:val="0"/>
              <w:bidi w:val="0"/>
              <w:spacing w:line="476" w:lineRule="exact"/>
              <w:ind w:right="0"/>
              <w:jc w:val="both"/>
              <w:textAlignment w:val="auto"/>
              <w:rPr>
                <w:rFonts w:hint="eastAsia"/>
                <w:color w:val="auto"/>
              </w:rPr>
            </w:pPr>
            <w:r>
              <w:rPr>
                <w:rFonts w:hint="eastAsia"/>
                <w:color w:val="auto"/>
                <w:lang w:val="en-US" w:eastAsia="zh-CN"/>
              </w:rPr>
              <w:t>1.6</w:t>
            </w:r>
            <w:r>
              <w:rPr>
                <w:rFonts w:hint="eastAsia"/>
                <w:color w:val="auto"/>
              </w:rPr>
              <w:t>运营期监测方案</w:t>
            </w:r>
          </w:p>
          <w:p w14:paraId="3FDBBEFB">
            <w:pPr>
              <w:keepNext w:val="0"/>
              <w:keepLines w:val="0"/>
              <w:pageBreakBefore w:val="0"/>
              <w:widowControl w:val="0"/>
              <w:kinsoku/>
              <w:wordWrap/>
              <w:overflowPunct/>
              <w:topLinePunct w:val="0"/>
              <w:autoSpaceDE/>
              <w:autoSpaceDN/>
              <w:bidi w:val="0"/>
              <w:adjustRightInd/>
              <w:snapToGrid/>
              <w:spacing w:line="476" w:lineRule="exact"/>
              <w:ind w:right="0" w:firstLine="480" w:firstLineChars="200"/>
              <w:jc w:val="both"/>
              <w:textAlignment w:val="auto"/>
              <w:rPr>
                <w:color w:val="auto"/>
              </w:rPr>
            </w:pPr>
            <w:r>
              <w:rPr>
                <w:rFonts w:hint="eastAsia"/>
                <w:color w:val="auto"/>
              </w:rPr>
              <w:t>根据《排污许可证申请与核发技术规范 总则》（HJ942—2018）及《排污单位自行监测技术指南 总则》（HJ819-2017）要求结合企业的生产特点，监测方案见下表。</w:t>
            </w:r>
          </w:p>
          <w:p w14:paraId="60263F83">
            <w:pPr>
              <w:pStyle w:val="29"/>
              <w:bidi w:val="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表</w:t>
            </w:r>
            <w:r>
              <w:rPr>
                <w:rFonts w:hint="default" w:ascii="Times New Roman" w:hAnsi="Times New Roman" w:cs="Times New Roman"/>
                <w:color w:val="auto"/>
                <w:sz w:val="21"/>
                <w:szCs w:val="18"/>
                <w:lang w:val="en-US" w:eastAsia="zh-CN"/>
              </w:rPr>
              <w:t>4-4</w:t>
            </w:r>
            <w:r>
              <w:rPr>
                <w:rFonts w:hint="default" w:ascii="Times New Roman" w:hAnsi="Times New Roman" w:cs="Times New Roman"/>
                <w:color w:val="auto"/>
                <w:sz w:val="21"/>
                <w:szCs w:val="18"/>
              </w:rPr>
              <w:t xml:space="preserve">  运营期大气污染物监测计划表</w:t>
            </w:r>
          </w:p>
          <w:tbl>
            <w:tblPr>
              <w:tblStyle w:val="1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062"/>
              <w:gridCol w:w="1744"/>
              <w:gridCol w:w="3992"/>
            </w:tblGrid>
            <w:tr w14:paraId="4B27D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45" w:type="pct"/>
                  <w:noWrap w:val="0"/>
                  <w:vAlign w:val="center"/>
                </w:tcPr>
                <w:p w14:paraId="6FCFA48F">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color w:val="auto"/>
                    </w:rPr>
                  </w:pPr>
                  <w:r>
                    <w:rPr>
                      <w:color w:val="auto"/>
                    </w:rPr>
                    <w:t>监测点位</w:t>
                  </w:r>
                </w:p>
              </w:tc>
              <w:tc>
                <w:tcPr>
                  <w:tcW w:w="633" w:type="pct"/>
                  <w:noWrap w:val="0"/>
                  <w:vAlign w:val="center"/>
                </w:tcPr>
                <w:p w14:paraId="351CC0B9">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color w:val="auto"/>
                    </w:rPr>
                  </w:pPr>
                  <w:r>
                    <w:rPr>
                      <w:color w:val="auto"/>
                    </w:rPr>
                    <w:t>监测</w:t>
                  </w:r>
                  <w:r>
                    <w:rPr>
                      <w:rFonts w:hint="eastAsia"/>
                      <w:color w:val="auto"/>
                    </w:rPr>
                    <w:t>指标</w:t>
                  </w:r>
                </w:p>
              </w:tc>
              <w:tc>
                <w:tcPr>
                  <w:tcW w:w="1040" w:type="pct"/>
                  <w:noWrap w:val="0"/>
                  <w:vAlign w:val="center"/>
                </w:tcPr>
                <w:p w14:paraId="50F90F77">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color w:val="auto"/>
                    </w:rPr>
                  </w:pPr>
                  <w:r>
                    <w:rPr>
                      <w:color w:val="auto"/>
                    </w:rPr>
                    <w:t>监测频次</w:t>
                  </w:r>
                </w:p>
              </w:tc>
              <w:tc>
                <w:tcPr>
                  <w:tcW w:w="2381" w:type="pct"/>
                  <w:noWrap w:val="0"/>
                  <w:vAlign w:val="center"/>
                </w:tcPr>
                <w:p w14:paraId="768DF486">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color w:val="auto"/>
                    </w:rPr>
                  </w:pPr>
                  <w:r>
                    <w:rPr>
                      <w:color w:val="auto"/>
                    </w:rPr>
                    <w:t>执行排放标准</w:t>
                  </w:r>
                </w:p>
              </w:tc>
            </w:tr>
            <w:tr w14:paraId="58607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5" w:type="pct"/>
                  <w:noWrap w:val="0"/>
                  <w:vAlign w:val="center"/>
                </w:tcPr>
                <w:p w14:paraId="09AA098B">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rFonts w:hint="default" w:eastAsia="宋体"/>
                      <w:color w:val="auto"/>
                      <w:lang w:val="en-US" w:eastAsia="zh-CN"/>
                    </w:rPr>
                  </w:pPr>
                  <w:r>
                    <w:rPr>
                      <w:rFonts w:hint="eastAsia"/>
                      <w:color w:val="auto"/>
                    </w:rPr>
                    <w:t>厂界</w:t>
                  </w:r>
                  <w:r>
                    <w:rPr>
                      <w:rFonts w:hint="eastAsia"/>
                      <w:color w:val="auto"/>
                      <w:lang w:eastAsia="zh-CN"/>
                    </w:rPr>
                    <w:t>：</w:t>
                  </w:r>
                  <w:r>
                    <w:rPr>
                      <w:rFonts w:hint="eastAsia"/>
                      <w:color w:val="auto"/>
                      <w:lang w:val="en-US" w:eastAsia="zh-CN"/>
                    </w:rPr>
                    <w:t>上风向1处，下风向3处</w:t>
                  </w:r>
                </w:p>
              </w:tc>
              <w:tc>
                <w:tcPr>
                  <w:tcW w:w="633" w:type="pct"/>
                  <w:noWrap w:val="0"/>
                  <w:vAlign w:val="center"/>
                </w:tcPr>
                <w:p w14:paraId="721D6D15">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rFonts w:hint="eastAsia"/>
                      <w:color w:val="auto"/>
                    </w:rPr>
                  </w:pPr>
                  <w:r>
                    <w:rPr>
                      <w:rFonts w:hint="eastAsia"/>
                      <w:color w:val="auto"/>
                    </w:rPr>
                    <w:t>颗粒物</w:t>
                  </w:r>
                </w:p>
              </w:tc>
              <w:tc>
                <w:tcPr>
                  <w:tcW w:w="1040" w:type="pct"/>
                  <w:noWrap w:val="0"/>
                  <w:vAlign w:val="center"/>
                </w:tcPr>
                <w:p w14:paraId="576ABE4A">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color w:val="auto"/>
                    </w:rPr>
                  </w:pPr>
                  <w:r>
                    <w:rPr>
                      <w:rFonts w:hint="eastAsia"/>
                      <w:color w:val="auto"/>
                    </w:rPr>
                    <w:t>每</w:t>
                  </w:r>
                  <w:r>
                    <w:rPr>
                      <w:rFonts w:hint="eastAsia"/>
                      <w:color w:val="auto"/>
                      <w:lang w:val="en-US" w:eastAsia="zh-CN"/>
                    </w:rPr>
                    <w:t>季度</w:t>
                  </w:r>
                  <w:r>
                    <w:rPr>
                      <w:rFonts w:hint="eastAsia"/>
                      <w:color w:val="auto"/>
                    </w:rPr>
                    <w:t>1次</w:t>
                  </w:r>
                </w:p>
              </w:tc>
              <w:tc>
                <w:tcPr>
                  <w:tcW w:w="2381" w:type="pct"/>
                  <w:vMerge w:val="restart"/>
                  <w:noWrap w:val="0"/>
                  <w:vAlign w:val="center"/>
                </w:tcPr>
                <w:p w14:paraId="6992C9DA">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rFonts w:hint="default"/>
                      <w:color w:val="auto"/>
                      <w:lang w:val="en-US" w:eastAsia="zh-CN"/>
                    </w:rPr>
                  </w:pPr>
                  <w:r>
                    <w:rPr>
                      <w:rFonts w:hint="eastAsia"/>
                      <w:color w:val="auto"/>
                    </w:rPr>
                    <w:t>《水泥工业大气污染物排放标准》（GB4915-2013）</w:t>
                  </w:r>
                  <w:r>
                    <w:rPr>
                      <w:rFonts w:hint="eastAsia"/>
                      <w:color w:val="auto"/>
                      <w:lang w:val="en-US" w:eastAsia="zh-CN"/>
                    </w:rPr>
                    <w:t>排放限值要求</w:t>
                  </w:r>
                </w:p>
              </w:tc>
            </w:tr>
            <w:tr w14:paraId="25F99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pct"/>
                  <w:noWrap w:val="0"/>
                  <w:vAlign w:val="center"/>
                </w:tcPr>
                <w:p w14:paraId="421338DC">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排气筒DA0</w:t>
                  </w:r>
                  <w:r>
                    <w:rPr>
                      <w:rFonts w:hint="eastAsia" w:cs="Times New Roman"/>
                      <w:color w:val="auto"/>
                      <w:lang w:val="en-US" w:eastAsia="zh-CN"/>
                    </w:rPr>
                    <w:t>01</w:t>
                  </w:r>
                </w:p>
              </w:tc>
              <w:tc>
                <w:tcPr>
                  <w:tcW w:w="633" w:type="pct"/>
                  <w:noWrap w:val="0"/>
                  <w:vAlign w:val="center"/>
                </w:tcPr>
                <w:p w14:paraId="65FBDA2D">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rFonts w:hint="eastAsia"/>
                      <w:color w:val="auto"/>
                    </w:rPr>
                  </w:pPr>
                  <w:r>
                    <w:rPr>
                      <w:rFonts w:hint="eastAsia"/>
                      <w:color w:val="auto"/>
                    </w:rPr>
                    <w:t>颗粒物</w:t>
                  </w:r>
                </w:p>
              </w:tc>
              <w:tc>
                <w:tcPr>
                  <w:tcW w:w="1040" w:type="pct"/>
                  <w:noWrap w:val="0"/>
                  <w:vAlign w:val="center"/>
                </w:tcPr>
                <w:p w14:paraId="6F934587">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rFonts w:hint="eastAsia"/>
                      <w:color w:val="auto"/>
                    </w:rPr>
                  </w:pPr>
                  <w:r>
                    <w:rPr>
                      <w:rFonts w:hint="eastAsia" w:cs="Times New Roman"/>
                      <w:color w:val="auto"/>
                      <w:kern w:val="2"/>
                      <w:sz w:val="21"/>
                      <w:szCs w:val="21"/>
                      <w:lang w:val="en-US" w:eastAsia="zh-CN" w:bidi="ar"/>
                    </w:rPr>
                    <w:t>每1年</w:t>
                  </w:r>
                  <w:r>
                    <w:rPr>
                      <w:rFonts w:hint="default" w:ascii="Times New Roman" w:hAnsi="Times New Roman" w:eastAsia="宋体" w:cs="Times New Roman"/>
                      <w:color w:val="auto"/>
                      <w:kern w:val="2"/>
                      <w:sz w:val="21"/>
                      <w:szCs w:val="21"/>
                      <w:lang w:val="en-US" w:eastAsia="zh-CN" w:bidi="ar"/>
                    </w:rPr>
                    <w:t>监测一次</w:t>
                  </w:r>
                </w:p>
              </w:tc>
              <w:tc>
                <w:tcPr>
                  <w:tcW w:w="2381" w:type="pct"/>
                  <w:vMerge w:val="continue"/>
                  <w:noWrap w:val="0"/>
                  <w:vAlign w:val="center"/>
                </w:tcPr>
                <w:p w14:paraId="7918632F">
                  <w:pPr>
                    <w:pStyle w:val="30"/>
                    <w:keepNext w:val="0"/>
                    <w:keepLines w:val="0"/>
                    <w:pageBreakBefore w:val="0"/>
                    <w:widowControl w:val="0"/>
                    <w:kinsoku/>
                    <w:wordWrap/>
                    <w:overflowPunct w:val="0"/>
                    <w:topLinePunct w:val="0"/>
                    <w:autoSpaceDE w:val="0"/>
                    <w:autoSpaceDN w:val="0"/>
                    <w:bidi w:val="0"/>
                    <w:adjustRightInd w:val="0"/>
                    <w:snapToGrid w:val="0"/>
                    <w:spacing w:line="500" w:lineRule="exact"/>
                    <w:jc w:val="center"/>
                    <w:textAlignment w:val="center"/>
                    <w:rPr>
                      <w:rFonts w:hint="eastAsia"/>
                      <w:color w:val="auto"/>
                    </w:rPr>
                  </w:pPr>
                </w:p>
              </w:tc>
            </w:tr>
          </w:tbl>
          <w:p w14:paraId="482C4C6A">
            <w:pPr>
              <w:widowControl w:val="0"/>
              <w:overflowPunct w:val="0"/>
              <w:autoSpaceDE w:val="0"/>
              <w:autoSpaceDN w:val="0"/>
              <w:bidi w:val="0"/>
              <w:adjustRightInd w:val="0"/>
              <w:snapToGrid w:val="0"/>
              <w:spacing w:before="0" w:after="0" w:line="360" w:lineRule="auto"/>
              <w:ind w:right="0"/>
              <w:jc w:val="left"/>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2、</w:t>
            </w:r>
            <w:r>
              <w:rPr>
                <w:rFonts w:hint="eastAsia" w:ascii="Times New Roman" w:hAnsi="Times New Roman" w:eastAsia="宋体" w:cs="黑体"/>
                <w:b/>
                <w:color w:val="auto"/>
                <w:sz w:val="28"/>
                <w:szCs w:val="30"/>
                <w:lang w:val="en-US" w:eastAsia="zh-CN" w:bidi="ar-SA"/>
              </w:rPr>
              <w:t>废水</w:t>
            </w:r>
          </w:p>
          <w:p w14:paraId="0614B174">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（1）生活污水产排情况</w:t>
            </w:r>
          </w:p>
          <w:p w14:paraId="46F000C9">
            <w:pPr>
              <w:widowControl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本项目新增员工</w:t>
            </w:r>
            <w:r>
              <w:rPr>
                <w:rFonts w:hint="eastAsia" w:cs="Times New Roman"/>
                <w:color w:val="auto"/>
                <w:sz w:val="24"/>
                <w:szCs w:val="24"/>
                <w:highlight w:val="none"/>
                <w:lang w:val="en-US" w:eastAsia="zh-CN" w:bidi="ar-SA"/>
              </w:rPr>
              <w:t>20</w:t>
            </w:r>
            <w:r>
              <w:rPr>
                <w:rFonts w:hint="default" w:ascii="Times New Roman" w:hAnsi="Times New Roman" w:eastAsia="宋体" w:cs="Times New Roman"/>
                <w:color w:val="auto"/>
                <w:sz w:val="24"/>
                <w:szCs w:val="24"/>
                <w:highlight w:val="none"/>
                <w:lang w:val="en-US" w:eastAsia="zh-CN" w:bidi="ar-SA"/>
              </w:rPr>
              <w:t>人，根据《新疆维吾尔自治区生活用水定额》集体宿舍取80L/人•d，职工生活用水量为</w:t>
            </w:r>
            <w:r>
              <w:rPr>
                <w:rFonts w:hint="eastAsia" w:cs="Times New Roman"/>
                <w:color w:val="auto"/>
                <w:sz w:val="24"/>
                <w:szCs w:val="24"/>
                <w:highlight w:val="none"/>
                <w:lang w:val="en-US" w:eastAsia="zh-CN" w:bidi="ar-SA"/>
              </w:rPr>
              <w:t>1.6</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480</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/a。生活污水产污系数以0.8计</w:t>
            </w:r>
            <w:r>
              <w:rPr>
                <w:rFonts w:hint="eastAsia" w:ascii="Times New Roman" w:hAnsi="Times New Roman" w:eastAsia="宋体" w:cs="Times New Roman"/>
                <w:color w:val="auto"/>
                <w:sz w:val="24"/>
                <w:szCs w:val="24"/>
                <w:highlight w:val="none"/>
                <w:lang w:val="en-US" w:eastAsia="zh-CN" w:bidi="ar-SA"/>
              </w:rPr>
              <w:t>，即</w:t>
            </w:r>
            <w:r>
              <w:rPr>
                <w:rFonts w:hint="eastAsia" w:cs="Times New Roman"/>
                <w:color w:val="auto"/>
                <w:sz w:val="24"/>
                <w:szCs w:val="24"/>
                <w:highlight w:val="none"/>
                <w:lang w:val="en-US" w:eastAsia="zh-CN" w:bidi="ar-SA"/>
              </w:rPr>
              <w:t>1.28</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384</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废水中含</w:t>
            </w:r>
            <w:r>
              <w:rPr>
                <w:rFonts w:hint="eastAsia" w:ascii="Times New Roman" w:hAnsi="Times New Roman" w:eastAsia="宋体" w:cs="Times New Roman"/>
                <w:color w:val="auto"/>
                <w:sz w:val="24"/>
                <w:szCs w:val="24"/>
                <w:highlight w:val="none"/>
                <w:lang w:val="en-US" w:eastAsia="zh-CN" w:bidi="ar-SA"/>
              </w:rPr>
              <w:t>pH、</w:t>
            </w:r>
            <w:r>
              <w:rPr>
                <w:rFonts w:hint="default" w:ascii="Times New Roman" w:hAnsi="Times New Roman" w:eastAsia="宋体" w:cs="Times New Roman"/>
                <w:color w:val="auto"/>
                <w:sz w:val="24"/>
                <w:szCs w:val="24"/>
                <w:highlight w:val="none"/>
                <w:lang w:val="en-US" w:eastAsia="zh-CN" w:bidi="ar-SA"/>
              </w:rPr>
              <w:t>COD、BOD</w:t>
            </w:r>
            <w:r>
              <w:rPr>
                <w:rFonts w:hint="default" w:ascii="Times New Roman" w:hAnsi="Times New Roman" w:eastAsia="宋体" w:cs="Times New Roman"/>
                <w:color w:val="auto"/>
                <w:sz w:val="24"/>
                <w:szCs w:val="24"/>
                <w:highlight w:val="none"/>
                <w:vertAlign w:val="subscript"/>
                <w:lang w:val="en-US" w:eastAsia="zh-CN" w:bidi="ar-SA"/>
              </w:rPr>
              <w:t>5</w:t>
            </w:r>
            <w:r>
              <w:rPr>
                <w:rFonts w:hint="default" w:ascii="Times New Roman" w:hAnsi="Times New Roman" w:eastAsia="宋体" w:cs="Times New Roman"/>
                <w:color w:val="auto"/>
                <w:sz w:val="24"/>
                <w:szCs w:val="24"/>
                <w:highlight w:val="none"/>
                <w:lang w:val="en-US" w:eastAsia="zh-CN" w:bidi="ar-SA"/>
              </w:rPr>
              <w:t>、SS、氨氮等污染物。</w:t>
            </w:r>
            <w:r>
              <w:rPr>
                <w:rFonts w:hint="eastAsia" w:ascii="Times New Roman" w:hAnsi="Times New Roman" w:cs="Times New Roman"/>
                <w:color w:val="auto"/>
                <w:sz w:val="24"/>
                <w:szCs w:val="24"/>
                <w:highlight w:val="none"/>
                <w:lang w:val="en-US" w:eastAsia="zh-CN" w:bidi="ar-SA"/>
              </w:rPr>
              <w:t>生活污水</w:t>
            </w:r>
            <w:r>
              <w:rPr>
                <w:rFonts w:hint="eastAsia" w:ascii="Times New Roman" w:hAnsi="Times New Roman" w:eastAsia="宋体" w:cs="Times New Roman"/>
                <w:color w:val="auto"/>
                <w:sz w:val="24"/>
                <w:szCs w:val="24"/>
                <w:highlight w:val="none"/>
                <w:lang w:val="en-US" w:eastAsia="zh-CN" w:bidi="ar-SA"/>
              </w:rPr>
              <w:t>满足《污水综合排放标准》（GB8978-1996）表4 第二类污染物最高允许排放浓度三级标准要求</w:t>
            </w:r>
            <w:r>
              <w:rPr>
                <w:rFonts w:ascii="Times New Roman" w:hAnsi="Times New Roman" w:eastAsia="宋体" w:cs="宋体"/>
                <w:color w:val="auto"/>
              </w:rPr>
              <w:t>排入</w:t>
            </w:r>
            <w:r>
              <w:rPr>
                <w:rFonts w:hint="eastAsia" w:cs="宋体"/>
                <w:color w:val="auto"/>
                <w:highlight w:val="none"/>
                <w:lang w:val="en-US" w:eastAsia="zh-CN"/>
              </w:rPr>
              <w:t>园区管网最终由</w:t>
            </w:r>
            <w:r>
              <w:rPr>
                <w:rFonts w:hint="eastAsia" w:ascii="Times New Roman" w:hAnsi="Times New Roman" w:eastAsia="宋体" w:cs="宋体"/>
                <w:color w:val="auto"/>
              </w:rPr>
              <w:t>阜康市西部城区污水处理厂（阜西区污水处理厂）处理</w:t>
            </w:r>
            <w:r>
              <w:rPr>
                <w:rFonts w:hint="eastAsia" w:ascii="Times New Roman" w:hAnsi="Times New Roman" w:eastAsia="宋体" w:cs="Times New Roman"/>
                <w:color w:val="auto"/>
                <w:sz w:val="24"/>
                <w:szCs w:val="24"/>
                <w:highlight w:val="none"/>
                <w:lang w:val="en-US" w:eastAsia="zh-CN" w:bidi="ar-SA"/>
              </w:rPr>
              <w:t>。</w:t>
            </w:r>
          </w:p>
          <w:p w14:paraId="356E3295">
            <w:pPr>
              <w:widowControl w:val="0"/>
              <w:overflowPunct w:val="0"/>
              <w:autoSpaceDE w:val="0"/>
              <w:autoSpaceDN w:val="0"/>
              <w:adjustRightInd w:val="0"/>
              <w:snapToGrid w:val="0"/>
              <w:spacing w:before="0" w:after="0" w:line="360" w:lineRule="auto"/>
              <w:ind w:left="0" w:right="0" w:firstLine="480" w:firstLineChars="200"/>
              <w:jc w:val="left"/>
              <w:textAlignment w:val="baseline"/>
              <w:rPr>
                <w:rFonts w:hint="default" w:ascii="Times New Roman" w:hAnsi="Times New Roman" w:eastAsia="宋体" w:cs="Times New Roman"/>
                <w:color w:val="auto"/>
                <w:kern w:val="0"/>
                <w:sz w:val="28"/>
                <w:szCs w:val="20"/>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eastAsia" w:ascii="Times New Roman" w:hAnsi="Times New Roman" w:eastAsia="宋体" w:cs="Times New Roman"/>
                <w:color w:val="auto"/>
                <w:kern w:val="0"/>
                <w:sz w:val="24"/>
                <w:szCs w:val="24"/>
                <w:highlight w:val="none"/>
                <w:lang w:val="en-US" w:eastAsia="zh-CN" w:bidi="ar-SA"/>
              </w:rPr>
              <w:t>生活污水</w:t>
            </w:r>
            <w:r>
              <w:rPr>
                <w:rFonts w:hint="default" w:ascii="Times New Roman" w:hAnsi="Times New Roman" w:eastAsia="宋体" w:cs="Times New Roman"/>
                <w:color w:val="auto"/>
                <w:kern w:val="0"/>
                <w:sz w:val="24"/>
                <w:szCs w:val="24"/>
                <w:highlight w:val="none"/>
                <w:lang w:val="en-US" w:eastAsia="zh-CN" w:bidi="ar-SA"/>
              </w:rPr>
              <w:t>污染物产生及排放情况见下表</w:t>
            </w:r>
          </w:p>
          <w:p w14:paraId="2554340F">
            <w:pPr>
              <w:widowControl w:val="0"/>
              <w:overflowPunct/>
              <w:autoSpaceDE/>
              <w:autoSpaceDN/>
              <w:adjustRightInd w:val="0"/>
              <w:snapToGrid w:val="0"/>
              <w:spacing w:before="0" w:after="0" w:line="360" w:lineRule="auto"/>
              <w:ind w:right="0"/>
              <w:jc w:val="center"/>
              <w:rPr>
                <w:rFonts w:hint="default" w:ascii="Times New Roman" w:hAnsi="Times New Roman" w:eastAsia="宋体" w:cs="Times New Roman"/>
                <w:b/>
                <w:color w:val="auto"/>
                <w:kern w:val="2"/>
                <w:sz w:val="24"/>
                <w:szCs w:val="28"/>
                <w:highlight w:val="none"/>
                <w:lang w:val="en-US" w:eastAsia="zh-CN" w:bidi="ar-SA"/>
              </w:rPr>
            </w:pPr>
            <w:r>
              <w:rPr>
                <w:rFonts w:hint="default" w:ascii="Times New Roman" w:hAnsi="Times New Roman" w:eastAsia="宋体" w:cs="Times New Roman"/>
                <w:b/>
                <w:color w:val="auto"/>
                <w:kern w:val="2"/>
                <w:sz w:val="24"/>
                <w:szCs w:val="28"/>
                <w:highlight w:val="none"/>
                <w:lang w:val="en-US" w:eastAsia="zh-CN" w:bidi="ar-SA"/>
              </w:rPr>
              <w:t>表</w:t>
            </w:r>
            <w:r>
              <w:rPr>
                <w:rFonts w:hint="eastAsia" w:ascii="Times New Roman" w:hAnsi="Times New Roman" w:eastAsia="宋体" w:cs="Times New Roman"/>
                <w:b/>
                <w:color w:val="auto"/>
                <w:kern w:val="2"/>
                <w:sz w:val="24"/>
                <w:szCs w:val="28"/>
                <w:highlight w:val="none"/>
                <w:lang w:val="en-US" w:eastAsia="zh-CN" w:bidi="ar-SA"/>
              </w:rPr>
              <w:t>4.6-1</w:t>
            </w:r>
            <w:r>
              <w:rPr>
                <w:rFonts w:hint="default" w:ascii="Times New Roman" w:hAnsi="Times New Roman" w:eastAsia="宋体" w:cs="Times New Roman"/>
                <w:b/>
                <w:color w:val="auto"/>
                <w:kern w:val="2"/>
                <w:sz w:val="24"/>
                <w:szCs w:val="28"/>
                <w:highlight w:val="none"/>
                <w:lang w:val="en-US" w:eastAsia="zh-CN" w:bidi="ar-SA"/>
              </w:rPr>
              <w:t>本项目</w:t>
            </w:r>
            <w:r>
              <w:rPr>
                <w:rFonts w:hint="eastAsia" w:ascii="Times New Roman" w:hAnsi="Times New Roman" w:eastAsia="宋体" w:cs="Times New Roman"/>
                <w:b/>
                <w:color w:val="auto"/>
                <w:kern w:val="2"/>
                <w:sz w:val="24"/>
                <w:szCs w:val="28"/>
                <w:highlight w:val="none"/>
                <w:lang w:val="en-US" w:eastAsia="zh-CN" w:bidi="ar-SA"/>
              </w:rPr>
              <w:t>生活污水</w:t>
            </w:r>
            <w:r>
              <w:rPr>
                <w:rFonts w:hint="default" w:ascii="Times New Roman" w:hAnsi="Times New Roman" w:eastAsia="宋体" w:cs="Times New Roman"/>
                <w:b/>
                <w:color w:val="auto"/>
                <w:kern w:val="2"/>
                <w:sz w:val="24"/>
                <w:szCs w:val="28"/>
                <w:highlight w:val="none"/>
                <w:lang w:val="en-US" w:eastAsia="zh-CN" w:bidi="ar-SA"/>
              </w:rPr>
              <w:t>污染物产生及排放情况汇总</w:t>
            </w:r>
          </w:p>
          <w:tbl>
            <w:tblPr>
              <w:tblStyle w:val="15"/>
              <w:tblW w:w="84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8"/>
              <w:gridCol w:w="681"/>
              <w:gridCol w:w="894"/>
              <w:gridCol w:w="1125"/>
              <w:gridCol w:w="744"/>
              <w:gridCol w:w="856"/>
              <w:gridCol w:w="856"/>
              <w:gridCol w:w="863"/>
              <w:gridCol w:w="906"/>
              <w:gridCol w:w="1121"/>
            </w:tblGrid>
            <w:tr w14:paraId="7423C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 w:type="pct"/>
                  <w:vMerge w:val="restart"/>
                  <w:tcBorders>
                    <w:tl2br w:val="nil"/>
                    <w:tr2bl w:val="nil"/>
                  </w:tcBorders>
                  <w:shd w:val="clear" w:color="auto" w:fill="auto"/>
                  <w:noWrap w:val="0"/>
                  <w:vAlign w:val="center"/>
                </w:tcPr>
                <w:p w14:paraId="2FBE9582">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废水种类</w:t>
                  </w:r>
                </w:p>
              </w:tc>
              <w:tc>
                <w:tcPr>
                  <w:tcW w:w="4076" w:type="pct"/>
                  <w:gridSpan w:val="8"/>
                  <w:tcBorders>
                    <w:tl2br w:val="nil"/>
                    <w:tr2bl w:val="nil"/>
                  </w:tcBorders>
                  <w:shd w:val="clear" w:color="auto" w:fill="auto"/>
                  <w:noWrap/>
                  <w:vAlign w:val="center"/>
                </w:tcPr>
                <w:p w14:paraId="789E39B4">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2"/>
                      <w:sz w:val="24"/>
                      <w:szCs w:val="28"/>
                      <w:highlight w:val="none"/>
                      <w:lang w:val="en-US" w:eastAsia="zh-CN" w:bidi="ar-SA"/>
                    </w:rPr>
                  </w:pPr>
                  <w:r>
                    <w:rPr>
                      <w:rFonts w:hint="default" w:ascii="Times New Roman" w:hAnsi="Times New Roman" w:eastAsia="宋体" w:cs="Times New Roman"/>
                      <w:b w:val="0"/>
                      <w:bCs w:val="0"/>
                      <w:color w:val="auto"/>
                      <w:kern w:val="2"/>
                      <w:sz w:val="24"/>
                      <w:szCs w:val="28"/>
                      <w:highlight w:val="none"/>
                      <w:lang w:val="en-US" w:eastAsia="zh-CN" w:bidi="ar-SA"/>
                    </w:rPr>
                    <w:t>污染物</w:t>
                  </w:r>
                </w:p>
              </w:tc>
              <w:tc>
                <w:tcPr>
                  <w:tcW w:w="659" w:type="pct"/>
                  <w:vMerge w:val="restart"/>
                  <w:tcBorders>
                    <w:tl2br w:val="nil"/>
                    <w:tr2bl w:val="nil"/>
                  </w:tcBorders>
                  <w:shd w:val="clear" w:color="auto" w:fill="auto"/>
                  <w:noWrap w:val="0"/>
                  <w:vAlign w:val="center"/>
                </w:tcPr>
                <w:p w14:paraId="6F06F48E">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治理措施</w:t>
                  </w:r>
                </w:p>
              </w:tc>
            </w:tr>
            <w:tr w14:paraId="37F27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63" w:type="pct"/>
                  <w:vMerge w:val="continue"/>
                  <w:tcBorders>
                    <w:tl2br w:val="nil"/>
                    <w:tr2bl w:val="nil"/>
                  </w:tcBorders>
                  <w:shd w:val="clear" w:color="auto" w:fill="auto"/>
                  <w:noWrap w:val="0"/>
                  <w:vAlign w:val="center"/>
                </w:tcPr>
                <w:p w14:paraId="24786C88">
                  <w:pPr>
                    <w:widowControl/>
                    <w:overflowPunct/>
                    <w:autoSpaceDE/>
                    <w:autoSpaceDN/>
                    <w:adjustRightInd/>
                    <w:snapToGrid/>
                    <w:spacing w:before="0" w:after="0" w:line="240" w:lineRule="auto"/>
                    <w:ind w:left="0" w:right="0" w:firstLine="0" w:firstLineChars="0"/>
                    <w:jc w:val="left"/>
                    <w:rPr>
                      <w:rFonts w:hint="default" w:ascii="Times New Roman" w:hAnsi="Times New Roman" w:eastAsia="宋体" w:cs="Times New Roman"/>
                      <w:b w:val="0"/>
                      <w:bCs w:val="0"/>
                      <w:color w:val="auto"/>
                      <w:kern w:val="0"/>
                      <w:sz w:val="21"/>
                      <w:szCs w:val="21"/>
                      <w:highlight w:val="none"/>
                    </w:rPr>
                  </w:pPr>
                </w:p>
              </w:tc>
              <w:tc>
                <w:tcPr>
                  <w:tcW w:w="400" w:type="pct"/>
                  <w:tcBorders>
                    <w:tl2br w:val="nil"/>
                    <w:tr2bl w:val="nil"/>
                  </w:tcBorders>
                  <w:shd w:val="clear" w:color="auto" w:fill="auto"/>
                  <w:noWrap w:val="0"/>
                  <w:vAlign w:val="center"/>
                </w:tcPr>
                <w:p w14:paraId="26EC64C6">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526" w:type="pct"/>
                  <w:tcBorders>
                    <w:tl2br w:val="nil"/>
                    <w:tr2bl w:val="nil"/>
                  </w:tcBorders>
                  <w:shd w:val="clear" w:color="auto" w:fill="auto"/>
                  <w:noWrap w:val="0"/>
                  <w:vAlign w:val="center"/>
                </w:tcPr>
                <w:p w14:paraId="4AA62A8E">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w:t>
                  </w:r>
                </w:p>
              </w:tc>
              <w:tc>
                <w:tcPr>
                  <w:tcW w:w="662" w:type="pct"/>
                  <w:tcBorders>
                    <w:tl2br w:val="nil"/>
                    <w:tr2bl w:val="nil"/>
                  </w:tcBorders>
                  <w:shd w:val="clear" w:color="auto" w:fill="auto"/>
                  <w:noWrap w:val="0"/>
                  <w:vAlign w:val="center"/>
                </w:tcPr>
                <w:p w14:paraId="249EA858">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b w:val="0"/>
                      <w:bCs w:val="0"/>
                      <w:color w:val="auto"/>
                      <w:kern w:val="0"/>
                      <w:sz w:val="21"/>
                      <w:szCs w:val="21"/>
                      <w:highlight w:val="none"/>
                      <w:lang w:val="en-US" w:eastAsia="zh-CN"/>
                    </w:rPr>
                    <w:t>产污系数</w:t>
                  </w:r>
                </w:p>
              </w:tc>
              <w:tc>
                <w:tcPr>
                  <w:tcW w:w="437" w:type="pct"/>
                  <w:tcBorders>
                    <w:tl2br w:val="nil"/>
                    <w:tr2bl w:val="nil"/>
                  </w:tcBorders>
                  <w:shd w:val="clear" w:color="auto" w:fill="auto"/>
                  <w:noWrap w:val="0"/>
                  <w:vAlign w:val="center"/>
                </w:tcPr>
                <w:p w14:paraId="27CEECAF">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rPr>
                  </w:pPr>
                  <w:r>
                    <w:rPr>
                      <w:rFonts w:hint="eastAsia" w:ascii="Times New Roman" w:hAnsi="Times New Roman" w:eastAsia="宋体" w:cs="Times New Roman"/>
                      <w:b w:val="0"/>
                      <w:bCs w:val="0"/>
                      <w:color w:val="auto"/>
                      <w:kern w:val="0"/>
                      <w:sz w:val="21"/>
                      <w:szCs w:val="21"/>
                      <w:highlight w:val="none"/>
                      <w:lang w:val="en-US" w:eastAsia="zh-CN"/>
                    </w:rPr>
                    <w:t>产生</w:t>
                  </w:r>
                  <w:r>
                    <w:rPr>
                      <w:rFonts w:hint="default" w:ascii="Times New Roman" w:hAnsi="Times New Roman" w:eastAsia="宋体" w:cs="Times New Roman"/>
                      <w:b w:val="0"/>
                      <w:bCs w:val="0"/>
                      <w:color w:val="auto"/>
                      <w:kern w:val="0"/>
                      <w:sz w:val="21"/>
                      <w:szCs w:val="21"/>
                      <w:highlight w:val="none"/>
                    </w:rPr>
                    <w:t>量t/a</w:t>
                  </w:r>
                </w:p>
              </w:tc>
              <w:tc>
                <w:tcPr>
                  <w:tcW w:w="503" w:type="pct"/>
                  <w:tcBorders>
                    <w:tl2br w:val="nil"/>
                    <w:tr2bl w:val="nil"/>
                  </w:tcBorders>
                  <w:shd w:val="clear" w:color="auto" w:fill="auto"/>
                  <w:noWrap w:val="0"/>
                  <w:vAlign w:val="center"/>
                </w:tcPr>
                <w:p w14:paraId="49FB637A">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产生浓度mg/L</w:t>
                  </w:r>
                </w:p>
              </w:tc>
              <w:tc>
                <w:tcPr>
                  <w:tcW w:w="503" w:type="pct"/>
                  <w:tcBorders>
                    <w:tl2br w:val="nil"/>
                    <w:tr2bl w:val="nil"/>
                  </w:tcBorders>
                  <w:shd w:val="clear" w:color="auto" w:fill="auto"/>
                  <w:noWrap/>
                  <w:vAlign w:val="center"/>
                </w:tcPr>
                <w:p w14:paraId="6EA5699D">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处理效率%</w:t>
                  </w:r>
                </w:p>
              </w:tc>
              <w:tc>
                <w:tcPr>
                  <w:tcW w:w="508" w:type="pct"/>
                  <w:tcBorders>
                    <w:tl2br w:val="nil"/>
                    <w:tr2bl w:val="nil"/>
                  </w:tcBorders>
                  <w:shd w:val="clear" w:color="auto" w:fill="auto"/>
                  <w:noWrap/>
                  <w:vAlign w:val="center"/>
                </w:tcPr>
                <w:p w14:paraId="6DAF4C49">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排放浓度mg/L</w:t>
                  </w:r>
                </w:p>
              </w:tc>
              <w:tc>
                <w:tcPr>
                  <w:tcW w:w="533" w:type="pct"/>
                  <w:tcBorders>
                    <w:tl2br w:val="nil"/>
                    <w:tr2bl w:val="nil"/>
                  </w:tcBorders>
                  <w:shd w:val="clear" w:color="auto" w:fill="auto"/>
                  <w:noWrap/>
                  <w:vAlign w:val="center"/>
                </w:tcPr>
                <w:p w14:paraId="7E305F88">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排放</w:t>
                  </w:r>
                  <w:r>
                    <w:rPr>
                      <w:rFonts w:hint="default" w:ascii="Times New Roman" w:hAnsi="Times New Roman" w:eastAsia="宋体" w:cs="Times New Roman"/>
                      <w:b w:val="0"/>
                      <w:bCs w:val="0"/>
                      <w:color w:val="auto"/>
                      <w:kern w:val="0"/>
                      <w:sz w:val="21"/>
                      <w:szCs w:val="21"/>
                      <w:highlight w:val="none"/>
                    </w:rPr>
                    <w:t>量t/a</w:t>
                  </w:r>
                </w:p>
              </w:tc>
              <w:tc>
                <w:tcPr>
                  <w:tcW w:w="659" w:type="pct"/>
                  <w:vMerge w:val="continue"/>
                  <w:tcBorders>
                    <w:tl2br w:val="nil"/>
                    <w:tr2bl w:val="nil"/>
                  </w:tcBorders>
                  <w:noWrap w:val="0"/>
                  <w:vAlign w:val="center"/>
                </w:tcPr>
                <w:p w14:paraId="13A2B35E">
                  <w:pPr>
                    <w:widowControl/>
                    <w:overflowPunct/>
                    <w:autoSpaceDE/>
                    <w:autoSpaceDN/>
                    <w:adjustRightInd/>
                    <w:snapToGrid/>
                    <w:spacing w:before="0" w:after="0" w:line="240" w:lineRule="auto"/>
                    <w:ind w:left="0" w:right="0" w:firstLine="0" w:firstLineChars="0"/>
                    <w:jc w:val="left"/>
                    <w:rPr>
                      <w:rFonts w:hint="default" w:ascii="Times New Roman" w:hAnsi="Times New Roman" w:eastAsia="宋体" w:cs="Times New Roman"/>
                      <w:b/>
                      <w:bCs/>
                      <w:color w:val="auto"/>
                      <w:kern w:val="0"/>
                      <w:sz w:val="21"/>
                      <w:szCs w:val="21"/>
                      <w:highlight w:val="none"/>
                    </w:rPr>
                  </w:pPr>
                </w:p>
              </w:tc>
            </w:tr>
            <w:tr w14:paraId="3A267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63" w:type="pct"/>
                  <w:vMerge w:val="restart"/>
                  <w:tcBorders>
                    <w:tl2br w:val="nil"/>
                    <w:tr2bl w:val="nil"/>
                  </w:tcBorders>
                  <w:shd w:val="clear" w:color="auto" w:fill="auto"/>
                  <w:noWrap w:val="0"/>
                  <w:vAlign w:val="center"/>
                </w:tcPr>
                <w:p w14:paraId="5B6544E2">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生活污水</w:t>
                  </w:r>
                </w:p>
              </w:tc>
              <w:tc>
                <w:tcPr>
                  <w:tcW w:w="400" w:type="pct"/>
                  <w:vMerge w:val="restart"/>
                  <w:tcBorders>
                    <w:tl2br w:val="nil"/>
                    <w:tr2bl w:val="nil"/>
                  </w:tcBorders>
                  <w:shd w:val="clear" w:color="auto" w:fill="auto"/>
                  <w:noWrap w:val="0"/>
                  <w:vAlign w:val="center"/>
                </w:tcPr>
                <w:p w14:paraId="65C6A980">
                  <w:pPr>
                    <w:widowControl/>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384</w:t>
                  </w:r>
                </w:p>
              </w:tc>
              <w:tc>
                <w:tcPr>
                  <w:tcW w:w="526" w:type="pct"/>
                  <w:tcBorders>
                    <w:tl2br w:val="nil"/>
                    <w:tr2bl w:val="nil"/>
                  </w:tcBorders>
                  <w:shd w:val="clear" w:color="auto" w:fill="auto"/>
                  <w:noWrap w:val="0"/>
                  <w:vAlign w:val="center"/>
                </w:tcPr>
                <w:p w14:paraId="6136AD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pH</w:t>
                  </w:r>
                </w:p>
              </w:tc>
              <w:tc>
                <w:tcPr>
                  <w:tcW w:w="662" w:type="pct"/>
                  <w:tcBorders>
                    <w:tl2br w:val="nil"/>
                    <w:tr2bl w:val="nil"/>
                  </w:tcBorders>
                  <w:shd w:val="clear" w:color="auto" w:fill="auto"/>
                  <w:noWrap w:val="0"/>
                  <w:vAlign w:val="center"/>
                </w:tcPr>
                <w:p w14:paraId="28BAC9E1">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6-9（无量纲）</w:t>
                  </w:r>
                </w:p>
              </w:tc>
              <w:tc>
                <w:tcPr>
                  <w:tcW w:w="437" w:type="pct"/>
                  <w:tcBorders>
                    <w:tl2br w:val="nil"/>
                    <w:tr2bl w:val="nil"/>
                  </w:tcBorders>
                  <w:shd w:val="clear" w:color="auto" w:fill="auto"/>
                  <w:noWrap w:val="0"/>
                  <w:vAlign w:val="center"/>
                </w:tcPr>
                <w:p w14:paraId="00DD15A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503" w:type="pct"/>
                  <w:tcBorders>
                    <w:tl2br w:val="nil"/>
                    <w:tr2bl w:val="nil"/>
                  </w:tcBorders>
                  <w:shd w:val="clear" w:color="auto" w:fill="auto"/>
                  <w:noWrap w:val="0"/>
                  <w:vAlign w:val="center"/>
                </w:tcPr>
                <w:p w14:paraId="2F862E6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6-9（无量纲）</w:t>
                  </w:r>
                </w:p>
              </w:tc>
              <w:tc>
                <w:tcPr>
                  <w:tcW w:w="503" w:type="pct"/>
                  <w:tcBorders>
                    <w:tl2br w:val="nil"/>
                    <w:tr2bl w:val="nil"/>
                  </w:tcBorders>
                  <w:shd w:val="clear" w:color="auto" w:fill="auto"/>
                  <w:noWrap/>
                  <w:vAlign w:val="center"/>
                </w:tcPr>
                <w:p w14:paraId="5FA10A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08" w:type="pct"/>
                  <w:tcBorders>
                    <w:tl2br w:val="nil"/>
                    <w:tr2bl w:val="nil"/>
                  </w:tcBorders>
                  <w:shd w:val="clear" w:color="auto" w:fill="auto"/>
                  <w:noWrap/>
                  <w:vAlign w:val="center"/>
                </w:tcPr>
                <w:p w14:paraId="3BF6F05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rPr>
                    <w:t>6-9（无量纲）</w:t>
                  </w:r>
                </w:p>
              </w:tc>
              <w:tc>
                <w:tcPr>
                  <w:tcW w:w="533" w:type="pct"/>
                  <w:tcBorders>
                    <w:tl2br w:val="nil"/>
                    <w:tr2bl w:val="nil"/>
                  </w:tcBorders>
                  <w:shd w:val="clear" w:color="auto" w:fill="auto"/>
                  <w:noWrap/>
                  <w:vAlign w:val="center"/>
                </w:tcPr>
                <w:p w14:paraId="326348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59" w:type="pct"/>
                  <w:vMerge w:val="restart"/>
                  <w:tcBorders>
                    <w:tl2br w:val="nil"/>
                    <w:tr2bl w:val="nil"/>
                  </w:tcBorders>
                  <w:noWrap w:val="0"/>
                  <w:vAlign w:val="center"/>
                </w:tcPr>
                <w:p w14:paraId="6EE5155E">
                  <w:pPr>
                    <w:widowControl/>
                    <w:overflowPunct/>
                    <w:autoSpaceDE/>
                    <w:autoSpaceDN/>
                    <w:adjustRightInd/>
                    <w:snapToGrid/>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排入园区管网，最终进入阜康市西部城区污水处理厂（阜西区污水处理厂）处置</w:t>
                  </w:r>
                </w:p>
              </w:tc>
            </w:tr>
            <w:tr w14:paraId="06EA6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 w:type="pct"/>
                  <w:vMerge w:val="continue"/>
                  <w:tcBorders>
                    <w:tl2br w:val="nil"/>
                    <w:tr2bl w:val="nil"/>
                  </w:tcBorders>
                  <w:shd w:val="clear" w:color="auto" w:fill="auto"/>
                  <w:noWrap w:val="0"/>
                  <w:vAlign w:val="center"/>
                </w:tcPr>
                <w:p w14:paraId="2CCA67DF">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400" w:type="pct"/>
                  <w:vMerge w:val="continue"/>
                  <w:tcBorders>
                    <w:tl2br w:val="nil"/>
                    <w:tr2bl w:val="nil"/>
                  </w:tcBorders>
                  <w:shd w:val="clear" w:color="auto" w:fill="auto"/>
                  <w:noWrap w:val="0"/>
                  <w:vAlign w:val="center"/>
                </w:tcPr>
                <w:p w14:paraId="098FF5F3">
                  <w:pPr>
                    <w:widowControl/>
                    <w:overflowPunct/>
                    <w:autoSpaceDE/>
                    <w:autoSpaceDN/>
                    <w:adjustRightInd/>
                    <w:snapToGrid/>
                    <w:spacing w:before="0" w:after="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526" w:type="pct"/>
                  <w:tcBorders>
                    <w:tl2br w:val="nil"/>
                    <w:tr2bl w:val="nil"/>
                  </w:tcBorders>
                  <w:shd w:val="clear" w:color="auto" w:fill="auto"/>
                  <w:noWrap w:val="0"/>
                  <w:vAlign w:val="center"/>
                </w:tcPr>
                <w:p w14:paraId="10A2259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662" w:type="pct"/>
                  <w:tcBorders>
                    <w:tl2br w:val="nil"/>
                    <w:tr2bl w:val="nil"/>
                  </w:tcBorders>
                  <w:shd w:val="clear" w:color="auto" w:fill="auto"/>
                  <w:noWrap w:val="0"/>
                  <w:vAlign w:val="center"/>
                </w:tcPr>
                <w:p w14:paraId="28E7929E">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500</w:t>
                  </w:r>
                  <w:r>
                    <w:rPr>
                      <w:rFonts w:hint="eastAsia" w:ascii="Times New Roman" w:hAnsi="Times New Roman" w:eastAsia="宋体" w:cs="Times New Roman"/>
                      <w:color w:val="auto"/>
                      <w:kern w:val="0"/>
                      <w:sz w:val="21"/>
                      <w:szCs w:val="21"/>
                      <w:highlight w:val="none"/>
                      <w:lang w:val="en-US" w:eastAsia="zh-CN"/>
                    </w:rPr>
                    <w:t>mg/L</w:t>
                  </w:r>
                </w:p>
              </w:tc>
              <w:tc>
                <w:tcPr>
                  <w:tcW w:w="437" w:type="pct"/>
                  <w:tcBorders>
                    <w:tl2br w:val="nil"/>
                    <w:tr2bl w:val="nil"/>
                  </w:tcBorders>
                  <w:shd w:val="clear" w:color="auto" w:fill="auto"/>
                  <w:noWrap w:val="0"/>
                  <w:vAlign w:val="center"/>
                </w:tcPr>
                <w:p w14:paraId="0078E8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0.192</w:t>
                  </w:r>
                </w:p>
              </w:tc>
              <w:tc>
                <w:tcPr>
                  <w:tcW w:w="503" w:type="pct"/>
                  <w:tcBorders>
                    <w:tl2br w:val="nil"/>
                    <w:tr2bl w:val="nil"/>
                  </w:tcBorders>
                  <w:shd w:val="clear" w:color="auto" w:fill="auto"/>
                  <w:noWrap w:val="0"/>
                  <w:vAlign w:val="center"/>
                </w:tcPr>
                <w:p w14:paraId="18C367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503" w:type="pct"/>
                  <w:tcBorders>
                    <w:tl2br w:val="nil"/>
                    <w:tr2bl w:val="nil"/>
                  </w:tcBorders>
                  <w:shd w:val="clear" w:color="auto" w:fill="auto"/>
                  <w:noWrap/>
                  <w:vAlign w:val="center"/>
                </w:tcPr>
                <w:p w14:paraId="6C8E88B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08" w:type="pct"/>
                  <w:tcBorders>
                    <w:tl2br w:val="nil"/>
                    <w:tr2bl w:val="nil"/>
                  </w:tcBorders>
                  <w:shd w:val="clear" w:color="auto" w:fill="auto"/>
                  <w:noWrap/>
                  <w:vAlign w:val="center"/>
                </w:tcPr>
                <w:p w14:paraId="2381D5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533" w:type="pct"/>
                  <w:tcBorders>
                    <w:tl2br w:val="nil"/>
                    <w:tr2bl w:val="nil"/>
                  </w:tcBorders>
                  <w:shd w:val="clear" w:color="auto" w:fill="auto"/>
                  <w:noWrap/>
                  <w:vAlign w:val="center"/>
                </w:tcPr>
                <w:p w14:paraId="7CA2BD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0.192</w:t>
                  </w:r>
                </w:p>
              </w:tc>
              <w:tc>
                <w:tcPr>
                  <w:tcW w:w="659" w:type="pct"/>
                  <w:vMerge w:val="continue"/>
                  <w:tcBorders>
                    <w:tl2br w:val="nil"/>
                    <w:tr2bl w:val="nil"/>
                  </w:tcBorders>
                  <w:noWrap w:val="0"/>
                  <w:vAlign w:val="center"/>
                </w:tcPr>
                <w:p w14:paraId="1008B64C">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595F2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 w:type="pct"/>
                  <w:vMerge w:val="continue"/>
                  <w:tcBorders>
                    <w:tl2br w:val="nil"/>
                    <w:tr2bl w:val="nil"/>
                  </w:tcBorders>
                  <w:shd w:val="clear" w:color="auto" w:fill="auto"/>
                  <w:noWrap w:val="0"/>
                  <w:vAlign w:val="center"/>
                </w:tcPr>
                <w:p w14:paraId="738F26BA">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400" w:type="pct"/>
                  <w:vMerge w:val="continue"/>
                  <w:tcBorders>
                    <w:tl2br w:val="nil"/>
                    <w:tr2bl w:val="nil"/>
                  </w:tcBorders>
                  <w:shd w:val="clear" w:color="auto" w:fill="auto"/>
                  <w:noWrap w:val="0"/>
                  <w:vAlign w:val="center"/>
                </w:tcPr>
                <w:p w14:paraId="03A64A4F">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526" w:type="pct"/>
                  <w:tcBorders>
                    <w:tl2br w:val="nil"/>
                    <w:tr2bl w:val="nil"/>
                  </w:tcBorders>
                  <w:shd w:val="clear" w:color="auto" w:fill="auto"/>
                  <w:noWrap w:val="0"/>
                  <w:vAlign w:val="center"/>
                </w:tcPr>
                <w:p w14:paraId="3F1D5E5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662" w:type="pct"/>
                  <w:tcBorders>
                    <w:tl2br w:val="nil"/>
                    <w:tr2bl w:val="nil"/>
                  </w:tcBorders>
                  <w:shd w:val="clear" w:color="auto" w:fill="auto"/>
                  <w:noWrap w:val="0"/>
                  <w:vAlign w:val="center"/>
                </w:tcPr>
                <w:p w14:paraId="0F47CF3A">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300</w:t>
                  </w:r>
                  <w:r>
                    <w:rPr>
                      <w:rFonts w:hint="eastAsia" w:ascii="Times New Roman" w:hAnsi="Times New Roman" w:eastAsia="宋体" w:cs="Times New Roman"/>
                      <w:color w:val="auto"/>
                      <w:kern w:val="0"/>
                      <w:sz w:val="21"/>
                      <w:szCs w:val="21"/>
                      <w:highlight w:val="none"/>
                      <w:lang w:val="en-US" w:eastAsia="zh-CN"/>
                    </w:rPr>
                    <w:t>mg/L</w:t>
                  </w:r>
                </w:p>
              </w:tc>
              <w:tc>
                <w:tcPr>
                  <w:tcW w:w="437" w:type="pct"/>
                  <w:tcBorders>
                    <w:tl2br w:val="nil"/>
                    <w:tr2bl w:val="nil"/>
                  </w:tcBorders>
                  <w:shd w:val="clear" w:color="auto" w:fill="auto"/>
                  <w:noWrap w:val="0"/>
                  <w:vAlign w:val="center"/>
                </w:tcPr>
                <w:p w14:paraId="28C9C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0.1152</w:t>
                  </w:r>
                </w:p>
              </w:tc>
              <w:tc>
                <w:tcPr>
                  <w:tcW w:w="503" w:type="pct"/>
                  <w:tcBorders>
                    <w:tl2br w:val="nil"/>
                    <w:tr2bl w:val="nil"/>
                  </w:tcBorders>
                  <w:shd w:val="clear" w:color="auto" w:fill="auto"/>
                  <w:noWrap w:val="0"/>
                  <w:vAlign w:val="center"/>
                </w:tcPr>
                <w:p w14:paraId="2BD00BE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503" w:type="pct"/>
                  <w:tcBorders>
                    <w:tl2br w:val="nil"/>
                    <w:tr2bl w:val="nil"/>
                  </w:tcBorders>
                  <w:shd w:val="clear" w:color="auto" w:fill="auto"/>
                  <w:noWrap/>
                  <w:vAlign w:val="center"/>
                </w:tcPr>
                <w:p w14:paraId="5638164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08" w:type="pct"/>
                  <w:tcBorders>
                    <w:tl2br w:val="nil"/>
                    <w:tr2bl w:val="nil"/>
                  </w:tcBorders>
                  <w:shd w:val="clear" w:color="auto" w:fill="auto"/>
                  <w:noWrap/>
                  <w:vAlign w:val="center"/>
                </w:tcPr>
                <w:p w14:paraId="6EDE44B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533" w:type="pct"/>
                  <w:tcBorders>
                    <w:tl2br w:val="nil"/>
                    <w:tr2bl w:val="nil"/>
                  </w:tcBorders>
                  <w:shd w:val="clear" w:color="auto" w:fill="auto"/>
                  <w:noWrap/>
                  <w:vAlign w:val="center"/>
                </w:tcPr>
                <w:p w14:paraId="6529277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0.1152</w:t>
                  </w:r>
                </w:p>
              </w:tc>
              <w:tc>
                <w:tcPr>
                  <w:tcW w:w="659" w:type="pct"/>
                  <w:vMerge w:val="continue"/>
                  <w:tcBorders>
                    <w:tl2br w:val="nil"/>
                    <w:tr2bl w:val="nil"/>
                  </w:tcBorders>
                  <w:noWrap w:val="0"/>
                  <w:vAlign w:val="center"/>
                </w:tcPr>
                <w:p w14:paraId="5100E92F">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37985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 w:type="pct"/>
                  <w:vMerge w:val="continue"/>
                  <w:tcBorders>
                    <w:tl2br w:val="nil"/>
                    <w:tr2bl w:val="nil"/>
                  </w:tcBorders>
                  <w:shd w:val="clear" w:color="auto" w:fill="auto"/>
                  <w:noWrap w:val="0"/>
                  <w:vAlign w:val="center"/>
                </w:tcPr>
                <w:p w14:paraId="2CC5D2A7">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400" w:type="pct"/>
                  <w:vMerge w:val="continue"/>
                  <w:tcBorders>
                    <w:tl2br w:val="nil"/>
                    <w:tr2bl w:val="nil"/>
                  </w:tcBorders>
                  <w:shd w:val="clear" w:color="auto" w:fill="auto"/>
                  <w:noWrap w:val="0"/>
                  <w:vAlign w:val="center"/>
                </w:tcPr>
                <w:p w14:paraId="5BB3A8E7">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526" w:type="pct"/>
                  <w:tcBorders>
                    <w:tl2br w:val="nil"/>
                    <w:tr2bl w:val="nil"/>
                  </w:tcBorders>
                  <w:shd w:val="clear" w:color="auto" w:fill="auto"/>
                  <w:noWrap w:val="0"/>
                  <w:vAlign w:val="center"/>
                </w:tcPr>
                <w:p w14:paraId="230F954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 w:val="0"/>
                      <w:bCs w:val="0"/>
                      <w:color w:val="auto"/>
                      <w:sz w:val="21"/>
                      <w:szCs w:val="21"/>
                      <w:lang w:val="en-US" w:eastAsia="zh-CN"/>
                    </w:rPr>
                    <w:t>氨氮</w:t>
                  </w:r>
                </w:p>
              </w:tc>
              <w:tc>
                <w:tcPr>
                  <w:tcW w:w="662" w:type="pct"/>
                  <w:tcBorders>
                    <w:tl2br w:val="nil"/>
                    <w:tr2bl w:val="nil"/>
                  </w:tcBorders>
                  <w:shd w:val="clear" w:color="auto" w:fill="auto"/>
                  <w:noWrap w:val="0"/>
                  <w:vAlign w:val="center"/>
                </w:tcPr>
                <w:p w14:paraId="24C6639E">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eastAsia" w:ascii="Times New Roman" w:hAnsi="Times New Roman" w:eastAsia="宋体" w:cs="Times New Roman"/>
                      <w:color w:val="auto"/>
                      <w:kern w:val="0"/>
                      <w:sz w:val="21"/>
                      <w:szCs w:val="21"/>
                      <w:highlight w:val="none"/>
                      <w:lang w:val="en-US" w:eastAsia="zh-CN"/>
                    </w:rPr>
                    <w:t>mg/L</w:t>
                  </w:r>
                </w:p>
              </w:tc>
              <w:tc>
                <w:tcPr>
                  <w:tcW w:w="437" w:type="pct"/>
                  <w:tcBorders>
                    <w:tl2br w:val="nil"/>
                    <w:tr2bl w:val="nil"/>
                  </w:tcBorders>
                  <w:shd w:val="clear" w:color="auto" w:fill="auto"/>
                  <w:noWrap w:val="0"/>
                  <w:vAlign w:val="center"/>
                </w:tcPr>
                <w:p w14:paraId="2BDD42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0.01152</w:t>
                  </w:r>
                </w:p>
              </w:tc>
              <w:tc>
                <w:tcPr>
                  <w:tcW w:w="503" w:type="pct"/>
                  <w:tcBorders>
                    <w:tl2br w:val="nil"/>
                    <w:tr2bl w:val="nil"/>
                  </w:tcBorders>
                  <w:shd w:val="clear" w:color="auto" w:fill="auto"/>
                  <w:noWrap w:val="0"/>
                  <w:vAlign w:val="center"/>
                </w:tcPr>
                <w:p w14:paraId="3A9987A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503" w:type="pct"/>
                  <w:tcBorders>
                    <w:tl2br w:val="nil"/>
                    <w:tr2bl w:val="nil"/>
                  </w:tcBorders>
                  <w:shd w:val="clear" w:color="auto" w:fill="auto"/>
                  <w:noWrap/>
                  <w:vAlign w:val="center"/>
                </w:tcPr>
                <w:p w14:paraId="0E3C8F7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08" w:type="pct"/>
                  <w:tcBorders>
                    <w:tl2br w:val="nil"/>
                    <w:tr2bl w:val="nil"/>
                  </w:tcBorders>
                  <w:shd w:val="clear" w:color="auto" w:fill="auto"/>
                  <w:noWrap/>
                  <w:vAlign w:val="center"/>
                </w:tcPr>
                <w:p w14:paraId="6840E5E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533" w:type="pct"/>
                  <w:tcBorders>
                    <w:tl2br w:val="nil"/>
                    <w:tr2bl w:val="nil"/>
                  </w:tcBorders>
                  <w:shd w:val="clear" w:color="auto" w:fill="auto"/>
                  <w:noWrap/>
                  <w:vAlign w:val="center"/>
                </w:tcPr>
                <w:p w14:paraId="0AF1AC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0.01152</w:t>
                  </w:r>
                </w:p>
              </w:tc>
              <w:tc>
                <w:tcPr>
                  <w:tcW w:w="659" w:type="pct"/>
                  <w:vMerge w:val="continue"/>
                  <w:tcBorders>
                    <w:tl2br w:val="nil"/>
                    <w:tr2bl w:val="nil"/>
                  </w:tcBorders>
                  <w:noWrap w:val="0"/>
                  <w:vAlign w:val="center"/>
                </w:tcPr>
                <w:p w14:paraId="1BD9DE11">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5F91D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 w:type="pct"/>
                  <w:vMerge w:val="continue"/>
                  <w:tcBorders>
                    <w:tl2br w:val="nil"/>
                    <w:tr2bl w:val="nil"/>
                  </w:tcBorders>
                  <w:shd w:val="clear" w:color="auto" w:fill="auto"/>
                  <w:noWrap w:val="0"/>
                  <w:vAlign w:val="center"/>
                </w:tcPr>
                <w:p w14:paraId="51F5FF7B">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400" w:type="pct"/>
                  <w:vMerge w:val="continue"/>
                  <w:tcBorders>
                    <w:tl2br w:val="nil"/>
                    <w:tr2bl w:val="nil"/>
                  </w:tcBorders>
                  <w:shd w:val="clear" w:color="auto" w:fill="auto"/>
                  <w:noWrap w:val="0"/>
                  <w:vAlign w:val="center"/>
                </w:tcPr>
                <w:p w14:paraId="45BD017C">
                  <w:pPr>
                    <w:widowControl/>
                    <w:overflowPunct/>
                    <w:autoSpaceDE/>
                    <w:autoSpaceDN/>
                    <w:adjustRightInd/>
                    <w:snapToGrid/>
                    <w:spacing w:before="0" w:after="0" w:line="240" w:lineRule="auto"/>
                    <w:ind w:left="0" w:leftChars="0" w:right="0" w:rightChars="0" w:firstLine="0" w:firstLineChars="0"/>
                    <w:jc w:val="left"/>
                    <w:rPr>
                      <w:rFonts w:hint="eastAsia" w:ascii="Times New Roman" w:hAnsi="Times New Roman" w:eastAsia="宋体" w:cs="Times New Roman"/>
                      <w:color w:val="auto"/>
                      <w:kern w:val="0"/>
                      <w:sz w:val="21"/>
                      <w:szCs w:val="21"/>
                      <w:highlight w:val="none"/>
                      <w:lang w:val="en-US" w:eastAsia="zh-CN"/>
                    </w:rPr>
                  </w:pPr>
                </w:p>
              </w:tc>
              <w:tc>
                <w:tcPr>
                  <w:tcW w:w="526" w:type="pct"/>
                  <w:tcBorders>
                    <w:tl2br w:val="nil"/>
                    <w:tr2bl w:val="nil"/>
                  </w:tcBorders>
                  <w:shd w:val="clear" w:color="auto" w:fill="auto"/>
                  <w:noWrap w:val="0"/>
                  <w:vAlign w:val="center"/>
                </w:tcPr>
                <w:p w14:paraId="5C3AB76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p>
              </w:tc>
              <w:tc>
                <w:tcPr>
                  <w:tcW w:w="662" w:type="pct"/>
                  <w:tcBorders>
                    <w:tl2br w:val="nil"/>
                    <w:tr2bl w:val="nil"/>
                  </w:tcBorders>
                  <w:shd w:val="clear" w:color="auto" w:fill="auto"/>
                  <w:noWrap w:val="0"/>
                  <w:vAlign w:val="center"/>
                </w:tcPr>
                <w:p w14:paraId="3B16FC5E">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r>
                    <w:rPr>
                      <w:rFonts w:hint="eastAsia" w:ascii="Times New Roman" w:hAnsi="Times New Roman" w:eastAsia="宋体" w:cs="Times New Roman"/>
                      <w:color w:val="auto"/>
                      <w:kern w:val="0"/>
                      <w:sz w:val="21"/>
                      <w:szCs w:val="21"/>
                      <w:highlight w:val="none"/>
                      <w:lang w:val="en-US" w:eastAsia="zh-CN"/>
                    </w:rPr>
                    <w:t>mg/L</w:t>
                  </w:r>
                </w:p>
              </w:tc>
              <w:tc>
                <w:tcPr>
                  <w:tcW w:w="437" w:type="pct"/>
                  <w:tcBorders>
                    <w:tl2br w:val="nil"/>
                    <w:tr2bl w:val="nil"/>
                  </w:tcBorders>
                  <w:shd w:val="clear" w:color="auto" w:fill="auto"/>
                  <w:noWrap w:val="0"/>
                  <w:vAlign w:val="center"/>
                </w:tcPr>
                <w:p w14:paraId="080D7D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0.1152</w:t>
                  </w:r>
                </w:p>
              </w:tc>
              <w:tc>
                <w:tcPr>
                  <w:tcW w:w="503" w:type="pct"/>
                  <w:tcBorders>
                    <w:tl2br w:val="nil"/>
                    <w:tr2bl w:val="nil"/>
                  </w:tcBorders>
                  <w:shd w:val="clear" w:color="auto" w:fill="auto"/>
                  <w:noWrap w:val="0"/>
                  <w:vAlign w:val="center"/>
                </w:tcPr>
                <w:p w14:paraId="689258C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503" w:type="pct"/>
                  <w:tcBorders>
                    <w:tl2br w:val="nil"/>
                    <w:tr2bl w:val="nil"/>
                  </w:tcBorders>
                  <w:shd w:val="clear" w:color="auto" w:fill="auto"/>
                  <w:noWrap/>
                  <w:vAlign w:val="center"/>
                </w:tcPr>
                <w:p w14:paraId="0DF06B9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08" w:type="pct"/>
                  <w:tcBorders>
                    <w:tl2br w:val="nil"/>
                    <w:tr2bl w:val="nil"/>
                  </w:tcBorders>
                  <w:shd w:val="clear" w:color="auto" w:fill="auto"/>
                  <w:noWrap/>
                  <w:vAlign w:val="center"/>
                </w:tcPr>
                <w:p w14:paraId="494EDD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533" w:type="pct"/>
                  <w:tcBorders>
                    <w:tl2br w:val="nil"/>
                    <w:tr2bl w:val="nil"/>
                  </w:tcBorders>
                  <w:shd w:val="clear" w:color="auto" w:fill="auto"/>
                  <w:noWrap/>
                  <w:vAlign w:val="center"/>
                </w:tcPr>
                <w:p w14:paraId="16BA96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0.1152</w:t>
                  </w:r>
                </w:p>
              </w:tc>
              <w:tc>
                <w:tcPr>
                  <w:tcW w:w="659" w:type="pct"/>
                  <w:vMerge w:val="continue"/>
                  <w:tcBorders>
                    <w:tl2br w:val="nil"/>
                    <w:tr2bl w:val="nil"/>
                  </w:tcBorders>
                  <w:noWrap w:val="0"/>
                  <w:vAlign w:val="center"/>
                </w:tcPr>
                <w:p w14:paraId="282D4CE8">
                  <w:pPr>
                    <w:widowControl/>
                    <w:overflowPunct/>
                    <w:autoSpaceDE/>
                    <w:autoSpaceDN/>
                    <w:adjustRightInd/>
                    <w:snapToGrid/>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bl>
          <w:p w14:paraId="5CB6052B">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①废水类别、污染物及污染治理设施信息见表4.6-</w:t>
            </w:r>
            <w:r>
              <w:rPr>
                <w:rFonts w:hint="eastAsia" w:cs="Times New Roman"/>
                <w:b w:val="0"/>
                <w:bCs w:val="0"/>
                <w:color w:val="auto"/>
                <w:kern w:val="2"/>
                <w:sz w:val="24"/>
                <w:szCs w:val="20"/>
                <w:highlight w:val="none"/>
                <w:lang w:val="en-US" w:eastAsia="zh-CN" w:bidi="ar-SA"/>
              </w:rPr>
              <w:t>3</w:t>
            </w:r>
            <w:r>
              <w:rPr>
                <w:rFonts w:hint="eastAsia" w:ascii="Times New Roman" w:hAnsi="Times New Roman" w:eastAsia="宋体" w:cs="Times New Roman"/>
                <w:b w:val="0"/>
                <w:bCs w:val="0"/>
                <w:color w:val="auto"/>
                <w:kern w:val="2"/>
                <w:sz w:val="24"/>
                <w:szCs w:val="20"/>
                <w:highlight w:val="none"/>
                <w:lang w:val="en-US" w:eastAsia="zh-CN" w:bidi="ar-SA"/>
              </w:rPr>
              <w:t>。</w:t>
            </w:r>
          </w:p>
          <w:p w14:paraId="3C168A3E">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②废水排放口基本情况见表4.6-</w:t>
            </w:r>
            <w:r>
              <w:rPr>
                <w:rFonts w:hint="eastAsia" w:cs="Times New Roman"/>
                <w:b w:val="0"/>
                <w:bCs w:val="0"/>
                <w:color w:val="auto"/>
                <w:kern w:val="2"/>
                <w:sz w:val="24"/>
                <w:szCs w:val="20"/>
                <w:highlight w:val="none"/>
                <w:lang w:val="en-US" w:eastAsia="zh-CN" w:bidi="ar-SA"/>
              </w:rPr>
              <w:t>4</w:t>
            </w:r>
            <w:r>
              <w:rPr>
                <w:rFonts w:hint="eastAsia" w:ascii="Times New Roman" w:hAnsi="Times New Roman" w:eastAsia="宋体" w:cs="Times New Roman"/>
                <w:b w:val="0"/>
                <w:bCs w:val="0"/>
                <w:color w:val="auto"/>
                <w:kern w:val="2"/>
                <w:sz w:val="24"/>
                <w:szCs w:val="20"/>
                <w:highlight w:val="none"/>
                <w:lang w:val="en-US" w:eastAsia="zh-CN" w:bidi="ar-SA"/>
              </w:rPr>
              <w:t>。</w:t>
            </w:r>
          </w:p>
          <w:p w14:paraId="18DDD975">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③废水污染物排放信息见表4.6-</w:t>
            </w:r>
            <w:r>
              <w:rPr>
                <w:rFonts w:hint="eastAsia" w:cs="Times New Roman"/>
                <w:b w:val="0"/>
                <w:bCs w:val="0"/>
                <w:color w:val="auto"/>
                <w:kern w:val="2"/>
                <w:sz w:val="24"/>
                <w:szCs w:val="20"/>
                <w:highlight w:val="none"/>
                <w:lang w:val="en-US" w:eastAsia="zh-CN" w:bidi="ar-SA"/>
              </w:rPr>
              <w:t>5、表4.6-6</w:t>
            </w:r>
            <w:r>
              <w:rPr>
                <w:rFonts w:hint="eastAsia" w:ascii="Times New Roman" w:hAnsi="Times New Roman" w:eastAsia="宋体" w:cs="Times New Roman"/>
                <w:b w:val="0"/>
                <w:bCs w:val="0"/>
                <w:color w:val="auto"/>
                <w:kern w:val="2"/>
                <w:sz w:val="24"/>
                <w:szCs w:val="20"/>
                <w:highlight w:val="none"/>
                <w:lang w:val="en-US" w:eastAsia="zh-CN" w:bidi="ar-SA"/>
              </w:rPr>
              <w:t>。</w:t>
            </w:r>
          </w:p>
          <w:p w14:paraId="7649B670">
            <w:pPr>
              <w:widowControl w:val="0"/>
              <w:numPr>
                <w:ilvl w:val="0"/>
                <w:numId w:val="0"/>
              </w:numPr>
              <w:overflowPunct w:val="0"/>
              <w:autoSpaceDE w:val="0"/>
              <w:autoSpaceDN w:val="0"/>
              <w:adjustRightInd w:val="0"/>
              <w:snapToGrid w:val="0"/>
              <w:spacing w:line="360" w:lineRule="auto"/>
              <w:ind w:left="480" w:leftChars="200" w:firstLine="0" w:firstLineChars="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w:t>
            </w:r>
            <w:r>
              <w:rPr>
                <w:rFonts w:hint="eastAsia" w:cs="Times New Roman"/>
                <w:b w:val="0"/>
                <w:bCs w:val="0"/>
                <w:color w:val="auto"/>
                <w:kern w:val="2"/>
                <w:sz w:val="24"/>
                <w:szCs w:val="20"/>
                <w:highlight w:val="none"/>
                <w:lang w:val="en-US" w:eastAsia="zh-CN" w:bidi="ar-SA"/>
              </w:rPr>
              <w:t>2</w:t>
            </w:r>
            <w:r>
              <w:rPr>
                <w:rFonts w:hint="eastAsia" w:ascii="Times New Roman" w:hAnsi="Times New Roman" w:eastAsia="宋体" w:cs="Times New Roman"/>
                <w:b w:val="0"/>
                <w:bCs w:val="0"/>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生活污水依托可行性分析</w:t>
            </w:r>
          </w:p>
          <w:p w14:paraId="6CEEC4D1">
            <w:pPr>
              <w:widowControl w:val="0"/>
              <w:numPr>
                <w:ilvl w:val="0"/>
                <w:numId w:val="0"/>
              </w:numPr>
              <w:overflowPunct w:val="0"/>
              <w:autoSpaceDE w:val="0"/>
              <w:autoSpaceDN w:val="0"/>
              <w:adjustRightInd w:val="0"/>
              <w:snapToGrid w:val="0"/>
              <w:spacing w:line="360" w:lineRule="auto"/>
              <w:ind w:left="0" w:leftChars="0" w:firstLine="480" w:firstLineChars="200"/>
              <w:jc w:val="both"/>
              <w:rPr>
                <w:rFonts w:hint="default" w:ascii="Times New Roman" w:hAnsi="Times New Roman" w:cs="Times New Roman"/>
                <w:color w:val="auto"/>
                <w:szCs w:val="24"/>
                <w:highlight w:val="none"/>
                <w:lang w:val="en-US" w:eastAsia="zh-CN" w:bidi="ar"/>
              </w:rPr>
            </w:pPr>
            <w:r>
              <w:rPr>
                <w:rFonts w:hint="eastAsia" w:ascii="Times New Roman" w:hAnsi="Times New Roman" w:eastAsia="宋体" w:cs="Times New Roman"/>
                <w:color w:val="auto"/>
                <w:kern w:val="2"/>
                <w:sz w:val="24"/>
                <w:szCs w:val="20"/>
                <w:highlight w:val="none"/>
                <w:lang w:val="en-US" w:eastAsia="zh-CN"/>
              </w:rPr>
              <w:t>阜康市西部城区污水处理厂，又名阜西区污水处理厂，</w:t>
            </w:r>
            <w:r>
              <w:rPr>
                <w:rFonts w:hint="eastAsia" w:cs="Times New Roman"/>
                <w:color w:val="auto"/>
                <w:kern w:val="2"/>
                <w:sz w:val="24"/>
                <w:szCs w:val="20"/>
                <w:highlight w:val="none"/>
                <w:lang w:val="en-US" w:eastAsia="zh-CN"/>
              </w:rPr>
              <w:t>2016年6月6日取得《关于</w:t>
            </w:r>
            <w:r>
              <w:rPr>
                <w:rFonts w:hint="eastAsia" w:ascii="Times New Roman" w:hAnsi="Times New Roman" w:eastAsia="宋体" w:cs="Times New Roman"/>
                <w:color w:val="auto"/>
                <w:kern w:val="2"/>
                <w:sz w:val="24"/>
                <w:szCs w:val="20"/>
                <w:highlight w:val="none"/>
                <w:lang w:val="en-US" w:eastAsia="zh-CN"/>
              </w:rPr>
              <w:t>阜康市西部城区污水处理厂</w:t>
            </w:r>
            <w:r>
              <w:rPr>
                <w:rFonts w:hint="eastAsia" w:cs="Times New Roman"/>
                <w:color w:val="auto"/>
                <w:kern w:val="2"/>
                <w:sz w:val="24"/>
                <w:szCs w:val="20"/>
                <w:highlight w:val="none"/>
                <w:lang w:val="en-US" w:eastAsia="zh-CN"/>
              </w:rPr>
              <w:t>及配套管网工程环境影响报告书的批复》（新环函〔2016〕680号），</w:t>
            </w:r>
            <w:r>
              <w:rPr>
                <w:rFonts w:hint="eastAsia" w:ascii="Times New Roman" w:hAnsi="Times New Roman" w:eastAsia="宋体" w:cs="Times New Roman"/>
                <w:color w:val="auto"/>
                <w:kern w:val="2"/>
                <w:sz w:val="24"/>
                <w:szCs w:val="20"/>
                <w:highlight w:val="none"/>
                <w:lang w:val="en-US" w:eastAsia="zh-CN"/>
              </w:rPr>
              <w:t>于201</w:t>
            </w:r>
            <w:r>
              <w:rPr>
                <w:rFonts w:hint="eastAsia" w:cs="Times New Roman"/>
                <w:color w:val="auto"/>
                <w:kern w:val="2"/>
                <w:sz w:val="24"/>
                <w:szCs w:val="20"/>
                <w:highlight w:val="none"/>
                <w:lang w:val="en-US" w:eastAsia="zh-CN"/>
              </w:rPr>
              <w:t>6</w:t>
            </w:r>
            <w:r>
              <w:rPr>
                <w:rFonts w:hint="eastAsia" w:ascii="Times New Roman" w:hAnsi="Times New Roman" w:eastAsia="宋体" w:cs="Times New Roman"/>
                <w:color w:val="auto"/>
                <w:kern w:val="2"/>
                <w:sz w:val="24"/>
                <w:szCs w:val="20"/>
                <w:highlight w:val="none"/>
                <w:lang w:val="en-US" w:eastAsia="zh-CN"/>
              </w:rPr>
              <w:t>年</w:t>
            </w:r>
            <w:r>
              <w:rPr>
                <w:rFonts w:hint="eastAsia" w:cs="Times New Roman"/>
                <w:color w:val="auto"/>
                <w:kern w:val="2"/>
                <w:sz w:val="24"/>
                <w:szCs w:val="20"/>
                <w:highlight w:val="none"/>
                <w:lang w:val="en-US" w:eastAsia="zh-CN"/>
              </w:rPr>
              <w:t>建成，2018年5月31日完成验收</w:t>
            </w:r>
            <w:r>
              <w:rPr>
                <w:rFonts w:hint="eastAsia" w:ascii="Times New Roman" w:hAnsi="Times New Roman" w:eastAsia="宋体" w:cs="Times New Roman"/>
                <w:color w:val="auto"/>
                <w:kern w:val="2"/>
                <w:sz w:val="24"/>
                <w:szCs w:val="20"/>
                <w:highlight w:val="none"/>
                <w:lang w:val="en-US" w:eastAsia="zh-CN"/>
              </w:rPr>
              <w:t>，阜西区污水处理厂采用较为先进的污水处理工艺水解酸化+ A2/O+ MBR膜池，其设计规模为5万立方米/日，目前日处理规模达到2万立方米/日，园区内下水管网均已敷设完毕，各企业内排水管网与园区主下水管网接通后即可排水。根据实地调查，目前项目区污水管网已经铺设完毕，阜西区污水处理厂已投入运营，经处理后的污水水质满足《城镇污水处理厂污染物排放标准》（GB18918-2002）一级A排放标准，目前仍有充足容量，因此本项目生活污水</w:t>
            </w:r>
            <w:r>
              <w:rPr>
                <w:rFonts w:hint="eastAsia" w:cs="Times New Roman"/>
                <w:color w:val="auto"/>
                <w:kern w:val="2"/>
                <w:sz w:val="24"/>
                <w:szCs w:val="20"/>
                <w:highlight w:val="none"/>
                <w:lang w:val="en-US" w:eastAsia="zh-CN"/>
              </w:rPr>
              <w:t>、风选废水</w:t>
            </w:r>
            <w:r>
              <w:rPr>
                <w:rFonts w:hint="eastAsia" w:ascii="Times New Roman" w:hAnsi="Times New Roman" w:eastAsia="宋体" w:cs="Times New Roman"/>
                <w:color w:val="auto"/>
                <w:kern w:val="2"/>
                <w:sz w:val="24"/>
                <w:szCs w:val="20"/>
                <w:highlight w:val="none"/>
                <w:lang w:val="en-US" w:eastAsia="zh-CN"/>
              </w:rPr>
              <w:t>排入园区管网依托可行</w:t>
            </w:r>
            <w:r>
              <w:rPr>
                <w:rFonts w:hint="default" w:ascii="Times New Roman" w:hAnsi="Times New Roman" w:cs="Times New Roman"/>
                <w:color w:val="auto"/>
                <w:szCs w:val="24"/>
                <w:highlight w:val="none"/>
                <w:lang w:val="en-US" w:eastAsia="zh-CN" w:bidi="ar"/>
              </w:rPr>
              <w:t>。</w:t>
            </w:r>
          </w:p>
          <w:p w14:paraId="1CB08606">
            <w:pPr>
              <w:widowControl w:val="0"/>
              <w:numPr>
                <w:ilvl w:val="0"/>
                <w:numId w:val="0"/>
              </w:numPr>
              <w:overflowPunct w:val="0"/>
              <w:autoSpaceDE w:val="0"/>
              <w:autoSpaceDN w:val="0"/>
              <w:adjustRightInd w:val="0"/>
              <w:snapToGrid w:val="0"/>
              <w:spacing w:line="360" w:lineRule="auto"/>
              <w:ind w:left="0" w:leftChars="0"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（3）废水监测制度</w:t>
            </w:r>
          </w:p>
          <w:p w14:paraId="4FC7D05C">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w:t>
            </w:r>
            <w:r>
              <w:rPr>
                <w:rFonts w:hint="eastAsia" w:ascii="Times New Roman" w:hAnsi="Times New Roman" w:cs="Times New Roman"/>
                <w:color w:val="auto"/>
                <w:kern w:val="2"/>
                <w:sz w:val="24"/>
                <w:szCs w:val="20"/>
                <w:highlight w:val="none"/>
                <w:lang w:val="en-US" w:eastAsia="zh-CN"/>
              </w:rPr>
              <w:t>排污许可证申请与核发技术规范 总则》（HJ 942-2018）单独排入城镇集中污水处理设施的生活污水仅说明排放去向</w:t>
            </w:r>
            <w:r>
              <w:rPr>
                <w:rFonts w:hint="eastAsia" w:ascii="Times New Roman" w:hAnsi="Times New Roman" w:eastAsia="宋体" w:cs="Times New Roman"/>
                <w:color w:val="auto"/>
                <w:kern w:val="2"/>
                <w:sz w:val="24"/>
                <w:szCs w:val="20"/>
                <w:highlight w:val="none"/>
                <w:lang w:val="en-US" w:eastAsia="zh-CN"/>
              </w:rPr>
              <w:t>，</w:t>
            </w:r>
            <w:r>
              <w:rPr>
                <w:rFonts w:hint="eastAsia" w:ascii="Times New Roman" w:hAnsi="Times New Roman" w:cs="Times New Roman"/>
                <w:color w:val="auto"/>
                <w:kern w:val="2"/>
                <w:sz w:val="24"/>
                <w:szCs w:val="20"/>
                <w:highlight w:val="none"/>
                <w:lang w:val="en-US" w:eastAsia="zh-CN"/>
              </w:rPr>
              <w:t>本项目为</w:t>
            </w:r>
            <w:r>
              <w:rPr>
                <w:rFonts w:hint="eastAsia" w:ascii="Times New Roman" w:hAnsi="Times New Roman" w:eastAsia="宋体" w:cs="Times New Roman"/>
                <w:color w:val="auto"/>
                <w:kern w:val="2"/>
                <w:sz w:val="24"/>
                <w:szCs w:val="20"/>
                <w:highlight w:val="none"/>
                <w:lang w:val="en-US" w:eastAsia="zh-CN"/>
              </w:rPr>
              <w:t>非重点排污单位间接排放生活污水</w:t>
            </w:r>
            <w:r>
              <w:rPr>
                <w:rFonts w:hint="eastAsia" w:ascii="Times New Roman" w:hAnsi="Times New Roman" w:cs="Times New Roman"/>
                <w:color w:val="auto"/>
                <w:kern w:val="2"/>
                <w:sz w:val="24"/>
                <w:szCs w:val="20"/>
                <w:highlight w:val="none"/>
                <w:lang w:val="en-US" w:eastAsia="zh-CN"/>
              </w:rPr>
              <w:t>，因此可</w:t>
            </w:r>
            <w:r>
              <w:rPr>
                <w:rFonts w:hint="eastAsia" w:ascii="Times New Roman" w:hAnsi="Times New Roman" w:eastAsia="宋体" w:cs="Times New Roman"/>
                <w:color w:val="auto"/>
                <w:kern w:val="2"/>
                <w:sz w:val="24"/>
                <w:szCs w:val="20"/>
                <w:highlight w:val="none"/>
                <w:lang w:val="en-US" w:eastAsia="zh-CN"/>
              </w:rPr>
              <w:t>不设置生活污水监测制度。</w:t>
            </w:r>
          </w:p>
          <w:p w14:paraId="555AC1A5">
            <w:pPr>
              <w:widowControl w:val="0"/>
              <w:overflowPunct w:val="0"/>
              <w:autoSpaceDE w:val="0"/>
              <w:autoSpaceDN w:val="0"/>
              <w:adjustRightInd w:val="0"/>
              <w:snapToGrid w:val="0"/>
              <w:spacing w:before="0" w:after="0" w:line="360" w:lineRule="auto"/>
              <w:ind w:right="0"/>
              <w:jc w:val="both"/>
              <w:rPr>
                <w:rFonts w:ascii="Times New Roman" w:hAnsi="Times New Roman" w:eastAsia="宋体" w:cs="宋体"/>
                <w:bCs/>
                <w:snapToGrid w:val="0"/>
                <w:color w:val="auto"/>
                <w:spacing w:val="-10"/>
                <w:kern w:val="2"/>
                <w:sz w:val="21"/>
                <w:szCs w:val="21"/>
                <w:highlight w:val="none"/>
                <w:lang w:val="en-US" w:eastAsia="zh-CN" w:bidi="ar-SA"/>
              </w:rPr>
            </w:pPr>
          </w:p>
        </w:tc>
      </w:tr>
    </w:tbl>
    <w:p w14:paraId="1ACC3590">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77E1A71">
      <w:pPr>
        <w:pStyle w:val="28"/>
        <w:rPr>
          <w:rFonts w:hint="eastAsia"/>
          <w:color w:val="auto"/>
        </w:rPr>
      </w:pPr>
      <w:r>
        <w:rPr>
          <w:rFonts w:hint="eastAsia"/>
          <w:color w:val="auto"/>
        </w:rPr>
        <w:t>表</w:t>
      </w:r>
      <w:r>
        <w:rPr>
          <w:rFonts w:hint="eastAsia"/>
          <w:color w:val="auto"/>
          <w:lang w:val="en-US" w:eastAsia="zh-CN"/>
        </w:rPr>
        <w:t>4.6-3</w:t>
      </w:r>
      <w:r>
        <w:rPr>
          <w:rFonts w:hint="eastAsia"/>
          <w:color w:val="auto"/>
        </w:rPr>
        <w:t>废水类别、污染物及污染治理设施信息表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16"/>
        <w:gridCol w:w="916"/>
        <w:gridCol w:w="1118"/>
        <w:gridCol w:w="1080"/>
        <w:gridCol w:w="1290"/>
        <w:gridCol w:w="1125"/>
        <w:gridCol w:w="1410"/>
        <w:gridCol w:w="1161"/>
        <w:gridCol w:w="885"/>
        <w:gridCol w:w="1530"/>
        <w:gridCol w:w="3132"/>
      </w:tblGrid>
      <w:tr w14:paraId="7C4BF8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182" w:type="pct"/>
            <w:vMerge w:val="restart"/>
            <w:tcBorders>
              <w:tl2br w:val="nil"/>
              <w:tr2bl w:val="nil"/>
            </w:tcBorders>
            <w:vAlign w:val="center"/>
          </w:tcPr>
          <w:p w14:paraId="2387BB9D">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序号</w:t>
            </w:r>
          </w:p>
        </w:tc>
        <w:tc>
          <w:tcPr>
            <w:tcW w:w="323" w:type="pct"/>
            <w:vMerge w:val="restart"/>
            <w:tcBorders>
              <w:tl2br w:val="nil"/>
              <w:tr2bl w:val="nil"/>
            </w:tcBorders>
            <w:vAlign w:val="center"/>
          </w:tcPr>
          <w:p w14:paraId="4725C97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废水类别</w:t>
            </w:r>
          </w:p>
        </w:tc>
        <w:tc>
          <w:tcPr>
            <w:tcW w:w="394" w:type="pct"/>
            <w:vMerge w:val="restart"/>
            <w:tcBorders>
              <w:tl2br w:val="nil"/>
              <w:tr2bl w:val="nil"/>
            </w:tcBorders>
            <w:vAlign w:val="center"/>
          </w:tcPr>
          <w:p w14:paraId="4B90B26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污染物种类</w:t>
            </w:r>
          </w:p>
        </w:tc>
        <w:tc>
          <w:tcPr>
            <w:tcW w:w="381" w:type="pct"/>
            <w:vMerge w:val="restart"/>
            <w:tcBorders>
              <w:tl2br w:val="nil"/>
              <w:tr2bl w:val="nil"/>
            </w:tcBorders>
            <w:vAlign w:val="center"/>
          </w:tcPr>
          <w:p w14:paraId="009A2A8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排水去向</w:t>
            </w:r>
          </w:p>
        </w:tc>
        <w:tc>
          <w:tcPr>
            <w:tcW w:w="455" w:type="pct"/>
            <w:vMerge w:val="restart"/>
            <w:tcBorders>
              <w:tl2br w:val="nil"/>
              <w:tr2bl w:val="nil"/>
            </w:tcBorders>
            <w:vAlign w:val="center"/>
          </w:tcPr>
          <w:p w14:paraId="1DE44CB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排放规律</w:t>
            </w:r>
          </w:p>
        </w:tc>
        <w:tc>
          <w:tcPr>
            <w:tcW w:w="1304" w:type="pct"/>
            <w:gridSpan w:val="3"/>
            <w:tcBorders>
              <w:tl2br w:val="nil"/>
              <w:tr2bl w:val="nil"/>
            </w:tcBorders>
            <w:vAlign w:val="center"/>
          </w:tcPr>
          <w:p w14:paraId="7034A96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污染治理设施</w:t>
            </w:r>
          </w:p>
        </w:tc>
        <w:tc>
          <w:tcPr>
            <w:tcW w:w="312" w:type="pct"/>
            <w:vMerge w:val="restart"/>
            <w:tcBorders>
              <w:tl2br w:val="nil"/>
              <w:tr2bl w:val="nil"/>
            </w:tcBorders>
            <w:vAlign w:val="center"/>
          </w:tcPr>
          <w:p w14:paraId="71ACA6FD">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排放口编号</w:t>
            </w:r>
          </w:p>
        </w:tc>
        <w:tc>
          <w:tcPr>
            <w:tcW w:w="540" w:type="pct"/>
            <w:vMerge w:val="restart"/>
            <w:tcBorders>
              <w:tl2br w:val="nil"/>
              <w:tr2bl w:val="nil"/>
            </w:tcBorders>
            <w:vAlign w:val="center"/>
          </w:tcPr>
          <w:p w14:paraId="64B47424">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排放口设置是否符合要求</w:t>
            </w:r>
          </w:p>
        </w:tc>
        <w:tc>
          <w:tcPr>
            <w:tcW w:w="1105" w:type="pct"/>
            <w:vMerge w:val="restart"/>
            <w:tcBorders>
              <w:tl2br w:val="nil"/>
              <w:tr2bl w:val="nil"/>
            </w:tcBorders>
            <w:vAlign w:val="center"/>
          </w:tcPr>
          <w:p w14:paraId="363996C7">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排放口类型</w:t>
            </w:r>
          </w:p>
        </w:tc>
      </w:tr>
      <w:tr w14:paraId="173BDD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182" w:type="pct"/>
            <w:vMerge w:val="continue"/>
            <w:tcBorders>
              <w:tl2br w:val="nil"/>
              <w:tr2bl w:val="nil"/>
            </w:tcBorders>
            <w:vAlign w:val="center"/>
          </w:tcPr>
          <w:p w14:paraId="764BC15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23" w:type="pct"/>
            <w:vMerge w:val="continue"/>
            <w:tcBorders>
              <w:tl2br w:val="nil"/>
              <w:tr2bl w:val="nil"/>
            </w:tcBorders>
            <w:vAlign w:val="center"/>
          </w:tcPr>
          <w:p w14:paraId="2117F79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94" w:type="pct"/>
            <w:vMerge w:val="continue"/>
            <w:tcBorders>
              <w:tl2br w:val="nil"/>
              <w:tr2bl w:val="nil"/>
            </w:tcBorders>
            <w:vAlign w:val="center"/>
          </w:tcPr>
          <w:p w14:paraId="1AE6ADE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81" w:type="pct"/>
            <w:vMerge w:val="continue"/>
            <w:tcBorders>
              <w:tl2br w:val="nil"/>
              <w:tr2bl w:val="nil"/>
            </w:tcBorders>
            <w:vAlign w:val="center"/>
          </w:tcPr>
          <w:p w14:paraId="719BFE8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455" w:type="pct"/>
            <w:vMerge w:val="continue"/>
            <w:tcBorders>
              <w:tl2br w:val="nil"/>
              <w:tr2bl w:val="nil"/>
            </w:tcBorders>
            <w:vAlign w:val="center"/>
          </w:tcPr>
          <w:p w14:paraId="7FA1B192">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97" w:type="pct"/>
            <w:tcBorders>
              <w:tl2br w:val="nil"/>
              <w:tr2bl w:val="nil"/>
            </w:tcBorders>
            <w:vAlign w:val="center"/>
          </w:tcPr>
          <w:p w14:paraId="20E344B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污染治理设施编号</w:t>
            </w:r>
          </w:p>
        </w:tc>
        <w:tc>
          <w:tcPr>
            <w:tcW w:w="497" w:type="pct"/>
            <w:tcBorders>
              <w:tl2br w:val="nil"/>
              <w:tr2bl w:val="nil"/>
            </w:tcBorders>
            <w:vAlign w:val="center"/>
          </w:tcPr>
          <w:p w14:paraId="20F36BD0">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污染治理设施名称</w:t>
            </w:r>
          </w:p>
        </w:tc>
        <w:tc>
          <w:tcPr>
            <w:tcW w:w="409" w:type="pct"/>
            <w:tcBorders>
              <w:tl2br w:val="nil"/>
              <w:tr2bl w:val="nil"/>
            </w:tcBorders>
            <w:vAlign w:val="center"/>
          </w:tcPr>
          <w:p w14:paraId="7672468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污染治理设施工艺</w:t>
            </w:r>
          </w:p>
        </w:tc>
        <w:tc>
          <w:tcPr>
            <w:tcW w:w="312" w:type="pct"/>
            <w:vMerge w:val="continue"/>
            <w:tcBorders>
              <w:tl2br w:val="nil"/>
              <w:tr2bl w:val="nil"/>
            </w:tcBorders>
            <w:vAlign w:val="center"/>
          </w:tcPr>
          <w:p w14:paraId="39D0863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540" w:type="pct"/>
            <w:vMerge w:val="continue"/>
            <w:tcBorders>
              <w:tl2br w:val="nil"/>
              <w:tr2bl w:val="nil"/>
            </w:tcBorders>
            <w:vAlign w:val="center"/>
          </w:tcPr>
          <w:p w14:paraId="5B48D42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1105" w:type="pct"/>
            <w:vMerge w:val="continue"/>
            <w:tcBorders>
              <w:tl2br w:val="nil"/>
              <w:tr2bl w:val="nil"/>
            </w:tcBorders>
            <w:vAlign w:val="center"/>
          </w:tcPr>
          <w:p w14:paraId="3EE57617">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r>
      <w:tr w14:paraId="31541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82" w:type="pct"/>
            <w:tcBorders>
              <w:tl2br w:val="nil"/>
              <w:tr2bl w:val="nil"/>
            </w:tcBorders>
            <w:vAlign w:val="center"/>
          </w:tcPr>
          <w:p w14:paraId="0E73A06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1</w:t>
            </w:r>
          </w:p>
        </w:tc>
        <w:tc>
          <w:tcPr>
            <w:tcW w:w="323" w:type="pct"/>
            <w:tcBorders>
              <w:tl2br w:val="nil"/>
              <w:tr2bl w:val="nil"/>
            </w:tcBorders>
            <w:vAlign w:val="center"/>
          </w:tcPr>
          <w:p w14:paraId="63A288C8">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生活污水</w:t>
            </w:r>
          </w:p>
        </w:tc>
        <w:tc>
          <w:tcPr>
            <w:tcW w:w="394" w:type="pct"/>
            <w:tcBorders>
              <w:tl2br w:val="nil"/>
              <w:tr2bl w:val="nil"/>
            </w:tcBorders>
            <w:vAlign w:val="center"/>
          </w:tcPr>
          <w:p w14:paraId="5A04C0DD">
            <w:pPr>
              <w:keepNext w:val="0"/>
              <w:keepLines w:val="0"/>
              <w:widowControl/>
              <w:suppressLineNumbers w:val="0"/>
              <w:jc w:val="center"/>
              <w:textAlignment w:val="center"/>
              <w:rPr>
                <w:rFonts w:hint="default" w:ascii="Times New Roman" w:hAnsi="Times New Roman"/>
                <w:color w:val="auto"/>
                <w:lang w:val="en-US" w:eastAsia="zh-CN"/>
              </w:rPr>
            </w:pPr>
            <w:r>
              <w:rPr>
                <w:rFonts w:hint="eastAsia" w:ascii="Times New Roman" w:hAnsi="Times New Roman" w:eastAsia="宋体" w:cs="Times New Roman"/>
                <w:color w:val="auto"/>
                <w:kern w:val="0"/>
                <w:sz w:val="21"/>
                <w:szCs w:val="21"/>
                <w:highlight w:val="none"/>
                <w:lang w:val="en-US" w:eastAsia="zh-CN"/>
              </w:rPr>
              <w:t>pH、</w:t>
            </w:r>
            <w:r>
              <w:rPr>
                <w:rFonts w:hint="default" w:ascii="Times New Roman" w:hAnsi="Times New Roman" w:eastAsia="宋体" w:cs="Times New Roman"/>
                <w:i w:val="0"/>
                <w:iCs w:val="0"/>
                <w:color w:val="auto"/>
                <w:kern w:val="0"/>
                <w:sz w:val="21"/>
                <w:szCs w:val="21"/>
                <w:highlight w:val="none"/>
                <w:u w:val="none"/>
                <w:lang w:val="en-US" w:eastAsia="zh-CN" w:bidi="ar"/>
              </w:rPr>
              <w:t>COD</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SS</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b w:val="0"/>
                <w:bCs w:val="0"/>
                <w:color w:val="auto"/>
                <w:sz w:val="21"/>
                <w:szCs w:val="21"/>
                <w:lang w:val="en-US" w:eastAsia="zh-CN"/>
              </w:rPr>
              <w:t>氨氮</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BOD</w:t>
            </w:r>
          </w:p>
        </w:tc>
        <w:tc>
          <w:tcPr>
            <w:tcW w:w="381" w:type="pct"/>
            <w:tcBorders>
              <w:tl2br w:val="nil"/>
              <w:tr2bl w:val="nil"/>
            </w:tcBorders>
            <w:vAlign w:val="center"/>
          </w:tcPr>
          <w:p w14:paraId="666F6A40">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bidi="ar-SA"/>
              </w:rPr>
              <w:t>阜康市西部城区污水处理厂（阜西区污水处理厂）</w:t>
            </w:r>
          </w:p>
        </w:tc>
        <w:tc>
          <w:tcPr>
            <w:tcW w:w="455" w:type="pct"/>
            <w:tcBorders>
              <w:tl2br w:val="nil"/>
              <w:tr2bl w:val="nil"/>
            </w:tcBorders>
            <w:vAlign w:val="center"/>
          </w:tcPr>
          <w:p w14:paraId="0EBE2DD6">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间断排放，排放期间流量不稳定，但有规律，且不属于非周期性规律</w:t>
            </w:r>
          </w:p>
        </w:tc>
        <w:tc>
          <w:tcPr>
            <w:tcW w:w="397" w:type="pct"/>
            <w:tcBorders>
              <w:tl2br w:val="nil"/>
              <w:tr2bl w:val="nil"/>
            </w:tcBorders>
            <w:vAlign w:val="center"/>
          </w:tcPr>
          <w:p w14:paraId="3078C6B6">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无</w:t>
            </w:r>
          </w:p>
        </w:tc>
        <w:tc>
          <w:tcPr>
            <w:tcW w:w="497" w:type="pct"/>
            <w:tcBorders>
              <w:tl2br w:val="nil"/>
              <w:tr2bl w:val="nil"/>
            </w:tcBorders>
            <w:vAlign w:val="center"/>
          </w:tcPr>
          <w:p w14:paraId="5B2FBBE0">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w:t>
            </w:r>
          </w:p>
        </w:tc>
        <w:tc>
          <w:tcPr>
            <w:tcW w:w="409" w:type="pct"/>
            <w:tcBorders>
              <w:tl2br w:val="nil"/>
              <w:tr2bl w:val="nil"/>
            </w:tcBorders>
            <w:vAlign w:val="center"/>
          </w:tcPr>
          <w:p w14:paraId="1FA194AF">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w:t>
            </w:r>
          </w:p>
        </w:tc>
        <w:tc>
          <w:tcPr>
            <w:tcW w:w="312" w:type="pct"/>
            <w:tcBorders>
              <w:tl2br w:val="nil"/>
              <w:tr2bl w:val="nil"/>
            </w:tcBorders>
            <w:vAlign w:val="center"/>
          </w:tcPr>
          <w:p w14:paraId="479DC0B4">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DW001</w:t>
            </w:r>
          </w:p>
        </w:tc>
        <w:tc>
          <w:tcPr>
            <w:tcW w:w="540" w:type="pct"/>
            <w:tcBorders>
              <w:tl2br w:val="nil"/>
              <w:tr2bl w:val="nil"/>
            </w:tcBorders>
            <w:vAlign w:val="center"/>
          </w:tcPr>
          <w:p w14:paraId="4D2E153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☑是</w:t>
            </w:r>
          </w:p>
          <w:p w14:paraId="5D9A68A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□否</w:t>
            </w:r>
          </w:p>
          <w:p w14:paraId="077F0EF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1105" w:type="pct"/>
            <w:tcBorders>
              <w:tl2br w:val="nil"/>
              <w:tr2bl w:val="nil"/>
            </w:tcBorders>
            <w:vAlign w:val="center"/>
          </w:tcPr>
          <w:p w14:paraId="50BD523B">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☑企业总排    □雨水排放</w:t>
            </w:r>
          </w:p>
          <w:p w14:paraId="122B8E2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□清净下水排放 □温排水排放</w:t>
            </w:r>
          </w:p>
          <w:p w14:paraId="14F3B890">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□车间或车间处理设施排放</w:t>
            </w:r>
          </w:p>
        </w:tc>
      </w:tr>
    </w:tbl>
    <w:p w14:paraId="68EDFCE3">
      <w:pPr>
        <w:pStyle w:val="28"/>
        <w:rPr>
          <w:color w:val="auto"/>
        </w:rPr>
      </w:pPr>
      <w:r>
        <w:rPr>
          <w:rFonts w:hint="eastAsia"/>
          <w:color w:val="auto"/>
        </w:rPr>
        <w:t>表</w:t>
      </w:r>
      <w:r>
        <w:rPr>
          <w:rFonts w:hint="eastAsia"/>
          <w:color w:val="auto"/>
          <w:lang w:val="en-US" w:eastAsia="zh-CN"/>
        </w:rPr>
        <w:t>4.6-4</w:t>
      </w:r>
      <w:r>
        <w:rPr>
          <w:rFonts w:hint="eastAsia"/>
          <w:color w:val="auto"/>
        </w:rPr>
        <w:t>废水间接排放口基本情况表</w:t>
      </w:r>
    </w:p>
    <w:tbl>
      <w:tblPr>
        <w:tblStyle w:val="1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833"/>
        <w:gridCol w:w="1044"/>
        <w:gridCol w:w="712"/>
        <w:gridCol w:w="712"/>
        <w:gridCol w:w="712"/>
        <w:gridCol w:w="723"/>
        <w:gridCol w:w="993"/>
        <w:gridCol w:w="1044"/>
        <w:gridCol w:w="871"/>
        <w:gridCol w:w="3029"/>
        <w:gridCol w:w="3030"/>
      </w:tblGrid>
      <w:tr w14:paraId="3AAA9D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165" w:type="pct"/>
            <w:vMerge w:val="restart"/>
            <w:tcBorders>
              <w:tl2br w:val="nil"/>
              <w:tr2bl w:val="nil"/>
            </w:tcBorders>
            <w:vAlign w:val="center"/>
          </w:tcPr>
          <w:p w14:paraId="04B43417">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序号</w:t>
            </w:r>
          </w:p>
        </w:tc>
        <w:tc>
          <w:tcPr>
            <w:tcW w:w="293" w:type="pct"/>
            <w:vMerge w:val="restart"/>
            <w:tcBorders>
              <w:tl2br w:val="nil"/>
              <w:tr2bl w:val="nil"/>
            </w:tcBorders>
            <w:vAlign w:val="center"/>
          </w:tcPr>
          <w:p w14:paraId="42E621D4">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排放口编号</w:t>
            </w:r>
          </w:p>
        </w:tc>
        <w:tc>
          <w:tcPr>
            <w:tcW w:w="368" w:type="pct"/>
            <w:vMerge w:val="restart"/>
            <w:tcBorders>
              <w:tl2br w:val="nil"/>
              <w:tr2bl w:val="nil"/>
            </w:tcBorders>
            <w:vAlign w:val="center"/>
          </w:tcPr>
          <w:p w14:paraId="4373E2A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废水排放量（万t/a）</w:t>
            </w:r>
          </w:p>
        </w:tc>
        <w:tc>
          <w:tcPr>
            <w:tcW w:w="502" w:type="pct"/>
            <w:gridSpan w:val="2"/>
            <w:tcBorders>
              <w:tl2br w:val="nil"/>
              <w:tr2bl w:val="nil"/>
            </w:tcBorders>
            <w:vAlign w:val="center"/>
          </w:tcPr>
          <w:p w14:paraId="21AFF522">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排放口地理坐标</w:t>
            </w:r>
          </w:p>
        </w:tc>
        <w:tc>
          <w:tcPr>
            <w:tcW w:w="251" w:type="pct"/>
            <w:vMerge w:val="restart"/>
            <w:tcBorders>
              <w:tl2br w:val="nil"/>
              <w:tr2bl w:val="nil"/>
            </w:tcBorders>
            <w:vAlign w:val="center"/>
          </w:tcPr>
          <w:p w14:paraId="6266812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排水去向</w:t>
            </w:r>
          </w:p>
        </w:tc>
        <w:tc>
          <w:tcPr>
            <w:tcW w:w="255" w:type="pct"/>
            <w:vMerge w:val="restart"/>
            <w:tcBorders>
              <w:tl2br w:val="nil"/>
              <w:tr2bl w:val="nil"/>
            </w:tcBorders>
            <w:vAlign w:val="center"/>
          </w:tcPr>
          <w:p w14:paraId="2C450DC4">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排放规律</w:t>
            </w:r>
          </w:p>
        </w:tc>
        <w:tc>
          <w:tcPr>
            <w:tcW w:w="350" w:type="pct"/>
            <w:vMerge w:val="restart"/>
            <w:tcBorders>
              <w:tl2br w:val="nil"/>
              <w:tr2bl w:val="nil"/>
            </w:tcBorders>
            <w:vAlign w:val="center"/>
          </w:tcPr>
          <w:p w14:paraId="5DCE02AF">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间歇排放时间段</w:t>
            </w:r>
          </w:p>
        </w:tc>
        <w:tc>
          <w:tcPr>
            <w:tcW w:w="2813" w:type="pct"/>
            <w:gridSpan w:val="4"/>
            <w:tcBorders>
              <w:tl2br w:val="nil"/>
              <w:tr2bl w:val="nil"/>
            </w:tcBorders>
            <w:vAlign w:val="center"/>
          </w:tcPr>
          <w:p w14:paraId="39EE91DB">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ascii="Arial" w:hAnsi="Arial" w:eastAsia="宋体" w:cs="Arial"/>
                <w:i w:val="0"/>
                <w:iCs w:val="0"/>
                <w:caps w:val="0"/>
                <w:color w:val="auto"/>
                <w:spacing w:val="0"/>
                <w:sz w:val="21"/>
                <w:szCs w:val="21"/>
                <w:shd w:val="clear" w:fill="F5F3F4"/>
                <w:lang w:val="en-US" w:eastAsia="zh-CN" w:bidi="ar-SA"/>
              </w:rPr>
              <w:t>受纳污水处理厂信息</w:t>
            </w:r>
          </w:p>
        </w:tc>
      </w:tr>
      <w:tr w14:paraId="0DDECB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65" w:type="pct"/>
            <w:vMerge w:val="continue"/>
            <w:tcBorders>
              <w:tl2br w:val="nil"/>
              <w:tr2bl w:val="nil"/>
            </w:tcBorders>
            <w:vAlign w:val="center"/>
          </w:tcPr>
          <w:p w14:paraId="0BCC7DD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93" w:type="pct"/>
            <w:vMerge w:val="continue"/>
            <w:tcBorders>
              <w:tl2br w:val="nil"/>
              <w:tr2bl w:val="nil"/>
            </w:tcBorders>
            <w:vAlign w:val="center"/>
          </w:tcPr>
          <w:p w14:paraId="79C70E9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67DBFF47">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tcBorders>
              <w:tl2br w:val="nil"/>
              <w:tr2bl w:val="nil"/>
            </w:tcBorders>
            <w:vAlign w:val="center"/>
          </w:tcPr>
          <w:p w14:paraId="7566D6C1">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经度</w:t>
            </w:r>
          </w:p>
        </w:tc>
        <w:tc>
          <w:tcPr>
            <w:tcW w:w="251" w:type="pct"/>
            <w:tcBorders>
              <w:tl2br w:val="nil"/>
              <w:tr2bl w:val="nil"/>
            </w:tcBorders>
            <w:vAlign w:val="center"/>
          </w:tcPr>
          <w:p w14:paraId="467C53DB">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纬度</w:t>
            </w:r>
          </w:p>
        </w:tc>
        <w:tc>
          <w:tcPr>
            <w:tcW w:w="251" w:type="pct"/>
            <w:vMerge w:val="continue"/>
            <w:tcBorders>
              <w:tl2br w:val="nil"/>
              <w:tr2bl w:val="nil"/>
            </w:tcBorders>
            <w:vAlign w:val="center"/>
          </w:tcPr>
          <w:p w14:paraId="49964A2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5" w:type="pct"/>
            <w:vMerge w:val="continue"/>
            <w:tcBorders>
              <w:tl2br w:val="nil"/>
              <w:tr2bl w:val="nil"/>
            </w:tcBorders>
            <w:vAlign w:val="center"/>
          </w:tcPr>
          <w:p w14:paraId="6FEE6D05">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50" w:type="pct"/>
            <w:vMerge w:val="continue"/>
            <w:tcBorders>
              <w:tl2br w:val="nil"/>
              <w:tr2bl w:val="nil"/>
            </w:tcBorders>
            <w:vAlign w:val="center"/>
          </w:tcPr>
          <w:p w14:paraId="3485E59A">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tcBorders>
              <w:tl2br w:val="nil"/>
              <w:tr2bl w:val="nil"/>
            </w:tcBorders>
            <w:vAlign w:val="center"/>
          </w:tcPr>
          <w:p w14:paraId="2FCC497E">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名称</w:t>
            </w:r>
          </w:p>
        </w:tc>
        <w:tc>
          <w:tcPr>
            <w:tcW w:w="307" w:type="pct"/>
            <w:tcBorders>
              <w:tl2br w:val="nil"/>
              <w:tr2bl w:val="nil"/>
            </w:tcBorders>
            <w:vAlign w:val="center"/>
          </w:tcPr>
          <w:p w14:paraId="4EE776E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污染物</w:t>
            </w:r>
          </w:p>
        </w:tc>
        <w:tc>
          <w:tcPr>
            <w:tcW w:w="1068" w:type="pct"/>
            <w:tcBorders>
              <w:tl2br w:val="nil"/>
              <w:tr2bl w:val="nil"/>
            </w:tcBorders>
            <w:vAlign w:val="center"/>
          </w:tcPr>
          <w:p w14:paraId="435E0EA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ascii="Times New Roman" w:hAnsi="Times New Roman" w:eastAsia="宋体" w:cs="Times New Roman"/>
                <w:color w:val="auto"/>
                <w:sz w:val="21"/>
                <w:lang w:val="en-US" w:eastAsia="zh-CN" w:bidi="ar-SA"/>
              </w:rPr>
              <w:t>排水协议规定的浓度限值</w:t>
            </w:r>
            <w:r>
              <w:rPr>
                <w:rFonts w:hint="eastAsia" w:ascii="Times New Roman" w:hAnsi="Times New Roman" w:eastAsia="宋体" w:cs="Times New Roman"/>
                <w:color w:val="auto"/>
                <w:sz w:val="21"/>
                <w:lang w:val="en-US" w:eastAsia="zh-CN" w:bidi="ar-SA"/>
              </w:rPr>
              <w:t>（</w:t>
            </w:r>
            <w:r>
              <w:rPr>
                <w:rFonts w:ascii="Times New Roman" w:hAnsi="Times New Roman" w:eastAsia="宋体" w:cs="Times New Roman"/>
                <w:color w:val="auto"/>
                <w:sz w:val="21"/>
                <w:lang w:val="en-US" w:eastAsia="zh-CN" w:bidi="ar-SA"/>
              </w:rPr>
              <w:t>mg/L</w:t>
            </w:r>
            <w:r>
              <w:rPr>
                <w:rFonts w:hint="eastAsia" w:ascii="Times New Roman" w:hAnsi="Times New Roman" w:eastAsia="宋体" w:cs="Times New Roman"/>
                <w:color w:val="auto"/>
                <w:sz w:val="21"/>
                <w:lang w:val="en-US" w:eastAsia="zh-CN" w:bidi="ar-SA"/>
              </w:rPr>
              <w:t>）</w:t>
            </w:r>
            <w:r>
              <w:rPr>
                <w:rFonts w:ascii="Times New Roman" w:hAnsi="Times New Roman" w:eastAsia="宋体" w:cs="Times New Roman"/>
                <w:color w:val="auto"/>
                <w:sz w:val="21"/>
                <w:lang w:val="en-US" w:eastAsia="zh-CN" w:bidi="ar-SA"/>
              </w:rPr>
              <w:t>（如有）</w:t>
            </w:r>
          </w:p>
        </w:tc>
        <w:tc>
          <w:tcPr>
            <w:tcW w:w="1068" w:type="pct"/>
            <w:tcBorders>
              <w:tl2br w:val="nil"/>
              <w:tr2bl w:val="nil"/>
            </w:tcBorders>
            <w:vAlign w:val="center"/>
          </w:tcPr>
          <w:p w14:paraId="69498B38">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国家或地方污染物排放标准浓度限值（mg/L）</w:t>
            </w:r>
          </w:p>
        </w:tc>
      </w:tr>
      <w:tr w14:paraId="3B371D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65" w:type="pct"/>
            <w:vMerge w:val="restart"/>
            <w:tcBorders>
              <w:tl2br w:val="nil"/>
              <w:tr2bl w:val="nil"/>
            </w:tcBorders>
            <w:vAlign w:val="center"/>
          </w:tcPr>
          <w:p w14:paraId="0115E564">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1</w:t>
            </w:r>
          </w:p>
        </w:tc>
        <w:tc>
          <w:tcPr>
            <w:tcW w:w="293" w:type="pct"/>
            <w:vMerge w:val="restart"/>
            <w:tcBorders>
              <w:tl2br w:val="nil"/>
              <w:tr2bl w:val="nil"/>
            </w:tcBorders>
            <w:vAlign w:val="center"/>
          </w:tcPr>
          <w:p w14:paraId="50A49E6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DW001</w:t>
            </w:r>
          </w:p>
        </w:tc>
        <w:tc>
          <w:tcPr>
            <w:tcW w:w="368" w:type="pct"/>
            <w:vMerge w:val="restart"/>
            <w:tcBorders>
              <w:tl2br w:val="nil"/>
              <w:tr2bl w:val="nil"/>
            </w:tcBorders>
            <w:vAlign w:val="center"/>
          </w:tcPr>
          <w:p w14:paraId="6D1A2647">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0.0</w:t>
            </w:r>
            <w:r>
              <w:rPr>
                <w:rFonts w:hint="eastAsia" w:cs="Times New Roman"/>
                <w:color w:val="auto"/>
                <w:sz w:val="21"/>
                <w:lang w:val="en-US" w:eastAsia="zh-CN" w:bidi="ar-SA"/>
              </w:rPr>
              <w:t>0768</w:t>
            </w:r>
          </w:p>
        </w:tc>
        <w:tc>
          <w:tcPr>
            <w:tcW w:w="712" w:type="dxa"/>
            <w:vMerge w:val="restart"/>
            <w:tcBorders>
              <w:tl2br w:val="nil"/>
              <w:tr2bl w:val="nil"/>
            </w:tcBorders>
            <w:vAlign w:val="center"/>
          </w:tcPr>
          <w:p w14:paraId="1C4817F1">
            <w:pPr>
              <w:pStyle w:val="30"/>
              <w:bidi w:val="0"/>
              <w:ind w:firstLine="0" w:firstLineChars="0"/>
              <w:rPr>
                <w:rFonts w:hint="default" w:ascii="Times New Roman" w:hAnsi="Times New Roman" w:eastAsia="宋体" w:cs="Times New Roman"/>
                <w:color w:val="auto"/>
                <w:sz w:val="21"/>
                <w:highlight w:val="none"/>
                <w:lang w:val="en-US" w:eastAsia="zh-CN" w:bidi="ar-SA"/>
              </w:rPr>
            </w:pPr>
          </w:p>
        </w:tc>
        <w:tc>
          <w:tcPr>
            <w:tcW w:w="712" w:type="dxa"/>
            <w:vMerge w:val="restart"/>
            <w:tcBorders>
              <w:tl2br w:val="nil"/>
              <w:tr2bl w:val="nil"/>
            </w:tcBorders>
            <w:vAlign w:val="center"/>
          </w:tcPr>
          <w:p w14:paraId="12A4E0FC">
            <w:pPr>
              <w:pStyle w:val="30"/>
              <w:bidi w:val="0"/>
              <w:ind w:firstLine="0" w:firstLineChars="0"/>
              <w:rPr>
                <w:rFonts w:hint="default" w:ascii="Times New Roman" w:hAnsi="Times New Roman" w:eastAsia="宋体" w:cs="Times New Roman"/>
                <w:color w:val="auto"/>
                <w:sz w:val="21"/>
                <w:highlight w:val="none"/>
                <w:lang w:val="en-US" w:eastAsia="zh-CN" w:bidi="ar-SA"/>
              </w:rPr>
            </w:pPr>
          </w:p>
        </w:tc>
        <w:tc>
          <w:tcPr>
            <w:tcW w:w="251" w:type="pct"/>
            <w:vMerge w:val="restart"/>
            <w:tcBorders>
              <w:tl2br w:val="nil"/>
              <w:tr2bl w:val="nil"/>
            </w:tcBorders>
            <w:vAlign w:val="center"/>
          </w:tcPr>
          <w:p w14:paraId="01F93C66">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bidi="ar-SA"/>
              </w:rPr>
              <w:t>阜康市西部城区污水处理厂（阜西区污水处理厂）</w:t>
            </w:r>
          </w:p>
        </w:tc>
        <w:tc>
          <w:tcPr>
            <w:tcW w:w="255" w:type="pct"/>
            <w:vMerge w:val="restart"/>
            <w:tcBorders>
              <w:tl2br w:val="nil"/>
              <w:tr2bl w:val="nil"/>
            </w:tcBorders>
            <w:vAlign w:val="center"/>
          </w:tcPr>
          <w:p w14:paraId="703E4615">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非连续排放</w:t>
            </w:r>
          </w:p>
        </w:tc>
        <w:tc>
          <w:tcPr>
            <w:tcW w:w="350" w:type="pct"/>
            <w:vMerge w:val="restart"/>
            <w:tcBorders>
              <w:tl2br w:val="nil"/>
              <w:tr2bl w:val="nil"/>
            </w:tcBorders>
            <w:vAlign w:val="center"/>
          </w:tcPr>
          <w:p w14:paraId="74FFD65B">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cs="Times New Roman"/>
                <w:color w:val="auto"/>
                <w:sz w:val="21"/>
                <w:lang w:val="en-US" w:eastAsia="zh-CN" w:bidi="ar-SA"/>
              </w:rPr>
              <w:t>0-24</w:t>
            </w:r>
          </w:p>
        </w:tc>
        <w:tc>
          <w:tcPr>
            <w:tcW w:w="368" w:type="pct"/>
            <w:vMerge w:val="restart"/>
            <w:tcBorders>
              <w:tl2br w:val="nil"/>
              <w:tr2bl w:val="nil"/>
            </w:tcBorders>
            <w:vAlign w:val="center"/>
          </w:tcPr>
          <w:p w14:paraId="2864368C">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阜康市西部城区污水处理厂（阜西区污水处理厂）</w:t>
            </w:r>
          </w:p>
        </w:tc>
        <w:tc>
          <w:tcPr>
            <w:tcW w:w="307" w:type="pct"/>
            <w:tcBorders>
              <w:tl2br w:val="nil"/>
              <w:tr2bl w:val="nil"/>
            </w:tcBorders>
            <w:vAlign w:val="center"/>
          </w:tcPr>
          <w:p w14:paraId="42BD1C65">
            <w:pPr>
              <w:keepNext w:val="0"/>
              <w:keepLines w:val="0"/>
              <w:widowControl/>
              <w:suppressLineNumbers w:val="0"/>
              <w:jc w:val="center"/>
              <w:textAlignment w:val="center"/>
              <w:rPr>
                <w:rFonts w:hint="eastAsia" w:ascii="Times New Roman" w:hAnsi="Times New Roman"/>
                <w:color w:val="auto"/>
              </w:rPr>
            </w:pPr>
            <w:r>
              <w:rPr>
                <w:rFonts w:hint="eastAsia" w:ascii="Times New Roman" w:hAnsi="Times New Roman" w:eastAsia="宋体" w:cs="Times New Roman"/>
                <w:color w:val="auto"/>
                <w:kern w:val="0"/>
                <w:sz w:val="21"/>
                <w:szCs w:val="21"/>
                <w:highlight w:val="none"/>
                <w:lang w:val="en-US" w:eastAsia="zh-CN"/>
              </w:rPr>
              <w:t>pH</w:t>
            </w:r>
          </w:p>
        </w:tc>
        <w:tc>
          <w:tcPr>
            <w:tcW w:w="1068" w:type="pct"/>
            <w:tcBorders>
              <w:tl2br w:val="nil"/>
              <w:tr2bl w:val="nil"/>
            </w:tcBorders>
            <w:vAlign w:val="center"/>
          </w:tcPr>
          <w:p w14:paraId="5D47B1C3">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w:t>
            </w:r>
          </w:p>
        </w:tc>
        <w:tc>
          <w:tcPr>
            <w:tcW w:w="1068" w:type="pct"/>
            <w:tcBorders>
              <w:tl2br w:val="nil"/>
              <w:tr2bl w:val="nil"/>
            </w:tcBorders>
            <w:vAlign w:val="center"/>
          </w:tcPr>
          <w:p w14:paraId="28742BF0">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6-9（无量纲）</w:t>
            </w:r>
          </w:p>
        </w:tc>
      </w:tr>
      <w:tr w14:paraId="708F46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14:paraId="229CD97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93" w:type="pct"/>
            <w:vMerge w:val="continue"/>
            <w:tcBorders>
              <w:tl2br w:val="nil"/>
              <w:tr2bl w:val="nil"/>
            </w:tcBorders>
            <w:vAlign w:val="center"/>
          </w:tcPr>
          <w:p w14:paraId="693D79ED">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4CE0FD9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663CF45B">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039E7EF5">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4643A3A2">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5" w:type="pct"/>
            <w:vMerge w:val="continue"/>
            <w:tcBorders>
              <w:tl2br w:val="nil"/>
              <w:tr2bl w:val="nil"/>
            </w:tcBorders>
            <w:vAlign w:val="center"/>
          </w:tcPr>
          <w:p w14:paraId="682C3BF2">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50" w:type="pct"/>
            <w:vMerge w:val="continue"/>
            <w:tcBorders>
              <w:tl2br w:val="nil"/>
              <w:tr2bl w:val="nil"/>
            </w:tcBorders>
            <w:vAlign w:val="center"/>
          </w:tcPr>
          <w:p w14:paraId="29D9DA73">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71D571C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07" w:type="pct"/>
            <w:tcBorders>
              <w:tl2br w:val="nil"/>
              <w:tr2bl w:val="nil"/>
            </w:tcBorders>
            <w:vAlign w:val="center"/>
          </w:tcPr>
          <w:p w14:paraId="2323D6E0">
            <w:pPr>
              <w:keepNext w:val="0"/>
              <w:keepLines w:val="0"/>
              <w:widowControl/>
              <w:suppressLineNumbers w:val="0"/>
              <w:jc w:val="center"/>
              <w:textAlignment w:val="center"/>
              <w:rPr>
                <w:rFonts w:hint="eastAsia" w:ascii="Times New Roman" w:hAnsi="Times New Roman"/>
                <w:color w:va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068" w:type="pct"/>
            <w:tcBorders>
              <w:tl2br w:val="nil"/>
              <w:tr2bl w:val="nil"/>
            </w:tcBorders>
            <w:vAlign w:val="center"/>
          </w:tcPr>
          <w:p w14:paraId="78557362">
            <w:pPr>
              <w:bidi w:val="0"/>
              <w:jc w:val="center"/>
              <w:rPr>
                <w:rFonts w:hint="default" w:ascii="Times New Roman" w:hAnsi="Times New Roman"/>
                <w:color w:val="auto"/>
                <w:lang w:val="en-US" w:eastAsia="zh-CN"/>
              </w:rPr>
            </w:pPr>
            <w:r>
              <w:rPr>
                <w:rFonts w:hint="eastAsia" w:ascii="Times New Roman" w:hAnsi="Times New Roman" w:eastAsia="宋体"/>
                <w:color w:val="auto"/>
                <w:lang w:val="en-US" w:eastAsia="zh-CN"/>
              </w:rPr>
              <w:t>/</w:t>
            </w:r>
          </w:p>
        </w:tc>
        <w:tc>
          <w:tcPr>
            <w:tcW w:w="1068" w:type="pct"/>
            <w:tcBorders>
              <w:tl2br w:val="nil"/>
              <w:tr2bl w:val="nil"/>
            </w:tcBorders>
            <w:vAlign w:val="center"/>
          </w:tcPr>
          <w:p w14:paraId="7BE4494D">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50</w:t>
            </w:r>
          </w:p>
        </w:tc>
      </w:tr>
      <w:tr w14:paraId="3074D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14:paraId="32B0652B">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93" w:type="pct"/>
            <w:vMerge w:val="continue"/>
            <w:tcBorders>
              <w:tl2br w:val="nil"/>
              <w:tr2bl w:val="nil"/>
            </w:tcBorders>
            <w:vAlign w:val="center"/>
          </w:tcPr>
          <w:p w14:paraId="4AEDBD2E">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4E6E51D4">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394ECA4B">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33C6E01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5B005F7D">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5" w:type="pct"/>
            <w:vMerge w:val="continue"/>
            <w:tcBorders>
              <w:tl2br w:val="nil"/>
              <w:tr2bl w:val="nil"/>
            </w:tcBorders>
            <w:vAlign w:val="center"/>
          </w:tcPr>
          <w:p w14:paraId="0DCB907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50" w:type="pct"/>
            <w:vMerge w:val="continue"/>
            <w:tcBorders>
              <w:tl2br w:val="nil"/>
              <w:tr2bl w:val="nil"/>
            </w:tcBorders>
            <w:vAlign w:val="center"/>
          </w:tcPr>
          <w:p w14:paraId="1D2F9FC2">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4586D6C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07" w:type="pct"/>
            <w:tcBorders>
              <w:tl2br w:val="nil"/>
              <w:tr2bl w:val="nil"/>
            </w:tcBorders>
            <w:vAlign w:val="center"/>
          </w:tcPr>
          <w:p w14:paraId="5CFF8B4D">
            <w:pPr>
              <w:keepNext w:val="0"/>
              <w:keepLines w:val="0"/>
              <w:widowControl/>
              <w:suppressLineNumbers w:val="0"/>
              <w:jc w:val="center"/>
              <w:textAlignment w:val="center"/>
              <w:rPr>
                <w:rFonts w:hint="eastAsia" w:ascii="Times New Roman" w:hAnsi="Times New Roman"/>
                <w:color w:va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068" w:type="pct"/>
            <w:tcBorders>
              <w:tl2br w:val="nil"/>
              <w:tr2bl w:val="nil"/>
            </w:tcBorders>
            <w:vAlign w:val="center"/>
          </w:tcPr>
          <w:p w14:paraId="086F7E45">
            <w:pPr>
              <w:bidi w:val="0"/>
              <w:jc w:val="center"/>
              <w:rPr>
                <w:rFonts w:hint="eastAsia" w:ascii="Times New Roman" w:hAnsi="Times New Roman"/>
                <w:color w:val="auto"/>
                <w:lang w:val="en-US" w:eastAsia="zh-CN"/>
              </w:rPr>
            </w:pPr>
            <w:r>
              <w:rPr>
                <w:rFonts w:hint="eastAsia" w:ascii="Times New Roman" w:hAnsi="Times New Roman" w:eastAsia="宋体"/>
                <w:color w:val="auto"/>
                <w:lang w:val="en-US" w:eastAsia="zh-CN"/>
              </w:rPr>
              <w:t>/</w:t>
            </w:r>
          </w:p>
        </w:tc>
        <w:tc>
          <w:tcPr>
            <w:tcW w:w="1068" w:type="pct"/>
            <w:tcBorders>
              <w:tl2br w:val="nil"/>
              <w:tr2bl w:val="nil"/>
            </w:tcBorders>
            <w:vAlign w:val="center"/>
          </w:tcPr>
          <w:p w14:paraId="562C022B">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10</w:t>
            </w:r>
          </w:p>
        </w:tc>
      </w:tr>
      <w:tr w14:paraId="46ED02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14:paraId="10CC8D60">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93" w:type="pct"/>
            <w:vMerge w:val="continue"/>
            <w:tcBorders>
              <w:tl2br w:val="nil"/>
              <w:tr2bl w:val="nil"/>
            </w:tcBorders>
            <w:vAlign w:val="center"/>
          </w:tcPr>
          <w:p w14:paraId="2314B84E">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199C299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7AC1DCFB">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611512CF">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7F0D6CC2">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5" w:type="pct"/>
            <w:vMerge w:val="continue"/>
            <w:tcBorders>
              <w:tl2br w:val="nil"/>
              <w:tr2bl w:val="nil"/>
            </w:tcBorders>
            <w:vAlign w:val="center"/>
          </w:tcPr>
          <w:p w14:paraId="6397FD80">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50" w:type="pct"/>
            <w:vMerge w:val="continue"/>
            <w:tcBorders>
              <w:tl2br w:val="nil"/>
              <w:tr2bl w:val="nil"/>
            </w:tcBorders>
            <w:vAlign w:val="center"/>
          </w:tcPr>
          <w:p w14:paraId="37B5AEFF">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61823B58">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07" w:type="pct"/>
            <w:tcBorders>
              <w:tl2br w:val="nil"/>
              <w:tr2bl w:val="nil"/>
            </w:tcBorders>
            <w:vAlign w:val="center"/>
          </w:tcPr>
          <w:p w14:paraId="133C241D">
            <w:pPr>
              <w:keepNext w:val="0"/>
              <w:keepLines w:val="0"/>
              <w:widowControl/>
              <w:suppressLineNumbers w:val="0"/>
              <w:jc w:val="center"/>
              <w:textAlignment w:val="center"/>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1068" w:type="pct"/>
            <w:tcBorders>
              <w:tl2br w:val="nil"/>
              <w:tr2bl w:val="nil"/>
            </w:tcBorders>
            <w:vAlign w:val="center"/>
          </w:tcPr>
          <w:p w14:paraId="0FC6A732">
            <w:pPr>
              <w:bidi w:val="0"/>
              <w:jc w:val="center"/>
              <w:rPr>
                <w:rFonts w:hint="eastAsia" w:ascii="Times New Roman" w:hAnsi="Times New Roman"/>
                <w:color w:val="auto"/>
                <w:lang w:val="en-US" w:eastAsia="zh-CN"/>
              </w:rPr>
            </w:pPr>
            <w:r>
              <w:rPr>
                <w:rFonts w:hint="eastAsia" w:ascii="Times New Roman" w:hAnsi="Times New Roman" w:eastAsia="宋体"/>
                <w:color w:val="auto"/>
                <w:lang w:val="en-US" w:eastAsia="zh-CN"/>
              </w:rPr>
              <w:t>/</w:t>
            </w:r>
          </w:p>
        </w:tc>
        <w:tc>
          <w:tcPr>
            <w:tcW w:w="1068" w:type="pct"/>
            <w:tcBorders>
              <w:tl2br w:val="nil"/>
              <w:tr2bl w:val="nil"/>
            </w:tcBorders>
            <w:vAlign w:val="center"/>
          </w:tcPr>
          <w:p w14:paraId="76367AFF">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5</w:t>
            </w:r>
          </w:p>
        </w:tc>
      </w:tr>
      <w:tr w14:paraId="22411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65" w:type="pct"/>
            <w:vMerge w:val="continue"/>
            <w:tcBorders>
              <w:tl2br w:val="nil"/>
              <w:tr2bl w:val="nil"/>
            </w:tcBorders>
            <w:vAlign w:val="center"/>
          </w:tcPr>
          <w:p w14:paraId="1E326C8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93" w:type="pct"/>
            <w:vMerge w:val="continue"/>
            <w:tcBorders>
              <w:tl2br w:val="nil"/>
              <w:tr2bl w:val="nil"/>
            </w:tcBorders>
            <w:vAlign w:val="center"/>
          </w:tcPr>
          <w:p w14:paraId="046B3C95">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397F32E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1398D695">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20036E05">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1" w:type="pct"/>
            <w:vMerge w:val="continue"/>
            <w:tcBorders>
              <w:tl2br w:val="nil"/>
              <w:tr2bl w:val="nil"/>
            </w:tcBorders>
            <w:vAlign w:val="center"/>
          </w:tcPr>
          <w:p w14:paraId="7AE60DE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5" w:type="pct"/>
            <w:vMerge w:val="continue"/>
            <w:tcBorders>
              <w:tl2br w:val="nil"/>
              <w:tr2bl w:val="nil"/>
            </w:tcBorders>
            <w:vAlign w:val="center"/>
          </w:tcPr>
          <w:p w14:paraId="0592FA5B">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50" w:type="pct"/>
            <w:vMerge w:val="continue"/>
            <w:tcBorders>
              <w:tl2br w:val="nil"/>
              <w:tr2bl w:val="nil"/>
            </w:tcBorders>
            <w:vAlign w:val="center"/>
          </w:tcPr>
          <w:p w14:paraId="427430BC">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68" w:type="pct"/>
            <w:vMerge w:val="continue"/>
            <w:tcBorders>
              <w:tl2br w:val="nil"/>
              <w:tr2bl w:val="nil"/>
            </w:tcBorders>
            <w:vAlign w:val="center"/>
          </w:tcPr>
          <w:p w14:paraId="4138A6EA">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307" w:type="pct"/>
            <w:tcBorders>
              <w:tl2br w:val="nil"/>
              <w:tr2bl w:val="nil"/>
            </w:tcBorders>
            <w:vAlign w:val="center"/>
          </w:tcPr>
          <w:p w14:paraId="48B7D625">
            <w:pPr>
              <w:keepNext w:val="0"/>
              <w:keepLines w:val="0"/>
              <w:widowControl/>
              <w:suppressLineNumbers w:val="0"/>
              <w:jc w:val="center"/>
              <w:textAlignment w:val="center"/>
              <w:rPr>
                <w:rFonts w:hint="eastAsia" w:ascii="Times New Roman" w:hAnsi="Times New Roman"/>
                <w:color w:va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BOD</w:t>
            </w:r>
          </w:p>
        </w:tc>
        <w:tc>
          <w:tcPr>
            <w:tcW w:w="1068" w:type="pct"/>
            <w:tcBorders>
              <w:tl2br w:val="nil"/>
              <w:tr2bl w:val="nil"/>
            </w:tcBorders>
            <w:vAlign w:val="center"/>
          </w:tcPr>
          <w:p w14:paraId="677E8756">
            <w:pPr>
              <w:bidi w:val="0"/>
              <w:jc w:val="center"/>
              <w:rPr>
                <w:rFonts w:hint="eastAsia" w:ascii="Times New Roman" w:hAnsi="Times New Roman"/>
                <w:color w:val="auto"/>
                <w:lang w:val="en-US" w:eastAsia="zh-CN"/>
              </w:rPr>
            </w:pPr>
            <w:r>
              <w:rPr>
                <w:rFonts w:hint="eastAsia" w:ascii="Times New Roman" w:hAnsi="Times New Roman" w:eastAsia="宋体"/>
                <w:color w:val="auto"/>
                <w:lang w:val="en-US" w:eastAsia="zh-CN"/>
              </w:rPr>
              <w:t>/</w:t>
            </w:r>
          </w:p>
        </w:tc>
        <w:tc>
          <w:tcPr>
            <w:tcW w:w="1068" w:type="pct"/>
            <w:tcBorders>
              <w:tl2br w:val="nil"/>
              <w:tr2bl w:val="nil"/>
            </w:tcBorders>
            <w:vAlign w:val="center"/>
          </w:tcPr>
          <w:p w14:paraId="5D8BC028">
            <w:pPr>
              <w:widowControl w:val="0"/>
              <w:overflowPunct w:val="0"/>
              <w:autoSpaceDE w:val="0"/>
              <w:autoSpaceDN w:val="0"/>
              <w:bidi w:val="0"/>
              <w:adjustRightInd w:val="0"/>
              <w:snapToGrid w:val="0"/>
              <w:spacing w:line="300" w:lineRule="atLeast"/>
              <w:jc w:val="center"/>
              <w:textAlignment w:val="baseline"/>
              <w:rPr>
                <w:rFonts w:hint="default"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10</w:t>
            </w:r>
          </w:p>
        </w:tc>
      </w:tr>
    </w:tbl>
    <w:p w14:paraId="36A85BE2">
      <w:pPr>
        <w:pStyle w:val="28"/>
        <w:rPr>
          <w:color w:val="auto"/>
        </w:rPr>
      </w:pPr>
      <w:r>
        <w:rPr>
          <w:rFonts w:hint="eastAsia"/>
          <w:color w:val="auto"/>
        </w:rPr>
        <w:t>表</w:t>
      </w:r>
      <w:r>
        <w:rPr>
          <w:rFonts w:hint="eastAsia"/>
          <w:color w:val="auto"/>
          <w:lang w:val="en-US" w:eastAsia="zh-CN"/>
        </w:rPr>
        <w:t>4.6-5</w:t>
      </w:r>
      <w:r>
        <w:rPr>
          <w:rFonts w:hint="eastAsia"/>
          <w:color w:val="auto"/>
        </w:rPr>
        <w:t>废水污染物排放执行标准表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15"/>
        <w:gridCol w:w="1802"/>
        <w:gridCol w:w="7338"/>
        <w:gridCol w:w="3408"/>
      </w:tblGrid>
      <w:tr w14:paraId="7E15C2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570" w:type="pct"/>
            <w:vMerge w:val="restart"/>
            <w:tcBorders>
              <w:tl2br w:val="nil"/>
              <w:tr2bl w:val="nil"/>
            </w:tcBorders>
            <w:vAlign w:val="center"/>
          </w:tcPr>
          <w:p w14:paraId="040E65D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排放口编号</w:t>
            </w:r>
          </w:p>
        </w:tc>
        <w:tc>
          <w:tcPr>
            <w:tcW w:w="636" w:type="pct"/>
            <w:vMerge w:val="restart"/>
            <w:tcBorders>
              <w:tl2br w:val="nil"/>
              <w:tr2bl w:val="nil"/>
            </w:tcBorders>
            <w:vAlign w:val="center"/>
          </w:tcPr>
          <w:p w14:paraId="280B3C9A">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污染物种类</w:t>
            </w:r>
          </w:p>
        </w:tc>
        <w:tc>
          <w:tcPr>
            <w:tcW w:w="3793" w:type="pct"/>
            <w:gridSpan w:val="2"/>
            <w:tcBorders>
              <w:tl2br w:val="nil"/>
              <w:tr2bl w:val="nil"/>
            </w:tcBorders>
            <w:vAlign w:val="center"/>
          </w:tcPr>
          <w:p w14:paraId="270E7A04">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国家或地方污染物排放标准及其他按规定商定的排放协议排放浓度限值</w:t>
            </w:r>
          </w:p>
        </w:tc>
      </w:tr>
      <w:tr w14:paraId="77571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570" w:type="pct"/>
            <w:vMerge w:val="continue"/>
            <w:tcBorders>
              <w:tl2br w:val="nil"/>
              <w:tr2bl w:val="nil"/>
            </w:tcBorders>
            <w:vAlign w:val="center"/>
          </w:tcPr>
          <w:p w14:paraId="25FC68F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636" w:type="pct"/>
            <w:vMerge w:val="continue"/>
            <w:tcBorders>
              <w:tl2br w:val="nil"/>
              <w:tr2bl w:val="nil"/>
            </w:tcBorders>
            <w:vAlign w:val="center"/>
          </w:tcPr>
          <w:p w14:paraId="17CAAD80">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2590" w:type="pct"/>
            <w:tcBorders>
              <w:tl2br w:val="nil"/>
              <w:tr2bl w:val="nil"/>
            </w:tcBorders>
            <w:vAlign w:val="center"/>
          </w:tcPr>
          <w:p w14:paraId="0868D71A">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名称</w:t>
            </w:r>
          </w:p>
        </w:tc>
        <w:tc>
          <w:tcPr>
            <w:tcW w:w="1203" w:type="pct"/>
            <w:tcBorders>
              <w:tl2br w:val="nil"/>
              <w:tr2bl w:val="nil"/>
            </w:tcBorders>
            <w:vAlign w:val="center"/>
          </w:tcPr>
          <w:p w14:paraId="19FC10E7">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浓度限值（mg/L）</w:t>
            </w:r>
          </w:p>
        </w:tc>
      </w:tr>
      <w:tr w14:paraId="4FAB8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70" w:type="pct"/>
            <w:vMerge w:val="restart"/>
            <w:tcBorders>
              <w:tl2br w:val="nil"/>
              <w:tr2bl w:val="nil"/>
            </w:tcBorders>
            <w:vAlign w:val="center"/>
          </w:tcPr>
          <w:p w14:paraId="50BED77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DW001</w:t>
            </w:r>
          </w:p>
        </w:tc>
        <w:tc>
          <w:tcPr>
            <w:tcW w:w="636" w:type="pct"/>
            <w:tcBorders>
              <w:tl2br w:val="nil"/>
              <w:tr2bl w:val="nil"/>
            </w:tcBorders>
            <w:vAlign w:val="center"/>
          </w:tcPr>
          <w:p w14:paraId="5BD3E36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rPr>
            </w:pPr>
            <w:r>
              <w:rPr>
                <w:rFonts w:hint="default" w:ascii="Times New Roman" w:hAnsi="Times New Roman" w:eastAsia="宋体" w:cs="Times New Roman"/>
                <w:b w:val="0"/>
                <w:bCs w:val="0"/>
                <w:color w:val="auto"/>
                <w:sz w:val="21"/>
                <w:szCs w:val="21"/>
                <w:lang w:val="en-US" w:eastAsia="zh-CN"/>
              </w:rPr>
              <w:t>pH</w:t>
            </w:r>
          </w:p>
        </w:tc>
        <w:tc>
          <w:tcPr>
            <w:tcW w:w="2590" w:type="pct"/>
            <w:vMerge w:val="restart"/>
            <w:tcBorders>
              <w:tl2br w:val="nil"/>
              <w:tr2bl w:val="nil"/>
            </w:tcBorders>
            <w:vAlign w:val="center"/>
          </w:tcPr>
          <w:p w14:paraId="27BACDE3">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bidi="ar-SA"/>
              </w:rPr>
              <w:t>《污水综合排放标准》（GB8978-1996）表4 第二类污染物最高允许排放浓度三级标准</w:t>
            </w:r>
          </w:p>
        </w:tc>
        <w:tc>
          <w:tcPr>
            <w:tcW w:w="1203" w:type="pct"/>
            <w:tcBorders>
              <w:tl2br w:val="nil"/>
              <w:tr2bl w:val="nil"/>
            </w:tcBorders>
            <w:vAlign w:val="center"/>
          </w:tcPr>
          <w:p w14:paraId="3ADD9AB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rPr>
            </w:pPr>
            <w:r>
              <w:rPr>
                <w:rFonts w:hint="default" w:ascii="Times New Roman" w:hAnsi="Times New Roman" w:eastAsia="宋体" w:cs="Times New Roman"/>
                <w:b w:val="0"/>
                <w:bCs w:val="0"/>
                <w:color w:val="auto"/>
                <w:sz w:val="21"/>
                <w:szCs w:val="21"/>
                <w:lang w:val="en-US" w:eastAsia="zh-CN"/>
              </w:rPr>
              <w:t>6~9</w:t>
            </w:r>
          </w:p>
        </w:tc>
      </w:tr>
      <w:tr w14:paraId="11DD7D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14:paraId="58125434">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636" w:type="pct"/>
            <w:tcBorders>
              <w:tl2br w:val="nil"/>
              <w:tr2bl w:val="nil"/>
            </w:tcBorders>
            <w:vAlign w:val="center"/>
          </w:tcPr>
          <w:p w14:paraId="3DADF73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color w:val="auto"/>
                <w:lang w:val="en-US" w:eastAsia="zh-CN"/>
              </w:rPr>
            </w:pPr>
            <w:r>
              <w:rPr>
                <w:rFonts w:hint="default" w:ascii="Times New Roman" w:hAnsi="Times New Roman" w:eastAsia="宋体" w:cs="Times New Roman"/>
                <w:b w:val="0"/>
                <w:bCs w:val="0"/>
                <w:color w:val="auto"/>
                <w:sz w:val="21"/>
                <w:szCs w:val="21"/>
                <w:lang w:val="en-US" w:eastAsia="zh-CN"/>
              </w:rPr>
              <w:t>COD</w:t>
            </w:r>
          </w:p>
        </w:tc>
        <w:tc>
          <w:tcPr>
            <w:tcW w:w="2590" w:type="pct"/>
            <w:vMerge w:val="continue"/>
            <w:tcBorders>
              <w:tl2br w:val="nil"/>
              <w:tr2bl w:val="nil"/>
            </w:tcBorders>
            <w:vAlign w:val="center"/>
          </w:tcPr>
          <w:p w14:paraId="4D89E5C2">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1203" w:type="pct"/>
            <w:tcBorders>
              <w:tl2br w:val="nil"/>
              <w:tr2bl w:val="nil"/>
            </w:tcBorders>
            <w:vAlign w:val="center"/>
          </w:tcPr>
          <w:p w14:paraId="7B711D8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500</w:t>
            </w:r>
          </w:p>
        </w:tc>
      </w:tr>
      <w:tr w14:paraId="67B030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14:paraId="09402C29">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636" w:type="pct"/>
            <w:tcBorders>
              <w:tl2br w:val="nil"/>
              <w:tr2bl w:val="nil"/>
            </w:tcBorders>
            <w:vAlign w:val="center"/>
          </w:tcPr>
          <w:p w14:paraId="60EC9AE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default" w:ascii="Times New Roman" w:hAnsi="Times New Roman" w:eastAsia="宋体" w:cs="Times New Roman"/>
                <w:b w:val="0"/>
                <w:bCs w:val="0"/>
                <w:color w:val="auto"/>
                <w:sz w:val="21"/>
                <w:szCs w:val="21"/>
                <w:lang w:val="en-US" w:eastAsia="zh-CN"/>
              </w:rPr>
              <w:t>SS</w:t>
            </w:r>
          </w:p>
        </w:tc>
        <w:tc>
          <w:tcPr>
            <w:tcW w:w="2590" w:type="pct"/>
            <w:vMerge w:val="continue"/>
            <w:tcBorders>
              <w:tl2br w:val="nil"/>
              <w:tr2bl w:val="nil"/>
            </w:tcBorders>
            <w:vAlign w:val="center"/>
          </w:tcPr>
          <w:p w14:paraId="645221FF">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1203" w:type="pct"/>
            <w:tcBorders>
              <w:tl2br w:val="nil"/>
              <w:tr2bl w:val="nil"/>
            </w:tcBorders>
            <w:vAlign w:val="center"/>
          </w:tcPr>
          <w:p w14:paraId="7F78A79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400</w:t>
            </w:r>
          </w:p>
        </w:tc>
      </w:tr>
      <w:tr w14:paraId="0C107E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14:paraId="025986C8">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636" w:type="pct"/>
            <w:tcBorders>
              <w:tl2br w:val="nil"/>
              <w:tr2bl w:val="nil"/>
            </w:tcBorders>
            <w:vAlign w:val="center"/>
          </w:tcPr>
          <w:p w14:paraId="045C007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BOD</w:t>
            </w:r>
          </w:p>
        </w:tc>
        <w:tc>
          <w:tcPr>
            <w:tcW w:w="2590" w:type="pct"/>
            <w:vMerge w:val="continue"/>
            <w:tcBorders>
              <w:tl2br w:val="nil"/>
              <w:tr2bl w:val="nil"/>
            </w:tcBorders>
            <w:vAlign w:val="center"/>
          </w:tcPr>
          <w:p w14:paraId="1C402D69">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1203" w:type="pct"/>
            <w:tcBorders>
              <w:tl2br w:val="nil"/>
              <w:tr2bl w:val="nil"/>
            </w:tcBorders>
            <w:vAlign w:val="center"/>
          </w:tcPr>
          <w:p w14:paraId="08E8536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300</w:t>
            </w:r>
          </w:p>
        </w:tc>
      </w:tr>
      <w:tr w14:paraId="759B1C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0" w:type="pct"/>
            <w:vMerge w:val="continue"/>
            <w:tcBorders>
              <w:tl2br w:val="nil"/>
              <w:tr2bl w:val="nil"/>
            </w:tcBorders>
            <w:vAlign w:val="center"/>
          </w:tcPr>
          <w:p w14:paraId="2509E387">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636" w:type="pct"/>
            <w:tcBorders>
              <w:tl2br w:val="nil"/>
              <w:tr2bl w:val="nil"/>
            </w:tcBorders>
            <w:vAlign w:val="center"/>
          </w:tcPr>
          <w:p w14:paraId="3A54CB7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2590" w:type="pct"/>
            <w:vMerge w:val="continue"/>
            <w:tcBorders>
              <w:tl2br w:val="nil"/>
              <w:tr2bl w:val="nil"/>
            </w:tcBorders>
            <w:vAlign w:val="center"/>
          </w:tcPr>
          <w:p w14:paraId="4EA75BC9">
            <w:pPr>
              <w:widowControl w:val="0"/>
              <w:overflowPunct w:val="0"/>
              <w:autoSpaceDE w:val="0"/>
              <w:autoSpaceDN w:val="0"/>
              <w:bidi w:val="0"/>
              <w:adjustRightInd w:val="0"/>
              <w:snapToGrid w:val="0"/>
              <w:spacing w:line="300" w:lineRule="atLeast"/>
              <w:jc w:val="center"/>
              <w:textAlignment w:val="baseline"/>
              <w:rPr>
                <w:rFonts w:hint="eastAsia" w:ascii="Times New Roman" w:hAnsi="Times New Roman" w:eastAsia="宋体" w:cs="Times New Roman"/>
                <w:color w:val="auto"/>
                <w:sz w:val="21"/>
                <w:lang w:val="en-US" w:eastAsia="zh-CN" w:bidi="ar-SA"/>
              </w:rPr>
            </w:pPr>
          </w:p>
        </w:tc>
        <w:tc>
          <w:tcPr>
            <w:tcW w:w="1203" w:type="pct"/>
            <w:tcBorders>
              <w:tl2br w:val="nil"/>
              <w:tr2bl w:val="nil"/>
            </w:tcBorders>
            <w:vAlign w:val="center"/>
          </w:tcPr>
          <w:p w14:paraId="2C8E4D6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w:t>
            </w:r>
          </w:p>
        </w:tc>
      </w:tr>
    </w:tbl>
    <w:p w14:paraId="502C4BD1">
      <w:pPr>
        <w:pStyle w:val="28"/>
        <w:rPr>
          <w:color w:val="auto"/>
        </w:rPr>
      </w:pPr>
      <w:r>
        <w:rPr>
          <w:rFonts w:hint="eastAsia"/>
          <w:color w:val="auto"/>
        </w:rPr>
        <w:t>表</w:t>
      </w:r>
      <w:r>
        <w:rPr>
          <w:rFonts w:hint="eastAsia"/>
          <w:color w:val="auto"/>
          <w:lang w:val="en-US" w:eastAsia="zh-CN"/>
        </w:rPr>
        <w:t>4.6-6</w:t>
      </w:r>
      <w:r>
        <w:rPr>
          <w:rFonts w:hint="eastAsia"/>
          <w:color w:val="auto"/>
        </w:rPr>
        <w:t>废水污染物排放信息表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537"/>
        <w:gridCol w:w="3542"/>
        <w:gridCol w:w="3542"/>
        <w:gridCol w:w="3542"/>
      </w:tblGrid>
      <w:tr w14:paraId="13927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1248" w:type="pct"/>
            <w:tcBorders>
              <w:tl2br w:val="nil"/>
              <w:tr2bl w:val="nil"/>
            </w:tcBorders>
            <w:vAlign w:val="center"/>
          </w:tcPr>
          <w:p w14:paraId="6BB93AB3">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排放口编号</w:t>
            </w:r>
          </w:p>
        </w:tc>
        <w:tc>
          <w:tcPr>
            <w:tcW w:w="1250" w:type="pct"/>
            <w:tcBorders>
              <w:tl2br w:val="nil"/>
              <w:tr2bl w:val="nil"/>
            </w:tcBorders>
            <w:vAlign w:val="center"/>
          </w:tcPr>
          <w:p w14:paraId="465B4BDB">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污染物种类</w:t>
            </w:r>
          </w:p>
        </w:tc>
        <w:tc>
          <w:tcPr>
            <w:tcW w:w="1250" w:type="pct"/>
            <w:tcBorders>
              <w:tl2br w:val="nil"/>
              <w:tr2bl w:val="nil"/>
            </w:tcBorders>
            <w:vAlign w:val="center"/>
          </w:tcPr>
          <w:p w14:paraId="049F3F5E">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排放浓度（mg/L）</w:t>
            </w:r>
          </w:p>
        </w:tc>
        <w:tc>
          <w:tcPr>
            <w:tcW w:w="1250" w:type="pct"/>
            <w:tcBorders>
              <w:tl2br w:val="nil"/>
              <w:tr2bl w:val="nil"/>
            </w:tcBorders>
            <w:vAlign w:val="center"/>
          </w:tcPr>
          <w:p w14:paraId="79282899">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年排放量（t/a）</w:t>
            </w:r>
          </w:p>
        </w:tc>
      </w:tr>
      <w:tr w14:paraId="42264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48" w:type="pct"/>
            <w:vMerge w:val="restart"/>
            <w:tcBorders>
              <w:tl2br w:val="nil"/>
              <w:tr2bl w:val="nil"/>
            </w:tcBorders>
            <w:vAlign w:val="center"/>
          </w:tcPr>
          <w:p w14:paraId="096F82E1">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DW001</w:t>
            </w:r>
          </w:p>
        </w:tc>
        <w:tc>
          <w:tcPr>
            <w:tcW w:w="1250" w:type="pct"/>
            <w:tcBorders>
              <w:tl2br w:val="nil"/>
              <w:tr2bl w:val="nil"/>
            </w:tcBorders>
            <w:vAlign w:val="center"/>
          </w:tcPr>
          <w:p w14:paraId="6445507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rPr>
            </w:pPr>
            <w:r>
              <w:rPr>
                <w:rFonts w:hint="default" w:ascii="Times New Roman" w:hAnsi="Times New Roman" w:eastAsia="宋体" w:cs="Times New Roman"/>
                <w:b w:val="0"/>
                <w:bCs w:val="0"/>
                <w:color w:val="auto"/>
                <w:sz w:val="21"/>
                <w:szCs w:val="21"/>
                <w:lang w:val="en-US" w:eastAsia="zh-CN"/>
              </w:rPr>
              <w:t>pH</w:t>
            </w:r>
          </w:p>
        </w:tc>
        <w:tc>
          <w:tcPr>
            <w:tcW w:w="1250" w:type="pct"/>
            <w:tcBorders>
              <w:tl2br w:val="nil"/>
              <w:tr2bl w:val="nil"/>
            </w:tcBorders>
            <w:vAlign w:val="center"/>
          </w:tcPr>
          <w:p w14:paraId="34AD6F37">
            <w:pPr>
              <w:keepNext w:val="0"/>
              <w:keepLines w:val="0"/>
              <w:widowControl/>
              <w:suppressLineNumbers w:val="0"/>
              <w:jc w:val="center"/>
              <w:textAlignment w:val="center"/>
              <w:rPr>
                <w:rFonts w:hint="default" w:ascii="Times New Roman" w:hAnsi="Times New Roman"/>
                <w:color w:val="auto"/>
                <w:lang w:val="en-US"/>
              </w:rPr>
            </w:pPr>
            <w:r>
              <w:rPr>
                <w:rFonts w:hint="eastAsia" w:ascii="Times New Roman" w:hAnsi="Times New Roman" w:eastAsia="宋体" w:cs="Times New Roman"/>
                <w:color w:val="auto"/>
                <w:kern w:val="0"/>
                <w:sz w:val="21"/>
                <w:szCs w:val="21"/>
                <w:highlight w:val="none"/>
                <w:lang w:val="en-US" w:eastAsia="zh-CN"/>
              </w:rPr>
              <w:t>6-9（无量纲）</w:t>
            </w:r>
          </w:p>
        </w:tc>
        <w:tc>
          <w:tcPr>
            <w:tcW w:w="1250" w:type="pct"/>
            <w:tcBorders>
              <w:tl2br w:val="nil"/>
              <w:tr2bl w:val="nil"/>
            </w:tcBorders>
            <w:vAlign w:val="center"/>
          </w:tcPr>
          <w:p w14:paraId="662A184D">
            <w:pPr>
              <w:keepNext w:val="0"/>
              <w:keepLines w:val="0"/>
              <w:widowControl/>
              <w:suppressLineNumbers w:val="0"/>
              <w:jc w:val="center"/>
              <w:textAlignment w:val="center"/>
              <w:rPr>
                <w:rFonts w:hint="default" w:ascii="Times New Roman" w:hAnsi="Times New Roman"/>
                <w:color w:val="auto"/>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486F8A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14:paraId="39BA337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1250" w:type="pct"/>
            <w:tcBorders>
              <w:tl2br w:val="nil"/>
              <w:tr2bl w:val="nil"/>
            </w:tcBorders>
            <w:vAlign w:val="center"/>
          </w:tcPr>
          <w:p w14:paraId="398281D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default" w:ascii="Times New Roman" w:hAnsi="Times New Roman" w:eastAsia="宋体" w:cs="Times New Roman"/>
                <w:b w:val="0"/>
                <w:bCs w:val="0"/>
                <w:color w:val="auto"/>
                <w:sz w:val="21"/>
                <w:szCs w:val="21"/>
                <w:lang w:val="en-US" w:eastAsia="zh-CN"/>
              </w:rPr>
              <w:t>COD</w:t>
            </w:r>
          </w:p>
        </w:tc>
        <w:tc>
          <w:tcPr>
            <w:tcW w:w="1250" w:type="pct"/>
            <w:tcBorders>
              <w:tl2br w:val="nil"/>
              <w:tr2bl w:val="nil"/>
            </w:tcBorders>
            <w:vAlign w:val="center"/>
          </w:tcPr>
          <w:p w14:paraId="2863622C">
            <w:pPr>
              <w:keepNext w:val="0"/>
              <w:keepLines w:val="0"/>
              <w:widowControl/>
              <w:suppressLineNumbers w:val="0"/>
              <w:jc w:val="center"/>
              <w:textAlignment w:val="center"/>
              <w:rPr>
                <w:rFonts w:hint="default" w:ascii="Times New Roman" w:hAnsi="Times New Roman"/>
                <w:color w:val="auto"/>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1250" w:type="pct"/>
            <w:tcBorders>
              <w:tl2br w:val="nil"/>
              <w:tr2bl w:val="nil"/>
            </w:tcBorders>
            <w:vAlign w:val="center"/>
          </w:tcPr>
          <w:p w14:paraId="73D1F128">
            <w:pPr>
              <w:keepNext w:val="0"/>
              <w:keepLines w:val="0"/>
              <w:widowControl/>
              <w:suppressLineNumbers w:val="0"/>
              <w:jc w:val="center"/>
              <w:textAlignment w:val="center"/>
              <w:rPr>
                <w:rFonts w:hint="default" w:ascii="Times New Roman" w:hAnsi="Times New Roman"/>
                <w:color w:val="auto"/>
                <w:lang w:val="en-US" w:eastAsia="zh-CN"/>
              </w:rPr>
            </w:pPr>
            <w:r>
              <w:rPr>
                <w:rFonts w:hint="eastAsia" w:cs="Times New Roman"/>
                <w:i w:val="0"/>
                <w:iCs w:val="0"/>
                <w:color w:val="auto"/>
                <w:kern w:val="0"/>
                <w:sz w:val="21"/>
                <w:szCs w:val="21"/>
                <w:highlight w:val="none"/>
                <w:u w:val="none"/>
                <w:lang w:val="en-US" w:eastAsia="zh-CN" w:bidi="ar"/>
              </w:rPr>
              <w:t>0.192</w:t>
            </w:r>
          </w:p>
        </w:tc>
      </w:tr>
      <w:tr w14:paraId="448AEE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14:paraId="64E55B1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1250" w:type="pct"/>
            <w:tcBorders>
              <w:tl2br w:val="nil"/>
              <w:tr2bl w:val="nil"/>
            </w:tcBorders>
            <w:vAlign w:val="center"/>
          </w:tcPr>
          <w:p w14:paraId="7BDBEF3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default" w:ascii="Times New Roman" w:hAnsi="Times New Roman" w:eastAsia="宋体" w:cs="Times New Roman"/>
                <w:b w:val="0"/>
                <w:bCs w:val="0"/>
                <w:color w:val="auto"/>
                <w:sz w:val="21"/>
                <w:szCs w:val="21"/>
                <w:lang w:val="en-US" w:eastAsia="zh-CN"/>
              </w:rPr>
              <w:t>SS</w:t>
            </w:r>
          </w:p>
        </w:tc>
        <w:tc>
          <w:tcPr>
            <w:tcW w:w="1250" w:type="pct"/>
            <w:tcBorders>
              <w:tl2br w:val="nil"/>
              <w:tr2bl w:val="nil"/>
            </w:tcBorders>
            <w:vAlign w:val="center"/>
          </w:tcPr>
          <w:p w14:paraId="67BB9104">
            <w:pPr>
              <w:keepNext w:val="0"/>
              <w:keepLines w:val="0"/>
              <w:widowControl/>
              <w:suppressLineNumbers w:val="0"/>
              <w:jc w:val="center"/>
              <w:textAlignment w:val="center"/>
              <w:rPr>
                <w:rFonts w:hint="default" w:ascii="Times New Roman" w:hAnsi="Times New Roman"/>
                <w:color w:val="auto"/>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1250" w:type="pct"/>
            <w:tcBorders>
              <w:tl2br w:val="nil"/>
              <w:tr2bl w:val="nil"/>
            </w:tcBorders>
            <w:vAlign w:val="center"/>
          </w:tcPr>
          <w:p w14:paraId="5B85B1D4">
            <w:pPr>
              <w:keepNext w:val="0"/>
              <w:keepLines w:val="0"/>
              <w:widowControl/>
              <w:suppressLineNumbers w:val="0"/>
              <w:jc w:val="center"/>
              <w:textAlignment w:val="center"/>
              <w:rPr>
                <w:rFonts w:hint="default" w:ascii="Times New Roman" w:hAnsi="Times New Roman"/>
                <w:color w:val="auto"/>
                <w:lang w:val="en-US" w:eastAsia="zh-CN"/>
              </w:rPr>
            </w:pPr>
            <w:r>
              <w:rPr>
                <w:rFonts w:hint="eastAsia" w:cs="Times New Roman"/>
                <w:i w:val="0"/>
                <w:iCs w:val="0"/>
                <w:color w:val="auto"/>
                <w:kern w:val="0"/>
                <w:sz w:val="21"/>
                <w:szCs w:val="21"/>
                <w:highlight w:val="none"/>
                <w:u w:val="none"/>
                <w:lang w:val="en-US" w:eastAsia="zh-CN" w:bidi="ar"/>
              </w:rPr>
              <w:t>0.1152</w:t>
            </w:r>
          </w:p>
        </w:tc>
      </w:tr>
      <w:tr w14:paraId="24F3B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14:paraId="15D1F196">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1250" w:type="pct"/>
            <w:tcBorders>
              <w:tl2br w:val="nil"/>
              <w:tr2bl w:val="nil"/>
            </w:tcBorders>
            <w:vAlign w:val="center"/>
          </w:tcPr>
          <w:p w14:paraId="7314B77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BOD</w:t>
            </w:r>
          </w:p>
        </w:tc>
        <w:tc>
          <w:tcPr>
            <w:tcW w:w="1250" w:type="pct"/>
            <w:tcBorders>
              <w:tl2br w:val="nil"/>
              <w:tr2bl w:val="nil"/>
            </w:tcBorders>
            <w:vAlign w:val="center"/>
          </w:tcPr>
          <w:p w14:paraId="5EB92BE9">
            <w:pPr>
              <w:keepNext w:val="0"/>
              <w:keepLines w:val="0"/>
              <w:widowControl/>
              <w:suppressLineNumbers w:val="0"/>
              <w:jc w:val="center"/>
              <w:textAlignment w:val="center"/>
              <w:rPr>
                <w:rFonts w:hint="default" w:ascii="Times New Roman" w:hAnsi="Times New Roman"/>
                <w:color w:va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250" w:type="pct"/>
            <w:tcBorders>
              <w:tl2br w:val="nil"/>
              <w:tr2bl w:val="nil"/>
            </w:tcBorders>
            <w:vAlign w:val="center"/>
          </w:tcPr>
          <w:p w14:paraId="6C1E1B7D">
            <w:pPr>
              <w:keepNext w:val="0"/>
              <w:keepLines w:val="0"/>
              <w:widowControl/>
              <w:suppressLineNumbers w:val="0"/>
              <w:jc w:val="center"/>
              <w:textAlignment w:val="center"/>
              <w:rPr>
                <w:rFonts w:hint="default" w:ascii="Times New Roman" w:hAnsi="Times New Roman"/>
                <w:color w:val="auto"/>
                <w:lang w:val="en-US" w:eastAsia="zh-CN"/>
              </w:rPr>
            </w:pPr>
            <w:r>
              <w:rPr>
                <w:rFonts w:hint="eastAsia" w:cs="Times New Roman"/>
                <w:i w:val="0"/>
                <w:iCs w:val="0"/>
                <w:color w:val="auto"/>
                <w:kern w:val="0"/>
                <w:sz w:val="21"/>
                <w:szCs w:val="21"/>
                <w:highlight w:val="none"/>
                <w:u w:val="none"/>
                <w:lang w:val="en-US" w:eastAsia="zh-CN" w:bidi="ar"/>
              </w:rPr>
              <w:t>0.01152</w:t>
            </w:r>
          </w:p>
        </w:tc>
      </w:tr>
      <w:tr w14:paraId="158C76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248" w:type="pct"/>
            <w:vMerge w:val="continue"/>
            <w:tcBorders>
              <w:tl2br w:val="nil"/>
              <w:tr2bl w:val="nil"/>
            </w:tcBorders>
            <w:vAlign w:val="center"/>
          </w:tcPr>
          <w:p w14:paraId="287A5D44">
            <w:pPr>
              <w:widowControl w:val="0"/>
              <w:overflowPunct w:val="0"/>
              <w:autoSpaceDE w:val="0"/>
              <w:autoSpaceDN w:val="0"/>
              <w:bidi w:val="0"/>
              <w:adjustRightInd w:val="0"/>
              <w:snapToGrid w:val="0"/>
              <w:spacing w:line="300" w:lineRule="atLeast"/>
              <w:jc w:val="center"/>
              <w:textAlignment w:val="baseline"/>
              <w:rPr>
                <w:rFonts w:ascii="Times New Roman" w:hAnsi="Times New Roman" w:eastAsia="宋体" w:cs="Times New Roman"/>
                <w:color w:val="auto"/>
                <w:sz w:val="21"/>
                <w:lang w:val="en-US" w:eastAsia="zh-CN" w:bidi="ar-SA"/>
              </w:rPr>
            </w:pPr>
          </w:p>
        </w:tc>
        <w:tc>
          <w:tcPr>
            <w:tcW w:w="1250" w:type="pct"/>
            <w:tcBorders>
              <w:tl2br w:val="nil"/>
              <w:tr2bl w:val="nil"/>
            </w:tcBorders>
            <w:vAlign w:val="center"/>
          </w:tcPr>
          <w:p w14:paraId="62C7D7C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s="Times New Roman"/>
                <w:b w:val="0"/>
                <w:bCs w:val="0"/>
                <w:color w:val="auto"/>
                <w:sz w:val="21"/>
                <w:szCs w:val="21"/>
                <w:lang w:val="en-US" w:eastAsia="zh-CN"/>
              </w:rPr>
              <w:t>氨氮</w:t>
            </w:r>
          </w:p>
        </w:tc>
        <w:tc>
          <w:tcPr>
            <w:tcW w:w="1250" w:type="pct"/>
            <w:tcBorders>
              <w:tl2br w:val="nil"/>
              <w:tr2bl w:val="nil"/>
            </w:tcBorders>
            <w:vAlign w:val="center"/>
          </w:tcPr>
          <w:p w14:paraId="378EA240">
            <w:pPr>
              <w:keepNext w:val="0"/>
              <w:keepLines w:val="0"/>
              <w:widowControl/>
              <w:suppressLineNumbers w:val="0"/>
              <w:jc w:val="center"/>
              <w:textAlignment w:val="center"/>
              <w:rPr>
                <w:rFonts w:hint="default" w:ascii="Times New Roman" w:hAnsi="Times New Roman"/>
                <w:color w:va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250" w:type="pct"/>
            <w:tcBorders>
              <w:tl2br w:val="nil"/>
              <w:tr2bl w:val="nil"/>
            </w:tcBorders>
            <w:vAlign w:val="center"/>
          </w:tcPr>
          <w:p w14:paraId="12D490FC">
            <w:pPr>
              <w:keepNext w:val="0"/>
              <w:keepLines w:val="0"/>
              <w:widowControl/>
              <w:suppressLineNumbers w:val="0"/>
              <w:jc w:val="center"/>
              <w:textAlignment w:val="center"/>
              <w:rPr>
                <w:rFonts w:hint="default" w:ascii="Times New Roman" w:hAnsi="Times New Roman"/>
                <w:color w:val="auto"/>
                <w:lang w:val="en-US" w:eastAsia="zh-CN"/>
              </w:rPr>
            </w:pPr>
            <w:r>
              <w:rPr>
                <w:rFonts w:hint="eastAsia" w:cs="Times New Roman"/>
                <w:i w:val="0"/>
                <w:iCs w:val="0"/>
                <w:color w:val="auto"/>
                <w:kern w:val="0"/>
                <w:sz w:val="21"/>
                <w:szCs w:val="21"/>
                <w:highlight w:val="none"/>
                <w:u w:val="none"/>
                <w:lang w:val="en-US" w:eastAsia="zh-CN" w:bidi="ar"/>
              </w:rPr>
              <w:t>0.1152</w:t>
            </w:r>
          </w:p>
        </w:tc>
      </w:tr>
    </w:tbl>
    <w:p w14:paraId="38590A2E">
      <w:pPr>
        <w:rPr>
          <w:rFonts w:hint="eastAsia" w:ascii="Times New Roman" w:hAnsi="Times New Roman" w:eastAsia="宋体" w:cs="宋体"/>
          <w:color w:val="auto"/>
          <w:sz w:val="24"/>
          <w:szCs w:val="22"/>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637"/>
      </w:tblGrid>
      <w:tr w14:paraId="1A2C2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2" w:hRule="atLeast"/>
          <w:jc w:val="center"/>
        </w:trPr>
        <w:tc>
          <w:tcPr>
            <w:tcW w:w="434" w:type="dxa"/>
            <w:noWrap w:val="0"/>
            <w:tcMar>
              <w:left w:w="28" w:type="dxa"/>
              <w:right w:w="28" w:type="dxa"/>
            </w:tcMar>
            <w:vAlign w:val="center"/>
          </w:tcPr>
          <w:p w14:paraId="396FC10E">
            <w:pPr>
              <w:pStyle w:val="4"/>
              <w:rPr>
                <w:rFonts w:hint="eastAsia"/>
                <w:color w:val="auto"/>
                <w:lang w:val="en-US" w:eastAsia="zh-CN"/>
              </w:rPr>
            </w:pPr>
          </w:p>
        </w:tc>
        <w:tc>
          <w:tcPr>
            <w:tcW w:w="8637" w:type="dxa"/>
            <w:noWrap w:val="0"/>
            <w:vAlign w:val="top"/>
          </w:tcPr>
          <w:p w14:paraId="467C68CB">
            <w:pPr>
              <w:keepNext w:val="0"/>
              <w:keepLines w:val="0"/>
              <w:pageBreakBefore w:val="0"/>
              <w:widowControl w:val="0"/>
              <w:kinsoku/>
              <w:wordWrap/>
              <w:overflowPunct w:val="0"/>
              <w:topLinePunct w:val="0"/>
              <w:autoSpaceDE w:val="0"/>
              <w:autoSpaceDN w:val="0"/>
              <w:bidi w:val="0"/>
              <w:adjustRightInd w:val="0"/>
              <w:snapToGrid w:val="0"/>
              <w:spacing w:before="0" w:after="0" w:line="480" w:lineRule="exact"/>
              <w:ind w:right="0"/>
              <w:jc w:val="both"/>
              <w:textAlignment w:val="auto"/>
              <w:outlineLvl w:val="1"/>
              <w:rPr>
                <w:rFonts w:hint="eastAsia" w:ascii="Times New Roman" w:hAnsi="Times New Roman" w:eastAsia="宋体" w:cs="黑体"/>
                <w:b/>
                <w:color w:val="auto"/>
                <w:sz w:val="28"/>
                <w:szCs w:val="28"/>
                <w:highlight w:val="none"/>
                <w:lang w:val="en-US" w:eastAsia="zh-CN" w:bidi="ar-SA"/>
              </w:rPr>
            </w:pPr>
            <w:r>
              <w:rPr>
                <w:rFonts w:hint="eastAsia" w:cs="黑体"/>
                <w:b/>
                <w:color w:val="auto"/>
                <w:sz w:val="28"/>
                <w:szCs w:val="28"/>
                <w:highlight w:val="none"/>
                <w:lang w:val="en-US" w:eastAsia="zh-CN" w:bidi="ar-SA"/>
              </w:rPr>
              <w:t>3、</w:t>
            </w:r>
            <w:r>
              <w:rPr>
                <w:rFonts w:hint="eastAsia" w:ascii="Times New Roman" w:hAnsi="Times New Roman" w:eastAsia="宋体" w:cs="黑体"/>
                <w:b/>
                <w:color w:val="auto"/>
                <w:sz w:val="28"/>
                <w:szCs w:val="28"/>
                <w:highlight w:val="none"/>
                <w:lang w:val="en-US" w:eastAsia="zh-CN" w:bidi="ar-SA"/>
              </w:rPr>
              <w:t>噪声</w:t>
            </w:r>
          </w:p>
          <w:p w14:paraId="7392185E">
            <w:pPr>
              <w:keepNext w:val="0"/>
              <w:keepLines w:val="0"/>
              <w:pageBreakBefore w:val="0"/>
              <w:widowControl w:val="0"/>
              <w:kinsoku/>
              <w:wordWrap/>
              <w:topLinePunct w:val="0"/>
              <w:bidi w:val="0"/>
              <w:spacing w:line="480" w:lineRule="exact"/>
              <w:ind w:firstLine="480" w:firstLineChars="200"/>
              <w:jc w:val="both"/>
              <w:textAlignment w:val="auto"/>
              <w:rPr>
                <w:rFonts w:hint="eastAsia"/>
                <w:color w:val="auto"/>
                <w:sz w:val="24"/>
                <w:szCs w:val="24"/>
                <w:lang w:val="en-US" w:eastAsia="zh-CN"/>
              </w:rPr>
            </w:pPr>
            <w:r>
              <w:rPr>
                <w:rFonts w:hint="eastAsia"/>
                <w:color w:val="auto"/>
                <w:sz w:val="24"/>
                <w:szCs w:val="24"/>
              </w:rPr>
              <w:t>（1）</w:t>
            </w:r>
            <w:r>
              <w:rPr>
                <w:rFonts w:hint="eastAsia"/>
                <w:color w:val="auto"/>
                <w:sz w:val="24"/>
                <w:szCs w:val="24"/>
                <w:lang w:val="en-US" w:eastAsia="zh-CN"/>
              </w:rPr>
              <w:t>噪声源强分析</w:t>
            </w:r>
          </w:p>
          <w:p w14:paraId="7568C444">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项目营运期主要噪声源有</w:t>
            </w:r>
            <w:r>
              <w:rPr>
                <w:color w:val="auto"/>
                <w:sz w:val="24"/>
                <w:szCs w:val="24"/>
              </w:rPr>
              <w:t>搅拌站、物料传输装置运转</w:t>
            </w:r>
            <w:r>
              <w:rPr>
                <w:rFonts w:hint="eastAsia"/>
                <w:color w:val="auto"/>
                <w:sz w:val="24"/>
                <w:szCs w:val="24"/>
                <w:lang w:val="en-US" w:eastAsia="zh-CN"/>
              </w:rPr>
              <w:t>产生噪声，源强在73-88dB（A）之间。针对以上噪声源产生情况，项目将采取了以下防噪、降噪措施：</w:t>
            </w:r>
          </w:p>
          <w:p w14:paraId="49FFEDA9">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a.在满足生产要求的前提下，选用低噪声设备，从根本上降低噪声源强；</w:t>
            </w:r>
          </w:p>
          <w:p w14:paraId="6D0559CC">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b.风机等强噪声设备设置罩壳，利用隔声且考虑减振等措施，有效地控制噪声对环境的影响；</w:t>
            </w:r>
          </w:p>
          <w:p w14:paraId="68448F7D">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c.提高零部件的装配精度，加强运转部件的润滑，降低摩擦力，对各连接部位安装弹性钢垫或橡胶衬垫，以减少传动装置间的振动；</w:t>
            </w:r>
          </w:p>
          <w:p w14:paraId="47F0E15F">
            <w:pPr>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d.为了减小风机噪声和振动对环境的影响，风机前后均采用石棉布软接头连接，在风机安装时采用下垫减振橡胶减振；</w:t>
            </w:r>
          </w:p>
          <w:p w14:paraId="026A4BB5">
            <w:pPr>
              <w:keepNext w:val="0"/>
              <w:keepLines w:val="0"/>
              <w:pageBreakBefore w:val="0"/>
              <w:widowControl w:val="0"/>
              <w:kinsoku/>
              <w:wordWrap/>
              <w:topLinePunct w:val="0"/>
              <w:bidi w:val="0"/>
              <w:spacing w:line="480" w:lineRule="exact"/>
              <w:ind w:firstLine="480" w:firstLineChars="200"/>
              <w:jc w:val="both"/>
              <w:textAlignment w:val="auto"/>
              <w:rPr>
                <w:rFonts w:hint="eastAsia"/>
                <w:color w:val="auto"/>
                <w:sz w:val="24"/>
                <w:szCs w:val="24"/>
              </w:rPr>
            </w:pPr>
            <w:r>
              <w:rPr>
                <w:rFonts w:hint="eastAsia"/>
                <w:color w:val="auto"/>
                <w:sz w:val="24"/>
                <w:szCs w:val="24"/>
                <w:lang w:val="en-US" w:eastAsia="zh-CN"/>
              </w:rPr>
              <w:t>经采取上述措施后，本项目噪声源强可降低20dB（A）左右。</w:t>
            </w:r>
          </w:p>
          <w:p w14:paraId="1942865A">
            <w:pPr>
              <w:keepNext w:val="0"/>
              <w:keepLines w:val="0"/>
              <w:pageBreakBefore w:val="0"/>
              <w:widowControl w:val="0"/>
              <w:kinsoku/>
              <w:wordWrap/>
              <w:topLinePunct w:val="0"/>
              <w:bidi w:val="0"/>
              <w:spacing w:line="480" w:lineRule="exact"/>
              <w:ind w:firstLine="480" w:firstLineChars="200"/>
              <w:jc w:val="both"/>
              <w:textAlignment w:val="auto"/>
              <w:rPr>
                <w:color w:val="auto"/>
                <w:sz w:val="24"/>
                <w:szCs w:val="24"/>
              </w:rPr>
            </w:pPr>
            <w:r>
              <w:rPr>
                <w:color w:val="auto"/>
                <w:sz w:val="24"/>
                <w:szCs w:val="24"/>
              </w:rPr>
              <w:t>本项目</w:t>
            </w:r>
            <w:r>
              <w:rPr>
                <w:rFonts w:hint="eastAsia"/>
                <w:color w:val="auto"/>
                <w:sz w:val="24"/>
                <w:szCs w:val="24"/>
              </w:rPr>
              <w:t>各噪声设备噪声源见表</w:t>
            </w:r>
            <w:r>
              <w:rPr>
                <w:rFonts w:hint="eastAsia"/>
                <w:color w:val="auto"/>
                <w:sz w:val="24"/>
                <w:szCs w:val="24"/>
                <w:lang w:val="en-US" w:eastAsia="zh-CN"/>
              </w:rPr>
              <w:t>4-7</w:t>
            </w:r>
            <w:r>
              <w:rPr>
                <w:rFonts w:hint="eastAsia"/>
                <w:color w:val="auto"/>
                <w:sz w:val="24"/>
                <w:szCs w:val="24"/>
              </w:rPr>
              <w:t>。</w:t>
            </w:r>
          </w:p>
          <w:p w14:paraId="48ADFED8">
            <w:pPr>
              <w:pageBreakBefore w:val="0"/>
              <w:widowControl w:val="0"/>
              <w:kinsoku/>
              <w:wordWrap/>
              <w:overflowPunct w:val="0"/>
              <w:topLinePunct w:val="0"/>
              <w:autoSpaceDE w:val="0"/>
              <w:autoSpaceDN w:val="0"/>
              <w:bidi w:val="0"/>
              <w:adjustRightInd w:val="0"/>
              <w:snapToGrid w:val="0"/>
              <w:spacing w:line="240" w:lineRule="exact"/>
              <w:ind w:right="0" w:firstLine="380" w:firstLineChars="200"/>
              <w:jc w:val="both"/>
              <w:textAlignment w:val="auto"/>
              <w:rPr>
                <w:rFonts w:ascii="Times New Roman" w:hAnsi="Times New Roman" w:eastAsia="宋体" w:cs="宋体"/>
                <w:bCs/>
                <w:snapToGrid w:val="0"/>
                <w:color w:val="auto"/>
                <w:spacing w:val="-10"/>
                <w:kern w:val="2"/>
                <w:sz w:val="21"/>
                <w:szCs w:val="21"/>
                <w:highlight w:val="none"/>
                <w:lang w:val="en-US" w:eastAsia="zh-CN" w:bidi="ar-SA"/>
              </w:rPr>
            </w:pPr>
          </w:p>
          <w:p w14:paraId="324176BC">
            <w:pPr>
              <w:bidi w:val="0"/>
              <w:rPr>
                <w:color w:val="auto"/>
                <w:highlight w:val="none"/>
              </w:rPr>
            </w:pPr>
            <w:r>
              <w:rPr>
                <w:rFonts w:hint="eastAsia"/>
                <w:color w:val="auto"/>
                <w:highlight w:val="none"/>
              </w:rPr>
              <w:t>本次</w:t>
            </w:r>
            <w:r>
              <w:rPr>
                <w:color w:val="auto"/>
                <w:highlight w:val="none"/>
              </w:rPr>
              <w:t>采用点源噪声衰减模式预测噪声衰减情况噪声，点声源声衰减模式：</w:t>
            </w:r>
          </w:p>
          <w:p w14:paraId="52C9D64B">
            <w:pPr>
              <w:spacing w:line="480" w:lineRule="exact"/>
              <w:ind w:firstLine="480" w:firstLineChars="200"/>
              <w:jc w:val="left"/>
              <w:rPr>
                <w:rFonts w:hint="default" w:ascii="Times New Roman" w:hAnsi="Times New Roman" w:cs="Times New Roman"/>
                <w:color w:val="auto"/>
                <w:sz w:val="24"/>
              </w:rPr>
            </w:pPr>
            <w:r>
              <w:rPr>
                <w:color w:val="auto"/>
              </w:rPr>
              <w:drawing>
                <wp:anchor distT="0" distB="0" distL="114300" distR="114300" simplePos="0" relativeHeight="251669504" behindDoc="0" locked="0" layoutInCell="1" allowOverlap="1">
                  <wp:simplePos x="0" y="0"/>
                  <wp:positionH relativeFrom="column">
                    <wp:posOffset>1416050</wp:posOffset>
                  </wp:positionH>
                  <wp:positionV relativeFrom="paragraph">
                    <wp:posOffset>85725</wp:posOffset>
                  </wp:positionV>
                  <wp:extent cx="2267585" cy="501650"/>
                  <wp:effectExtent l="0" t="0" r="8890" b="3175"/>
                  <wp:wrapTopAndBottom/>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2267585" cy="501650"/>
                          </a:xfrm>
                          <a:prstGeom prst="rect">
                            <a:avLst/>
                          </a:prstGeom>
                          <a:noFill/>
                          <a:ln>
                            <a:noFill/>
                          </a:ln>
                        </pic:spPr>
                      </pic:pic>
                    </a:graphicData>
                  </a:graphic>
                </wp:anchor>
              </w:drawing>
            </w: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A</w:t>
            </w:r>
            <w:r>
              <w:rPr>
                <w:rFonts w:hint="default" w:ascii="Times New Roman" w:hAnsi="Times New Roman" w:cs="Times New Roman"/>
                <w:color w:val="auto"/>
                <w:sz w:val="24"/>
              </w:rPr>
              <w:t>(r)</w:t>
            </w:r>
            <w:r>
              <w:rPr>
                <w:rFonts w:hint="default" w:ascii="Times New Roman" w:hAnsi="Times New Roman" w:cs="Times New Roman"/>
                <w:color w:val="auto"/>
                <w:kern w:val="0"/>
                <w:sz w:val="24"/>
              </w:rPr>
              <w:t>——</w:t>
            </w:r>
            <w:r>
              <w:rPr>
                <w:rFonts w:hint="default" w:ascii="Times New Roman" w:hAnsi="Times New Roman" w:cs="Times New Roman"/>
                <w:color w:val="auto"/>
                <w:sz w:val="24"/>
              </w:rPr>
              <w:t>距离声源r处的A声级dB(A);</w:t>
            </w:r>
          </w:p>
          <w:p w14:paraId="1E3C769A">
            <w:pPr>
              <w:spacing w:line="480" w:lineRule="exact"/>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A</w:t>
            </w: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w:t>
            </w:r>
            <w:r>
              <w:rPr>
                <w:rFonts w:hint="default" w:ascii="Times New Roman" w:hAnsi="Times New Roman" w:cs="Times New Roman"/>
                <w:color w:val="auto"/>
                <w:kern w:val="0"/>
                <w:sz w:val="24"/>
              </w:rPr>
              <w:t>——</w:t>
            </w:r>
            <w:r>
              <w:rPr>
                <w:rFonts w:hint="default" w:ascii="Times New Roman" w:hAnsi="Times New Roman" w:cs="Times New Roman"/>
                <w:color w:val="auto"/>
                <w:sz w:val="24"/>
              </w:rPr>
              <w:t>距离声源r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处的A声级dB(A);</w:t>
            </w:r>
          </w:p>
          <w:p w14:paraId="51A39181">
            <w:pPr>
              <w:spacing w:line="480" w:lineRule="exact"/>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、r</w:t>
            </w:r>
            <w:r>
              <w:rPr>
                <w:rFonts w:hint="default" w:ascii="Times New Roman" w:hAnsi="Times New Roman" w:cs="Times New Roman"/>
                <w:color w:val="auto"/>
                <w:kern w:val="0"/>
                <w:sz w:val="24"/>
              </w:rPr>
              <w:t>——</w:t>
            </w:r>
            <w:r>
              <w:rPr>
                <w:rFonts w:hint="default" w:ascii="Times New Roman" w:hAnsi="Times New Roman" w:cs="Times New Roman"/>
                <w:color w:val="auto"/>
                <w:sz w:val="24"/>
              </w:rPr>
              <w:t>距声源的距离（m)。</w:t>
            </w:r>
          </w:p>
          <w:p w14:paraId="17E6F320">
            <w:pPr>
              <w:spacing w:line="48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噪声叠加公式：</w:t>
            </w:r>
          </w:p>
          <w:p w14:paraId="41C4CA50">
            <w:pPr>
              <w:spacing w:line="48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position w:val="-28"/>
                <w:sz w:val="24"/>
              </w:rPr>
              <w:drawing>
                <wp:inline distT="0" distB="0" distL="114300" distR="114300">
                  <wp:extent cx="1130300" cy="431800"/>
                  <wp:effectExtent l="0" t="0" r="0" b="0"/>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40"/>
                          <a:stretch>
                            <a:fillRect/>
                          </a:stretch>
                        </pic:blipFill>
                        <pic:spPr>
                          <a:xfrm>
                            <a:off x="0" y="0"/>
                            <a:ext cx="1130300" cy="431800"/>
                          </a:xfrm>
                          <a:prstGeom prst="rect">
                            <a:avLst/>
                          </a:prstGeom>
                          <a:noFill/>
                          <a:ln>
                            <a:noFill/>
                          </a:ln>
                        </pic:spPr>
                      </pic:pic>
                    </a:graphicData>
                  </a:graphic>
                </wp:inline>
              </w:drawing>
            </w:r>
          </w:p>
          <w:p w14:paraId="1A8D7E14">
            <w:pPr>
              <w:spacing w:line="48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kern w:val="0"/>
                <w:sz w:val="24"/>
              </w:rPr>
              <w:t>——</w:t>
            </w:r>
            <w:r>
              <w:rPr>
                <w:rFonts w:hint="default" w:ascii="Times New Roman" w:hAnsi="Times New Roman" w:cs="Times New Roman"/>
                <w:color w:val="auto"/>
                <w:sz w:val="24"/>
              </w:rPr>
              <w:t>某点噪声总叠加值dB(A);</w:t>
            </w:r>
          </w:p>
          <w:p w14:paraId="4EEEBCC4">
            <w:pPr>
              <w:spacing w:line="480" w:lineRule="exact"/>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i</w:t>
            </w:r>
            <w:r>
              <w:rPr>
                <w:rFonts w:hint="default" w:ascii="Times New Roman" w:hAnsi="Times New Roman" w:cs="Times New Roman"/>
                <w:color w:val="auto"/>
                <w:kern w:val="0"/>
                <w:sz w:val="24"/>
              </w:rPr>
              <w:t>——</w:t>
            </w:r>
            <w:r>
              <w:rPr>
                <w:rFonts w:hint="default" w:ascii="Times New Roman" w:hAnsi="Times New Roman" w:cs="Times New Roman"/>
                <w:color w:val="auto"/>
                <w:sz w:val="24"/>
              </w:rPr>
              <w:t>第i个声源的噪声值dB(A);</w:t>
            </w:r>
          </w:p>
          <w:p w14:paraId="2BDCF403">
            <w:pPr>
              <w:spacing w:line="480" w:lineRule="exact"/>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n</w:t>
            </w:r>
            <w:r>
              <w:rPr>
                <w:rFonts w:hint="default" w:ascii="Times New Roman" w:hAnsi="Times New Roman" w:cs="Times New Roman"/>
                <w:color w:val="auto"/>
                <w:kern w:val="0"/>
                <w:sz w:val="24"/>
              </w:rPr>
              <w:t>——</w:t>
            </w:r>
            <w:r>
              <w:rPr>
                <w:rFonts w:hint="default" w:ascii="Times New Roman" w:hAnsi="Times New Roman" w:cs="Times New Roman"/>
                <w:color w:val="auto"/>
                <w:sz w:val="24"/>
              </w:rPr>
              <w:t>声源个数。</w:t>
            </w:r>
          </w:p>
          <w:p w14:paraId="5453F7AC">
            <w:pPr>
              <w:pStyle w:val="4"/>
              <w:pageBreakBefore w:val="0"/>
              <w:kinsoku/>
              <w:wordWrap/>
              <w:topLinePunct w:val="0"/>
              <w:bidi w:val="0"/>
              <w:spacing w:before="0" w:after="0" w:line="240" w:lineRule="exact"/>
              <w:ind w:firstLine="382" w:firstLineChars="200"/>
              <w:jc w:val="both"/>
              <w:textAlignment w:val="auto"/>
              <w:rPr>
                <w:rFonts w:ascii="Times New Roman" w:hAnsi="Times New Roman" w:eastAsia="宋体" w:cs="宋体"/>
                <w:bCs/>
                <w:snapToGrid w:val="0"/>
                <w:color w:val="auto"/>
                <w:spacing w:val="-10"/>
                <w:kern w:val="2"/>
                <w:sz w:val="21"/>
                <w:szCs w:val="21"/>
                <w:highlight w:val="none"/>
                <w:lang w:val="en-US" w:eastAsia="zh-CN" w:bidi="ar-SA"/>
              </w:rPr>
            </w:pPr>
          </w:p>
          <w:p w14:paraId="19E320B7">
            <w:pPr>
              <w:pageBreakBefore w:val="0"/>
              <w:kinsoku/>
              <w:wordWrap/>
              <w:topLinePunct w:val="0"/>
              <w:bidi w:val="0"/>
              <w:spacing w:line="240" w:lineRule="exact"/>
              <w:ind w:firstLine="380" w:firstLineChars="200"/>
              <w:jc w:val="both"/>
              <w:textAlignment w:val="auto"/>
              <w:rPr>
                <w:rFonts w:ascii="Times New Roman" w:hAnsi="Times New Roman" w:eastAsia="宋体" w:cs="宋体"/>
                <w:bCs/>
                <w:snapToGrid w:val="0"/>
                <w:color w:val="auto"/>
                <w:spacing w:val="-10"/>
                <w:kern w:val="2"/>
                <w:sz w:val="21"/>
                <w:szCs w:val="21"/>
                <w:highlight w:val="none"/>
                <w:lang w:val="en-US" w:eastAsia="zh-CN" w:bidi="ar-SA"/>
              </w:rPr>
            </w:pPr>
          </w:p>
          <w:p w14:paraId="45618934">
            <w:pPr>
              <w:pStyle w:val="4"/>
              <w:pageBreakBefore w:val="0"/>
              <w:kinsoku/>
              <w:wordWrap/>
              <w:topLinePunct w:val="0"/>
              <w:bidi w:val="0"/>
              <w:spacing w:before="0" w:after="0" w:line="240" w:lineRule="exact"/>
              <w:ind w:firstLine="382" w:firstLineChars="200"/>
              <w:jc w:val="both"/>
              <w:textAlignment w:val="auto"/>
              <w:rPr>
                <w:rFonts w:ascii="Times New Roman" w:hAnsi="Times New Roman" w:eastAsia="宋体" w:cs="宋体"/>
                <w:bCs/>
                <w:snapToGrid w:val="0"/>
                <w:color w:val="auto"/>
                <w:spacing w:val="-10"/>
                <w:kern w:val="2"/>
                <w:sz w:val="21"/>
                <w:szCs w:val="21"/>
                <w:highlight w:val="none"/>
                <w:lang w:val="en-US" w:eastAsia="zh-CN" w:bidi="ar-SA"/>
              </w:rPr>
            </w:pPr>
          </w:p>
          <w:p w14:paraId="091DE380">
            <w:pPr>
              <w:jc w:val="both"/>
              <w:rPr>
                <w:rFonts w:ascii="Times New Roman" w:hAnsi="Times New Roman"/>
                <w:color w:val="auto"/>
                <w:lang w:val="en-US" w:eastAsia="zh-CN"/>
              </w:rPr>
            </w:pPr>
          </w:p>
          <w:p w14:paraId="57F44C60">
            <w:pPr>
              <w:jc w:val="both"/>
              <w:rPr>
                <w:rFonts w:ascii="Times New Roman" w:hAnsi="Times New Roman" w:eastAsia="宋体" w:cs="宋体"/>
                <w:bCs/>
                <w:snapToGrid w:val="0"/>
                <w:color w:val="auto"/>
                <w:spacing w:val="-10"/>
                <w:kern w:val="2"/>
                <w:sz w:val="21"/>
                <w:szCs w:val="21"/>
                <w:highlight w:val="none"/>
                <w:lang w:val="en-US" w:eastAsia="zh-CN" w:bidi="ar-SA"/>
              </w:rPr>
            </w:pPr>
          </w:p>
          <w:p w14:paraId="1156E699">
            <w:pPr>
              <w:jc w:val="both"/>
              <w:rPr>
                <w:rFonts w:ascii="Times New Roman" w:hAnsi="Times New Roman"/>
                <w:color w:val="auto"/>
                <w:lang w:val="en-US" w:eastAsia="zh-CN"/>
              </w:rPr>
            </w:pPr>
          </w:p>
        </w:tc>
      </w:tr>
    </w:tbl>
    <w:p w14:paraId="36007D3F">
      <w:pPr>
        <w:pStyle w:val="4"/>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0D5E64E">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cs="Times New Roman"/>
          <w:b/>
          <w:bCs/>
          <w:color w:val="auto"/>
          <w:sz w:val="24"/>
          <w:szCs w:val="20"/>
          <w:highlight w:val="none"/>
          <w:vertAlign w:val="baseline"/>
          <w:lang w:val="en-US" w:eastAsia="zh-CN"/>
        </w:rPr>
      </w:pPr>
      <w:r>
        <w:rPr>
          <w:rFonts w:hint="eastAsia" w:ascii="Times New Roman" w:hAnsi="Times New Roman" w:eastAsia="宋体" w:cs="Times New Roman"/>
          <w:b/>
          <w:bCs/>
          <w:color w:val="auto"/>
          <w:sz w:val="24"/>
          <w:szCs w:val="20"/>
          <w:highlight w:val="none"/>
          <w:vertAlign w:val="baseline"/>
          <w:lang w:val="en-US" w:eastAsia="zh-CN"/>
        </w:rPr>
        <w:t>表4.</w:t>
      </w:r>
      <w:r>
        <w:rPr>
          <w:rFonts w:hint="eastAsia" w:ascii="Times New Roman" w:hAnsi="Times New Roman" w:cs="Times New Roman"/>
          <w:b/>
          <w:bCs/>
          <w:color w:val="auto"/>
          <w:sz w:val="24"/>
          <w:szCs w:val="20"/>
          <w:highlight w:val="none"/>
          <w:vertAlign w:val="baseline"/>
          <w:lang w:val="en-US" w:eastAsia="zh-CN"/>
        </w:rPr>
        <w:t>7</w:t>
      </w:r>
      <w:r>
        <w:rPr>
          <w:rFonts w:hint="eastAsia" w:ascii="Times New Roman" w:hAnsi="Times New Roman" w:eastAsia="宋体" w:cs="Times New Roman"/>
          <w:b/>
          <w:bCs/>
          <w:color w:val="auto"/>
          <w:sz w:val="24"/>
          <w:szCs w:val="20"/>
          <w:highlight w:val="none"/>
          <w:vertAlign w:val="baseline"/>
          <w:lang w:val="en-US" w:eastAsia="zh-CN"/>
        </w:rPr>
        <w:t>-1本项目</w:t>
      </w:r>
      <w:r>
        <w:rPr>
          <w:rFonts w:hint="eastAsia" w:ascii="Times New Roman" w:hAnsi="Times New Roman" w:cs="Times New Roman"/>
          <w:b/>
          <w:bCs/>
          <w:color w:val="auto"/>
          <w:sz w:val="24"/>
          <w:szCs w:val="20"/>
          <w:highlight w:val="none"/>
          <w:vertAlign w:val="baseline"/>
          <w:lang w:val="en-US" w:eastAsia="zh-CN"/>
        </w:rPr>
        <w:t>主要</w:t>
      </w:r>
      <w:r>
        <w:rPr>
          <w:rFonts w:hint="eastAsia" w:ascii="Times New Roman" w:hAnsi="Times New Roman" w:eastAsia="宋体" w:cs="Times New Roman"/>
          <w:b/>
          <w:bCs/>
          <w:color w:val="auto"/>
          <w:sz w:val="24"/>
          <w:szCs w:val="20"/>
          <w:highlight w:val="none"/>
          <w:vertAlign w:val="baseline"/>
          <w:lang w:val="en-US" w:eastAsia="zh-CN"/>
        </w:rPr>
        <w:t>噪声源</w:t>
      </w:r>
      <w:r>
        <w:rPr>
          <w:rFonts w:hint="eastAsia" w:ascii="Times New Roman" w:hAnsi="Times New Roman" w:cs="Times New Roman"/>
          <w:b/>
          <w:bCs/>
          <w:color w:val="auto"/>
          <w:sz w:val="24"/>
          <w:szCs w:val="20"/>
          <w:highlight w:val="none"/>
          <w:vertAlign w:val="baseline"/>
          <w:lang w:val="en-US" w:eastAsia="zh-CN"/>
        </w:rPr>
        <w:t>调查</w:t>
      </w:r>
      <w:r>
        <w:rPr>
          <w:rFonts w:hint="eastAsia" w:ascii="Times New Roman" w:hAnsi="Times New Roman" w:eastAsia="宋体" w:cs="Times New Roman"/>
          <w:b/>
          <w:bCs/>
          <w:color w:val="auto"/>
          <w:sz w:val="24"/>
          <w:szCs w:val="20"/>
          <w:highlight w:val="none"/>
          <w:vertAlign w:val="baseline"/>
          <w:lang w:val="en-US" w:eastAsia="zh-CN"/>
        </w:rPr>
        <w:t>一览表</w:t>
      </w:r>
      <w:r>
        <w:rPr>
          <w:rFonts w:hint="eastAsia" w:ascii="Times New Roman" w:hAnsi="Times New Roman" w:cs="Times New Roman"/>
          <w:b/>
          <w:bCs/>
          <w:color w:val="auto"/>
          <w:sz w:val="24"/>
          <w:szCs w:val="20"/>
          <w:highlight w:val="none"/>
          <w:vertAlign w:val="baseline"/>
          <w:lang w:val="en-US" w:eastAsia="zh-CN"/>
        </w:rPr>
        <w:t>（室内）</w:t>
      </w:r>
    </w:p>
    <w:tbl>
      <w:tblPr>
        <w:tblStyle w:val="3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344"/>
        <w:gridCol w:w="1610"/>
        <w:gridCol w:w="745"/>
        <w:gridCol w:w="1789"/>
        <w:gridCol w:w="440"/>
        <w:gridCol w:w="451"/>
        <w:gridCol w:w="412"/>
        <w:gridCol w:w="403"/>
        <w:gridCol w:w="454"/>
        <w:gridCol w:w="423"/>
        <w:gridCol w:w="423"/>
        <w:gridCol w:w="403"/>
        <w:gridCol w:w="403"/>
        <w:gridCol w:w="403"/>
        <w:gridCol w:w="403"/>
        <w:gridCol w:w="490"/>
        <w:gridCol w:w="403"/>
        <w:gridCol w:w="344"/>
        <w:gridCol w:w="372"/>
        <w:gridCol w:w="400"/>
        <w:gridCol w:w="473"/>
        <w:gridCol w:w="501"/>
        <w:gridCol w:w="459"/>
        <w:gridCol w:w="537"/>
        <w:gridCol w:w="479"/>
      </w:tblGrid>
      <w:tr w14:paraId="76F1EF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restart"/>
            <w:tcBorders>
              <w:tl2br w:val="nil"/>
              <w:tr2bl w:val="nil"/>
            </w:tcBorders>
            <w:noWrap w:val="0"/>
            <w:vAlign w:val="center"/>
          </w:tcPr>
          <w:p w14:paraId="016C4DB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序号</w:t>
            </w:r>
          </w:p>
        </w:tc>
        <w:tc>
          <w:tcPr>
            <w:tcW w:w="123" w:type="pct"/>
            <w:vMerge w:val="restart"/>
            <w:tcBorders>
              <w:tl2br w:val="nil"/>
              <w:tr2bl w:val="nil"/>
            </w:tcBorders>
            <w:noWrap w:val="0"/>
            <w:vAlign w:val="center"/>
          </w:tcPr>
          <w:p w14:paraId="28DB1C8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建筑物名称</w:t>
            </w:r>
          </w:p>
        </w:tc>
        <w:tc>
          <w:tcPr>
            <w:tcW w:w="575" w:type="pct"/>
            <w:vMerge w:val="restart"/>
            <w:tcBorders>
              <w:tl2br w:val="nil"/>
              <w:tr2bl w:val="nil"/>
            </w:tcBorders>
            <w:noWrap w:val="0"/>
            <w:vAlign w:val="center"/>
          </w:tcPr>
          <w:p w14:paraId="7B0389D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声源名称</w:t>
            </w:r>
          </w:p>
        </w:tc>
        <w:tc>
          <w:tcPr>
            <w:tcW w:w="266" w:type="pct"/>
            <w:tcBorders>
              <w:tl2br w:val="nil"/>
              <w:tr2bl w:val="nil"/>
            </w:tcBorders>
            <w:noWrap w:val="0"/>
            <w:vAlign w:val="center"/>
          </w:tcPr>
          <w:p w14:paraId="4B58B2C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声源源强</w:t>
            </w:r>
          </w:p>
        </w:tc>
        <w:tc>
          <w:tcPr>
            <w:tcW w:w="639" w:type="pct"/>
            <w:vMerge w:val="restart"/>
            <w:tcBorders>
              <w:tl2br w:val="nil"/>
              <w:tr2bl w:val="nil"/>
            </w:tcBorders>
            <w:noWrap w:val="0"/>
            <w:vAlign w:val="center"/>
          </w:tcPr>
          <w:p w14:paraId="4308A1E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声源控制措施</w:t>
            </w:r>
          </w:p>
        </w:tc>
        <w:tc>
          <w:tcPr>
            <w:tcW w:w="465" w:type="pct"/>
            <w:gridSpan w:val="3"/>
            <w:tcBorders>
              <w:tl2br w:val="nil"/>
              <w:tr2bl w:val="nil"/>
            </w:tcBorders>
            <w:noWrap w:val="0"/>
            <w:vAlign w:val="center"/>
          </w:tcPr>
          <w:p w14:paraId="7292B337">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pacing w:val="-2"/>
                <w:sz w:val="18"/>
                <w:szCs w:val="18"/>
              </w:rPr>
              <w:t>空间相对位置/m</w:t>
            </w:r>
            <w:r>
              <w:rPr>
                <w:rFonts w:hint="default" w:ascii="Times New Roman" w:hAnsi="Times New Roman" w:eastAsia="宋体" w:cs="Times New Roman"/>
                <w:color w:val="auto"/>
                <w:spacing w:val="-2"/>
                <w:sz w:val="18"/>
                <w:szCs w:val="18"/>
                <w:lang w:eastAsia="zh-CN"/>
              </w:rPr>
              <w:t>（</w:t>
            </w:r>
            <w:r>
              <w:rPr>
                <w:rFonts w:hint="default" w:ascii="Times New Roman" w:hAnsi="Times New Roman" w:eastAsia="宋体" w:cs="Times New Roman"/>
                <w:color w:val="auto"/>
                <w:spacing w:val="-2"/>
                <w:sz w:val="18"/>
                <w:szCs w:val="18"/>
                <w:lang w:val="en-US" w:eastAsia="zh-CN"/>
              </w:rPr>
              <w:t>以车间左下角为中心点</w:t>
            </w:r>
            <w:r>
              <w:rPr>
                <w:rFonts w:hint="default" w:ascii="Times New Roman" w:hAnsi="Times New Roman" w:eastAsia="宋体" w:cs="Times New Roman"/>
                <w:color w:val="auto"/>
                <w:spacing w:val="-2"/>
                <w:sz w:val="18"/>
                <w:szCs w:val="18"/>
                <w:lang w:eastAsia="zh-CN"/>
              </w:rPr>
              <w:t>）</w:t>
            </w:r>
          </w:p>
        </w:tc>
        <w:tc>
          <w:tcPr>
            <w:tcW w:w="608" w:type="pct"/>
            <w:gridSpan w:val="4"/>
            <w:tcBorders>
              <w:tl2br w:val="nil"/>
              <w:tr2bl w:val="nil"/>
            </w:tcBorders>
            <w:noWrap w:val="0"/>
            <w:vAlign w:val="center"/>
          </w:tcPr>
          <w:p w14:paraId="46D764A4">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距室内边界距离/m</w:t>
            </w:r>
          </w:p>
        </w:tc>
        <w:tc>
          <w:tcPr>
            <w:tcW w:w="576" w:type="pct"/>
            <w:gridSpan w:val="4"/>
            <w:tcBorders>
              <w:tl2br w:val="nil"/>
              <w:tr2bl w:val="nil"/>
            </w:tcBorders>
            <w:noWrap w:val="0"/>
            <w:vAlign w:val="center"/>
          </w:tcPr>
          <w:p w14:paraId="44D2DDF5">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室内边界声级/dB(A)</w:t>
            </w:r>
          </w:p>
        </w:tc>
        <w:tc>
          <w:tcPr>
            <w:tcW w:w="175" w:type="pct"/>
            <w:vMerge w:val="restart"/>
            <w:tcBorders>
              <w:tl2br w:val="nil"/>
              <w:tr2bl w:val="nil"/>
            </w:tcBorders>
            <w:noWrap w:val="0"/>
            <w:vAlign w:val="center"/>
          </w:tcPr>
          <w:p w14:paraId="11BF8A3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运行时</w:t>
            </w:r>
            <w:r>
              <w:rPr>
                <w:rFonts w:hint="default" w:ascii="Times New Roman" w:hAnsi="Times New Roman" w:eastAsia="宋体" w:cs="Times New Roman"/>
                <w:color w:val="auto"/>
                <w:sz w:val="18"/>
                <w:szCs w:val="18"/>
              </w:rPr>
              <w:t>段</w:t>
            </w:r>
          </w:p>
        </w:tc>
        <w:tc>
          <w:tcPr>
            <w:tcW w:w="543" w:type="pct"/>
            <w:gridSpan w:val="4"/>
            <w:tcBorders>
              <w:tl2br w:val="nil"/>
              <w:tr2bl w:val="nil"/>
            </w:tcBorders>
            <w:noWrap w:val="0"/>
            <w:vAlign w:val="center"/>
          </w:tcPr>
          <w:p w14:paraId="29DAEF7A">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建筑物插入损失/dB(A)</w:t>
            </w:r>
          </w:p>
        </w:tc>
        <w:tc>
          <w:tcPr>
            <w:tcW w:w="875" w:type="pct"/>
            <w:gridSpan w:val="5"/>
            <w:tcBorders>
              <w:tl2br w:val="nil"/>
              <w:tr2bl w:val="nil"/>
            </w:tcBorders>
            <w:noWrap w:val="0"/>
            <w:vAlign w:val="center"/>
          </w:tcPr>
          <w:p w14:paraId="5E3E173D">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建筑物外噪声声压级/dB(A)</w:t>
            </w:r>
          </w:p>
        </w:tc>
      </w:tr>
      <w:tr w14:paraId="1C3EF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continue"/>
            <w:tcBorders>
              <w:tl2br w:val="nil"/>
              <w:tr2bl w:val="nil"/>
            </w:tcBorders>
            <w:noWrap w:val="0"/>
            <w:vAlign w:val="center"/>
          </w:tcPr>
          <w:p w14:paraId="0BDA5AA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p>
        </w:tc>
        <w:tc>
          <w:tcPr>
            <w:tcW w:w="123" w:type="pct"/>
            <w:vMerge w:val="continue"/>
            <w:tcBorders>
              <w:tl2br w:val="nil"/>
              <w:tr2bl w:val="nil"/>
            </w:tcBorders>
            <w:noWrap w:val="0"/>
            <w:vAlign w:val="center"/>
          </w:tcPr>
          <w:p w14:paraId="5457451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p>
        </w:tc>
        <w:tc>
          <w:tcPr>
            <w:tcW w:w="575" w:type="pct"/>
            <w:vMerge w:val="continue"/>
            <w:tcBorders>
              <w:tl2br w:val="nil"/>
              <w:tr2bl w:val="nil"/>
            </w:tcBorders>
            <w:noWrap w:val="0"/>
            <w:vAlign w:val="center"/>
          </w:tcPr>
          <w:p w14:paraId="77B20AE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p>
        </w:tc>
        <w:tc>
          <w:tcPr>
            <w:tcW w:w="266" w:type="pct"/>
            <w:tcBorders>
              <w:tl2br w:val="nil"/>
              <w:tr2bl w:val="nil"/>
            </w:tcBorders>
            <w:noWrap w:val="0"/>
            <w:vAlign w:val="center"/>
          </w:tcPr>
          <w:p w14:paraId="4998051C">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声功率级/dB(A)</w:t>
            </w:r>
          </w:p>
        </w:tc>
        <w:tc>
          <w:tcPr>
            <w:tcW w:w="639" w:type="pct"/>
            <w:vMerge w:val="continue"/>
            <w:tcBorders>
              <w:tl2br w:val="nil"/>
              <w:tr2bl w:val="nil"/>
            </w:tcBorders>
            <w:noWrap w:val="0"/>
            <w:vAlign w:val="center"/>
          </w:tcPr>
          <w:p w14:paraId="59160D3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p>
        </w:tc>
        <w:tc>
          <w:tcPr>
            <w:tcW w:w="157" w:type="pct"/>
            <w:tcBorders>
              <w:tl2br w:val="nil"/>
              <w:tr2bl w:val="nil"/>
            </w:tcBorders>
            <w:noWrap w:val="0"/>
            <w:vAlign w:val="center"/>
          </w:tcPr>
          <w:p w14:paraId="4C48B562">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X</w:t>
            </w:r>
          </w:p>
        </w:tc>
        <w:tc>
          <w:tcPr>
            <w:tcW w:w="161" w:type="pct"/>
            <w:tcBorders>
              <w:tl2br w:val="nil"/>
              <w:tr2bl w:val="nil"/>
            </w:tcBorders>
            <w:noWrap w:val="0"/>
            <w:vAlign w:val="center"/>
          </w:tcPr>
          <w:p w14:paraId="7D0CE361">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w:t>
            </w:r>
          </w:p>
        </w:tc>
        <w:tc>
          <w:tcPr>
            <w:tcW w:w="145" w:type="pct"/>
            <w:tcBorders>
              <w:tl2br w:val="nil"/>
              <w:tr2bl w:val="nil"/>
            </w:tcBorders>
            <w:noWrap w:val="0"/>
            <w:vAlign w:val="center"/>
          </w:tcPr>
          <w:p w14:paraId="30D4093E">
            <w:pPr>
              <w:pStyle w:val="33"/>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Z</w:t>
            </w:r>
          </w:p>
        </w:tc>
        <w:tc>
          <w:tcPr>
            <w:tcW w:w="144" w:type="pct"/>
            <w:tcBorders>
              <w:tl2br w:val="nil"/>
              <w:tr2bl w:val="nil"/>
            </w:tcBorders>
            <w:noWrap w:val="0"/>
            <w:vAlign w:val="center"/>
          </w:tcPr>
          <w:p w14:paraId="09B475B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162" w:type="pct"/>
            <w:tcBorders>
              <w:tl2br w:val="nil"/>
              <w:tr2bl w:val="nil"/>
            </w:tcBorders>
            <w:noWrap w:val="0"/>
            <w:vAlign w:val="center"/>
          </w:tcPr>
          <w:p w14:paraId="41FD1BA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151" w:type="pct"/>
            <w:tcBorders>
              <w:tl2br w:val="nil"/>
              <w:tr2bl w:val="nil"/>
            </w:tcBorders>
            <w:noWrap w:val="0"/>
            <w:vAlign w:val="center"/>
          </w:tcPr>
          <w:p w14:paraId="47D0AED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50" w:type="pct"/>
            <w:tcBorders>
              <w:tl2br w:val="nil"/>
              <w:tr2bl w:val="nil"/>
            </w:tcBorders>
            <w:noWrap w:val="0"/>
            <w:vAlign w:val="center"/>
          </w:tcPr>
          <w:p w14:paraId="3D0402F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北</w:t>
            </w:r>
          </w:p>
        </w:tc>
        <w:tc>
          <w:tcPr>
            <w:tcW w:w="144" w:type="pct"/>
            <w:tcBorders>
              <w:tl2br w:val="nil"/>
              <w:tr2bl w:val="nil"/>
            </w:tcBorders>
            <w:noWrap w:val="0"/>
            <w:vAlign w:val="center"/>
          </w:tcPr>
          <w:p w14:paraId="318BFFF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144" w:type="pct"/>
            <w:tcBorders>
              <w:tl2br w:val="nil"/>
              <w:tr2bl w:val="nil"/>
            </w:tcBorders>
            <w:noWrap w:val="0"/>
            <w:vAlign w:val="center"/>
          </w:tcPr>
          <w:p w14:paraId="6201F6F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144" w:type="pct"/>
            <w:tcBorders>
              <w:tl2br w:val="nil"/>
              <w:tr2bl w:val="nil"/>
            </w:tcBorders>
            <w:noWrap w:val="0"/>
            <w:vAlign w:val="center"/>
          </w:tcPr>
          <w:p w14:paraId="4B41A88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44" w:type="pct"/>
            <w:tcBorders>
              <w:tl2br w:val="nil"/>
              <w:tr2bl w:val="nil"/>
            </w:tcBorders>
            <w:noWrap w:val="0"/>
            <w:vAlign w:val="center"/>
          </w:tcPr>
          <w:p w14:paraId="4164138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北</w:t>
            </w:r>
          </w:p>
        </w:tc>
        <w:tc>
          <w:tcPr>
            <w:tcW w:w="175" w:type="pct"/>
            <w:vMerge w:val="continue"/>
            <w:tcBorders>
              <w:tl2br w:val="nil"/>
              <w:tr2bl w:val="nil"/>
            </w:tcBorders>
            <w:noWrap w:val="0"/>
            <w:vAlign w:val="center"/>
          </w:tcPr>
          <w:p w14:paraId="060CE84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p>
        </w:tc>
        <w:tc>
          <w:tcPr>
            <w:tcW w:w="144" w:type="pct"/>
            <w:tcBorders>
              <w:tl2br w:val="nil"/>
              <w:tr2bl w:val="nil"/>
            </w:tcBorders>
            <w:noWrap w:val="0"/>
            <w:vAlign w:val="center"/>
          </w:tcPr>
          <w:p w14:paraId="513BA3B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123" w:type="pct"/>
            <w:tcBorders>
              <w:tl2br w:val="nil"/>
              <w:tr2bl w:val="nil"/>
            </w:tcBorders>
            <w:noWrap w:val="0"/>
            <w:vAlign w:val="center"/>
          </w:tcPr>
          <w:p w14:paraId="4E0D7FD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133" w:type="pct"/>
            <w:tcBorders>
              <w:tl2br w:val="nil"/>
              <w:tr2bl w:val="nil"/>
            </w:tcBorders>
            <w:noWrap w:val="0"/>
            <w:vAlign w:val="center"/>
          </w:tcPr>
          <w:p w14:paraId="3497E72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41" w:type="pct"/>
            <w:tcBorders>
              <w:tl2br w:val="nil"/>
              <w:tr2bl w:val="nil"/>
            </w:tcBorders>
            <w:noWrap w:val="0"/>
            <w:vAlign w:val="center"/>
          </w:tcPr>
          <w:p w14:paraId="2AB285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北</w:t>
            </w:r>
          </w:p>
        </w:tc>
        <w:tc>
          <w:tcPr>
            <w:tcW w:w="169" w:type="pct"/>
            <w:tcBorders>
              <w:tl2br w:val="nil"/>
              <w:tr2bl w:val="nil"/>
            </w:tcBorders>
            <w:noWrap w:val="0"/>
            <w:vAlign w:val="center"/>
          </w:tcPr>
          <w:p w14:paraId="442262D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东</w:t>
            </w:r>
          </w:p>
        </w:tc>
        <w:tc>
          <w:tcPr>
            <w:tcW w:w="179" w:type="pct"/>
            <w:tcBorders>
              <w:tl2br w:val="nil"/>
              <w:tr2bl w:val="nil"/>
            </w:tcBorders>
            <w:noWrap w:val="0"/>
            <w:vAlign w:val="center"/>
          </w:tcPr>
          <w:p w14:paraId="38739AF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南</w:t>
            </w:r>
          </w:p>
        </w:tc>
        <w:tc>
          <w:tcPr>
            <w:tcW w:w="164" w:type="pct"/>
            <w:tcBorders>
              <w:tl2br w:val="nil"/>
              <w:tr2bl w:val="nil"/>
            </w:tcBorders>
            <w:noWrap w:val="0"/>
            <w:vAlign w:val="center"/>
          </w:tcPr>
          <w:p w14:paraId="5D579FF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92" w:type="pct"/>
            <w:tcBorders>
              <w:tl2br w:val="nil"/>
              <w:tr2bl w:val="nil"/>
            </w:tcBorders>
            <w:noWrap w:val="0"/>
            <w:vAlign w:val="center"/>
          </w:tcPr>
          <w:p w14:paraId="673FBDB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北</w:t>
            </w:r>
          </w:p>
        </w:tc>
        <w:tc>
          <w:tcPr>
            <w:tcW w:w="170" w:type="pct"/>
            <w:tcBorders>
              <w:tl2br w:val="nil"/>
              <w:tr2bl w:val="nil"/>
            </w:tcBorders>
            <w:noWrap w:val="0"/>
            <w:vAlign w:val="center"/>
          </w:tcPr>
          <w:p w14:paraId="00434E4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建筑物外距离</w:t>
            </w:r>
          </w:p>
        </w:tc>
      </w:tr>
      <w:tr w14:paraId="0B837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tcBorders>
              <w:tl2br w:val="nil"/>
              <w:tr2bl w:val="nil"/>
            </w:tcBorders>
            <w:noWrap w:val="0"/>
            <w:vAlign w:val="center"/>
          </w:tcPr>
          <w:p w14:paraId="4B8251E0">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23" w:type="pct"/>
            <w:vMerge w:val="restart"/>
            <w:tcBorders>
              <w:tl2br w:val="nil"/>
              <w:tr2bl w:val="nil"/>
            </w:tcBorders>
            <w:noWrap w:val="0"/>
            <w:vAlign w:val="center"/>
          </w:tcPr>
          <w:p w14:paraId="1065F07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生产车间</w:t>
            </w:r>
          </w:p>
        </w:tc>
        <w:tc>
          <w:tcPr>
            <w:tcW w:w="575" w:type="pct"/>
            <w:tcBorders>
              <w:tl2br w:val="nil"/>
              <w:tr2bl w:val="nil"/>
            </w:tcBorders>
            <w:noWrap w:val="0"/>
            <w:vAlign w:val="center"/>
          </w:tcPr>
          <w:p w14:paraId="5CBF36A5">
            <w:pPr>
              <w:pStyle w:val="35"/>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2台</w:t>
            </w:r>
            <w:r>
              <w:rPr>
                <w:rFonts w:hint="default" w:ascii="Times New Roman" w:hAnsi="Times New Roman" w:eastAsia="宋体" w:cs="Times New Roman"/>
                <w:color w:val="auto"/>
                <w:sz w:val="18"/>
                <w:szCs w:val="18"/>
              </w:rPr>
              <w:t>双轴无重力混合机</w:t>
            </w:r>
          </w:p>
        </w:tc>
        <w:tc>
          <w:tcPr>
            <w:tcW w:w="266" w:type="pct"/>
            <w:tcBorders>
              <w:tl2br w:val="nil"/>
              <w:tr2bl w:val="nil"/>
            </w:tcBorders>
            <w:noWrap w:val="0"/>
            <w:vAlign w:val="center"/>
          </w:tcPr>
          <w:p w14:paraId="2AE9430C">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88</w:t>
            </w:r>
          </w:p>
        </w:tc>
        <w:tc>
          <w:tcPr>
            <w:tcW w:w="639" w:type="pct"/>
            <w:tcBorders>
              <w:tl2br w:val="nil"/>
              <w:tr2bl w:val="nil"/>
            </w:tcBorders>
            <w:noWrap w:val="0"/>
            <w:vAlign w:val="center"/>
          </w:tcPr>
          <w:p w14:paraId="03DA213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减振+建筑物隔声</w:t>
            </w:r>
          </w:p>
        </w:tc>
        <w:tc>
          <w:tcPr>
            <w:tcW w:w="157" w:type="pct"/>
            <w:tcBorders>
              <w:tl2br w:val="nil"/>
              <w:tr2bl w:val="nil"/>
            </w:tcBorders>
            <w:noWrap w:val="0"/>
            <w:vAlign w:val="center"/>
          </w:tcPr>
          <w:p w14:paraId="28498E48">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61" w:type="pct"/>
            <w:tcBorders>
              <w:tl2br w:val="nil"/>
              <w:tr2bl w:val="nil"/>
            </w:tcBorders>
            <w:noWrap w:val="0"/>
            <w:vAlign w:val="center"/>
          </w:tcPr>
          <w:p w14:paraId="0BC50AA8">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5" w:type="pct"/>
            <w:tcBorders>
              <w:tl2br w:val="nil"/>
              <w:tr2bl w:val="nil"/>
            </w:tcBorders>
            <w:noWrap w:val="0"/>
            <w:vAlign w:val="center"/>
          </w:tcPr>
          <w:p w14:paraId="02A2CCA0">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144" w:type="pct"/>
            <w:tcBorders>
              <w:tl2br w:val="nil"/>
              <w:tr2bl w:val="nil"/>
            </w:tcBorders>
            <w:noWrap w:val="0"/>
            <w:vAlign w:val="center"/>
          </w:tcPr>
          <w:p w14:paraId="1F2ACFA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57</w:t>
            </w:r>
          </w:p>
        </w:tc>
        <w:tc>
          <w:tcPr>
            <w:tcW w:w="162" w:type="pct"/>
            <w:tcBorders>
              <w:tl2br w:val="nil"/>
              <w:tr2bl w:val="nil"/>
            </w:tcBorders>
            <w:noWrap w:val="0"/>
            <w:vAlign w:val="center"/>
          </w:tcPr>
          <w:p w14:paraId="4DD092EE">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51" w:type="pct"/>
            <w:tcBorders>
              <w:tl2br w:val="nil"/>
              <w:tr2bl w:val="nil"/>
            </w:tcBorders>
            <w:noWrap w:val="0"/>
            <w:vAlign w:val="center"/>
          </w:tcPr>
          <w:p w14:paraId="093010A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50" w:type="pct"/>
            <w:tcBorders>
              <w:tl2br w:val="nil"/>
              <w:tr2bl w:val="nil"/>
            </w:tcBorders>
            <w:noWrap w:val="0"/>
            <w:vAlign w:val="center"/>
          </w:tcPr>
          <w:p w14:paraId="3C25DAB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4" w:type="pct"/>
            <w:tcBorders>
              <w:tl2br w:val="nil"/>
              <w:tr2bl w:val="nil"/>
            </w:tcBorders>
            <w:noWrap w:val="0"/>
            <w:vAlign w:val="center"/>
          </w:tcPr>
          <w:p w14:paraId="3B41E451">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34.9 </w:t>
            </w:r>
          </w:p>
        </w:tc>
        <w:tc>
          <w:tcPr>
            <w:tcW w:w="144" w:type="pct"/>
            <w:tcBorders>
              <w:tl2br w:val="nil"/>
              <w:tr2bl w:val="nil"/>
            </w:tcBorders>
            <w:noWrap w:val="0"/>
            <w:vAlign w:val="center"/>
          </w:tcPr>
          <w:p w14:paraId="39CB0EA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42.0 </w:t>
            </w:r>
          </w:p>
        </w:tc>
        <w:tc>
          <w:tcPr>
            <w:tcW w:w="144" w:type="pct"/>
            <w:tcBorders>
              <w:tl2br w:val="nil"/>
              <w:tr2bl w:val="nil"/>
            </w:tcBorders>
            <w:noWrap w:val="0"/>
            <w:vAlign w:val="center"/>
          </w:tcPr>
          <w:p w14:paraId="6737D8B7">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50.0 </w:t>
            </w:r>
          </w:p>
        </w:tc>
        <w:tc>
          <w:tcPr>
            <w:tcW w:w="144" w:type="pct"/>
            <w:tcBorders>
              <w:tl2br w:val="nil"/>
              <w:tr2bl w:val="nil"/>
            </w:tcBorders>
            <w:noWrap w:val="0"/>
            <w:vAlign w:val="center"/>
          </w:tcPr>
          <w:p w14:paraId="5E98CF23">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42.0 </w:t>
            </w:r>
          </w:p>
        </w:tc>
        <w:tc>
          <w:tcPr>
            <w:tcW w:w="175" w:type="pct"/>
            <w:vMerge w:val="restart"/>
            <w:tcBorders>
              <w:tl2br w:val="nil"/>
              <w:tr2bl w:val="nil"/>
            </w:tcBorders>
            <w:noWrap w:val="0"/>
            <w:vAlign w:val="center"/>
          </w:tcPr>
          <w:p w14:paraId="0B48C16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1400h</w:t>
            </w:r>
          </w:p>
        </w:tc>
        <w:tc>
          <w:tcPr>
            <w:tcW w:w="144" w:type="pct"/>
            <w:tcBorders>
              <w:tl2br w:val="nil"/>
              <w:tr2bl w:val="nil"/>
            </w:tcBorders>
            <w:noWrap w:val="0"/>
            <w:vAlign w:val="center"/>
          </w:tcPr>
          <w:p w14:paraId="179AF4C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23" w:type="pct"/>
            <w:tcBorders>
              <w:tl2br w:val="nil"/>
              <w:tr2bl w:val="nil"/>
            </w:tcBorders>
            <w:noWrap w:val="0"/>
            <w:vAlign w:val="center"/>
          </w:tcPr>
          <w:p w14:paraId="22FE01FD">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33" w:type="pct"/>
            <w:tcBorders>
              <w:tl2br w:val="nil"/>
              <w:tr2bl w:val="nil"/>
            </w:tcBorders>
            <w:noWrap w:val="0"/>
            <w:vAlign w:val="center"/>
          </w:tcPr>
          <w:p w14:paraId="67E3008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1" w:type="pct"/>
            <w:tcBorders>
              <w:tl2br w:val="nil"/>
              <w:tr2bl w:val="nil"/>
            </w:tcBorders>
            <w:noWrap w:val="0"/>
            <w:vAlign w:val="center"/>
          </w:tcPr>
          <w:p w14:paraId="5C24D843">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69" w:type="pct"/>
            <w:tcBorders>
              <w:tl2br w:val="nil"/>
              <w:tr2bl w:val="nil"/>
            </w:tcBorders>
            <w:noWrap w:val="0"/>
            <w:vAlign w:val="center"/>
          </w:tcPr>
          <w:p w14:paraId="1DD5810A">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14.9 </w:t>
            </w:r>
          </w:p>
        </w:tc>
        <w:tc>
          <w:tcPr>
            <w:tcW w:w="179" w:type="pct"/>
            <w:tcBorders>
              <w:tl2br w:val="nil"/>
              <w:tr2bl w:val="nil"/>
            </w:tcBorders>
            <w:noWrap w:val="0"/>
            <w:vAlign w:val="center"/>
          </w:tcPr>
          <w:p w14:paraId="427D06E4">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22.0 </w:t>
            </w:r>
          </w:p>
        </w:tc>
        <w:tc>
          <w:tcPr>
            <w:tcW w:w="164" w:type="pct"/>
            <w:tcBorders>
              <w:tl2br w:val="nil"/>
              <w:tr2bl w:val="nil"/>
            </w:tcBorders>
            <w:noWrap w:val="0"/>
            <w:vAlign w:val="center"/>
          </w:tcPr>
          <w:p w14:paraId="6CF27C4E">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30.0 </w:t>
            </w:r>
          </w:p>
        </w:tc>
        <w:tc>
          <w:tcPr>
            <w:tcW w:w="192" w:type="pct"/>
            <w:tcBorders>
              <w:tl2br w:val="nil"/>
              <w:tr2bl w:val="nil"/>
            </w:tcBorders>
            <w:noWrap w:val="0"/>
            <w:vAlign w:val="center"/>
          </w:tcPr>
          <w:p w14:paraId="71C07FAB">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22.0 </w:t>
            </w:r>
          </w:p>
        </w:tc>
        <w:tc>
          <w:tcPr>
            <w:tcW w:w="170" w:type="pct"/>
            <w:tcBorders>
              <w:tl2br w:val="nil"/>
              <w:tr2bl w:val="nil"/>
            </w:tcBorders>
            <w:noWrap w:val="0"/>
            <w:vAlign w:val="center"/>
          </w:tcPr>
          <w:p w14:paraId="0ACE0BF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1BDA3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noWrap w:val="0"/>
            <w:vAlign w:val="center"/>
          </w:tcPr>
          <w:p w14:paraId="21ED3623">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23" w:type="pct"/>
            <w:vMerge w:val="continue"/>
            <w:tcBorders>
              <w:tl2br w:val="nil"/>
              <w:tr2bl w:val="nil"/>
            </w:tcBorders>
            <w:noWrap w:val="0"/>
            <w:vAlign w:val="center"/>
          </w:tcPr>
          <w:p w14:paraId="2001CC6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575" w:type="pct"/>
            <w:tcBorders>
              <w:tl2br w:val="nil"/>
              <w:tr2bl w:val="nil"/>
            </w:tcBorders>
            <w:noWrap w:val="0"/>
            <w:vAlign w:val="center"/>
          </w:tcPr>
          <w:p w14:paraId="4749690A">
            <w:pPr>
              <w:pStyle w:val="35"/>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1台空压机</w:t>
            </w:r>
          </w:p>
        </w:tc>
        <w:tc>
          <w:tcPr>
            <w:tcW w:w="266" w:type="pct"/>
            <w:tcBorders>
              <w:tl2br w:val="nil"/>
              <w:tr2bl w:val="nil"/>
            </w:tcBorders>
            <w:noWrap w:val="0"/>
            <w:vAlign w:val="center"/>
          </w:tcPr>
          <w:p w14:paraId="744F5769">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80</w:t>
            </w:r>
          </w:p>
        </w:tc>
        <w:tc>
          <w:tcPr>
            <w:tcW w:w="639" w:type="pct"/>
            <w:tcBorders>
              <w:tl2br w:val="nil"/>
              <w:tr2bl w:val="nil"/>
            </w:tcBorders>
            <w:noWrap w:val="0"/>
            <w:vAlign w:val="center"/>
          </w:tcPr>
          <w:p w14:paraId="7AEA0DA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减振+建筑物隔声</w:t>
            </w:r>
          </w:p>
        </w:tc>
        <w:tc>
          <w:tcPr>
            <w:tcW w:w="157" w:type="pct"/>
            <w:tcBorders>
              <w:tl2br w:val="nil"/>
              <w:tr2bl w:val="nil"/>
            </w:tcBorders>
            <w:noWrap w:val="0"/>
            <w:vAlign w:val="center"/>
          </w:tcPr>
          <w:p w14:paraId="087A2E1D">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61" w:type="pct"/>
            <w:tcBorders>
              <w:tl2br w:val="nil"/>
              <w:tr2bl w:val="nil"/>
            </w:tcBorders>
            <w:noWrap w:val="0"/>
            <w:vAlign w:val="center"/>
          </w:tcPr>
          <w:p w14:paraId="3A1E85F9">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5" w:type="pct"/>
            <w:tcBorders>
              <w:tl2br w:val="nil"/>
              <w:tr2bl w:val="nil"/>
            </w:tcBorders>
            <w:noWrap w:val="0"/>
            <w:vAlign w:val="center"/>
          </w:tcPr>
          <w:p w14:paraId="4BA6EE93">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144" w:type="pct"/>
            <w:tcBorders>
              <w:tl2br w:val="nil"/>
              <w:tr2bl w:val="nil"/>
            </w:tcBorders>
            <w:noWrap w:val="0"/>
            <w:vAlign w:val="center"/>
          </w:tcPr>
          <w:p w14:paraId="3018446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57</w:t>
            </w:r>
          </w:p>
        </w:tc>
        <w:tc>
          <w:tcPr>
            <w:tcW w:w="162" w:type="pct"/>
            <w:tcBorders>
              <w:tl2br w:val="nil"/>
              <w:tr2bl w:val="nil"/>
            </w:tcBorders>
            <w:noWrap w:val="0"/>
            <w:vAlign w:val="center"/>
          </w:tcPr>
          <w:p w14:paraId="2D00F5C3">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51" w:type="pct"/>
            <w:tcBorders>
              <w:tl2br w:val="nil"/>
              <w:tr2bl w:val="nil"/>
            </w:tcBorders>
            <w:noWrap w:val="0"/>
            <w:vAlign w:val="center"/>
          </w:tcPr>
          <w:p w14:paraId="0415130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50" w:type="pct"/>
            <w:tcBorders>
              <w:tl2br w:val="nil"/>
              <w:tr2bl w:val="nil"/>
            </w:tcBorders>
            <w:noWrap w:val="0"/>
            <w:vAlign w:val="center"/>
          </w:tcPr>
          <w:p w14:paraId="7736698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4" w:type="pct"/>
            <w:tcBorders>
              <w:tl2br w:val="nil"/>
              <w:tr2bl w:val="nil"/>
            </w:tcBorders>
            <w:noWrap w:val="0"/>
            <w:vAlign w:val="center"/>
          </w:tcPr>
          <w:p w14:paraId="13F82C31">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42.9 </w:t>
            </w:r>
          </w:p>
        </w:tc>
        <w:tc>
          <w:tcPr>
            <w:tcW w:w="144" w:type="pct"/>
            <w:tcBorders>
              <w:tl2br w:val="nil"/>
              <w:tr2bl w:val="nil"/>
            </w:tcBorders>
            <w:noWrap w:val="0"/>
            <w:vAlign w:val="center"/>
          </w:tcPr>
          <w:p w14:paraId="5BD70CB5">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50.0 </w:t>
            </w:r>
          </w:p>
        </w:tc>
        <w:tc>
          <w:tcPr>
            <w:tcW w:w="144" w:type="pct"/>
            <w:tcBorders>
              <w:tl2br w:val="nil"/>
              <w:tr2bl w:val="nil"/>
            </w:tcBorders>
            <w:noWrap w:val="0"/>
            <w:vAlign w:val="center"/>
          </w:tcPr>
          <w:p w14:paraId="7D0C4CA1">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58.0 </w:t>
            </w:r>
          </w:p>
        </w:tc>
        <w:tc>
          <w:tcPr>
            <w:tcW w:w="144" w:type="pct"/>
            <w:tcBorders>
              <w:tl2br w:val="nil"/>
              <w:tr2bl w:val="nil"/>
            </w:tcBorders>
            <w:noWrap w:val="0"/>
            <w:vAlign w:val="center"/>
          </w:tcPr>
          <w:p w14:paraId="2FCEB9C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50.0 </w:t>
            </w:r>
          </w:p>
        </w:tc>
        <w:tc>
          <w:tcPr>
            <w:tcW w:w="175" w:type="pct"/>
            <w:vMerge w:val="continue"/>
            <w:tcBorders>
              <w:tl2br w:val="nil"/>
              <w:tr2bl w:val="nil"/>
            </w:tcBorders>
            <w:noWrap w:val="0"/>
            <w:vAlign w:val="center"/>
          </w:tcPr>
          <w:p w14:paraId="2C4383AC">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144" w:type="pct"/>
            <w:tcBorders>
              <w:tl2br w:val="nil"/>
              <w:tr2bl w:val="nil"/>
            </w:tcBorders>
            <w:noWrap w:val="0"/>
            <w:vAlign w:val="center"/>
          </w:tcPr>
          <w:p w14:paraId="0851644E">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23" w:type="pct"/>
            <w:tcBorders>
              <w:tl2br w:val="nil"/>
              <w:tr2bl w:val="nil"/>
            </w:tcBorders>
            <w:noWrap w:val="0"/>
            <w:vAlign w:val="center"/>
          </w:tcPr>
          <w:p w14:paraId="33A9EBF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33" w:type="pct"/>
            <w:tcBorders>
              <w:tl2br w:val="nil"/>
              <w:tr2bl w:val="nil"/>
            </w:tcBorders>
            <w:noWrap w:val="0"/>
            <w:vAlign w:val="center"/>
          </w:tcPr>
          <w:p w14:paraId="059708D0">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41" w:type="pct"/>
            <w:tcBorders>
              <w:tl2br w:val="nil"/>
              <w:tr2bl w:val="nil"/>
            </w:tcBorders>
            <w:noWrap w:val="0"/>
            <w:vAlign w:val="center"/>
          </w:tcPr>
          <w:p w14:paraId="08B987FD">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69" w:type="pct"/>
            <w:tcBorders>
              <w:tl2br w:val="nil"/>
              <w:tr2bl w:val="nil"/>
            </w:tcBorders>
            <w:noWrap w:val="0"/>
            <w:vAlign w:val="center"/>
          </w:tcPr>
          <w:p w14:paraId="734319CE">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22.9 </w:t>
            </w:r>
          </w:p>
        </w:tc>
        <w:tc>
          <w:tcPr>
            <w:tcW w:w="179" w:type="pct"/>
            <w:tcBorders>
              <w:tl2br w:val="nil"/>
              <w:tr2bl w:val="nil"/>
            </w:tcBorders>
            <w:noWrap w:val="0"/>
            <w:vAlign w:val="center"/>
          </w:tcPr>
          <w:p w14:paraId="35C23041">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30.0 </w:t>
            </w:r>
          </w:p>
        </w:tc>
        <w:tc>
          <w:tcPr>
            <w:tcW w:w="164" w:type="pct"/>
            <w:tcBorders>
              <w:tl2br w:val="nil"/>
              <w:tr2bl w:val="nil"/>
            </w:tcBorders>
            <w:noWrap w:val="0"/>
            <w:vAlign w:val="center"/>
          </w:tcPr>
          <w:p w14:paraId="4FAEF602">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38.0 </w:t>
            </w:r>
          </w:p>
        </w:tc>
        <w:tc>
          <w:tcPr>
            <w:tcW w:w="192" w:type="pct"/>
            <w:tcBorders>
              <w:tl2br w:val="nil"/>
              <w:tr2bl w:val="nil"/>
            </w:tcBorders>
            <w:noWrap w:val="0"/>
            <w:vAlign w:val="center"/>
          </w:tcPr>
          <w:p w14:paraId="7B162BEB">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30.0 </w:t>
            </w:r>
          </w:p>
        </w:tc>
        <w:tc>
          <w:tcPr>
            <w:tcW w:w="170" w:type="pct"/>
            <w:tcBorders>
              <w:tl2br w:val="nil"/>
              <w:tr2bl w:val="nil"/>
            </w:tcBorders>
            <w:noWrap w:val="0"/>
            <w:vAlign w:val="center"/>
          </w:tcPr>
          <w:p w14:paraId="4C8673D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7B173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noWrap w:val="0"/>
            <w:vAlign w:val="center"/>
          </w:tcPr>
          <w:p w14:paraId="6868C0E8">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23" w:type="pct"/>
            <w:vMerge w:val="continue"/>
            <w:tcBorders>
              <w:tl2br w:val="nil"/>
              <w:tr2bl w:val="nil"/>
            </w:tcBorders>
            <w:noWrap w:val="0"/>
            <w:vAlign w:val="center"/>
          </w:tcPr>
          <w:p w14:paraId="362CE5B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575" w:type="pct"/>
            <w:tcBorders>
              <w:tl2br w:val="nil"/>
              <w:tr2bl w:val="nil"/>
            </w:tcBorders>
            <w:noWrap w:val="0"/>
            <w:vAlign w:val="center"/>
          </w:tcPr>
          <w:p w14:paraId="79A73518">
            <w:pPr>
              <w:keepNext w:val="0"/>
              <w:keepLines w:val="0"/>
              <w:pageBreakBefore w:val="0"/>
              <w:widowControl w:val="0"/>
              <w:kinsoku/>
              <w:wordWrap/>
              <w:overflowPunct w:val="0"/>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9台螺旋输送机</w:t>
            </w:r>
          </w:p>
        </w:tc>
        <w:tc>
          <w:tcPr>
            <w:tcW w:w="266" w:type="pct"/>
            <w:tcBorders>
              <w:tl2br w:val="nil"/>
              <w:tr2bl w:val="nil"/>
            </w:tcBorders>
            <w:noWrap w:val="0"/>
            <w:vAlign w:val="center"/>
          </w:tcPr>
          <w:p w14:paraId="043884F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78</w:t>
            </w:r>
          </w:p>
        </w:tc>
        <w:tc>
          <w:tcPr>
            <w:tcW w:w="639" w:type="pct"/>
            <w:tcBorders>
              <w:tl2br w:val="nil"/>
              <w:tr2bl w:val="nil"/>
            </w:tcBorders>
            <w:noWrap w:val="0"/>
            <w:vAlign w:val="center"/>
          </w:tcPr>
          <w:p w14:paraId="2ED7360F">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减振+建筑物隔声</w:t>
            </w:r>
          </w:p>
        </w:tc>
        <w:tc>
          <w:tcPr>
            <w:tcW w:w="157" w:type="pct"/>
            <w:tcBorders>
              <w:tl2br w:val="nil"/>
              <w:tr2bl w:val="nil"/>
            </w:tcBorders>
            <w:noWrap w:val="0"/>
            <w:vAlign w:val="center"/>
          </w:tcPr>
          <w:p w14:paraId="7E49757E">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61" w:type="pct"/>
            <w:tcBorders>
              <w:tl2br w:val="nil"/>
              <w:tr2bl w:val="nil"/>
            </w:tcBorders>
            <w:noWrap w:val="0"/>
            <w:vAlign w:val="center"/>
          </w:tcPr>
          <w:p w14:paraId="2CFA2B1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5" w:type="pct"/>
            <w:tcBorders>
              <w:tl2br w:val="nil"/>
              <w:tr2bl w:val="nil"/>
            </w:tcBorders>
            <w:noWrap w:val="0"/>
            <w:vAlign w:val="center"/>
          </w:tcPr>
          <w:p w14:paraId="6A0AFE5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44" w:type="pct"/>
            <w:tcBorders>
              <w:tl2br w:val="nil"/>
              <w:tr2bl w:val="nil"/>
            </w:tcBorders>
            <w:noWrap w:val="0"/>
            <w:vAlign w:val="center"/>
          </w:tcPr>
          <w:p w14:paraId="6CB22F0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57</w:t>
            </w:r>
          </w:p>
        </w:tc>
        <w:tc>
          <w:tcPr>
            <w:tcW w:w="162" w:type="pct"/>
            <w:tcBorders>
              <w:tl2br w:val="nil"/>
              <w:tr2bl w:val="nil"/>
            </w:tcBorders>
            <w:noWrap w:val="0"/>
            <w:vAlign w:val="center"/>
          </w:tcPr>
          <w:p w14:paraId="751B37EC">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51" w:type="pct"/>
            <w:tcBorders>
              <w:tl2br w:val="nil"/>
              <w:tr2bl w:val="nil"/>
            </w:tcBorders>
            <w:noWrap w:val="0"/>
            <w:vAlign w:val="center"/>
          </w:tcPr>
          <w:p w14:paraId="3DC8ACE9">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50" w:type="pct"/>
            <w:tcBorders>
              <w:tl2br w:val="nil"/>
              <w:tr2bl w:val="nil"/>
            </w:tcBorders>
            <w:noWrap w:val="0"/>
            <w:vAlign w:val="center"/>
          </w:tcPr>
          <w:p w14:paraId="15228FD0">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4" w:type="pct"/>
            <w:tcBorders>
              <w:tl2br w:val="nil"/>
              <w:tr2bl w:val="nil"/>
            </w:tcBorders>
            <w:noWrap w:val="0"/>
            <w:vAlign w:val="center"/>
          </w:tcPr>
          <w:p w14:paraId="5B6EEFCA">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42.9 </w:t>
            </w:r>
          </w:p>
        </w:tc>
        <w:tc>
          <w:tcPr>
            <w:tcW w:w="144" w:type="pct"/>
            <w:tcBorders>
              <w:tl2br w:val="nil"/>
              <w:tr2bl w:val="nil"/>
            </w:tcBorders>
            <w:noWrap w:val="0"/>
            <w:vAlign w:val="center"/>
          </w:tcPr>
          <w:p w14:paraId="1A5F5BD4">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50.0 </w:t>
            </w:r>
          </w:p>
        </w:tc>
        <w:tc>
          <w:tcPr>
            <w:tcW w:w="144" w:type="pct"/>
            <w:tcBorders>
              <w:tl2br w:val="nil"/>
              <w:tr2bl w:val="nil"/>
            </w:tcBorders>
            <w:noWrap w:val="0"/>
            <w:vAlign w:val="center"/>
          </w:tcPr>
          <w:p w14:paraId="7D8C0E4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58.0 </w:t>
            </w:r>
          </w:p>
        </w:tc>
        <w:tc>
          <w:tcPr>
            <w:tcW w:w="144" w:type="pct"/>
            <w:tcBorders>
              <w:tl2br w:val="nil"/>
              <w:tr2bl w:val="nil"/>
            </w:tcBorders>
            <w:noWrap w:val="0"/>
            <w:vAlign w:val="center"/>
          </w:tcPr>
          <w:p w14:paraId="28699F88">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50.0 </w:t>
            </w:r>
          </w:p>
        </w:tc>
        <w:tc>
          <w:tcPr>
            <w:tcW w:w="175" w:type="pct"/>
            <w:vMerge w:val="continue"/>
            <w:tcBorders>
              <w:tl2br w:val="nil"/>
              <w:tr2bl w:val="nil"/>
            </w:tcBorders>
            <w:noWrap w:val="0"/>
            <w:vAlign w:val="center"/>
          </w:tcPr>
          <w:p w14:paraId="2E18CD1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144" w:type="pct"/>
            <w:tcBorders>
              <w:tl2br w:val="nil"/>
              <w:tr2bl w:val="nil"/>
            </w:tcBorders>
            <w:noWrap w:val="0"/>
            <w:vAlign w:val="center"/>
          </w:tcPr>
          <w:p w14:paraId="18BB193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23" w:type="pct"/>
            <w:tcBorders>
              <w:tl2br w:val="nil"/>
              <w:tr2bl w:val="nil"/>
            </w:tcBorders>
            <w:noWrap w:val="0"/>
            <w:vAlign w:val="center"/>
          </w:tcPr>
          <w:p w14:paraId="33395D6D">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33" w:type="pct"/>
            <w:tcBorders>
              <w:tl2br w:val="nil"/>
              <w:tr2bl w:val="nil"/>
            </w:tcBorders>
            <w:noWrap w:val="0"/>
            <w:vAlign w:val="center"/>
          </w:tcPr>
          <w:p w14:paraId="308287A8">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41" w:type="pct"/>
            <w:tcBorders>
              <w:tl2br w:val="nil"/>
              <w:tr2bl w:val="nil"/>
            </w:tcBorders>
            <w:noWrap w:val="0"/>
            <w:vAlign w:val="center"/>
          </w:tcPr>
          <w:p w14:paraId="327300C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69" w:type="pct"/>
            <w:tcBorders>
              <w:tl2br w:val="nil"/>
              <w:tr2bl w:val="nil"/>
            </w:tcBorders>
            <w:noWrap w:val="0"/>
            <w:vAlign w:val="center"/>
          </w:tcPr>
          <w:p w14:paraId="08AB3494">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22.9 </w:t>
            </w:r>
          </w:p>
        </w:tc>
        <w:tc>
          <w:tcPr>
            <w:tcW w:w="179" w:type="pct"/>
            <w:tcBorders>
              <w:tl2br w:val="nil"/>
              <w:tr2bl w:val="nil"/>
            </w:tcBorders>
            <w:noWrap w:val="0"/>
            <w:vAlign w:val="center"/>
          </w:tcPr>
          <w:p w14:paraId="70E3F702">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30.0 </w:t>
            </w:r>
          </w:p>
        </w:tc>
        <w:tc>
          <w:tcPr>
            <w:tcW w:w="164" w:type="pct"/>
            <w:tcBorders>
              <w:tl2br w:val="nil"/>
              <w:tr2bl w:val="nil"/>
            </w:tcBorders>
            <w:noWrap w:val="0"/>
            <w:vAlign w:val="center"/>
          </w:tcPr>
          <w:p w14:paraId="75C3261F">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38.0 </w:t>
            </w:r>
          </w:p>
        </w:tc>
        <w:tc>
          <w:tcPr>
            <w:tcW w:w="192" w:type="pct"/>
            <w:tcBorders>
              <w:tl2br w:val="nil"/>
              <w:tr2bl w:val="nil"/>
            </w:tcBorders>
            <w:noWrap w:val="0"/>
            <w:vAlign w:val="center"/>
          </w:tcPr>
          <w:p w14:paraId="5A5B04B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30.0 </w:t>
            </w:r>
          </w:p>
        </w:tc>
        <w:tc>
          <w:tcPr>
            <w:tcW w:w="170" w:type="pct"/>
            <w:tcBorders>
              <w:tl2br w:val="nil"/>
              <w:tr2bl w:val="nil"/>
            </w:tcBorders>
            <w:noWrap w:val="0"/>
            <w:vAlign w:val="center"/>
          </w:tcPr>
          <w:p w14:paraId="61DA5E93">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DAA0E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3" w:hRule="atLeast"/>
          <w:jc w:val="center"/>
        </w:trPr>
        <w:tc>
          <w:tcPr>
            <w:tcW w:w="149" w:type="pct"/>
            <w:tcBorders>
              <w:tl2br w:val="nil"/>
              <w:tr2bl w:val="nil"/>
            </w:tcBorders>
            <w:noWrap w:val="0"/>
            <w:vAlign w:val="center"/>
          </w:tcPr>
          <w:p w14:paraId="382BF05F">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23" w:type="pct"/>
            <w:vMerge w:val="continue"/>
            <w:tcBorders>
              <w:tl2br w:val="nil"/>
              <w:tr2bl w:val="nil"/>
            </w:tcBorders>
            <w:noWrap w:val="0"/>
            <w:vAlign w:val="center"/>
          </w:tcPr>
          <w:p w14:paraId="3FA9D3DE">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575" w:type="pct"/>
            <w:tcBorders>
              <w:tl2br w:val="nil"/>
              <w:tr2bl w:val="nil"/>
            </w:tcBorders>
            <w:noWrap w:val="0"/>
            <w:vAlign w:val="center"/>
          </w:tcPr>
          <w:p w14:paraId="5E1723F9">
            <w:pPr>
              <w:pStyle w:val="35"/>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8台除尘器</w:t>
            </w:r>
          </w:p>
        </w:tc>
        <w:tc>
          <w:tcPr>
            <w:tcW w:w="266" w:type="pct"/>
            <w:tcBorders>
              <w:tl2br w:val="nil"/>
              <w:tr2bl w:val="nil"/>
            </w:tcBorders>
            <w:noWrap w:val="0"/>
            <w:vAlign w:val="center"/>
          </w:tcPr>
          <w:p w14:paraId="4A92540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78</w:t>
            </w:r>
          </w:p>
        </w:tc>
        <w:tc>
          <w:tcPr>
            <w:tcW w:w="639" w:type="pct"/>
            <w:tcBorders>
              <w:tl2br w:val="nil"/>
              <w:tr2bl w:val="nil"/>
            </w:tcBorders>
            <w:noWrap w:val="0"/>
            <w:vAlign w:val="center"/>
          </w:tcPr>
          <w:p w14:paraId="3E726F93">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减振+建筑物隔声</w:t>
            </w:r>
          </w:p>
        </w:tc>
        <w:tc>
          <w:tcPr>
            <w:tcW w:w="157" w:type="pct"/>
            <w:tcBorders>
              <w:tl2br w:val="nil"/>
              <w:tr2bl w:val="nil"/>
            </w:tcBorders>
            <w:noWrap w:val="0"/>
            <w:vAlign w:val="center"/>
          </w:tcPr>
          <w:p w14:paraId="798E04D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61" w:type="pct"/>
            <w:tcBorders>
              <w:tl2br w:val="nil"/>
              <w:tr2bl w:val="nil"/>
            </w:tcBorders>
            <w:noWrap w:val="0"/>
            <w:vAlign w:val="center"/>
          </w:tcPr>
          <w:p w14:paraId="098BD48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5" w:type="pct"/>
            <w:tcBorders>
              <w:tl2br w:val="nil"/>
              <w:tr2bl w:val="nil"/>
            </w:tcBorders>
            <w:noWrap w:val="0"/>
            <w:vAlign w:val="center"/>
          </w:tcPr>
          <w:p w14:paraId="29236387">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w:t>
            </w:r>
          </w:p>
        </w:tc>
        <w:tc>
          <w:tcPr>
            <w:tcW w:w="144" w:type="pct"/>
            <w:tcBorders>
              <w:tl2br w:val="nil"/>
              <w:tr2bl w:val="nil"/>
            </w:tcBorders>
            <w:noWrap w:val="0"/>
            <w:vAlign w:val="center"/>
          </w:tcPr>
          <w:p w14:paraId="1FDC137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57</w:t>
            </w:r>
          </w:p>
        </w:tc>
        <w:tc>
          <w:tcPr>
            <w:tcW w:w="162" w:type="pct"/>
            <w:tcBorders>
              <w:tl2br w:val="nil"/>
              <w:tr2bl w:val="nil"/>
            </w:tcBorders>
            <w:noWrap w:val="0"/>
            <w:vAlign w:val="center"/>
          </w:tcPr>
          <w:p w14:paraId="491F589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51" w:type="pct"/>
            <w:tcBorders>
              <w:tl2br w:val="nil"/>
              <w:tr2bl w:val="nil"/>
            </w:tcBorders>
            <w:noWrap w:val="0"/>
            <w:vAlign w:val="center"/>
          </w:tcPr>
          <w:p w14:paraId="7CEE1BF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50" w:type="pct"/>
            <w:tcBorders>
              <w:tl2br w:val="nil"/>
              <w:tr2bl w:val="nil"/>
            </w:tcBorders>
            <w:noWrap w:val="0"/>
            <w:vAlign w:val="center"/>
          </w:tcPr>
          <w:p w14:paraId="22BC8F1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4" w:type="pct"/>
            <w:tcBorders>
              <w:tl2br w:val="nil"/>
              <w:tr2bl w:val="nil"/>
            </w:tcBorders>
            <w:noWrap w:val="0"/>
            <w:vAlign w:val="center"/>
          </w:tcPr>
          <w:p w14:paraId="75900CB2">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49.7 </w:t>
            </w:r>
          </w:p>
        </w:tc>
        <w:tc>
          <w:tcPr>
            <w:tcW w:w="144" w:type="pct"/>
            <w:tcBorders>
              <w:tl2br w:val="nil"/>
              <w:tr2bl w:val="nil"/>
            </w:tcBorders>
            <w:noWrap w:val="0"/>
            <w:vAlign w:val="center"/>
          </w:tcPr>
          <w:p w14:paraId="5383364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56.8 </w:t>
            </w:r>
          </w:p>
        </w:tc>
        <w:tc>
          <w:tcPr>
            <w:tcW w:w="144" w:type="pct"/>
            <w:tcBorders>
              <w:tl2br w:val="nil"/>
              <w:tr2bl w:val="nil"/>
            </w:tcBorders>
            <w:noWrap w:val="0"/>
            <w:vAlign w:val="center"/>
          </w:tcPr>
          <w:p w14:paraId="4F39AEA0">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64.8 </w:t>
            </w:r>
          </w:p>
        </w:tc>
        <w:tc>
          <w:tcPr>
            <w:tcW w:w="144" w:type="pct"/>
            <w:tcBorders>
              <w:tl2br w:val="nil"/>
              <w:tr2bl w:val="nil"/>
            </w:tcBorders>
            <w:noWrap w:val="0"/>
            <w:vAlign w:val="center"/>
          </w:tcPr>
          <w:p w14:paraId="49730508">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56.8 </w:t>
            </w:r>
          </w:p>
        </w:tc>
        <w:tc>
          <w:tcPr>
            <w:tcW w:w="175" w:type="pct"/>
            <w:vMerge w:val="continue"/>
            <w:tcBorders>
              <w:tl2br w:val="nil"/>
              <w:tr2bl w:val="nil"/>
            </w:tcBorders>
            <w:noWrap w:val="0"/>
            <w:vAlign w:val="center"/>
          </w:tcPr>
          <w:p w14:paraId="7374FD8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144" w:type="pct"/>
            <w:tcBorders>
              <w:tl2br w:val="nil"/>
              <w:tr2bl w:val="nil"/>
            </w:tcBorders>
            <w:noWrap w:val="0"/>
            <w:vAlign w:val="center"/>
          </w:tcPr>
          <w:p w14:paraId="2783613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23" w:type="pct"/>
            <w:tcBorders>
              <w:tl2br w:val="nil"/>
              <w:tr2bl w:val="nil"/>
            </w:tcBorders>
            <w:noWrap w:val="0"/>
            <w:vAlign w:val="center"/>
          </w:tcPr>
          <w:p w14:paraId="617B8C9B">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33" w:type="pct"/>
            <w:tcBorders>
              <w:tl2br w:val="nil"/>
              <w:tr2bl w:val="nil"/>
            </w:tcBorders>
            <w:noWrap w:val="0"/>
            <w:vAlign w:val="center"/>
          </w:tcPr>
          <w:p w14:paraId="6903BE4E">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41" w:type="pct"/>
            <w:tcBorders>
              <w:tl2br w:val="nil"/>
              <w:tr2bl w:val="nil"/>
            </w:tcBorders>
            <w:noWrap w:val="0"/>
            <w:vAlign w:val="center"/>
          </w:tcPr>
          <w:p w14:paraId="1E7507D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69" w:type="pct"/>
            <w:tcBorders>
              <w:tl2br w:val="nil"/>
              <w:tr2bl w:val="nil"/>
            </w:tcBorders>
            <w:noWrap w:val="0"/>
            <w:vAlign w:val="center"/>
          </w:tcPr>
          <w:p w14:paraId="725955B2">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29.7 </w:t>
            </w:r>
          </w:p>
        </w:tc>
        <w:tc>
          <w:tcPr>
            <w:tcW w:w="179" w:type="pct"/>
            <w:tcBorders>
              <w:tl2br w:val="nil"/>
              <w:tr2bl w:val="nil"/>
            </w:tcBorders>
            <w:noWrap w:val="0"/>
            <w:vAlign w:val="center"/>
          </w:tcPr>
          <w:p w14:paraId="102298CF">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36.8 </w:t>
            </w:r>
          </w:p>
        </w:tc>
        <w:tc>
          <w:tcPr>
            <w:tcW w:w="164" w:type="pct"/>
            <w:tcBorders>
              <w:tl2br w:val="nil"/>
              <w:tr2bl w:val="nil"/>
            </w:tcBorders>
            <w:noWrap w:val="0"/>
            <w:vAlign w:val="center"/>
          </w:tcPr>
          <w:p w14:paraId="027DE7D4">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44.8 </w:t>
            </w:r>
          </w:p>
        </w:tc>
        <w:tc>
          <w:tcPr>
            <w:tcW w:w="192" w:type="pct"/>
            <w:tcBorders>
              <w:tl2br w:val="nil"/>
              <w:tr2bl w:val="nil"/>
            </w:tcBorders>
            <w:noWrap w:val="0"/>
            <w:vAlign w:val="center"/>
          </w:tcPr>
          <w:p w14:paraId="281F6C12">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36.8 </w:t>
            </w:r>
          </w:p>
        </w:tc>
        <w:tc>
          <w:tcPr>
            <w:tcW w:w="170" w:type="pct"/>
            <w:tcBorders>
              <w:tl2br w:val="nil"/>
              <w:tr2bl w:val="nil"/>
            </w:tcBorders>
            <w:noWrap w:val="0"/>
            <w:vAlign w:val="center"/>
          </w:tcPr>
          <w:p w14:paraId="33A9141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33E25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noWrap w:val="0"/>
            <w:vAlign w:val="center"/>
          </w:tcPr>
          <w:p w14:paraId="6195C987">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123" w:type="pct"/>
            <w:vMerge w:val="continue"/>
            <w:tcBorders>
              <w:tl2br w:val="nil"/>
              <w:tr2bl w:val="nil"/>
            </w:tcBorders>
            <w:noWrap w:val="0"/>
            <w:vAlign w:val="center"/>
          </w:tcPr>
          <w:p w14:paraId="0A84AD6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575" w:type="pct"/>
            <w:tcBorders>
              <w:tl2br w:val="nil"/>
              <w:tr2bl w:val="nil"/>
            </w:tcBorders>
            <w:noWrap w:val="0"/>
            <w:vAlign w:val="center"/>
          </w:tcPr>
          <w:p w14:paraId="1153E839">
            <w:pPr>
              <w:pStyle w:val="35"/>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2台配料输送机</w:t>
            </w:r>
          </w:p>
        </w:tc>
        <w:tc>
          <w:tcPr>
            <w:tcW w:w="266" w:type="pct"/>
            <w:tcBorders>
              <w:tl2br w:val="nil"/>
              <w:tr2bl w:val="nil"/>
            </w:tcBorders>
            <w:noWrap w:val="0"/>
            <w:vAlign w:val="center"/>
          </w:tcPr>
          <w:p w14:paraId="2FE1C59E">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73</w:t>
            </w:r>
          </w:p>
        </w:tc>
        <w:tc>
          <w:tcPr>
            <w:tcW w:w="639" w:type="pct"/>
            <w:tcBorders>
              <w:tl2br w:val="nil"/>
              <w:tr2bl w:val="nil"/>
            </w:tcBorders>
            <w:noWrap w:val="0"/>
            <w:vAlign w:val="center"/>
          </w:tcPr>
          <w:p w14:paraId="6DC51BBD">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减振+建筑物隔声</w:t>
            </w:r>
          </w:p>
        </w:tc>
        <w:tc>
          <w:tcPr>
            <w:tcW w:w="157" w:type="pct"/>
            <w:tcBorders>
              <w:tl2br w:val="nil"/>
              <w:tr2bl w:val="nil"/>
            </w:tcBorders>
            <w:noWrap w:val="0"/>
            <w:vAlign w:val="center"/>
          </w:tcPr>
          <w:p w14:paraId="2329DC39">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61" w:type="pct"/>
            <w:tcBorders>
              <w:tl2br w:val="nil"/>
              <w:tr2bl w:val="nil"/>
            </w:tcBorders>
            <w:noWrap w:val="0"/>
            <w:vAlign w:val="center"/>
          </w:tcPr>
          <w:p w14:paraId="3103F140">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5" w:type="pct"/>
            <w:tcBorders>
              <w:tl2br w:val="nil"/>
              <w:tr2bl w:val="nil"/>
            </w:tcBorders>
            <w:noWrap w:val="0"/>
            <w:vAlign w:val="center"/>
          </w:tcPr>
          <w:p w14:paraId="062FB1FF">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144" w:type="pct"/>
            <w:tcBorders>
              <w:tl2br w:val="nil"/>
              <w:tr2bl w:val="nil"/>
            </w:tcBorders>
            <w:noWrap w:val="0"/>
            <w:vAlign w:val="center"/>
          </w:tcPr>
          <w:p w14:paraId="59F72179">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57</w:t>
            </w:r>
          </w:p>
        </w:tc>
        <w:tc>
          <w:tcPr>
            <w:tcW w:w="162" w:type="pct"/>
            <w:tcBorders>
              <w:tl2br w:val="nil"/>
              <w:tr2bl w:val="nil"/>
            </w:tcBorders>
            <w:noWrap w:val="0"/>
            <w:vAlign w:val="center"/>
          </w:tcPr>
          <w:p w14:paraId="3298BFDA">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51" w:type="pct"/>
            <w:tcBorders>
              <w:tl2br w:val="nil"/>
              <w:tr2bl w:val="nil"/>
            </w:tcBorders>
            <w:noWrap w:val="0"/>
            <w:vAlign w:val="center"/>
          </w:tcPr>
          <w:p w14:paraId="7F488E73">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50" w:type="pct"/>
            <w:tcBorders>
              <w:tl2br w:val="nil"/>
              <w:tr2bl w:val="nil"/>
            </w:tcBorders>
            <w:noWrap w:val="0"/>
            <w:vAlign w:val="center"/>
          </w:tcPr>
          <w:p w14:paraId="6F384B10">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144" w:type="pct"/>
            <w:tcBorders>
              <w:tl2br w:val="nil"/>
              <w:tr2bl w:val="nil"/>
            </w:tcBorders>
            <w:noWrap w:val="0"/>
            <w:vAlign w:val="center"/>
          </w:tcPr>
          <w:p w14:paraId="0A56C5C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42.9 </w:t>
            </w:r>
          </w:p>
        </w:tc>
        <w:tc>
          <w:tcPr>
            <w:tcW w:w="144" w:type="pct"/>
            <w:tcBorders>
              <w:tl2br w:val="nil"/>
              <w:tr2bl w:val="nil"/>
            </w:tcBorders>
            <w:noWrap w:val="0"/>
            <w:vAlign w:val="center"/>
          </w:tcPr>
          <w:p w14:paraId="70E08DF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50.0 </w:t>
            </w:r>
          </w:p>
        </w:tc>
        <w:tc>
          <w:tcPr>
            <w:tcW w:w="144" w:type="pct"/>
            <w:tcBorders>
              <w:tl2br w:val="nil"/>
              <w:tr2bl w:val="nil"/>
            </w:tcBorders>
            <w:noWrap w:val="0"/>
            <w:vAlign w:val="center"/>
          </w:tcPr>
          <w:p w14:paraId="3DA468D0">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58.0 </w:t>
            </w:r>
          </w:p>
        </w:tc>
        <w:tc>
          <w:tcPr>
            <w:tcW w:w="144" w:type="pct"/>
            <w:tcBorders>
              <w:tl2br w:val="nil"/>
              <w:tr2bl w:val="nil"/>
            </w:tcBorders>
            <w:noWrap w:val="0"/>
            <w:vAlign w:val="center"/>
          </w:tcPr>
          <w:p w14:paraId="7B0AE88E">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50.0 </w:t>
            </w:r>
          </w:p>
        </w:tc>
        <w:tc>
          <w:tcPr>
            <w:tcW w:w="175" w:type="pct"/>
            <w:vMerge w:val="continue"/>
            <w:tcBorders>
              <w:tl2br w:val="nil"/>
              <w:tr2bl w:val="nil"/>
            </w:tcBorders>
            <w:noWrap w:val="0"/>
            <w:vAlign w:val="center"/>
          </w:tcPr>
          <w:p w14:paraId="41FDD59E">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144" w:type="pct"/>
            <w:tcBorders>
              <w:tl2br w:val="nil"/>
              <w:tr2bl w:val="nil"/>
            </w:tcBorders>
            <w:noWrap w:val="0"/>
            <w:vAlign w:val="center"/>
          </w:tcPr>
          <w:p w14:paraId="1AAB475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23" w:type="pct"/>
            <w:tcBorders>
              <w:tl2br w:val="nil"/>
              <w:tr2bl w:val="nil"/>
            </w:tcBorders>
            <w:noWrap w:val="0"/>
            <w:vAlign w:val="center"/>
          </w:tcPr>
          <w:p w14:paraId="631A8057">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33" w:type="pct"/>
            <w:tcBorders>
              <w:tl2br w:val="nil"/>
              <w:tr2bl w:val="nil"/>
            </w:tcBorders>
            <w:noWrap w:val="0"/>
            <w:vAlign w:val="center"/>
          </w:tcPr>
          <w:p w14:paraId="0E2AC8A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41" w:type="pct"/>
            <w:tcBorders>
              <w:tl2br w:val="nil"/>
              <w:tr2bl w:val="nil"/>
            </w:tcBorders>
            <w:noWrap w:val="0"/>
            <w:vAlign w:val="center"/>
          </w:tcPr>
          <w:p w14:paraId="2D393D27">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69" w:type="pct"/>
            <w:tcBorders>
              <w:tl2br w:val="nil"/>
              <w:tr2bl w:val="nil"/>
            </w:tcBorders>
            <w:noWrap w:val="0"/>
            <w:vAlign w:val="center"/>
          </w:tcPr>
          <w:p w14:paraId="23B8E418">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22.9 </w:t>
            </w:r>
          </w:p>
        </w:tc>
        <w:tc>
          <w:tcPr>
            <w:tcW w:w="179" w:type="pct"/>
            <w:tcBorders>
              <w:tl2br w:val="nil"/>
              <w:tr2bl w:val="nil"/>
            </w:tcBorders>
            <w:noWrap w:val="0"/>
            <w:vAlign w:val="center"/>
          </w:tcPr>
          <w:p w14:paraId="49A4471B">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30.0 </w:t>
            </w:r>
          </w:p>
        </w:tc>
        <w:tc>
          <w:tcPr>
            <w:tcW w:w="164" w:type="pct"/>
            <w:tcBorders>
              <w:tl2br w:val="nil"/>
              <w:tr2bl w:val="nil"/>
            </w:tcBorders>
            <w:noWrap w:val="0"/>
            <w:vAlign w:val="center"/>
          </w:tcPr>
          <w:p w14:paraId="21AF01B9">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38.0 </w:t>
            </w:r>
          </w:p>
        </w:tc>
        <w:tc>
          <w:tcPr>
            <w:tcW w:w="192" w:type="pct"/>
            <w:tcBorders>
              <w:tl2br w:val="nil"/>
              <w:tr2bl w:val="nil"/>
            </w:tcBorders>
            <w:noWrap w:val="0"/>
            <w:vAlign w:val="center"/>
          </w:tcPr>
          <w:p w14:paraId="6BEA65CA">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30.0 </w:t>
            </w:r>
          </w:p>
        </w:tc>
        <w:tc>
          <w:tcPr>
            <w:tcW w:w="170" w:type="pct"/>
            <w:tcBorders>
              <w:tl2br w:val="nil"/>
              <w:tr2bl w:val="nil"/>
            </w:tcBorders>
            <w:noWrap w:val="0"/>
            <w:vAlign w:val="center"/>
          </w:tcPr>
          <w:p w14:paraId="7493AECB">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1A95A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 w:hRule="atLeast"/>
          <w:jc w:val="center"/>
        </w:trPr>
        <w:tc>
          <w:tcPr>
            <w:tcW w:w="149" w:type="pct"/>
            <w:tcBorders>
              <w:tl2br w:val="nil"/>
              <w:tr2bl w:val="nil"/>
            </w:tcBorders>
            <w:noWrap w:val="0"/>
            <w:vAlign w:val="center"/>
          </w:tcPr>
          <w:p w14:paraId="29A14D78">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123" w:type="pct"/>
            <w:vMerge w:val="continue"/>
            <w:tcBorders>
              <w:tl2br w:val="nil"/>
              <w:tr2bl w:val="nil"/>
            </w:tcBorders>
            <w:noWrap w:val="0"/>
            <w:vAlign w:val="center"/>
          </w:tcPr>
          <w:p w14:paraId="1089F9F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575" w:type="pct"/>
            <w:tcBorders>
              <w:tl2br w:val="nil"/>
              <w:tr2bl w:val="nil"/>
            </w:tcBorders>
            <w:noWrap w:val="0"/>
            <w:vAlign w:val="center"/>
          </w:tcPr>
          <w:p w14:paraId="62D4A145">
            <w:pPr>
              <w:pStyle w:val="35"/>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2台包装机</w:t>
            </w:r>
          </w:p>
        </w:tc>
        <w:tc>
          <w:tcPr>
            <w:tcW w:w="266" w:type="pct"/>
            <w:tcBorders>
              <w:tl2br w:val="nil"/>
              <w:tr2bl w:val="nil"/>
            </w:tcBorders>
            <w:noWrap w:val="0"/>
            <w:vAlign w:val="center"/>
          </w:tcPr>
          <w:p w14:paraId="0275022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73</w:t>
            </w:r>
          </w:p>
        </w:tc>
        <w:tc>
          <w:tcPr>
            <w:tcW w:w="639" w:type="pct"/>
            <w:tcBorders>
              <w:tl2br w:val="nil"/>
              <w:tr2bl w:val="nil"/>
            </w:tcBorders>
            <w:noWrap w:val="0"/>
            <w:vAlign w:val="center"/>
          </w:tcPr>
          <w:p w14:paraId="050FBFEF">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减振+建筑物隔声</w:t>
            </w:r>
          </w:p>
        </w:tc>
        <w:tc>
          <w:tcPr>
            <w:tcW w:w="157" w:type="pct"/>
            <w:tcBorders>
              <w:tl2br w:val="nil"/>
              <w:tr2bl w:val="nil"/>
            </w:tcBorders>
            <w:noWrap w:val="0"/>
            <w:vAlign w:val="center"/>
          </w:tcPr>
          <w:p w14:paraId="2D80A83F">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61" w:type="pct"/>
            <w:tcBorders>
              <w:tl2br w:val="nil"/>
              <w:tr2bl w:val="nil"/>
            </w:tcBorders>
            <w:noWrap w:val="0"/>
            <w:vAlign w:val="center"/>
          </w:tcPr>
          <w:p w14:paraId="0549C0F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45" w:type="pct"/>
            <w:tcBorders>
              <w:tl2br w:val="nil"/>
              <w:tr2bl w:val="nil"/>
            </w:tcBorders>
            <w:noWrap w:val="0"/>
            <w:vAlign w:val="center"/>
          </w:tcPr>
          <w:p w14:paraId="5A8813C7">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44" w:type="pct"/>
            <w:tcBorders>
              <w:tl2br w:val="nil"/>
              <w:tr2bl w:val="nil"/>
            </w:tcBorders>
            <w:noWrap w:val="0"/>
            <w:vAlign w:val="center"/>
          </w:tcPr>
          <w:p w14:paraId="08971667">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47</w:t>
            </w:r>
          </w:p>
        </w:tc>
        <w:tc>
          <w:tcPr>
            <w:tcW w:w="162" w:type="pct"/>
            <w:tcBorders>
              <w:tl2br w:val="nil"/>
              <w:tr2bl w:val="nil"/>
            </w:tcBorders>
            <w:noWrap w:val="0"/>
            <w:vAlign w:val="center"/>
          </w:tcPr>
          <w:p w14:paraId="43637D8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51" w:type="pct"/>
            <w:tcBorders>
              <w:tl2br w:val="nil"/>
              <w:tr2bl w:val="nil"/>
            </w:tcBorders>
            <w:noWrap w:val="0"/>
            <w:vAlign w:val="center"/>
          </w:tcPr>
          <w:p w14:paraId="7FD9AB17">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50" w:type="pct"/>
            <w:tcBorders>
              <w:tl2br w:val="nil"/>
              <w:tr2bl w:val="nil"/>
            </w:tcBorders>
            <w:noWrap w:val="0"/>
            <w:vAlign w:val="center"/>
          </w:tcPr>
          <w:p w14:paraId="0713B9DB">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c>
          <w:tcPr>
            <w:tcW w:w="144" w:type="pct"/>
            <w:tcBorders>
              <w:tl2br w:val="nil"/>
              <w:tr2bl w:val="nil"/>
            </w:tcBorders>
            <w:noWrap w:val="0"/>
            <w:vAlign w:val="center"/>
          </w:tcPr>
          <w:p w14:paraId="21683715">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46.6 </w:t>
            </w:r>
          </w:p>
        </w:tc>
        <w:tc>
          <w:tcPr>
            <w:tcW w:w="144" w:type="pct"/>
            <w:tcBorders>
              <w:tl2br w:val="nil"/>
              <w:tr2bl w:val="nil"/>
            </w:tcBorders>
            <w:noWrap w:val="0"/>
            <w:vAlign w:val="center"/>
          </w:tcPr>
          <w:p w14:paraId="4964DEC3">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60.0 </w:t>
            </w:r>
          </w:p>
        </w:tc>
        <w:tc>
          <w:tcPr>
            <w:tcW w:w="144" w:type="pct"/>
            <w:tcBorders>
              <w:tl2br w:val="nil"/>
              <w:tr2bl w:val="nil"/>
            </w:tcBorders>
            <w:noWrap w:val="0"/>
            <w:vAlign w:val="center"/>
          </w:tcPr>
          <w:p w14:paraId="69A0A7DD">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54.0 </w:t>
            </w:r>
          </w:p>
        </w:tc>
        <w:tc>
          <w:tcPr>
            <w:tcW w:w="144" w:type="pct"/>
            <w:tcBorders>
              <w:tl2br w:val="nil"/>
              <w:tr2bl w:val="nil"/>
            </w:tcBorders>
            <w:noWrap w:val="0"/>
            <w:vAlign w:val="center"/>
          </w:tcPr>
          <w:p w14:paraId="5DB5059E">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48.0 </w:t>
            </w:r>
          </w:p>
        </w:tc>
        <w:tc>
          <w:tcPr>
            <w:tcW w:w="175" w:type="pct"/>
            <w:vMerge w:val="continue"/>
            <w:tcBorders>
              <w:tl2br w:val="nil"/>
              <w:tr2bl w:val="nil"/>
            </w:tcBorders>
            <w:noWrap w:val="0"/>
            <w:vAlign w:val="center"/>
          </w:tcPr>
          <w:p w14:paraId="47D2006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144" w:type="pct"/>
            <w:tcBorders>
              <w:tl2br w:val="nil"/>
              <w:tr2bl w:val="nil"/>
            </w:tcBorders>
            <w:noWrap w:val="0"/>
            <w:vAlign w:val="center"/>
          </w:tcPr>
          <w:p w14:paraId="68C8B275">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23" w:type="pct"/>
            <w:tcBorders>
              <w:tl2br w:val="nil"/>
              <w:tr2bl w:val="nil"/>
            </w:tcBorders>
            <w:noWrap w:val="0"/>
            <w:vAlign w:val="center"/>
          </w:tcPr>
          <w:p w14:paraId="0C82467F">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33" w:type="pct"/>
            <w:tcBorders>
              <w:tl2br w:val="nil"/>
              <w:tr2bl w:val="nil"/>
            </w:tcBorders>
            <w:noWrap w:val="0"/>
            <w:vAlign w:val="center"/>
          </w:tcPr>
          <w:p w14:paraId="100CF208">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1" w:type="pct"/>
            <w:tcBorders>
              <w:tl2br w:val="nil"/>
              <w:tr2bl w:val="nil"/>
            </w:tcBorders>
            <w:noWrap w:val="0"/>
            <w:vAlign w:val="center"/>
          </w:tcPr>
          <w:p w14:paraId="6378660C">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69" w:type="pct"/>
            <w:tcBorders>
              <w:tl2br w:val="nil"/>
              <w:tr2bl w:val="nil"/>
            </w:tcBorders>
            <w:noWrap w:val="0"/>
            <w:vAlign w:val="center"/>
          </w:tcPr>
          <w:p w14:paraId="36451DBE">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26.6 </w:t>
            </w:r>
          </w:p>
        </w:tc>
        <w:tc>
          <w:tcPr>
            <w:tcW w:w="179" w:type="pct"/>
            <w:tcBorders>
              <w:tl2br w:val="nil"/>
              <w:tr2bl w:val="nil"/>
            </w:tcBorders>
            <w:noWrap w:val="0"/>
            <w:vAlign w:val="center"/>
          </w:tcPr>
          <w:p w14:paraId="255EFBA7">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40.0 </w:t>
            </w:r>
          </w:p>
        </w:tc>
        <w:tc>
          <w:tcPr>
            <w:tcW w:w="164" w:type="pct"/>
            <w:tcBorders>
              <w:tl2br w:val="nil"/>
              <w:tr2bl w:val="nil"/>
            </w:tcBorders>
            <w:noWrap w:val="0"/>
            <w:vAlign w:val="center"/>
          </w:tcPr>
          <w:p w14:paraId="54DEFF5B">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34.0 </w:t>
            </w:r>
          </w:p>
        </w:tc>
        <w:tc>
          <w:tcPr>
            <w:tcW w:w="192" w:type="pct"/>
            <w:tcBorders>
              <w:tl2br w:val="nil"/>
              <w:tr2bl w:val="nil"/>
            </w:tcBorders>
            <w:noWrap w:val="0"/>
            <w:vAlign w:val="center"/>
          </w:tcPr>
          <w:p w14:paraId="49FE8772">
            <w:pPr>
              <w:keepNext w:val="0"/>
              <w:keepLines w:val="0"/>
              <w:pageBreakBefore w:val="0"/>
              <w:widowControl/>
              <w:suppressLineNumbers w:val="0"/>
              <w:wordWrap/>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28.0 </w:t>
            </w:r>
          </w:p>
        </w:tc>
        <w:tc>
          <w:tcPr>
            <w:tcW w:w="170" w:type="pct"/>
            <w:tcBorders>
              <w:tl2br w:val="nil"/>
              <w:tr2bl w:val="nil"/>
            </w:tcBorders>
            <w:noWrap w:val="0"/>
            <w:vAlign w:val="center"/>
          </w:tcPr>
          <w:p w14:paraId="446CCA3F">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bl>
    <w:p w14:paraId="527D21A8">
      <w:p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637"/>
      </w:tblGrid>
      <w:tr w14:paraId="55BFF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2" w:hRule="atLeast"/>
          <w:jc w:val="center"/>
        </w:trPr>
        <w:tc>
          <w:tcPr>
            <w:tcW w:w="434" w:type="dxa"/>
            <w:noWrap w:val="0"/>
            <w:tcMar>
              <w:left w:w="28" w:type="dxa"/>
              <w:right w:w="28" w:type="dxa"/>
            </w:tcMar>
            <w:vAlign w:val="center"/>
          </w:tcPr>
          <w:p w14:paraId="549A17D0">
            <w:pPr>
              <w:bidi w:val="0"/>
              <w:spacing w:line="360" w:lineRule="auto"/>
              <w:jc w:val="center"/>
              <w:rPr>
                <w:rFonts w:hint="eastAsia" w:ascii="Times New Roman" w:hAnsi="Times New Roman" w:eastAsia="宋体" w:cs="宋体"/>
                <w:color w:val="auto"/>
                <w:kern w:val="2"/>
                <w:sz w:val="24"/>
                <w:szCs w:val="24"/>
                <w:highlight w:val="none"/>
                <w:lang w:val="en-US" w:eastAsia="zh-CN" w:bidi="ar-SA"/>
              </w:rPr>
            </w:pPr>
          </w:p>
        </w:tc>
        <w:tc>
          <w:tcPr>
            <w:tcW w:w="8637" w:type="dxa"/>
            <w:noWrap w:val="0"/>
            <w:vAlign w:val="center"/>
          </w:tcPr>
          <w:p w14:paraId="274A42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highlight w:val="none"/>
              </w:rPr>
            </w:pPr>
            <w:r>
              <w:rPr>
                <w:color w:val="auto"/>
                <w:highlight w:val="none"/>
              </w:rPr>
              <w:t>（2）预测结果</w:t>
            </w:r>
          </w:p>
          <w:p w14:paraId="138773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highlight w:val="none"/>
                <w:lang w:val="en-US"/>
              </w:rPr>
            </w:pPr>
            <w:r>
              <w:rPr>
                <w:color w:val="auto"/>
                <w:highlight w:val="none"/>
              </w:rPr>
              <w:t>评价标准采用《工业企业厂界环境噪声排放标准》（GB12348-2008）对场界噪声达标进行分析评价</w:t>
            </w:r>
            <w:r>
              <w:rPr>
                <w:rFonts w:hint="eastAsia"/>
                <w:color w:val="auto"/>
                <w:highlight w:val="none"/>
                <w:lang w:val="en-US" w:eastAsia="zh-CN"/>
              </w:rPr>
              <w:t>。</w:t>
            </w:r>
          </w:p>
          <w:p w14:paraId="5795EA0D">
            <w:pPr>
              <w:pStyle w:val="28"/>
              <w:bidi w:val="0"/>
              <w:rPr>
                <w:color w:val="auto"/>
                <w:sz w:val="21"/>
                <w:szCs w:val="18"/>
                <w:highlight w:val="none"/>
              </w:rPr>
            </w:pPr>
            <w:r>
              <w:rPr>
                <w:color w:val="auto"/>
                <w:sz w:val="21"/>
                <w:szCs w:val="18"/>
                <w:highlight w:val="none"/>
              </w:rPr>
              <w:t>表</w:t>
            </w:r>
            <w:r>
              <w:rPr>
                <w:rFonts w:hint="eastAsia"/>
                <w:color w:val="auto"/>
                <w:sz w:val="21"/>
                <w:szCs w:val="18"/>
                <w:highlight w:val="none"/>
                <w:lang w:val="en-US" w:eastAsia="zh-CN"/>
              </w:rPr>
              <w:t>4-9</w:t>
            </w:r>
            <w:r>
              <w:rPr>
                <w:color w:val="auto"/>
                <w:sz w:val="21"/>
                <w:szCs w:val="18"/>
                <w:highlight w:val="none"/>
              </w:rPr>
              <w:t xml:space="preserve"> </w:t>
            </w:r>
            <w:r>
              <w:rPr>
                <w:rFonts w:hint="eastAsia"/>
                <w:color w:val="auto"/>
                <w:sz w:val="21"/>
                <w:szCs w:val="18"/>
                <w:highlight w:val="none"/>
              </w:rPr>
              <w:t>设备在各厂界噪声值预测值</w:t>
            </w:r>
          </w:p>
          <w:tbl>
            <w:tblPr>
              <w:tblStyle w:val="15"/>
              <w:tblW w:w="8095" w:type="dxa"/>
              <w:tblInd w:w="-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045"/>
              <w:gridCol w:w="2212"/>
              <w:gridCol w:w="2636"/>
            </w:tblGrid>
            <w:tr w14:paraId="73683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2" w:type="pct"/>
                  <w:vMerge w:val="restart"/>
                  <w:noWrap w:val="0"/>
                  <w:vAlign w:val="center"/>
                </w:tcPr>
                <w:p w14:paraId="5BD557A5">
                  <w:pPr>
                    <w:pStyle w:val="30"/>
                    <w:bidi w:val="0"/>
                    <w:rPr>
                      <w:rFonts w:hint="eastAsia"/>
                      <w:color w:val="auto"/>
                      <w:highlight w:val="none"/>
                    </w:rPr>
                  </w:pPr>
                  <w:r>
                    <w:rPr>
                      <w:rFonts w:hint="eastAsia"/>
                      <w:color w:val="auto"/>
                      <w:highlight w:val="none"/>
                    </w:rPr>
                    <w:t>厂界</w:t>
                  </w:r>
                </w:p>
              </w:tc>
              <w:tc>
                <w:tcPr>
                  <w:tcW w:w="1263" w:type="pct"/>
                  <w:vMerge w:val="restart"/>
                  <w:noWrap w:val="0"/>
                  <w:vAlign w:val="center"/>
                </w:tcPr>
                <w:p w14:paraId="69495E5E">
                  <w:pPr>
                    <w:pStyle w:val="30"/>
                    <w:bidi w:val="0"/>
                    <w:rPr>
                      <w:rFonts w:hint="eastAsia"/>
                      <w:color w:val="auto"/>
                      <w:highlight w:val="none"/>
                    </w:rPr>
                  </w:pPr>
                  <w:r>
                    <w:rPr>
                      <w:rFonts w:hint="eastAsia"/>
                      <w:color w:val="auto"/>
                      <w:highlight w:val="none"/>
                    </w:rPr>
                    <w:t>贡献值</w:t>
                  </w:r>
                </w:p>
              </w:tc>
              <w:tc>
                <w:tcPr>
                  <w:tcW w:w="1366" w:type="pct"/>
                  <w:noWrap w:val="0"/>
                  <w:vAlign w:val="center"/>
                </w:tcPr>
                <w:p w14:paraId="36F531AC">
                  <w:pPr>
                    <w:pStyle w:val="30"/>
                    <w:bidi w:val="0"/>
                    <w:rPr>
                      <w:rFonts w:hint="eastAsia"/>
                      <w:color w:val="auto"/>
                      <w:highlight w:val="none"/>
                    </w:rPr>
                  </w:pPr>
                  <w:r>
                    <w:rPr>
                      <w:rFonts w:hint="eastAsia"/>
                      <w:color w:val="auto"/>
                      <w:highlight w:val="none"/>
                    </w:rPr>
                    <w:t>标准值</w:t>
                  </w:r>
                </w:p>
              </w:tc>
              <w:tc>
                <w:tcPr>
                  <w:tcW w:w="1628" w:type="pct"/>
                  <w:vMerge w:val="restart"/>
                  <w:noWrap w:val="0"/>
                  <w:vAlign w:val="center"/>
                </w:tcPr>
                <w:p w14:paraId="3FCA10CB">
                  <w:pPr>
                    <w:pStyle w:val="30"/>
                    <w:bidi w:val="0"/>
                    <w:rPr>
                      <w:rFonts w:hint="eastAsia"/>
                      <w:color w:val="auto"/>
                      <w:highlight w:val="none"/>
                    </w:rPr>
                  </w:pPr>
                  <w:r>
                    <w:rPr>
                      <w:rFonts w:hint="eastAsia"/>
                      <w:color w:val="auto"/>
                      <w:highlight w:val="none"/>
                    </w:rPr>
                    <w:t>达标情况</w:t>
                  </w:r>
                </w:p>
              </w:tc>
            </w:tr>
            <w:tr w14:paraId="1BA1C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2" w:type="pct"/>
                  <w:vMerge w:val="continue"/>
                  <w:noWrap w:val="0"/>
                  <w:vAlign w:val="center"/>
                </w:tcPr>
                <w:p w14:paraId="0399770E">
                  <w:pPr>
                    <w:pStyle w:val="30"/>
                    <w:bidi w:val="0"/>
                    <w:rPr>
                      <w:rFonts w:hint="eastAsia"/>
                      <w:color w:val="auto"/>
                      <w:highlight w:val="none"/>
                    </w:rPr>
                  </w:pPr>
                </w:p>
              </w:tc>
              <w:tc>
                <w:tcPr>
                  <w:tcW w:w="1263" w:type="pct"/>
                  <w:vMerge w:val="continue"/>
                  <w:noWrap w:val="0"/>
                  <w:vAlign w:val="center"/>
                </w:tcPr>
                <w:p w14:paraId="7229B92A">
                  <w:pPr>
                    <w:pStyle w:val="30"/>
                    <w:bidi w:val="0"/>
                    <w:rPr>
                      <w:color w:val="auto"/>
                      <w:highlight w:val="none"/>
                    </w:rPr>
                  </w:pPr>
                </w:p>
              </w:tc>
              <w:tc>
                <w:tcPr>
                  <w:tcW w:w="1366" w:type="pct"/>
                  <w:noWrap w:val="0"/>
                  <w:vAlign w:val="center"/>
                </w:tcPr>
                <w:p w14:paraId="25C838AD">
                  <w:pPr>
                    <w:pStyle w:val="30"/>
                    <w:bidi w:val="0"/>
                    <w:rPr>
                      <w:rFonts w:hint="eastAsia" w:eastAsia="宋体"/>
                      <w:color w:val="auto"/>
                      <w:highlight w:val="none"/>
                      <w:lang w:val="en-US" w:eastAsia="zh-CN"/>
                    </w:rPr>
                  </w:pPr>
                  <w:r>
                    <w:rPr>
                      <w:rFonts w:hint="eastAsia"/>
                      <w:color w:val="auto"/>
                      <w:highlight w:val="none"/>
                    </w:rPr>
                    <w:t>昼间</w:t>
                  </w:r>
                </w:p>
              </w:tc>
              <w:tc>
                <w:tcPr>
                  <w:tcW w:w="1628" w:type="pct"/>
                  <w:vMerge w:val="continue"/>
                  <w:noWrap w:val="0"/>
                  <w:vAlign w:val="center"/>
                </w:tcPr>
                <w:p w14:paraId="4E02460F">
                  <w:pPr>
                    <w:pStyle w:val="30"/>
                    <w:bidi w:val="0"/>
                    <w:rPr>
                      <w:color w:val="auto"/>
                      <w:highlight w:val="none"/>
                    </w:rPr>
                  </w:pPr>
                </w:p>
              </w:tc>
            </w:tr>
            <w:tr w14:paraId="5D73E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2" w:type="pct"/>
                  <w:noWrap w:val="0"/>
                  <w:vAlign w:val="center"/>
                </w:tcPr>
                <w:p w14:paraId="5176EA57">
                  <w:pPr>
                    <w:pStyle w:val="30"/>
                    <w:bidi w:val="0"/>
                    <w:rPr>
                      <w:rFonts w:hint="eastAsia"/>
                      <w:color w:val="auto"/>
                      <w:highlight w:val="none"/>
                    </w:rPr>
                  </w:pPr>
                  <w:r>
                    <w:rPr>
                      <w:rFonts w:hint="eastAsia"/>
                      <w:color w:val="auto"/>
                      <w:highlight w:val="none"/>
                    </w:rPr>
                    <w:t>东</w:t>
                  </w:r>
                  <w:r>
                    <w:rPr>
                      <w:rFonts w:hint="eastAsia"/>
                      <w:color w:val="auto"/>
                      <w:highlight w:val="none"/>
                      <w:lang w:val="en-US" w:eastAsia="zh-CN"/>
                    </w:rPr>
                    <w:t>北</w:t>
                  </w:r>
                  <w:r>
                    <w:rPr>
                      <w:rFonts w:hint="eastAsia"/>
                      <w:color w:val="auto"/>
                      <w:highlight w:val="none"/>
                    </w:rPr>
                    <w:t>厂界</w:t>
                  </w:r>
                </w:p>
              </w:tc>
              <w:tc>
                <w:tcPr>
                  <w:tcW w:w="1263" w:type="pct"/>
                  <w:noWrap w:val="0"/>
                  <w:vAlign w:val="center"/>
                </w:tcPr>
                <w:p w14:paraId="25CB90DC">
                  <w:pPr>
                    <w:pStyle w:val="30"/>
                    <w:bidi w:val="0"/>
                    <w:rPr>
                      <w:rFonts w:hint="default" w:eastAsia="宋体"/>
                      <w:color w:val="auto"/>
                      <w:highlight w:val="none"/>
                      <w:lang w:val="en-US" w:eastAsia="zh-CN"/>
                    </w:rPr>
                  </w:pPr>
                  <w:r>
                    <w:rPr>
                      <w:rFonts w:hint="eastAsia" w:eastAsia="宋体"/>
                      <w:color w:val="auto"/>
                      <w:highlight w:val="none"/>
                      <w:lang w:val="en-US" w:eastAsia="zh-CN"/>
                    </w:rPr>
                    <w:t>33.1</w:t>
                  </w:r>
                </w:p>
              </w:tc>
              <w:tc>
                <w:tcPr>
                  <w:tcW w:w="1366" w:type="pct"/>
                  <w:noWrap w:val="0"/>
                  <w:vAlign w:val="center"/>
                </w:tcPr>
                <w:p w14:paraId="6EC8A0F8">
                  <w:pPr>
                    <w:pStyle w:val="30"/>
                    <w:bidi w:val="0"/>
                    <w:rPr>
                      <w:rFonts w:hint="default"/>
                      <w:color w:val="auto"/>
                      <w:highlight w:val="none"/>
                      <w:lang w:val="en-US" w:eastAsia="zh-CN"/>
                    </w:rPr>
                  </w:pPr>
                  <w:r>
                    <w:rPr>
                      <w:rFonts w:hint="eastAsia"/>
                      <w:color w:val="auto"/>
                      <w:highlight w:val="none"/>
                      <w:lang w:val="en-US" w:eastAsia="zh-CN"/>
                    </w:rPr>
                    <w:t>65</w:t>
                  </w:r>
                </w:p>
              </w:tc>
              <w:tc>
                <w:tcPr>
                  <w:tcW w:w="1628" w:type="pct"/>
                  <w:noWrap w:val="0"/>
                  <w:vAlign w:val="center"/>
                </w:tcPr>
                <w:p w14:paraId="7E0AA922">
                  <w:pPr>
                    <w:pStyle w:val="30"/>
                    <w:bidi w:val="0"/>
                    <w:rPr>
                      <w:rFonts w:hint="eastAsia"/>
                      <w:color w:val="auto"/>
                      <w:highlight w:val="none"/>
                    </w:rPr>
                  </w:pPr>
                  <w:r>
                    <w:rPr>
                      <w:rFonts w:hint="eastAsia"/>
                      <w:color w:val="auto"/>
                      <w:highlight w:val="none"/>
                    </w:rPr>
                    <w:t>达标</w:t>
                  </w:r>
                </w:p>
              </w:tc>
            </w:tr>
            <w:tr w14:paraId="78C3E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2" w:type="pct"/>
                  <w:noWrap w:val="0"/>
                  <w:vAlign w:val="center"/>
                </w:tcPr>
                <w:p w14:paraId="310D0BFA">
                  <w:pPr>
                    <w:pStyle w:val="30"/>
                    <w:bidi w:val="0"/>
                    <w:rPr>
                      <w:rFonts w:hint="eastAsia"/>
                      <w:color w:val="auto"/>
                      <w:highlight w:val="none"/>
                    </w:rPr>
                  </w:pPr>
                  <w:r>
                    <w:rPr>
                      <w:rFonts w:hint="eastAsia"/>
                      <w:color w:val="auto"/>
                      <w:highlight w:val="none"/>
                      <w:lang w:val="en-US" w:eastAsia="zh-CN"/>
                    </w:rPr>
                    <w:t>东南</w:t>
                  </w:r>
                  <w:r>
                    <w:rPr>
                      <w:rFonts w:hint="eastAsia"/>
                      <w:color w:val="auto"/>
                      <w:highlight w:val="none"/>
                    </w:rPr>
                    <w:t>厂界</w:t>
                  </w:r>
                </w:p>
              </w:tc>
              <w:tc>
                <w:tcPr>
                  <w:tcW w:w="1263" w:type="pct"/>
                  <w:noWrap w:val="0"/>
                  <w:vAlign w:val="center"/>
                </w:tcPr>
                <w:p w14:paraId="7E2C4D8A">
                  <w:pPr>
                    <w:pStyle w:val="30"/>
                    <w:bidi w:val="0"/>
                    <w:rPr>
                      <w:rFonts w:hint="default" w:eastAsia="宋体"/>
                      <w:color w:val="auto"/>
                      <w:highlight w:val="none"/>
                      <w:lang w:val="en-US" w:eastAsia="zh-CN"/>
                    </w:rPr>
                  </w:pPr>
                  <w:r>
                    <w:rPr>
                      <w:rFonts w:hint="eastAsia" w:eastAsia="宋体"/>
                      <w:color w:val="auto"/>
                      <w:highlight w:val="none"/>
                      <w:lang w:val="en-US" w:eastAsia="zh-CN"/>
                    </w:rPr>
                    <w:t>42.6</w:t>
                  </w:r>
                </w:p>
              </w:tc>
              <w:tc>
                <w:tcPr>
                  <w:tcW w:w="1366" w:type="pct"/>
                  <w:noWrap w:val="0"/>
                  <w:vAlign w:val="center"/>
                </w:tcPr>
                <w:p w14:paraId="7B522920">
                  <w:pPr>
                    <w:pStyle w:val="30"/>
                    <w:bidi w:val="0"/>
                    <w:ind w:firstLine="0" w:firstLineChars="0"/>
                    <w:rPr>
                      <w:rFonts w:hint="default"/>
                      <w:color w:val="auto"/>
                      <w:highlight w:val="none"/>
                      <w:lang w:val="en-US" w:eastAsia="zh-CN"/>
                    </w:rPr>
                  </w:pPr>
                  <w:r>
                    <w:rPr>
                      <w:rFonts w:hint="eastAsia"/>
                      <w:color w:val="auto"/>
                      <w:highlight w:val="none"/>
                      <w:lang w:val="en-US" w:eastAsia="zh-CN"/>
                    </w:rPr>
                    <w:t>65</w:t>
                  </w:r>
                </w:p>
              </w:tc>
              <w:tc>
                <w:tcPr>
                  <w:tcW w:w="1628" w:type="pct"/>
                  <w:noWrap w:val="0"/>
                  <w:vAlign w:val="center"/>
                </w:tcPr>
                <w:p w14:paraId="01E893EC">
                  <w:pPr>
                    <w:pStyle w:val="30"/>
                    <w:bidi w:val="0"/>
                    <w:rPr>
                      <w:color w:val="auto"/>
                      <w:highlight w:val="none"/>
                    </w:rPr>
                  </w:pPr>
                  <w:r>
                    <w:rPr>
                      <w:rFonts w:hint="eastAsia"/>
                      <w:color w:val="auto"/>
                      <w:highlight w:val="none"/>
                    </w:rPr>
                    <w:t>达标</w:t>
                  </w:r>
                </w:p>
              </w:tc>
            </w:tr>
            <w:tr w14:paraId="4ECC4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2" w:type="pct"/>
                  <w:noWrap w:val="0"/>
                  <w:vAlign w:val="center"/>
                </w:tcPr>
                <w:p w14:paraId="0A3DF589">
                  <w:pPr>
                    <w:pStyle w:val="30"/>
                    <w:bidi w:val="0"/>
                    <w:rPr>
                      <w:color w:val="auto"/>
                      <w:highlight w:val="none"/>
                    </w:rPr>
                  </w:pPr>
                  <w:r>
                    <w:rPr>
                      <w:rFonts w:hint="eastAsia"/>
                      <w:color w:val="auto"/>
                      <w:highlight w:val="none"/>
                      <w:lang w:val="en-US" w:eastAsia="zh-CN"/>
                    </w:rPr>
                    <w:t>西北</w:t>
                  </w:r>
                  <w:r>
                    <w:rPr>
                      <w:rFonts w:hint="eastAsia"/>
                      <w:color w:val="auto"/>
                      <w:highlight w:val="none"/>
                    </w:rPr>
                    <w:t>厂界</w:t>
                  </w:r>
                </w:p>
              </w:tc>
              <w:tc>
                <w:tcPr>
                  <w:tcW w:w="1263" w:type="pct"/>
                  <w:noWrap w:val="0"/>
                  <w:vAlign w:val="center"/>
                </w:tcPr>
                <w:p w14:paraId="0F853698">
                  <w:pPr>
                    <w:pStyle w:val="30"/>
                    <w:bidi w:val="0"/>
                    <w:rPr>
                      <w:rFonts w:hint="default" w:eastAsia="宋体"/>
                      <w:color w:val="auto"/>
                      <w:highlight w:val="none"/>
                      <w:lang w:val="en-US" w:eastAsia="zh-CN"/>
                    </w:rPr>
                  </w:pPr>
                  <w:r>
                    <w:rPr>
                      <w:rFonts w:hint="eastAsia"/>
                      <w:color w:val="auto"/>
                      <w:highlight w:val="none"/>
                      <w:lang w:val="en-US" w:eastAsia="zh-CN"/>
                    </w:rPr>
                    <w:t>47.2</w:t>
                  </w:r>
                </w:p>
              </w:tc>
              <w:tc>
                <w:tcPr>
                  <w:tcW w:w="1366" w:type="pct"/>
                  <w:noWrap w:val="0"/>
                  <w:vAlign w:val="center"/>
                </w:tcPr>
                <w:p w14:paraId="1B97BD18">
                  <w:pPr>
                    <w:pStyle w:val="30"/>
                    <w:bidi w:val="0"/>
                    <w:ind w:firstLine="0" w:firstLineChars="0"/>
                    <w:rPr>
                      <w:rFonts w:hint="default"/>
                      <w:color w:val="auto"/>
                      <w:highlight w:val="none"/>
                      <w:lang w:val="en-US" w:eastAsia="zh-CN"/>
                    </w:rPr>
                  </w:pPr>
                  <w:r>
                    <w:rPr>
                      <w:rFonts w:hint="eastAsia"/>
                      <w:color w:val="auto"/>
                      <w:highlight w:val="none"/>
                      <w:lang w:val="en-US" w:eastAsia="zh-CN"/>
                    </w:rPr>
                    <w:t>65</w:t>
                  </w:r>
                </w:p>
              </w:tc>
              <w:tc>
                <w:tcPr>
                  <w:tcW w:w="1628" w:type="pct"/>
                  <w:noWrap w:val="0"/>
                  <w:vAlign w:val="center"/>
                </w:tcPr>
                <w:p w14:paraId="11B14FE9">
                  <w:pPr>
                    <w:pStyle w:val="30"/>
                    <w:bidi w:val="0"/>
                    <w:rPr>
                      <w:color w:val="auto"/>
                      <w:highlight w:val="none"/>
                    </w:rPr>
                  </w:pPr>
                  <w:r>
                    <w:rPr>
                      <w:rFonts w:hint="eastAsia"/>
                      <w:color w:val="auto"/>
                      <w:highlight w:val="none"/>
                    </w:rPr>
                    <w:t>达标</w:t>
                  </w:r>
                </w:p>
              </w:tc>
            </w:tr>
            <w:tr w14:paraId="49003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2" w:type="pct"/>
                  <w:noWrap w:val="0"/>
                  <w:vAlign w:val="center"/>
                </w:tcPr>
                <w:p w14:paraId="26750682">
                  <w:pPr>
                    <w:pStyle w:val="30"/>
                    <w:bidi w:val="0"/>
                    <w:rPr>
                      <w:color w:val="auto"/>
                      <w:highlight w:val="none"/>
                    </w:rPr>
                  </w:pPr>
                  <w:r>
                    <w:rPr>
                      <w:rFonts w:hint="eastAsia"/>
                      <w:color w:val="auto"/>
                      <w:highlight w:val="none"/>
                      <w:lang w:val="en-US" w:eastAsia="zh-CN"/>
                    </w:rPr>
                    <w:t>西南</w:t>
                  </w:r>
                  <w:r>
                    <w:rPr>
                      <w:rFonts w:hint="eastAsia"/>
                      <w:color w:val="auto"/>
                      <w:highlight w:val="none"/>
                    </w:rPr>
                    <w:t>厂界</w:t>
                  </w:r>
                </w:p>
              </w:tc>
              <w:tc>
                <w:tcPr>
                  <w:tcW w:w="1263" w:type="pct"/>
                  <w:noWrap w:val="0"/>
                  <w:vAlign w:val="center"/>
                </w:tcPr>
                <w:p w14:paraId="7BCB2DA3">
                  <w:pPr>
                    <w:pStyle w:val="30"/>
                    <w:bidi w:val="0"/>
                    <w:rPr>
                      <w:rFonts w:hint="default" w:eastAsia="宋体"/>
                      <w:color w:val="auto"/>
                      <w:highlight w:val="none"/>
                      <w:lang w:val="en-US" w:eastAsia="zh-CN"/>
                    </w:rPr>
                  </w:pPr>
                  <w:r>
                    <w:rPr>
                      <w:rFonts w:hint="eastAsia"/>
                      <w:color w:val="auto"/>
                      <w:highlight w:val="none"/>
                      <w:lang w:val="en-US" w:eastAsia="zh-CN"/>
                    </w:rPr>
                    <w:t>39.3</w:t>
                  </w:r>
                </w:p>
              </w:tc>
              <w:tc>
                <w:tcPr>
                  <w:tcW w:w="1366" w:type="pct"/>
                  <w:noWrap w:val="0"/>
                  <w:vAlign w:val="center"/>
                </w:tcPr>
                <w:p w14:paraId="1E8735BD">
                  <w:pPr>
                    <w:pStyle w:val="30"/>
                    <w:bidi w:val="0"/>
                    <w:ind w:firstLine="0" w:firstLineChars="0"/>
                    <w:rPr>
                      <w:rFonts w:hint="default"/>
                      <w:color w:val="auto"/>
                      <w:highlight w:val="none"/>
                      <w:lang w:val="en-US" w:eastAsia="zh-CN"/>
                    </w:rPr>
                  </w:pPr>
                  <w:r>
                    <w:rPr>
                      <w:rFonts w:hint="eastAsia"/>
                      <w:color w:val="auto"/>
                      <w:highlight w:val="none"/>
                      <w:lang w:val="en-US" w:eastAsia="zh-CN"/>
                    </w:rPr>
                    <w:t>65</w:t>
                  </w:r>
                </w:p>
              </w:tc>
              <w:tc>
                <w:tcPr>
                  <w:tcW w:w="1628" w:type="pct"/>
                  <w:noWrap w:val="0"/>
                  <w:vAlign w:val="center"/>
                </w:tcPr>
                <w:p w14:paraId="77F675D6">
                  <w:pPr>
                    <w:pStyle w:val="30"/>
                    <w:bidi w:val="0"/>
                    <w:rPr>
                      <w:color w:val="auto"/>
                      <w:highlight w:val="none"/>
                    </w:rPr>
                  </w:pPr>
                  <w:r>
                    <w:rPr>
                      <w:rFonts w:hint="eastAsia"/>
                      <w:color w:val="auto"/>
                      <w:highlight w:val="none"/>
                    </w:rPr>
                    <w:t>达标</w:t>
                  </w:r>
                </w:p>
              </w:tc>
            </w:tr>
          </w:tbl>
          <w:p w14:paraId="485B4AD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highlight w:val="none"/>
              </w:rPr>
            </w:pPr>
            <w:r>
              <w:rPr>
                <w:color w:val="auto"/>
                <w:highlight w:val="none"/>
              </w:rPr>
              <w:t>根据预测结果，项目</w:t>
            </w:r>
            <w:r>
              <w:rPr>
                <w:rFonts w:hint="eastAsia"/>
                <w:color w:val="auto"/>
                <w:highlight w:val="none"/>
              </w:rPr>
              <w:t>区</w:t>
            </w:r>
            <w:r>
              <w:rPr>
                <w:color w:val="auto"/>
                <w:highlight w:val="none"/>
              </w:rPr>
              <w:t>厂界噪声值均能满足《工业企业厂界环境噪声排放标准》</w:t>
            </w:r>
            <w:r>
              <w:rPr>
                <w:rFonts w:hint="eastAsia"/>
                <w:color w:val="auto"/>
                <w:highlight w:val="none"/>
              </w:rPr>
              <w:t>（</w:t>
            </w:r>
            <w:r>
              <w:rPr>
                <w:color w:val="auto"/>
                <w:highlight w:val="none"/>
              </w:rPr>
              <w:t>GB12</w:t>
            </w:r>
            <w:r>
              <w:rPr>
                <w:rFonts w:hint="eastAsia"/>
                <w:color w:val="auto"/>
                <w:highlight w:val="none"/>
              </w:rPr>
              <w:t>3</w:t>
            </w:r>
            <w:r>
              <w:rPr>
                <w:color w:val="auto"/>
                <w:highlight w:val="none"/>
              </w:rPr>
              <w:t>48-2008</w:t>
            </w:r>
            <w:r>
              <w:rPr>
                <w:rFonts w:hint="eastAsia"/>
                <w:color w:val="auto"/>
                <w:highlight w:val="none"/>
              </w:rPr>
              <w:t>）</w:t>
            </w:r>
            <w:r>
              <w:rPr>
                <w:color w:val="auto"/>
                <w:highlight w:val="none"/>
              </w:rPr>
              <w:t>中</w:t>
            </w:r>
            <w:r>
              <w:rPr>
                <w:rFonts w:hint="eastAsia"/>
                <w:color w:val="auto"/>
                <w:highlight w:val="none"/>
                <w:lang w:val="en-US" w:eastAsia="zh-CN"/>
              </w:rPr>
              <w:t>3</w:t>
            </w:r>
            <w:r>
              <w:rPr>
                <w:color w:val="auto"/>
                <w:highlight w:val="none"/>
              </w:rPr>
              <w:t>类标准（昼间≤</w:t>
            </w:r>
            <w:r>
              <w:rPr>
                <w:rFonts w:hint="eastAsia"/>
                <w:color w:val="auto"/>
                <w:highlight w:val="none"/>
              </w:rPr>
              <w:t>6</w:t>
            </w:r>
            <w:r>
              <w:rPr>
                <w:rFonts w:hint="eastAsia"/>
                <w:color w:val="auto"/>
                <w:highlight w:val="none"/>
                <w:lang w:val="en-US" w:eastAsia="zh-CN"/>
              </w:rPr>
              <w:t>5</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14:paraId="19F580F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highlight w:val="none"/>
              </w:rPr>
            </w:pPr>
            <w:r>
              <w:rPr>
                <w:color w:val="auto"/>
                <w:highlight w:val="none"/>
              </w:rPr>
              <w:t>（3）噪声</w:t>
            </w:r>
            <w:r>
              <w:rPr>
                <w:rFonts w:hint="eastAsia"/>
                <w:color w:val="auto"/>
                <w:highlight w:val="none"/>
              </w:rPr>
              <w:t>监测计划</w:t>
            </w:r>
          </w:p>
          <w:p w14:paraId="2E4C58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highlight w:val="none"/>
              </w:rPr>
            </w:pPr>
            <w:r>
              <w:rPr>
                <w:color w:val="auto"/>
                <w:highlight w:val="none"/>
              </w:rPr>
              <w:t>依据《排污单位自行监测技术指南 总则》（HJ 819-2017）、《排污单位自行监测技术指南 水泥工业》（HJ848-2017）</w:t>
            </w:r>
            <w:r>
              <w:rPr>
                <w:rFonts w:hint="eastAsia"/>
                <w:color w:val="auto"/>
                <w:highlight w:val="none"/>
              </w:rPr>
              <w:t>，噪声监测计划表见表</w:t>
            </w:r>
            <w:r>
              <w:rPr>
                <w:rFonts w:hint="eastAsia"/>
                <w:color w:val="auto"/>
                <w:highlight w:val="none"/>
                <w:lang w:val="en-US" w:eastAsia="zh-CN"/>
              </w:rPr>
              <w:t>4-10</w:t>
            </w:r>
            <w:r>
              <w:rPr>
                <w:rFonts w:hint="eastAsia"/>
                <w:color w:val="auto"/>
                <w:highlight w:val="none"/>
              </w:rPr>
              <w:t>。</w:t>
            </w:r>
          </w:p>
          <w:p w14:paraId="76D6CC52">
            <w:pPr>
              <w:pStyle w:val="29"/>
              <w:bidi w:val="0"/>
              <w:rPr>
                <w:rFonts w:hint="eastAsia"/>
                <w:color w:val="auto"/>
                <w:sz w:val="21"/>
                <w:szCs w:val="18"/>
                <w:highlight w:val="none"/>
              </w:rPr>
            </w:pPr>
            <w:r>
              <w:rPr>
                <w:rFonts w:hint="eastAsia"/>
                <w:color w:val="auto"/>
                <w:sz w:val="21"/>
                <w:szCs w:val="18"/>
                <w:highlight w:val="none"/>
              </w:rPr>
              <w:t>表</w:t>
            </w:r>
            <w:r>
              <w:rPr>
                <w:rFonts w:hint="eastAsia"/>
                <w:color w:val="auto"/>
                <w:sz w:val="21"/>
                <w:szCs w:val="18"/>
                <w:highlight w:val="none"/>
                <w:lang w:val="en-US" w:eastAsia="zh-CN"/>
              </w:rPr>
              <w:t xml:space="preserve">4-10 </w:t>
            </w:r>
            <w:r>
              <w:rPr>
                <w:rFonts w:hint="eastAsia"/>
                <w:color w:val="auto"/>
                <w:sz w:val="21"/>
                <w:szCs w:val="18"/>
                <w:highlight w:val="none"/>
              </w:rPr>
              <w:t>噪声监测计划表</w:t>
            </w:r>
          </w:p>
          <w:tbl>
            <w:tblPr>
              <w:tblStyle w:val="15"/>
              <w:tblW w:w="4985" w:type="pct"/>
              <w:jc w:val="center"/>
              <w:tblBorders>
                <w:top w:val="single" w:color="auto" w:sz="8" w:space="0"/>
                <w:left w:val="single" w:color="auto" w:sz="2" w:space="0"/>
                <w:bottom w:val="single" w:color="auto" w:sz="8" w:space="0"/>
                <w:right w:val="single" w:color="auto" w:sz="2" w:space="0"/>
                <w:insideH w:val="single" w:color="auto" w:sz="4" w:space="0"/>
                <w:insideV w:val="single" w:color="auto" w:sz="4" w:space="0"/>
              </w:tblBorders>
              <w:tblLayout w:type="fixed"/>
              <w:tblCellMar>
                <w:top w:w="0" w:type="dxa"/>
                <w:left w:w="28" w:type="dxa"/>
                <w:bottom w:w="0" w:type="dxa"/>
                <w:right w:w="28" w:type="dxa"/>
              </w:tblCellMar>
            </w:tblPr>
            <w:tblGrid>
              <w:gridCol w:w="964"/>
              <w:gridCol w:w="2185"/>
              <w:gridCol w:w="2782"/>
              <w:gridCol w:w="1185"/>
              <w:gridCol w:w="1274"/>
            </w:tblGrid>
            <w:tr w14:paraId="39265BE0">
              <w:tblPrEx>
                <w:tblBorders>
                  <w:top w:val="single" w:color="auto" w:sz="8" w:space="0"/>
                  <w:left w:val="single" w:color="auto" w:sz="2" w:space="0"/>
                  <w:bottom w:val="single" w:color="auto" w:sz="8"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pct"/>
                  <w:tcBorders>
                    <w:top w:val="single" w:color="auto" w:sz="12" w:space="0"/>
                    <w:left w:val="single" w:color="auto" w:sz="12" w:space="0"/>
                    <w:bottom w:val="single" w:color="auto" w:sz="4" w:space="0"/>
                    <w:right w:val="single" w:color="auto" w:sz="4" w:space="0"/>
                  </w:tcBorders>
                  <w:noWrap w:val="0"/>
                  <w:vAlign w:val="center"/>
                </w:tcPr>
                <w:p w14:paraId="5B9BDE34">
                  <w:pPr>
                    <w:pStyle w:val="30"/>
                    <w:bidi w:val="0"/>
                    <w:ind w:firstLine="0" w:firstLineChars="0"/>
                    <w:rPr>
                      <w:color w:val="auto"/>
                      <w:highlight w:val="none"/>
                    </w:rPr>
                  </w:pPr>
                  <w:r>
                    <w:rPr>
                      <w:color w:val="auto"/>
                      <w:highlight w:val="none"/>
                    </w:rPr>
                    <w:t>监测项目</w:t>
                  </w:r>
                </w:p>
              </w:tc>
              <w:tc>
                <w:tcPr>
                  <w:tcW w:w="1301" w:type="pct"/>
                  <w:tcBorders>
                    <w:top w:val="single" w:color="auto" w:sz="12" w:space="0"/>
                    <w:left w:val="single" w:color="auto" w:sz="4" w:space="0"/>
                    <w:bottom w:val="single" w:color="auto" w:sz="4" w:space="0"/>
                    <w:right w:val="single" w:color="auto" w:sz="4" w:space="0"/>
                  </w:tcBorders>
                  <w:noWrap w:val="0"/>
                  <w:vAlign w:val="center"/>
                </w:tcPr>
                <w:p w14:paraId="5A13913F">
                  <w:pPr>
                    <w:pStyle w:val="30"/>
                    <w:bidi w:val="0"/>
                    <w:rPr>
                      <w:color w:val="auto"/>
                      <w:highlight w:val="none"/>
                    </w:rPr>
                  </w:pPr>
                  <w:r>
                    <w:rPr>
                      <w:color w:val="auto"/>
                      <w:highlight w:val="none"/>
                    </w:rPr>
                    <w:t>监测因子</w:t>
                  </w:r>
                </w:p>
              </w:tc>
              <w:tc>
                <w:tcPr>
                  <w:tcW w:w="1657" w:type="pct"/>
                  <w:tcBorders>
                    <w:top w:val="single" w:color="auto" w:sz="12" w:space="0"/>
                    <w:left w:val="single" w:color="auto" w:sz="4" w:space="0"/>
                    <w:bottom w:val="single" w:color="auto" w:sz="4" w:space="0"/>
                    <w:right w:val="single" w:color="auto" w:sz="4" w:space="0"/>
                  </w:tcBorders>
                  <w:noWrap w:val="0"/>
                  <w:vAlign w:val="center"/>
                </w:tcPr>
                <w:p w14:paraId="124649B7">
                  <w:pPr>
                    <w:pStyle w:val="30"/>
                    <w:bidi w:val="0"/>
                    <w:rPr>
                      <w:color w:val="auto"/>
                      <w:highlight w:val="none"/>
                    </w:rPr>
                  </w:pPr>
                  <w:r>
                    <w:rPr>
                      <w:color w:val="auto"/>
                      <w:highlight w:val="none"/>
                    </w:rPr>
                    <w:t>监测点位</w:t>
                  </w:r>
                </w:p>
              </w:tc>
              <w:tc>
                <w:tcPr>
                  <w:tcW w:w="706" w:type="pct"/>
                  <w:tcBorders>
                    <w:top w:val="single" w:color="auto" w:sz="12" w:space="0"/>
                    <w:left w:val="single" w:color="auto" w:sz="4" w:space="0"/>
                    <w:bottom w:val="single" w:color="auto" w:sz="4" w:space="0"/>
                    <w:right w:val="single" w:color="auto" w:sz="4" w:space="0"/>
                  </w:tcBorders>
                  <w:noWrap w:val="0"/>
                  <w:vAlign w:val="center"/>
                </w:tcPr>
                <w:p w14:paraId="77263FB9">
                  <w:pPr>
                    <w:pStyle w:val="30"/>
                    <w:bidi w:val="0"/>
                    <w:rPr>
                      <w:color w:val="auto"/>
                      <w:highlight w:val="none"/>
                    </w:rPr>
                  </w:pPr>
                  <w:r>
                    <w:rPr>
                      <w:color w:val="auto"/>
                      <w:highlight w:val="none"/>
                    </w:rPr>
                    <w:t>监测时间</w:t>
                  </w:r>
                </w:p>
              </w:tc>
              <w:tc>
                <w:tcPr>
                  <w:tcW w:w="759" w:type="pct"/>
                  <w:tcBorders>
                    <w:top w:val="single" w:color="auto" w:sz="12" w:space="0"/>
                    <w:left w:val="single" w:color="auto" w:sz="4" w:space="0"/>
                    <w:bottom w:val="single" w:color="auto" w:sz="4" w:space="0"/>
                    <w:right w:val="single" w:color="auto" w:sz="12" w:space="0"/>
                  </w:tcBorders>
                  <w:noWrap w:val="0"/>
                  <w:vAlign w:val="center"/>
                </w:tcPr>
                <w:p w14:paraId="0A33D56F">
                  <w:pPr>
                    <w:pStyle w:val="30"/>
                    <w:bidi w:val="0"/>
                    <w:rPr>
                      <w:color w:val="auto"/>
                      <w:highlight w:val="none"/>
                    </w:rPr>
                  </w:pPr>
                  <w:r>
                    <w:rPr>
                      <w:color w:val="auto"/>
                      <w:highlight w:val="none"/>
                    </w:rPr>
                    <w:t>监测频率</w:t>
                  </w:r>
                </w:p>
              </w:tc>
            </w:tr>
            <w:tr w14:paraId="7FF2AB67">
              <w:tblPrEx>
                <w:tblBorders>
                  <w:top w:val="single" w:color="auto" w:sz="8" w:space="0"/>
                  <w:left w:val="single" w:color="auto" w:sz="2" w:space="0"/>
                  <w:bottom w:val="single" w:color="auto" w:sz="8" w:space="0"/>
                  <w:right w:val="single" w:color="auto" w:sz="2" w:space="0"/>
                  <w:insideH w:val="single" w:color="auto" w:sz="4" w:space="0"/>
                  <w:insideV w:val="single" w:color="auto" w:sz="4" w:space="0"/>
                </w:tblBorders>
              </w:tblPrEx>
              <w:trPr>
                <w:trHeight w:val="397" w:hRule="atLeast"/>
                <w:jc w:val="center"/>
              </w:trPr>
              <w:tc>
                <w:tcPr>
                  <w:tcW w:w="574" w:type="pct"/>
                  <w:tcBorders>
                    <w:top w:val="single" w:color="auto" w:sz="4" w:space="0"/>
                    <w:left w:val="single" w:color="auto" w:sz="12" w:space="0"/>
                    <w:bottom w:val="single" w:color="auto" w:sz="12" w:space="0"/>
                    <w:right w:val="single" w:color="auto" w:sz="4" w:space="0"/>
                  </w:tcBorders>
                  <w:noWrap w:val="0"/>
                  <w:vAlign w:val="center"/>
                </w:tcPr>
                <w:p w14:paraId="06EEE2D9">
                  <w:pPr>
                    <w:pStyle w:val="30"/>
                    <w:bidi w:val="0"/>
                    <w:ind w:firstLine="0" w:firstLineChars="0"/>
                    <w:rPr>
                      <w:color w:val="auto"/>
                      <w:highlight w:val="none"/>
                    </w:rPr>
                  </w:pPr>
                  <w:r>
                    <w:rPr>
                      <w:color w:val="auto"/>
                      <w:highlight w:val="none"/>
                    </w:rPr>
                    <w:t>噪声</w:t>
                  </w:r>
                </w:p>
              </w:tc>
              <w:tc>
                <w:tcPr>
                  <w:tcW w:w="1301" w:type="pct"/>
                  <w:tcBorders>
                    <w:top w:val="single" w:color="auto" w:sz="4" w:space="0"/>
                    <w:left w:val="single" w:color="auto" w:sz="4" w:space="0"/>
                    <w:bottom w:val="single" w:color="auto" w:sz="12" w:space="0"/>
                    <w:right w:val="single" w:color="auto" w:sz="4" w:space="0"/>
                  </w:tcBorders>
                  <w:noWrap w:val="0"/>
                  <w:vAlign w:val="center"/>
                </w:tcPr>
                <w:p w14:paraId="010B0A09">
                  <w:pPr>
                    <w:pStyle w:val="30"/>
                    <w:bidi w:val="0"/>
                    <w:rPr>
                      <w:rFonts w:hint="eastAsia"/>
                      <w:color w:val="auto"/>
                      <w:highlight w:val="none"/>
                    </w:rPr>
                  </w:pPr>
                  <w:r>
                    <w:rPr>
                      <w:color w:val="auto"/>
                      <w:highlight w:val="none"/>
                    </w:rPr>
                    <w:t>等效连续A声级：LeqdB（A）</w:t>
                  </w:r>
                </w:p>
              </w:tc>
              <w:tc>
                <w:tcPr>
                  <w:tcW w:w="1657" w:type="pct"/>
                  <w:tcBorders>
                    <w:top w:val="single" w:color="auto" w:sz="4" w:space="0"/>
                    <w:left w:val="single" w:color="auto" w:sz="4" w:space="0"/>
                    <w:bottom w:val="single" w:color="auto" w:sz="12" w:space="0"/>
                    <w:right w:val="single" w:color="auto" w:sz="4" w:space="0"/>
                  </w:tcBorders>
                  <w:noWrap w:val="0"/>
                  <w:vAlign w:val="center"/>
                </w:tcPr>
                <w:p w14:paraId="1DEB407E">
                  <w:pPr>
                    <w:pStyle w:val="30"/>
                    <w:bidi w:val="0"/>
                    <w:rPr>
                      <w:color w:val="auto"/>
                      <w:highlight w:val="none"/>
                    </w:rPr>
                  </w:pPr>
                  <w:r>
                    <w:rPr>
                      <w:rFonts w:hint="eastAsia"/>
                      <w:color w:val="auto"/>
                      <w:highlight w:val="none"/>
                    </w:rPr>
                    <w:t>厂界四周各</w:t>
                  </w:r>
                  <w:r>
                    <w:rPr>
                      <w:color w:val="auto"/>
                      <w:highlight w:val="none"/>
                    </w:rPr>
                    <w:t>设1个监测点位</w:t>
                  </w:r>
                </w:p>
              </w:tc>
              <w:tc>
                <w:tcPr>
                  <w:tcW w:w="706" w:type="pct"/>
                  <w:tcBorders>
                    <w:top w:val="single" w:color="auto" w:sz="4" w:space="0"/>
                    <w:left w:val="single" w:color="auto" w:sz="4" w:space="0"/>
                    <w:bottom w:val="single" w:color="auto" w:sz="12" w:space="0"/>
                    <w:right w:val="single" w:color="auto" w:sz="4" w:space="0"/>
                  </w:tcBorders>
                  <w:noWrap w:val="0"/>
                  <w:vAlign w:val="center"/>
                </w:tcPr>
                <w:p w14:paraId="22F48DEB">
                  <w:pPr>
                    <w:pStyle w:val="30"/>
                    <w:bidi w:val="0"/>
                    <w:rPr>
                      <w:rFonts w:hint="eastAsia"/>
                      <w:color w:val="auto"/>
                      <w:highlight w:val="none"/>
                    </w:rPr>
                  </w:pPr>
                  <w:r>
                    <w:rPr>
                      <w:color w:val="auto"/>
                      <w:highlight w:val="none"/>
                    </w:rPr>
                    <w:t>昼间一次</w:t>
                  </w:r>
                </w:p>
              </w:tc>
              <w:tc>
                <w:tcPr>
                  <w:tcW w:w="759" w:type="pct"/>
                  <w:tcBorders>
                    <w:top w:val="single" w:color="auto" w:sz="4" w:space="0"/>
                    <w:left w:val="single" w:color="auto" w:sz="4" w:space="0"/>
                    <w:bottom w:val="single" w:color="auto" w:sz="12" w:space="0"/>
                    <w:right w:val="single" w:color="auto" w:sz="12" w:space="0"/>
                  </w:tcBorders>
                  <w:noWrap w:val="0"/>
                  <w:vAlign w:val="center"/>
                </w:tcPr>
                <w:p w14:paraId="744BEF61">
                  <w:pPr>
                    <w:pStyle w:val="30"/>
                    <w:bidi w:val="0"/>
                    <w:rPr>
                      <w:color w:val="auto"/>
                      <w:highlight w:val="none"/>
                    </w:rPr>
                  </w:pPr>
                  <w:r>
                    <w:rPr>
                      <w:rFonts w:hint="eastAsia"/>
                      <w:color w:val="auto"/>
                      <w:highlight w:val="none"/>
                    </w:rPr>
                    <w:t>每季度一次</w:t>
                  </w:r>
                </w:p>
              </w:tc>
            </w:tr>
          </w:tbl>
          <w:p w14:paraId="7AD04A3F">
            <w:pPr>
              <w:pageBreakBefore w:val="0"/>
              <w:widowControl w:val="0"/>
              <w:kinsoku/>
              <w:wordWrap/>
              <w:overflowPunct/>
              <w:topLinePunct w:val="0"/>
              <w:autoSpaceDE/>
              <w:autoSpaceDN/>
              <w:bidi w:val="0"/>
              <w:adjustRightInd/>
              <w:snapToGrid/>
              <w:spacing w:before="0" w:after="0" w:line="480" w:lineRule="exact"/>
              <w:ind w:right="0"/>
              <w:jc w:val="both"/>
              <w:textAlignment w:val="auto"/>
              <w:rPr>
                <w:rFonts w:hint="eastAsia" w:ascii="Times New Roman" w:hAnsi="Times New Roman" w:eastAsia="宋体" w:cs="Times New Roman"/>
                <w:color w:val="auto"/>
                <w:kern w:val="2"/>
                <w:sz w:val="28"/>
                <w:szCs w:val="28"/>
                <w:highlight w:val="none"/>
                <w:lang w:val="en-US" w:eastAsia="zh-CN"/>
              </w:rPr>
            </w:pPr>
            <w:r>
              <w:rPr>
                <w:rFonts w:hint="eastAsia" w:cs="Times New Roman"/>
                <w:b/>
                <w:color w:val="auto"/>
                <w:kern w:val="2"/>
                <w:sz w:val="28"/>
                <w:szCs w:val="28"/>
                <w:highlight w:val="none"/>
                <w:lang w:val="en-US" w:eastAsia="zh-CN" w:bidi="ar-SA"/>
              </w:rPr>
              <w:t>4、</w:t>
            </w:r>
            <w:r>
              <w:rPr>
                <w:rFonts w:hint="eastAsia" w:ascii="Times New Roman" w:hAnsi="Times New Roman" w:eastAsia="宋体" w:cs="Times New Roman"/>
                <w:b/>
                <w:color w:val="auto"/>
                <w:kern w:val="2"/>
                <w:sz w:val="28"/>
                <w:szCs w:val="28"/>
                <w:highlight w:val="none"/>
                <w:lang w:val="en-US" w:eastAsia="zh-CN" w:bidi="ar-SA"/>
              </w:rPr>
              <w:t>固废</w:t>
            </w:r>
          </w:p>
          <w:p w14:paraId="1265C6BD">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（1）固体废物产生情况</w:t>
            </w:r>
          </w:p>
          <w:p w14:paraId="55154CBA">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eastAsia"/>
                <w:color w:val="auto"/>
                <w:highlight w:val="none"/>
              </w:rPr>
            </w:pPr>
            <w:r>
              <w:rPr>
                <w:rFonts w:hint="eastAsia"/>
                <w:color w:val="auto"/>
                <w:highlight w:val="none"/>
              </w:rPr>
              <w:t>本项目产生固废主要为</w:t>
            </w:r>
            <w:r>
              <w:rPr>
                <w:rFonts w:hint="eastAsia"/>
                <w:color w:val="auto"/>
                <w:highlight w:val="none"/>
                <w:lang w:val="en-US" w:eastAsia="zh-CN"/>
              </w:rPr>
              <w:t>除尘器粉尘</w:t>
            </w:r>
            <w:r>
              <w:rPr>
                <w:rFonts w:hint="eastAsia"/>
                <w:color w:val="auto"/>
                <w:highlight w:val="none"/>
                <w:lang w:eastAsia="zh-CN"/>
              </w:rPr>
              <w:t>、</w:t>
            </w:r>
            <w:r>
              <w:rPr>
                <w:rFonts w:hint="eastAsia"/>
                <w:color w:val="auto"/>
                <w:highlight w:val="none"/>
                <w:lang w:val="en-US" w:eastAsia="zh-CN"/>
              </w:rPr>
              <w:t>废包装、废布袋和废机油</w:t>
            </w:r>
            <w:r>
              <w:rPr>
                <w:rFonts w:hint="eastAsia"/>
                <w:color w:val="auto"/>
                <w:highlight w:val="none"/>
              </w:rPr>
              <w:t>。</w:t>
            </w:r>
          </w:p>
          <w:p w14:paraId="70E247FA">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除尘器粉尘</w:t>
            </w:r>
          </w:p>
          <w:p w14:paraId="6E32A96D">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eastAsia"/>
                <w:color w:val="auto"/>
                <w:highlight w:val="none"/>
              </w:rPr>
            </w:pPr>
            <w:r>
              <w:rPr>
                <w:rFonts w:hint="eastAsia"/>
                <w:color w:val="auto"/>
                <w:highlight w:val="none"/>
              </w:rPr>
              <w:t>项目</w:t>
            </w:r>
            <w:r>
              <w:rPr>
                <w:rFonts w:hint="eastAsia"/>
                <w:color w:val="auto"/>
                <w:highlight w:val="none"/>
                <w:lang w:val="en-US" w:eastAsia="zh-CN"/>
              </w:rPr>
              <w:t>针对生产过程中收集产生的除尘器粉尘定期收集并作为原料</w:t>
            </w:r>
            <w:r>
              <w:rPr>
                <w:rFonts w:hint="eastAsia"/>
                <w:color w:val="auto"/>
                <w:highlight w:val="none"/>
              </w:rPr>
              <w:t>回用于生产工序</w:t>
            </w:r>
            <w:r>
              <w:rPr>
                <w:rFonts w:hint="eastAsia"/>
                <w:color w:val="auto"/>
                <w:highlight w:val="none"/>
                <w:lang w:eastAsia="zh-CN"/>
              </w:rPr>
              <w:t>，</w:t>
            </w:r>
            <w:r>
              <w:rPr>
                <w:rFonts w:hint="eastAsia"/>
                <w:color w:val="auto"/>
                <w:highlight w:val="none"/>
                <w:lang w:val="en-US" w:eastAsia="zh-CN"/>
              </w:rPr>
              <w:t>产生量为50.389t/a</w:t>
            </w:r>
            <w:r>
              <w:rPr>
                <w:rFonts w:hint="eastAsia"/>
                <w:color w:val="auto"/>
                <w:highlight w:val="none"/>
              </w:rPr>
              <w:t>。</w:t>
            </w:r>
          </w:p>
          <w:p w14:paraId="4F8D3F64">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废布袋</w:t>
            </w:r>
          </w:p>
          <w:p w14:paraId="61828B8C">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本项目设备在检修或维护过程中会产生更换的废布袋，产生量约为0.1t/a。该部分可交由厂家回收处置。</w:t>
            </w:r>
          </w:p>
          <w:p w14:paraId="3BC0A59E">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废包装</w:t>
            </w:r>
          </w:p>
          <w:p w14:paraId="7EC3E58B">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本项目各类辅料在使用完成后会产生一部分废包装袋，产生量约为2t/a。该部分可综合外收处置。</w:t>
            </w:r>
          </w:p>
          <w:p w14:paraId="5D315555">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废机油</w:t>
            </w:r>
          </w:p>
          <w:p w14:paraId="785657E8">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rFonts w:hint="default"/>
                <w:color w:val="auto"/>
                <w:highlight w:val="none"/>
                <w:lang w:val="en-US" w:eastAsia="zh-CN"/>
              </w:rPr>
            </w:pPr>
            <w:r>
              <w:rPr>
                <w:rFonts w:hint="eastAsia" w:cs="Times New Roman"/>
                <w:color w:val="auto"/>
                <w:sz w:val="24"/>
                <w:szCs w:val="24"/>
                <w:highlight w:val="none"/>
                <w:lang w:val="en-US" w:eastAsia="zh-CN" w:bidi="ar-SA"/>
              </w:rPr>
              <w:t>本项目设备在检修或维护过程中会产生少量的废机油，产生量约为0.1t/a。根据《国家危险废物名录》，属名录中HW08废矿物油与含矿物油废物，行业来源为非特定行业，废物代码分别为900-217-08，属齿轮设备、机械维修和拆解过程中产生的废润滑油，危险特性为T，I。</w:t>
            </w:r>
            <w:r>
              <w:rPr>
                <w:rFonts w:hint="eastAsia"/>
                <w:color w:val="auto"/>
                <w:highlight w:val="none"/>
                <w:lang w:val="en-US" w:eastAsia="zh-CN"/>
              </w:rPr>
              <w:t>废机油暂存厂区新建5m</w:t>
            </w:r>
            <w:r>
              <w:rPr>
                <w:rFonts w:hint="eastAsia"/>
                <w:color w:val="auto"/>
                <w:highlight w:val="none"/>
                <w:vertAlign w:val="superscript"/>
                <w:lang w:val="en-US" w:eastAsia="zh-CN"/>
              </w:rPr>
              <w:t>2</w:t>
            </w:r>
            <w:r>
              <w:rPr>
                <w:rFonts w:hint="eastAsia"/>
                <w:color w:val="auto"/>
                <w:highlight w:val="none"/>
                <w:lang w:val="en-US" w:eastAsia="zh-CN"/>
              </w:rPr>
              <w:t>危废间，定期交由资质单位处置。</w:t>
            </w:r>
          </w:p>
          <w:p w14:paraId="27F87EC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jc w:val="both"/>
              <w:textAlignment w:val="auto"/>
              <w:rPr>
                <w:rFonts w:hint="eastAsia"/>
                <w:color w:val="auto"/>
                <w:highlight w:val="none"/>
                <w:lang w:val="en-US" w:eastAsia="zh-CN"/>
              </w:rPr>
            </w:pPr>
            <w:r>
              <w:rPr>
                <w:rFonts w:hint="eastAsia" w:ascii="Times New Roman" w:hAnsi="Times New Roman" w:eastAsia="宋体" w:cs="宋体"/>
                <w:color w:val="auto"/>
                <w:sz w:val="24"/>
                <w:szCs w:val="22"/>
                <w:lang w:val="en-US" w:eastAsia="zh-CN" w:bidi="ar-SA"/>
              </w:rPr>
              <w:t>（5）</w:t>
            </w:r>
            <w:r>
              <w:rPr>
                <w:rFonts w:hint="eastAsia"/>
                <w:color w:val="auto"/>
                <w:highlight w:val="none"/>
                <w:lang w:val="en-US" w:eastAsia="zh-CN"/>
              </w:rPr>
              <w:t>生活垃圾</w:t>
            </w:r>
          </w:p>
          <w:p w14:paraId="34C996F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jc w:val="both"/>
              <w:textAlignment w:val="auto"/>
              <w:rPr>
                <w:color w:val="auto"/>
                <w:highlight w:val="none"/>
              </w:rPr>
            </w:pPr>
            <w:r>
              <w:rPr>
                <w:rFonts w:hint="default" w:ascii="Times New Roman" w:hAnsi="Times New Roman" w:eastAsia="宋体" w:cs="Times New Roman"/>
                <w:color w:val="auto"/>
                <w:sz w:val="24"/>
                <w:szCs w:val="24"/>
                <w:highlight w:val="none"/>
                <w:lang w:val="en-US" w:eastAsia="zh-CN" w:bidi="ar-SA"/>
              </w:rPr>
              <w:t>本项目生活垃圾产生量以</w:t>
            </w:r>
            <w:r>
              <w:rPr>
                <w:rFonts w:hint="default" w:eastAsia="宋体" w:cs="Times New Roman"/>
                <w:b w:val="0"/>
                <w:bCs w:val="0"/>
                <w:color w:val="auto"/>
                <w:kern w:val="2"/>
                <w:sz w:val="24"/>
                <w:szCs w:val="20"/>
                <w:highlight w:val="none"/>
                <w:lang w:val="en-US" w:eastAsia="zh-CN"/>
              </w:rPr>
              <w:t>每人</w:t>
            </w:r>
            <w:r>
              <w:rPr>
                <w:rFonts w:hint="default" w:ascii="Times New Roman" w:hAnsi="Times New Roman" w:eastAsia="宋体" w:cs="Times New Roman"/>
                <w:color w:val="auto"/>
                <w:sz w:val="24"/>
                <w:szCs w:val="24"/>
                <w:highlight w:val="none"/>
                <w:lang w:val="en-US" w:eastAsia="zh-CN" w:bidi="ar-SA"/>
              </w:rPr>
              <w:t>1kg/d计，年工作</w:t>
            </w:r>
            <w:r>
              <w:rPr>
                <w:rFonts w:hint="eastAsia" w:cs="Times New Roman"/>
                <w:color w:val="auto"/>
                <w:sz w:val="24"/>
                <w:szCs w:val="24"/>
                <w:highlight w:val="none"/>
                <w:lang w:val="en-US" w:eastAsia="zh-CN" w:bidi="ar-SA"/>
              </w:rPr>
              <w:t>300</w:t>
            </w:r>
            <w:r>
              <w:rPr>
                <w:rFonts w:hint="default" w:ascii="Times New Roman" w:hAnsi="Times New Roman" w:eastAsia="宋体" w:cs="Times New Roman"/>
                <w:color w:val="auto"/>
                <w:sz w:val="24"/>
                <w:szCs w:val="24"/>
                <w:highlight w:val="none"/>
                <w:lang w:val="en-US" w:eastAsia="zh-CN" w:bidi="ar-SA"/>
              </w:rPr>
              <w:t>天，故本项目生活垃圾产生量为</w:t>
            </w:r>
            <w:r>
              <w:rPr>
                <w:rFonts w:hint="eastAsia" w:cs="Times New Roman"/>
                <w:color w:val="auto"/>
                <w:sz w:val="24"/>
                <w:szCs w:val="24"/>
                <w:highlight w:val="none"/>
                <w:lang w:val="en-US" w:eastAsia="zh-CN" w:bidi="ar-SA"/>
              </w:rPr>
              <w:t>6</w:t>
            </w:r>
            <w:r>
              <w:rPr>
                <w:rFonts w:hint="default" w:ascii="Times New Roman" w:hAnsi="Times New Roman" w:eastAsia="宋体" w:cs="Times New Roman"/>
                <w:color w:val="auto"/>
                <w:sz w:val="24"/>
                <w:szCs w:val="24"/>
                <w:highlight w:val="none"/>
                <w:lang w:val="en-US" w:eastAsia="zh-CN" w:bidi="ar-SA"/>
              </w:rPr>
              <w:t>t/a，厂区内</w:t>
            </w:r>
            <w:r>
              <w:rPr>
                <w:rFonts w:hint="eastAsia" w:ascii="Times New Roman" w:hAnsi="Times New Roman" w:eastAsia="宋体" w:cs="Times New Roman"/>
                <w:color w:val="auto"/>
                <w:sz w:val="24"/>
                <w:szCs w:val="24"/>
                <w:highlight w:val="none"/>
                <w:lang w:val="en-US" w:eastAsia="zh-CN" w:bidi="ar-SA"/>
              </w:rPr>
              <w:t>集中</w:t>
            </w:r>
            <w:r>
              <w:rPr>
                <w:rFonts w:hint="default" w:ascii="Times New Roman" w:hAnsi="Times New Roman" w:eastAsia="宋体" w:cs="Times New Roman"/>
                <w:color w:val="auto"/>
                <w:sz w:val="24"/>
                <w:szCs w:val="24"/>
                <w:highlight w:val="none"/>
                <w:lang w:val="en-US" w:eastAsia="zh-CN" w:bidi="ar-SA"/>
              </w:rPr>
              <w:t>收集后</w:t>
            </w:r>
            <w:r>
              <w:rPr>
                <w:rFonts w:hint="eastAsia" w:cs="Times New Roman"/>
                <w:color w:val="auto"/>
                <w:sz w:val="24"/>
                <w:szCs w:val="24"/>
                <w:highlight w:val="none"/>
                <w:lang w:val="en-US" w:eastAsia="zh-CN" w:bidi="ar-SA"/>
              </w:rPr>
              <w:t>委托环卫部门定期清运</w:t>
            </w:r>
            <w:r>
              <w:rPr>
                <w:rFonts w:hint="default" w:ascii="Times New Roman" w:hAnsi="Times New Roman" w:eastAsia="宋体" w:cs="Times New Roman"/>
                <w:color w:val="auto"/>
                <w:sz w:val="24"/>
                <w:szCs w:val="24"/>
                <w:highlight w:val="none"/>
                <w:lang w:val="en-US" w:eastAsia="zh-CN" w:bidi="ar-SA"/>
              </w:rPr>
              <w:t>。</w:t>
            </w:r>
          </w:p>
          <w:p w14:paraId="2E3A49D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宋体"/>
                <w:color w:val="auto"/>
                <w:highlight w:val="none"/>
              </w:rPr>
            </w:pPr>
            <w:r>
              <w:rPr>
                <w:color w:val="auto"/>
                <w:highlight w:val="none"/>
              </w:rPr>
              <w:t>本项目固体废物全部妥善处理及处置，对周围环境基本无影响。</w:t>
            </w:r>
            <w:r>
              <w:rPr>
                <w:rFonts w:hint="eastAsia" w:ascii="Times New Roman" w:hAnsi="Times New Roman" w:eastAsia="宋体" w:cs="宋体"/>
                <w:color w:val="auto"/>
                <w:highlight w:val="none"/>
              </w:rPr>
              <w:t>本项目固废排放情况一览表见表4.</w:t>
            </w:r>
            <w:r>
              <w:rPr>
                <w:rFonts w:hint="eastAsia" w:cs="宋体"/>
                <w:color w:val="auto"/>
                <w:highlight w:val="none"/>
                <w:lang w:val="en-US" w:eastAsia="zh-CN"/>
              </w:rPr>
              <w:t>4</w:t>
            </w:r>
            <w:r>
              <w:rPr>
                <w:rFonts w:hint="eastAsia" w:ascii="Times New Roman" w:hAnsi="Times New Roman" w:eastAsia="宋体" w:cs="宋体"/>
                <w:color w:val="auto"/>
                <w:highlight w:val="none"/>
              </w:rPr>
              <w:t>-</w:t>
            </w:r>
            <w:r>
              <w:rPr>
                <w:rFonts w:hint="eastAsia" w:cs="宋体"/>
                <w:color w:val="auto"/>
                <w:highlight w:val="none"/>
                <w:lang w:val="en-US" w:eastAsia="zh-CN"/>
              </w:rPr>
              <w:t>1</w:t>
            </w:r>
            <w:r>
              <w:rPr>
                <w:rFonts w:hint="eastAsia" w:ascii="Times New Roman" w:hAnsi="Times New Roman" w:eastAsia="宋体" w:cs="宋体"/>
                <w:color w:val="auto"/>
                <w:highlight w:val="none"/>
              </w:rPr>
              <w:t>。</w:t>
            </w:r>
          </w:p>
          <w:p w14:paraId="459FD9A6">
            <w:pPr>
              <w:pStyle w:val="28"/>
              <w:rPr>
                <w:color w:val="auto"/>
                <w:sz w:val="21"/>
                <w:szCs w:val="21"/>
                <w:highlight w:val="none"/>
              </w:rPr>
            </w:pPr>
            <w:r>
              <w:rPr>
                <w:rFonts w:hint="eastAsia"/>
                <w:color w:val="auto"/>
                <w:sz w:val="21"/>
                <w:szCs w:val="21"/>
                <w:highlight w:val="none"/>
              </w:rPr>
              <w:t>表4.</w:t>
            </w:r>
            <w:r>
              <w:rPr>
                <w:rFonts w:hint="eastAsia"/>
                <w:color w:val="auto"/>
                <w:sz w:val="21"/>
                <w:szCs w:val="21"/>
                <w:highlight w:val="none"/>
                <w:lang w:val="en-US" w:eastAsia="zh-CN"/>
              </w:rPr>
              <w:t>4</w:t>
            </w:r>
            <w:r>
              <w:rPr>
                <w:rFonts w:hint="eastAsia"/>
                <w:color w:val="auto"/>
                <w:sz w:val="21"/>
                <w:szCs w:val="21"/>
                <w:highlight w:val="none"/>
              </w:rPr>
              <w:t>-1 固废排放情况一览表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442"/>
              <w:gridCol w:w="2390"/>
              <w:gridCol w:w="1898"/>
              <w:gridCol w:w="1164"/>
              <w:gridCol w:w="500"/>
            </w:tblGrid>
            <w:tr w14:paraId="5FD1A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94" w:type="pct"/>
                  <w:tcBorders>
                    <w:tl2br w:val="nil"/>
                    <w:tr2bl w:val="nil"/>
                  </w:tcBorders>
                  <w:noWrap/>
                  <w:vAlign w:val="center"/>
                </w:tcPr>
                <w:p w14:paraId="4657F677">
                  <w:pPr>
                    <w:pStyle w:val="30"/>
                    <w:keepNext w:val="0"/>
                    <w:keepLines w:val="0"/>
                    <w:pageBreakBefore w:val="0"/>
                    <w:kinsoku/>
                    <w:wordWrap/>
                    <w:topLinePunct w:val="0"/>
                    <w:autoSpaceDE w:val="0"/>
                    <w:autoSpaceDN w:val="0"/>
                    <w:bidi w:val="0"/>
                    <w:adjustRightInd w:val="0"/>
                    <w:snapToGrid w:val="0"/>
                    <w:ind w:firstLine="0" w:firstLineChars="0"/>
                    <w:jc w:val="center"/>
                    <w:rPr>
                      <w:color w:val="auto"/>
                      <w:sz w:val="21"/>
                      <w:szCs w:val="21"/>
                      <w:highlight w:val="none"/>
                    </w:rPr>
                  </w:pPr>
                  <w:r>
                    <w:rPr>
                      <w:rFonts w:hint="eastAsia"/>
                      <w:color w:val="auto"/>
                      <w:sz w:val="21"/>
                      <w:szCs w:val="21"/>
                      <w:highlight w:val="none"/>
                    </w:rPr>
                    <w:t>名称</w:t>
                  </w:r>
                </w:p>
              </w:tc>
              <w:tc>
                <w:tcPr>
                  <w:tcW w:w="859" w:type="pct"/>
                  <w:tcBorders>
                    <w:tl2br w:val="nil"/>
                    <w:tr2bl w:val="nil"/>
                  </w:tcBorders>
                  <w:noWrap/>
                  <w:vAlign w:val="center"/>
                </w:tcPr>
                <w:p w14:paraId="5AC3B4B6">
                  <w:pPr>
                    <w:pStyle w:val="30"/>
                    <w:keepNext w:val="0"/>
                    <w:keepLines w:val="0"/>
                    <w:pageBreakBefore w:val="0"/>
                    <w:kinsoku/>
                    <w:wordWrap/>
                    <w:topLinePunct w:val="0"/>
                    <w:autoSpaceDE w:val="0"/>
                    <w:autoSpaceDN w:val="0"/>
                    <w:bidi w:val="0"/>
                    <w:adjustRightInd w:val="0"/>
                    <w:snapToGrid w:val="0"/>
                    <w:ind w:firstLine="0" w:firstLineChars="0"/>
                    <w:jc w:val="center"/>
                    <w:rPr>
                      <w:color w:val="auto"/>
                      <w:sz w:val="21"/>
                      <w:szCs w:val="21"/>
                      <w:highlight w:val="none"/>
                    </w:rPr>
                  </w:pPr>
                  <w:r>
                    <w:rPr>
                      <w:rFonts w:hint="eastAsia"/>
                      <w:color w:val="auto"/>
                      <w:sz w:val="21"/>
                      <w:szCs w:val="21"/>
                      <w:highlight w:val="none"/>
                    </w:rPr>
                    <w:t>排放量</w:t>
                  </w:r>
                </w:p>
              </w:tc>
              <w:tc>
                <w:tcPr>
                  <w:tcW w:w="1423" w:type="pct"/>
                  <w:tcBorders>
                    <w:tl2br w:val="nil"/>
                    <w:tr2bl w:val="nil"/>
                  </w:tcBorders>
                  <w:noWrap/>
                  <w:vAlign w:val="center"/>
                </w:tcPr>
                <w:p w14:paraId="001D9C3A">
                  <w:pPr>
                    <w:pStyle w:val="30"/>
                    <w:keepNext w:val="0"/>
                    <w:keepLines w:val="0"/>
                    <w:pageBreakBefore w:val="0"/>
                    <w:kinsoku/>
                    <w:wordWrap/>
                    <w:topLinePunct w:val="0"/>
                    <w:autoSpaceDE w:val="0"/>
                    <w:autoSpaceDN w:val="0"/>
                    <w:bidi w:val="0"/>
                    <w:adjustRightInd w:val="0"/>
                    <w:snapToGrid w:val="0"/>
                    <w:ind w:firstLine="0" w:firstLineChars="0"/>
                    <w:jc w:val="center"/>
                    <w:rPr>
                      <w:color w:val="auto"/>
                      <w:sz w:val="21"/>
                      <w:szCs w:val="21"/>
                      <w:highlight w:val="none"/>
                    </w:rPr>
                  </w:pPr>
                  <w:r>
                    <w:rPr>
                      <w:rFonts w:hint="eastAsia"/>
                      <w:color w:val="auto"/>
                      <w:sz w:val="21"/>
                      <w:szCs w:val="21"/>
                      <w:highlight w:val="none"/>
                      <w:lang w:val="en-US" w:eastAsia="zh-CN"/>
                    </w:rPr>
                    <w:t>处置排放</w:t>
                  </w:r>
                  <w:r>
                    <w:rPr>
                      <w:rFonts w:hint="eastAsia"/>
                      <w:color w:val="auto"/>
                      <w:sz w:val="21"/>
                      <w:szCs w:val="21"/>
                      <w:highlight w:val="none"/>
                    </w:rPr>
                    <w:t>方式</w:t>
                  </w:r>
                </w:p>
              </w:tc>
              <w:tc>
                <w:tcPr>
                  <w:tcW w:w="1130" w:type="pct"/>
                  <w:tcBorders>
                    <w:tl2br w:val="nil"/>
                    <w:tr2bl w:val="nil"/>
                  </w:tcBorders>
                  <w:noWrap/>
                  <w:vAlign w:val="center"/>
                </w:tcPr>
                <w:p w14:paraId="73C65912">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固废分类代码</w:t>
                  </w:r>
                </w:p>
              </w:tc>
              <w:tc>
                <w:tcPr>
                  <w:tcW w:w="693" w:type="pct"/>
                  <w:tcBorders>
                    <w:tl2br w:val="nil"/>
                    <w:tr2bl w:val="nil"/>
                  </w:tcBorders>
                  <w:noWrap/>
                  <w:vAlign w:val="center"/>
                </w:tcPr>
                <w:p w14:paraId="3BA0FF40">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rPr>
                    <w:t>固废</w:t>
                  </w:r>
                  <w:r>
                    <w:rPr>
                      <w:rFonts w:hint="eastAsia" w:cs="宋体"/>
                      <w:color w:val="auto"/>
                      <w:sz w:val="21"/>
                      <w:szCs w:val="21"/>
                      <w:highlight w:val="none"/>
                      <w:lang w:val="en-US" w:eastAsia="zh-CN"/>
                    </w:rPr>
                    <w:t>类型</w:t>
                  </w:r>
                </w:p>
              </w:tc>
              <w:tc>
                <w:tcPr>
                  <w:tcW w:w="297" w:type="pct"/>
                  <w:tcBorders>
                    <w:tl2br w:val="nil"/>
                    <w:tr2bl w:val="nil"/>
                  </w:tcBorders>
                  <w:noWrap/>
                  <w:vAlign w:val="center"/>
                </w:tcPr>
                <w:p w14:paraId="047AC805">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备注</w:t>
                  </w:r>
                </w:p>
              </w:tc>
            </w:tr>
            <w:tr w14:paraId="6E670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94" w:type="pct"/>
                  <w:tcBorders>
                    <w:tl2br w:val="nil"/>
                    <w:tr2bl w:val="nil"/>
                  </w:tcBorders>
                  <w:noWrap/>
                  <w:vAlign w:val="center"/>
                </w:tcPr>
                <w:p w14:paraId="737DA637">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除尘器粉尘</w:t>
                  </w:r>
                </w:p>
              </w:tc>
              <w:tc>
                <w:tcPr>
                  <w:tcW w:w="859" w:type="pct"/>
                  <w:tcBorders>
                    <w:tl2br w:val="nil"/>
                    <w:tr2bl w:val="nil"/>
                  </w:tcBorders>
                  <w:noWrap/>
                  <w:vAlign w:val="center"/>
                </w:tcPr>
                <w:p w14:paraId="4473097E">
                  <w:pPr>
                    <w:keepNext w:val="0"/>
                    <w:keepLines w:val="0"/>
                    <w:pageBreakBefore w:val="0"/>
                    <w:kinsoku/>
                    <w:wordWrap/>
                    <w:topLinePunct w:val="0"/>
                    <w:autoSpaceDE w:val="0"/>
                    <w:autoSpaceDN w:val="0"/>
                    <w:bidi w:val="0"/>
                    <w:adjustRightInd w:val="0"/>
                    <w:snapToGrid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50.389</w:t>
                  </w:r>
                  <w:r>
                    <w:rPr>
                      <w:rFonts w:hint="eastAsia"/>
                      <w:color w:val="auto"/>
                      <w:sz w:val="21"/>
                      <w:szCs w:val="21"/>
                      <w:highlight w:val="none"/>
                    </w:rPr>
                    <w:t>t/a</w:t>
                  </w:r>
                </w:p>
              </w:tc>
              <w:tc>
                <w:tcPr>
                  <w:tcW w:w="1423" w:type="pct"/>
                  <w:tcBorders>
                    <w:tl2br w:val="nil"/>
                    <w:tr2bl w:val="nil"/>
                  </w:tcBorders>
                  <w:noWrap/>
                  <w:vAlign w:val="center"/>
                </w:tcPr>
                <w:p w14:paraId="7478C4E7">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暂存一般固废间，作为原料回用</w:t>
                  </w:r>
                </w:p>
              </w:tc>
              <w:tc>
                <w:tcPr>
                  <w:tcW w:w="1130" w:type="pct"/>
                  <w:tcBorders>
                    <w:tl2br w:val="nil"/>
                    <w:tr2bl w:val="nil"/>
                  </w:tcBorders>
                  <w:noWrap/>
                  <w:vAlign w:val="center"/>
                </w:tcPr>
                <w:p w14:paraId="7AF87FD9">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s="宋体"/>
                      <w:color w:val="auto"/>
                      <w:sz w:val="21"/>
                      <w:szCs w:val="21"/>
                      <w:highlight w:val="none"/>
                      <w:lang w:val="en-US" w:eastAsia="zh-CN"/>
                    </w:rPr>
                  </w:pPr>
                  <w:r>
                    <w:rPr>
                      <w:rFonts w:hint="eastAsia" w:cs="宋体"/>
                      <w:color w:val="auto"/>
                      <w:sz w:val="21"/>
                      <w:szCs w:val="21"/>
                      <w:highlight w:val="none"/>
                      <w:lang w:val="en-US" w:eastAsia="zh-CN"/>
                    </w:rPr>
                    <w:t>900-099-S59</w:t>
                  </w:r>
                </w:p>
              </w:tc>
              <w:tc>
                <w:tcPr>
                  <w:tcW w:w="693" w:type="pct"/>
                  <w:vMerge w:val="restart"/>
                  <w:tcBorders>
                    <w:tl2br w:val="nil"/>
                    <w:tr2bl w:val="nil"/>
                  </w:tcBorders>
                  <w:noWrap/>
                  <w:vAlign w:val="center"/>
                </w:tcPr>
                <w:p w14:paraId="5A0F7AA5">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一般固体废物</w:t>
                  </w:r>
                </w:p>
              </w:tc>
              <w:tc>
                <w:tcPr>
                  <w:tcW w:w="297" w:type="pct"/>
                  <w:tcBorders>
                    <w:tl2br w:val="nil"/>
                    <w:tr2bl w:val="nil"/>
                  </w:tcBorders>
                  <w:noWrap/>
                  <w:vAlign w:val="center"/>
                </w:tcPr>
                <w:p w14:paraId="6400EB53">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w:t>
                  </w:r>
                </w:p>
              </w:tc>
            </w:tr>
            <w:tr w14:paraId="1E055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94" w:type="pct"/>
                  <w:tcBorders>
                    <w:tl2br w:val="nil"/>
                    <w:tr2bl w:val="nil"/>
                  </w:tcBorders>
                  <w:noWrap/>
                  <w:vAlign w:val="center"/>
                </w:tcPr>
                <w:p w14:paraId="0B224FC5">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废布袋</w:t>
                  </w:r>
                </w:p>
              </w:tc>
              <w:tc>
                <w:tcPr>
                  <w:tcW w:w="859" w:type="pct"/>
                  <w:tcBorders>
                    <w:tl2br w:val="nil"/>
                    <w:tr2bl w:val="nil"/>
                  </w:tcBorders>
                  <w:noWrap/>
                  <w:vAlign w:val="center"/>
                </w:tcPr>
                <w:p w14:paraId="7518A85F">
                  <w:pPr>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0.1</w:t>
                  </w:r>
                  <w:r>
                    <w:rPr>
                      <w:rFonts w:hint="eastAsia"/>
                      <w:color w:val="auto"/>
                      <w:sz w:val="21"/>
                      <w:szCs w:val="21"/>
                      <w:highlight w:val="none"/>
                    </w:rPr>
                    <w:t>t/a</w:t>
                  </w:r>
                </w:p>
              </w:tc>
              <w:tc>
                <w:tcPr>
                  <w:tcW w:w="1423" w:type="pct"/>
                  <w:tcBorders>
                    <w:tl2br w:val="nil"/>
                    <w:tr2bl w:val="nil"/>
                  </w:tcBorders>
                  <w:noWrap/>
                  <w:vAlign w:val="center"/>
                </w:tcPr>
                <w:p w14:paraId="2347078B">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暂存一般固废间，厂家回收</w:t>
                  </w:r>
                </w:p>
              </w:tc>
              <w:tc>
                <w:tcPr>
                  <w:tcW w:w="1130" w:type="pct"/>
                  <w:tcBorders>
                    <w:tl2br w:val="nil"/>
                    <w:tr2bl w:val="nil"/>
                  </w:tcBorders>
                  <w:noWrap/>
                  <w:vAlign w:val="center"/>
                </w:tcPr>
                <w:p w14:paraId="5ABF3F42">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s="宋体"/>
                      <w:color w:val="auto"/>
                      <w:sz w:val="21"/>
                      <w:szCs w:val="21"/>
                      <w:highlight w:val="none"/>
                      <w:lang w:val="en-US" w:eastAsia="zh-CN"/>
                    </w:rPr>
                  </w:pPr>
                  <w:r>
                    <w:rPr>
                      <w:rFonts w:hint="eastAsia" w:cs="宋体"/>
                      <w:color w:val="auto"/>
                      <w:sz w:val="21"/>
                      <w:szCs w:val="21"/>
                      <w:highlight w:val="none"/>
                      <w:lang w:val="en-US" w:eastAsia="zh-CN"/>
                    </w:rPr>
                    <w:t>900-011-S17</w:t>
                  </w:r>
                </w:p>
              </w:tc>
              <w:tc>
                <w:tcPr>
                  <w:tcW w:w="693" w:type="pct"/>
                  <w:vMerge w:val="continue"/>
                  <w:tcBorders>
                    <w:tl2br w:val="nil"/>
                    <w:tr2bl w:val="nil"/>
                  </w:tcBorders>
                  <w:noWrap/>
                  <w:vAlign w:val="center"/>
                </w:tcPr>
                <w:p w14:paraId="3F402908">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lang w:val="en-US" w:eastAsia="zh-CN" w:bidi="ar-SA"/>
                    </w:rPr>
                  </w:pPr>
                </w:p>
              </w:tc>
              <w:tc>
                <w:tcPr>
                  <w:tcW w:w="297" w:type="pct"/>
                  <w:tcBorders>
                    <w:tl2br w:val="nil"/>
                    <w:tr2bl w:val="nil"/>
                  </w:tcBorders>
                  <w:noWrap/>
                  <w:vAlign w:val="center"/>
                </w:tcPr>
                <w:p w14:paraId="40A1B2D2">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w:t>
                  </w:r>
                </w:p>
              </w:tc>
            </w:tr>
            <w:tr w14:paraId="4BE05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94" w:type="pct"/>
                  <w:tcBorders>
                    <w:tl2br w:val="nil"/>
                    <w:tr2bl w:val="nil"/>
                  </w:tcBorders>
                  <w:noWrap/>
                  <w:vAlign w:val="center"/>
                </w:tcPr>
                <w:p w14:paraId="236562B3">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废包装袋</w:t>
                  </w:r>
                </w:p>
              </w:tc>
              <w:tc>
                <w:tcPr>
                  <w:tcW w:w="859" w:type="pct"/>
                  <w:tcBorders>
                    <w:tl2br w:val="nil"/>
                    <w:tr2bl w:val="nil"/>
                  </w:tcBorders>
                  <w:noWrap/>
                  <w:vAlign w:val="center"/>
                </w:tcPr>
                <w:p w14:paraId="7B8DF9EE">
                  <w:pPr>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t/a</w:t>
                  </w:r>
                </w:p>
              </w:tc>
              <w:tc>
                <w:tcPr>
                  <w:tcW w:w="1423" w:type="pct"/>
                  <w:tcBorders>
                    <w:tl2br w:val="nil"/>
                    <w:tr2bl w:val="nil"/>
                  </w:tcBorders>
                  <w:noWrap/>
                  <w:vAlign w:val="center"/>
                </w:tcPr>
                <w:p w14:paraId="460D9AF8">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暂存一般固废间，综合外售</w:t>
                  </w:r>
                </w:p>
              </w:tc>
              <w:tc>
                <w:tcPr>
                  <w:tcW w:w="1130" w:type="pct"/>
                  <w:tcBorders>
                    <w:tl2br w:val="nil"/>
                    <w:tr2bl w:val="nil"/>
                  </w:tcBorders>
                  <w:noWrap/>
                  <w:vAlign w:val="center"/>
                </w:tcPr>
                <w:p w14:paraId="2CC98087">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s="宋体"/>
                      <w:color w:val="auto"/>
                      <w:sz w:val="21"/>
                      <w:szCs w:val="21"/>
                      <w:highlight w:val="none"/>
                      <w:lang w:val="en-US" w:eastAsia="zh-CN"/>
                    </w:rPr>
                  </w:pPr>
                  <w:r>
                    <w:rPr>
                      <w:rFonts w:hint="eastAsia" w:cs="宋体"/>
                      <w:color w:val="auto"/>
                      <w:sz w:val="21"/>
                      <w:szCs w:val="21"/>
                      <w:highlight w:val="none"/>
                      <w:lang w:val="en-US" w:eastAsia="zh-CN"/>
                    </w:rPr>
                    <w:t>900-003-S17</w:t>
                  </w:r>
                </w:p>
                <w:p w14:paraId="0CE37084">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s="宋体"/>
                      <w:color w:val="auto"/>
                      <w:sz w:val="21"/>
                      <w:szCs w:val="21"/>
                      <w:highlight w:val="none"/>
                      <w:lang w:val="en-US" w:eastAsia="zh-CN"/>
                    </w:rPr>
                  </w:pPr>
                  <w:r>
                    <w:rPr>
                      <w:rFonts w:hint="eastAsia" w:cs="宋体"/>
                      <w:color w:val="auto"/>
                      <w:sz w:val="21"/>
                      <w:szCs w:val="21"/>
                      <w:highlight w:val="none"/>
                      <w:lang w:val="en-US" w:eastAsia="zh-CN"/>
                    </w:rPr>
                    <w:t>900-005-S17</w:t>
                  </w:r>
                </w:p>
              </w:tc>
              <w:tc>
                <w:tcPr>
                  <w:tcW w:w="693" w:type="pct"/>
                  <w:vMerge w:val="continue"/>
                  <w:tcBorders>
                    <w:tl2br w:val="nil"/>
                    <w:tr2bl w:val="nil"/>
                  </w:tcBorders>
                  <w:noWrap/>
                  <w:vAlign w:val="center"/>
                </w:tcPr>
                <w:p w14:paraId="59C4896A">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ascii="Times New Roman" w:hAnsi="Times New Roman" w:eastAsia="宋体" w:cs="宋体"/>
                      <w:color w:val="auto"/>
                      <w:sz w:val="21"/>
                      <w:szCs w:val="21"/>
                      <w:highlight w:val="none"/>
                      <w:lang w:val="en-US" w:eastAsia="zh-CN" w:bidi="ar-SA"/>
                    </w:rPr>
                  </w:pPr>
                </w:p>
              </w:tc>
              <w:tc>
                <w:tcPr>
                  <w:tcW w:w="297" w:type="pct"/>
                  <w:tcBorders>
                    <w:tl2br w:val="nil"/>
                    <w:tr2bl w:val="nil"/>
                  </w:tcBorders>
                  <w:noWrap/>
                  <w:vAlign w:val="center"/>
                </w:tcPr>
                <w:p w14:paraId="2A793E05">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w:t>
                  </w:r>
                </w:p>
              </w:tc>
            </w:tr>
            <w:tr w14:paraId="18D9B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94" w:type="pct"/>
                  <w:tcBorders>
                    <w:tl2br w:val="nil"/>
                    <w:tr2bl w:val="nil"/>
                  </w:tcBorders>
                  <w:noWrap/>
                  <w:vAlign w:val="center"/>
                </w:tcPr>
                <w:p w14:paraId="28537ABB">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废机油</w:t>
                  </w:r>
                </w:p>
              </w:tc>
              <w:tc>
                <w:tcPr>
                  <w:tcW w:w="859" w:type="pct"/>
                  <w:tcBorders>
                    <w:tl2br w:val="nil"/>
                    <w:tr2bl w:val="nil"/>
                  </w:tcBorders>
                  <w:noWrap/>
                  <w:vAlign w:val="center"/>
                </w:tcPr>
                <w:p w14:paraId="72AC2B3D">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0.1</w:t>
                  </w:r>
                  <w:r>
                    <w:rPr>
                      <w:rFonts w:hint="eastAsia"/>
                      <w:color w:val="auto"/>
                      <w:sz w:val="21"/>
                      <w:szCs w:val="21"/>
                      <w:highlight w:val="none"/>
                    </w:rPr>
                    <w:t>t/a</w:t>
                  </w:r>
                </w:p>
              </w:tc>
              <w:tc>
                <w:tcPr>
                  <w:tcW w:w="1423" w:type="pct"/>
                  <w:tcBorders>
                    <w:tl2br w:val="nil"/>
                    <w:tr2bl w:val="nil"/>
                  </w:tcBorders>
                  <w:noWrap/>
                  <w:vAlign w:val="center"/>
                </w:tcPr>
                <w:p w14:paraId="2FAF4F9B">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s="Times New Roman"/>
                      <w:color w:val="auto"/>
                      <w:kern w:val="0"/>
                      <w:sz w:val="21"/>
                      <w:szCs w:val="21"/>
                      <w:highlight w:val="none"/>
                      <w:lang w:val="en-US" w:eastAsia="zh-CN" w:bidi="ar"/>
                    </w:rPr>
                  </w:pPr>
                  <w:r>
                    <w:rPr>
                      <w:rFonts w:hint="eastAsia"/>
                      <w:color w:val="auto"/>
                      <w:sz w:val="21"/>
                      <w:szCs w:val="21"/>
                      <w:highlight w:val="none"/>
                      <w:lang w:val="en-US" w:eastAsia="zh-CN"/>
                    </w:rPr>
                    <w:t>暂存厂区新建5m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危废间，定期交由资质单位处置</w:t>
                  </w:r>
                </w:p>
              </w:tc>
              <w:tc>
                <w:tcPr>
                  <w:tcW w:w="1130" w:type="pct"/>
                  <w:tcBorders>
                    <w:tl2br w:val="nil"/>
                    <w:tr2bl w:val="nil"/>
                  </w:tcBorders>
                  <w:noWrap/>
                  <w:vAlign w:val="center"/>
                </w:tcPr>
                <w:p w14:paraId="4587A941">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s="宋体"/>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900-217-08</w:t>
                  </w:r>
                </w:p>
              </w:tc>
              <w:tc>
                <w:tcPr>
                  <w:tcW w:w="693" w:type="pct"/>
                  <w:tcBorders>
                    <w:tl2br w:val="nil"/>
                    <w:tr2bl w:val="nil"/>
                  </w:tcBorders>
                  <w:noWrap/>
                  <w:vAlign w:val="center"/>
                </w:tcPr>
                <w:p w14:paraId="5C3E068B">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危险废物</w:t>
                  </w:r>
                </w:p>
              </w:tc>
              <w:tc>
                <w:tcPr>
                  <w:tcW w:w="297" w:type="pct"/>
                  <w:tcBorders>
                    <w:tl2br w:val="nil"/>
                    <w:tr2bl w:val="nil"/>
                  </w:tcBorders>
                  <w:noWrap/>
                  <w:vAlign w:val="center"/>
                </w:tcPr>
                <w:p w14:paraId="5ED94259">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w:t>
                  </w:r>
                </w:p>
              </w:tc>
            </w:tr>
            <w:tr w14:paraId="7B47D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94" w:type="pct"/>
                  <w:tcBorders>
                    <w:tl2br w:val="nil"/>
                    <w:tr2bl w:val="nil"/>
                  </w:tcBorders>
                  <w:noWrap/>
                  <w:vAlign w:val="center"/>
                </w:tcPr>
                <w:p w14:paraId="487260AD">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生活垃圾</w:t>
                  </w:r>
                </w:p>
              </w:tc>
              <w:tc>
                <w:tcPr>
                  <w:tcW w:w="859" w:type="pct"/>
                  <w:tcBorders>
                    <w:tl2br w:val="nil"/>
                    <w:tr2bl w:val="nil"/>
                  </w:tcBorders>
                  <w:noWrap/>
                  <w:vAlign w:val="center"/>
                </w:tcPr>
                <w:p w14:paraId="5254BC46">
                  <w:pPr>
                    <w:pStyle w:val="30"/>
                    <w:keepNext w:val="0"/>
                    <w:keepLines w:val="0"/>
                    <w:pageBreakBefore w:val="0"/>
                    <w:kinsoku/>
                    <w:wordWrap/>
                    <w:topLinePunct w:val="0"/>
                    <w:autoSpaceDE w:val="0"/>
                    <w:autoSpaceDN w:val="0"/>
                    <w:bidi w:val="0"/>
                    <w:adjustRightInd w:val="0"/>
                    <w:snapToGrid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6t/a</w:t>
                  </w:r>
                </w:p>
              </w:tc>
              <w:tc>
                <w:tcPr>
                  <w:tcW w:w="1423" w:type="pct"/>
                  <w:tcBorders>
                    <w:tl2br w:val="nil"/>
                    <w:tr2bl w:val="nil"/>
                  </w:tcBorders>
                  <w:noWrap/>
                  <w:vAlign w:val="center"/>
                </w:tcPr>
                <w:p w14:paraId="1622EC65">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olor w:val="auto"/>
                      <w:sz w:val="21"/>
                      <w:szCs w:val="21"/>
                      <w:highlight w:val="none"/>
                      <w:lang w:val="en-US" w:eastAsia="zh-CN"/>
                    </w:rPr>
                  </w:pPr>
                  <w:r>
                    <w:rPr>
                      <w:rFonts w:hint="eastAsia" w:cs="Times New Roman"/>
                      <w:color w:val="auto"/>
                      <w:kern w:val="0"/>
                      <w:sz w:val="21"/>
                      <w:szCs w:val="21"/>
                      <w:highlight w:val="none"/>
                      <w:lang w:val="en-US" w:eastAsia="zh-CN" w:bidi="ar"/>
                    </w:rPr>
                    <w:t>委托环卫部门定期清运</w:t>
                  </w:r>
                </w:p>
              </w:tc>
              <w:tc>
                <w:tcPr>
                  <w:tcW w:w="1130" w:type="pct"/>
                  <w:tcBorders>
                    <w:tl2br w:val="nil"/>
                    <w:tr2bl w:val="nil"/>
                  </w:tcBorders>
                  <w:noWrap/>
                  <w:vAlign w:val="center"/>
                </w:tcPr>
                <w:p w14:paraId="3195E4B4">
                  <w:pPr>
                    <w:pStyle w:val="30"/>
                    <w:keepNext w:val="0"/>
                    <w:keepLines w:val="0"/>
                    <w:suppressLineNumbers w:val="0"/>
                    <w:spacing w:before="0" w:beforeAutospacing="0" w:after="0" w:afterAutospacing="0"/>
                    <w:ind w:left="0" w:right="0" w:firstLine="0" w:firstLineChars="0"/>
                    <w:jc w:val="center"/>
                    <w:rPr>
                      <w:rFonts w:hint="eastAsia" w:cs="宋体"/>
                      <w:color w:val="auto"/>
                      <w:sz w:val="21"/>
                      <w:szCs w:val="21"/>
                      <w:lang w:val="en-US" w:eastAsia="zh-CN"/>
                    </w:rPr>
                  </w:pPr>
                  <w:r>
                    <w:rPr>
                      <w:rFonts w:hint="eastAsia" w:cs="宋体"/>
                      <w:color w:val="auto"/>
                      <w:sz w:val="21"/>
                      <w:szCs w:val="21"/>
                      <w:lang w:val="en-US" w:eastAsia="zh-CN"/>
                    </w:rPr>
                    <w:t>900-001-S61</w:t>
                  </w:r>
                </w:p>
                <w:p w14:paraId="47F61E51">
                  <w:pPr>
                    <w:pStyle w:val="30"/>
                    <w:keepNext w:val="0"/>
                    <w:keepLines w:val="0"/>
                    <w:suppressLineNumbers w:val="0"/>
                    <w:spacing w:before="0" w:beforeAutospacing="0" w:after="0" w:afterAutospacing="0"/>
                    <w:ind w:left="0" w:right="0" w:firstLine="0" w:firstLineChars="0"/>
                    <w:jc w:val="center"/>
                    <w:rPr>
                      <w:rFonts w:hint="eastAsia" w:cs="宋体"/>
                      <w:color w:val="auto"/>
                      <w:sz w:val="21"/>
                      <w:szCs w:val="21"/>
                      <w:lang w:val="en-US" w:eastAsia="zh-CN"/>
                    </w:rPr>
                  </w:pPr>
                  <w:r>
                    <w:rPr>
                      <w:rFonts w:hint="eastAsia" w:cs="宋体"/>
                      <w:color w:val="auto"/>
                      <w:sz w:val="21"/>
                      <w:szCs w:val="21"/>
                      <w:lang w:val="en-US" w:eastAsia="zh-CN"/>
                    </w:rPr>
                    <w:t>900-002-S61</w:t>
                  </w:r>
                </w:p>
                <w:p w14:paraId="25FDA427">
                  <w:pPr>
                    <w:pStyle w:val="30"/>
                    <w:keepNext w:val="0"/>
                    <w:keepLines w:val="0"/>
                    <w:suppressLineNumbers w:val="0"/>
                    <w:spacing w:before="0" w:beforeAutospacing="0" w:after="0" w:afterAutospacing="0"/>
                    <w:ind w:left="0" w:right="0" w:firstLine="0" w:firstLineChars="0"/>
                    <w:jc w:val="center"/>
                    <w:rPr>
                      <w:rFonts w:hint="eastAsia" w:cs="宋体"/>
                      <w:color w:val="auto"/>
                      <w:sz w:val="21"/>
                      <w:szCs w:val="21"/>
                      <w:lang w:val="en-US" w:eastAsia="zh-CN"/>
                    </w:rPr>
                  </w:pPr>
                  <w:r>
                    <w:rPr>
                      <w:rFonts w:hint="eastAsia" w:cs="宋体"/>
                      <w:color w:val="auto"/>
                      <w:sz w:val="21"/>
                      <w:szCs w:val="21"/>
                      <w:lang w:val="en-US" w:eastAsia="zh-CN"/>
                    </w:rPr>
                    <w:t>900-001-S62</w:t>
                  </w:r>
                </w:p>
                <w:p w14:paraId="431262BC">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宋体"/>
                      <w:color w:val="auto"/>
                      <w:sz w:val="21"/>
                      <w:szCs w:val="21"/>
                      <w:lang w:val="en-US" w:eastAsia="zh-CN"/>
                    </w:rPr>
                    <w:t>900-002-S62</w:t>
                  </w:r>
                </w:p>
              </w:tc>
              <w:tc>
                <w:tcPr>
                  <w:tcW w:w="693" w:type="pct"/>
                  <w:tcBorders>
                    <w:tl2br w:val="nil"/>
                    <w:tr2bl w:val="nil"/>
                  </w:tcBorders>
                  <w:noWrap/>
                  <w:vAlign w:val="center"/>
                </w:tcPr>
                <w:p w14:paraId="7EA8B7C6">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bidi="ar-SA"/>
                    </w:rPr>
                    <w:t>生活垃圾</w:t>
                  </w:r>
                </w:p>
              </w:tc>
              <w:tc>
                <w:tcPr>
                  <w:tcW w:w="297" w:type="pct"/>
                  <w:tcBorders>
                    <w:tl2br w:val="nil"/>
                    <w:tr2bl w:val="nil"/>
                  </w:tcBorders>
                  <w:noWrap/>
                  <w:vAlign w:val="center"/>
                </w:tcPr>
                <w:p w14:paraId="3DA75AC6">
                  <w:pPr>
                    <w:pStyle w:val="30"/>
                    <w:keepNext w:val="0"/>
                    <w:keepLines w:val="0"/>
                    <w:pageBreakBefore w:val="0"/>
                    <w:kinsoku/>
                    <w:wordWrap/>
                    <w:topLinePunct w:val="0"/>
                    <w:autoSpaceDE w:val="0"/>
                    <w:autoSpaceDN w:val="0"/>
                    <w:bidi w:val="0"/>
                    <w:adjustRightInd w:val="0"/>
                    <w:snapToGrid w:val="0"/>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w:t>
                  </w:r>
                </w:p>
              </w:tc>
            </w:tr>
          </w:tbl>
          <w:p w14:paraId="0AF7AAB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b/>
                <w:bCs/>
                <w:color w:val="auto"/>
                <w:kern w:val="2"/>
                <w:sz w:val="24"/>
                <w:szCs w:val="20"/>
                <w:highlight w:val="none"/>
                <w:lang w:val="en-US" w:eastAsia="zh-CN"/>
              </w:rPr>
            </w:pPr>
            <w:r>
              <w:rPr>
                <w:rFonts w:hint="eastAsia" w:cs="Times New Roman"/>
                <w:b/>
                <w:bCs/>
                <w:color w:val="auto"/>
                <w:kern w:val="2"/>
                <w:sz w:val="24"/>
                <w:szCs w:val="20"/>
                <w:highlight w:val="none"/>
                <w:lang w:val="en-US" w:eastAsia="zh-CN"/>
              </w:rPr>
              <w:t>4.2</w:t>
            </w:r>
            <w:r>
              <w:rPr>
                <w:rFonts w:hint="eastAsia" w:ascii="Times New Roman" w:hAnsi="Times New Roman" w:eastAsia="宋体" w:cs="Times New Roman"/>
                <w:b/>
                <w:bCs/>
                <w:color w:val="auto"/>
                <w:kern w:val="2"/>
                <w:sz w:val="24"/>
                <w:szCs w:val="20"/>
                <w:highlight w:val="none"/>
                <w:lang w:val="en-US" w:eastAsia="zh-CN"/>
              </w:rPr>
              <w:t>环境管理要求</w:t>
            </w:r>
          </w:p>
          <w:p w14:paraId="421ED0B5">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2" w:firstLineChars="200"/>
              <w:jc w:val="both"/>
              <w:textAlignment w:val="auto"/>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4.2.1一般固体废物</w:t>
            </w:r>
          </w:p>
          <w:p w14:paraId="072DC4FE">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（1）一般固废暂存点</w:t>
            </w:r>
          </w:p>
          <w:p w14:paraId="4CD9691B">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项目一般固体废物执行《一般工业固体废物贮存和填埋污染控制标准》（GB18599-2020）。本项目一般固废暂存区设置于</w:t>
            </w:r>
            <w:r>
              <w:rPr>
                <w:rFonts w:hint="eastAsia" w:cs="Times New Roman"/>
                <w:b w:val="0"/>
                <w:bCs w:val="0"/>
                <w:color w:val="auto"/>
                <w:kern w:val="2"/>
                <w:sz w:val="24"/>
                <w:szCs w:val="24"/>
                <w:lang w:val="en-US" w:eastAsia="zh-CN" w:bidi="ar-SA"/>
              </w:rPr>
              <w:t>厂区生产车间</w:t>
            </w:r>
            <w:r>
              <w:rPr>
                <w:rFonts w:hint="eastAsia" w:ascii="Times New Roman" w:hAnsi="Times New Roman" w:cs="Times New Roman"/>
                <w:b w:val="0"/>
                <w:bCs w:val="0"/>
                <w:color w:val="auto"/>
                <w:kern w:val="2"/>
                <w:sz w:val="24"/>
                <w:szCs w:val="24"/>
                <w:lang w:val="en-US" w:eastAsia="zh-CN" w:bidi="ar-SA"/>
              </w:rPr>
              <w:t>内，按照《中华人民共和国固体废物污染环境防治法》、《一般工业固体废物管理台账制定指南（试行）》(生态环境部公告2021年第82号)要求进行做好防扬散、防雨、防流失措施，暂存区可满足防风防雨措施，各类固废应分类收集，暂存区按照《环境保护图形标志</w:t>
            </w:r>
            <w:r>
              <w:rPr>
                <w:rFonts w:hint="eastAsia"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固体废物贮存（处置）场》（GB15562.2）的要求设置环保图形标志；指定专人进行日常管理。</w:t>
            </w:r>
          </w:p>
          <w:p w14:paraId="3FEA264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2</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一般要求</w:t>
            </w:r>
          </w:p>
          <w:p w14:paraId="7BCB14AD">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固体废物污染防治法规定“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根据这些规定，本项目固体废物污染环境防治设施必须做到</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三同时</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p>
          <w:p w14:paraId="79ACF272">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为了进一步降低固体废物的影响，建议建设单位在实践中逐步确定新的废物管理模式，对所有固体废物进行监控管理。</w:t>
            </w:r>
          </w:p>
          <w:p w14:paraId="27D50B8D">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t>全过程管理</w:t>
            </w:r>
          </w:p>
          <w:p w14:paraId="2189C884">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即对废物从“出生”那一时刻起对废物的产生、收集、运输、贮存、再循环、再利用、加工处理直至最终处置实行全过程管理，以实现废物减量化、资源化和无害化。</w:t>
            </w:r>
          </w:p>
          <w:p w14:paraId="1788A760">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w:t>
            </w:r>
            <w:r>
              <w:rPr>
                <w:rFonts w:hint="default" w:ascii="Times New Roman" w:hAnsi="Times New Roman" w:eastAsia="宋体" w:cs="Times New Roman"/>
                <w:color w:val="auto"/>
                <w:kern w:val="2"/>
                <w:sz w:val="24"/>
                <w:szCs w:val="24"/>
                <w:lang w:val="en-US" w:eastAsia="zh-CN" w:bidi="ar-SA"/>
              </w:rPr>
              <w:t>对排放废物进行审计</w:t>
            </w:r>
          </w:p>
          <w:p w14:paraId="498A6E9A">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物审计制度是对废物从产生、处理到处置排放实行全过程监督的有效手段。其主要内容有：废物合理的产生量；废物流向和分配及监测记录；废物处理和转化；废物有效排放和废物总量衡算；废物从产生到处理的全过程评估</w:t>
            </w:r>
            <w:r>
              <w:rPr>
                <w:rFonts w:hint="eastAsia" w:ascii="Times New Roman" w:hAnsi="Times New Roman" w:eastAsia="宋体" w:cs="Times New Roman"/>
                <w:color w:val="auto"/>
                <w:kern w:val="2"/>
                <w:sz w:val="24"/>
                <w:szCs w:val="24"/>
                <w:lang w:val="en-US" w:eastAsia="zh-CN" w:bidi="ar-SA"/>
              </w:rPr>
              <w:t>。</w:t>
            </w:r>
          </w:p>
          <w:p w14:paraId="4EEBF38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（3）收集、贮存、利用以及处置要求</w:t>
            </w:r>
          </w:p>
          <w:p w14:paraId="7D4F89A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 xml:space="preserve">排污单位应按照《中华人民共和国固体废物污染环境防治法》等相关法律法规要求，对工业固体废物采用防扬散、防流失、防渗漏或者其他防止污染环境的措施，收集过程中不得擅自倾倒、堆放、丢弃、遗撒工业固体废物。 </w:t>
            </w:r>
          </w:p>
          <w:p w14:paraId="42D099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color w:val="auto"/>
                <w:lang w:val="en-US" w:eastAsia="zh-CN"/>
              </w:rPr>
              <w:t>排</w:t>
            </w:r>
            <w:r>
              <w:rPr>
                <w:rFonts w:hint="eastAsia" w:ascii="Times New Roman" w:hAnsi="Times New Roman" w:eastAsia="宋体" w:cs="Times New Roman"/>
                <w:color w:val="auto"/>
                <w:kern w:val="2"/>
                <w:sz w:val="24"/>
                <w:szCs w:val="24"/>
                <w:lang w:val="en-US" w:eastAsia="zh-CN" w:bidi="ar-SA"/>
              </w:rPr>
              <w:t xml:space="preserve">污单位委托他人运输、利用、处置一般工业固体废物的，应落实《中华人民共和国固体废物污染环境防治法》等法律法规要求，对受托方的主体资格和技术能力进行核实，依法签订书面合同，在合同中约定污染防治要求等。 </w:t>
            </w:r>
          </w:p>
          <w:p w14:paraId="4D0C2B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采用库房、包装工具（罐、桶、包装袋等）贮存一般工业固体废物的，贮存过程应满足相应防渗漏、防雨淋、防扬尘等环境保护要求；不相容的一般工业固体废物应设置不同的分区进行贮存；贮存场应设置清晰、完整的一般工业固体废物标志牌等。</w:t>
            </w:r>
          </w:p>
          <w:p w14:paraId="08BA167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排污单位生产运营期间一般工业固体废物自行贮存/利用/处置设施的环境管理和相关设施运行维护要求还应符合GB 15562.2、GB 18599、GB 30485和 HJ 2035等相关标准规范要求。 </w:t>
            </w:r>
          </w:p>
          <w:p w14:paraId="5979CD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一般工业固体废物台账管理要求</w:t>
            </w:r>
          </w:p>
          <w:p w14:paraId="3E961D4A">
            <w:pPr>
              <w:pStyle w:val="12"/>
              <w:spacing w:line="360" w:lineRule="auto"/>
              <w:ind w:firstLine="450"/>
              <w:jc w:val="both"/>
              <w:rPr>
                <w:rFonts w:hint="default" w:ascii="Times New Roman" w:hAnsi="Times New Roman" w:eastAsia="宋体" w:cs="Times New Roman"/>
                <w:b w:val="0"/>
                <w:bCs w:val="0"/>
                <w:color w:val="auto"/>
                <w:kern w:val="2"/>
                <w:sz w:val="24"/>
                <w:szCs w:val="20"/>
                <w:highlight w:val="none"/>
                <w:lang w:val="en-US" w:eastAsia="zh-CN" w:bidi="ar-SA"/>
              </w:rPr>
            </w:pPr>
            <w:r>
              <w:rPr>
                <w:rFonts w:hint="default" w:ascii="Times New Roman" w:hAnsi="Times New Roman" w:eastAsia="宋体" w:cs="Times New Roman"/>
                <w:b w:val="0"/>
                <w:bCs w:val="0"/>
                <w:color w:val="auto"/>
                <w:kern w:val="2"/>
                <w:sz w:val="24"/>
                <w:szCs w:val="20"/>
                <w:highlight w:val="none"/>
                <w:lang w:val="en-US" w:eastAsia="zh-CN" w:bidi="ar-SA"/>
              </w:rPr>
              <w:t>产生工业固体废物的单位（以下简称产废单位）建立工业固体废物管理台账，如实记录工业固体废物的种类、数量、流向、贮存、利用、处置等信息，可以实现工业固体废物可追溯、可查询的目的，推动企业提升固体废物管理水平。</w:t>
            </w:r>
            <w:r>
              <w:rPr>
                <w:rFonts w:hint="default" w:ascii="Times New Roman" w:hAnsi="Times New Roman" w:cs="Times New Roman"/>
                <w:b w:val="0"/>
                <w:bCs w:val="0"/>
                <w:color w:val="auto"/>
                <w:kern w:val="2"/>
                <w:sz w:val="24"/>
                <w:szCs w:val="20"/>
                <w:highlight w:val="none"/>
                <w:lang w:val="en-US" w:eastAsia="zh-CN" w:bidi="ar-SA"/>
              </w:rPr>
              <w:t>建议建设单位运行后根据《一般工业固体废物管理台账制定指南（试行）》制定台账管理内容，台账管理前期准备工作如下：</w:t>
            </w:r>
          </w:p>
          <w:p w14:paraId="1D387E5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①</w:t>
            </w:r>
            <w:r>
              <w:rPr>
                <w:rFonts w:hint="default" w:ascii="Times New Roman" w:hAnsi="Times New Roman" w:eastAsia="宋体" w:cs="Times New Roman"/>
                <w:color w:val="auto"/>
                <w:kern w:val="2"/>
                <w:sz w:val="24"/>
                <w:szCs w:val="24"/>
                <w:highlight w:val="none"/>
                <w:lang w:val="en-US" w:eastAsia="zh-CN" w:bidi="ar-SA"/>
              </w:rPr>
              <w:t>分析一般工业固体废物的产生情况。从原辅材料与产品、 生产工艺等方面分析固体废物的产生情况，确定固体废物的种类，了解并熟悉所产生固体废物的基本特性。</w:t>
            </w:r>
          </w:p>
          <w:p w14:paraId="32F1A0C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2"/>
                <w:sz w:val="24"/>
                <w:szCs w:val="24"/>
                <w:highlight w:val="none"/>
                <w:lang w:val="en-US" w:eastAsia="zh-CN" w:bidi="ar-SA"/>
              </w:rPr>
              <w:t xml:space="preserve">明确负责人及相关设施、场地。明确固体废物产生部门、 贮存部门、自行利用部门和自行处置部门负责人，为固体废物产生设施、贮存设施、自行利用设施和自行处置设施编码。 </w:t>
            </w:r>
          </w:p>
          <w:p w14:paraId="14EDFD3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③</w:t>
            </w:r>
            <w:r>
              <w:rPr>
                <w:rFonts w:hint="default" w:ascii="Times New Roman" w:hAnsi="Times New Roman" w:eastAsia="宋体" w:cs="Times New Roman"/>
                <w:color w:val="auto"/>
                <w:kern w:val="2"/>
                <w:sz w:val="24"/>
                <w:szCs w:val="24"/>
                <w:highlight w:val="none"/>
                <w:lang w:val="en-US" w:eastAsia="zh-CN" w:bidi="ar-SA"/>
              </w:rPr>
              <w:t>确定接受委托的利用处置单位。委托他人利用、处置的，应当按照《中华人民共和国固体废物污染环境防治法》第三十七条要求，选择有资格、有能力的利用处置单位。</w:t>
            </w:r>
          </w:p>
          <w:p w14:paraId="7E2E0EC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台账管理要求如下：</w:t>
            </w:r>
          </w:p>
          <w:p w14:paraId="638EBCA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kern w:val="2"/>
                <w:sz w:val="24"/>
                <w:szCs w:val="24"/>
                <w:highlight w:val="none"/>
                <w:lang w:val="en-US" w:eastAsia="zh-CN" w:bidi="ar-SA"/>
              </w:rPr>
              <w:t>①一般工业固体废物管理台账实施分级管理。</w:t>
            </w:r>
            <w:r>
              <w:rPr>
                <w:rFonts w:hint="default" w:ascii="Times New Roman" w:hAnsi="Times New Roman" w:eastAsia="宋体" w:cs="Times New Roman"/>
                <w:color w:val="auto"/>
                <w:sz w:val="24"/>
                <w:szCs w:val="24"/>
              </w:rPr>
              <w:t>根据实际生产运营情况记录固体废物产生信息，生产工艺发生重大变动等原因导致固体废物产生种类等发生变 化的，应当及时另行填写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按月记录固体废物的产生、贮存、利用、处置数量和利用、处置方式等信息；每一批次固体废物的出厂以及转移信息均应当如实记录。</w:t>
            </w:r>
          </w:p>
          <w:p w14:paraId="1E445B9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产废单位填写台账记录表时，应当根据自身固体废物产生情况，从</w:t>
            </w:r>
            <w:r>
              <w:rPr>
                <w:rFonts w:hint="default" w:ascii="Times New Roman" w:hAnsi="Times New Roman" w:eastAsia="宋体" w:cs="Times New Roman"/>
                <w:color w:val="auto"/>
                <w:sz w:val="24"/>
                <w:szCs w:val="24"/>
                <w:lang w:val="en-US" w:eastAsia="zh-CN"/>
              </w:rPr>
              <w:t>《一般工业固体废物管理台账制定指南（试行）》</w:t>
            </w:r>
            <w:r>
              <w:rPr>
                <w:rFonts w:hint="default" w:ascii="Times New Roman" w:hAnsi="Times New Roman" w:eastAsia="宋体" w:cs="Times New Roman"/>
                <w:color w:val="auto"/>
                <w:sz w:val="24"/>
                <w:szCs w:val="24"/>
              </w:rPr>
              <w:t>选择对应的固体废物种类和代码，并根据固体废物种类确定固体废物的具体名称。</w:t>
            </w:r>
          </w:p>
          <w:p w14:paraId="222329F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 xml:space="preserve">鼓励产废单位采用国家建立的一般工业固体废物管理电子台账，简化数据填写、台账管理等工作。地方和企业自行开发的电子台账要实现与国家系统对接。建立电子台账的产废单位，可不再记录纸质台账。 </w:t>
            </w:r>
          </w:p>
          <w:p w14:paraId="3838037B">
            <w:pPr>
              <w:keepNext w:val="0"/>
              <w:keepLines w:val="0"/>
              <w:pageBreakBefore w:val="0"/>
              <w:widowControl w:val="0"/>
              <w:kinsoku/>
              <w:wordWrap/>
              <w:overflowPunct/>
              <w:topLinePunct w:val="0"/>
              <w:autoSpaceDE/>
              <w:autoSpaceDN/>
              <w:bidi w:val="0"/>
              <w:adjustRightInd/>
              <w:snapToGrid/>
              <w:spacing w:before="0" w:after="0" w:line="360" w:lineRule="auto"/>
              <w:ind w:left="240" w:leftChars="100" w:right="0" w:firstLine="240" w:firstLineChars="1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台账记录表各表单的负责人对记录信息的真实性、完整性和规范性负责。</w:t>
            </w:r>
          </w:p>
          <w:p w14:paraId="53F3B2F4">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产废单位应当设立专人负责台账的管理与归档，一般工业固体废物管理台账保存期限不少于</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p>
          <w:p w14:paraId="10454853">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鼓励有条件的产废单位在固体废物产生场所、贮存场所 及磅秤位置等关键点位设置视频监控，提高台账记录信息的准确性。</w:t>
            </w:r>
          </w:p>
          <w:p w14:paraId="0D0668E0">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2" w:firstLineChars="200"/>
              <w:jc w:val="both"/>
              <w:textAlignment w:val="auto"/>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4.2.2危险废物</w:t>
            </w:r>
          </w:p>
          <w:p w14:paraId="28A5D70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危险废物管理要求</w:t>
            </w:r>
          </w:p>
          <w:p w14:paraId="111F0D4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危险废物管理包括危险废物贮存措施、危险废物转运措施、危险废物安全处置措施等环节。本次环评要求严格按照《危险废物贮存污染控制标准》（GB 18597-2023）、《危险废物收集 贮存 运输技术规范》（HJ2025-2012）和《危险废物转移管理办法》（生态环境部 公安部 交通运输部 部令第23号）相关要求对其进行贮存、转移及制度性管理。根据国家产生危险废物的单位应当以控制危险废物的环境风险为目标，企业应制定危险废物管理计划和应急预案并报所在地县级以上地方环保部门备案。</w:t>
            </w:r>
          </w:p>
          <w:p w14:paraId="78B051C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危废</w:t>
            </w:r>
            <w:r>
              <w:rPr>
                <w:rFonts w:hint="eastAsia" w:cs="Times New Roman"/>
                <w:color w:val="auto"/>
                <w:kern w:val="2"/>
                <w:sz w:val="24"/>
                <w:szCs w:val="24"/>
                <w:highlight w:val="none"/>
                <w:lang w:val="en-US" w:eastAsia="zh-CN" w:bidi="ar-SA"/>
              </w:rPr>
              <w:t>库</w:t>
            </w:r>
            <w:r>
              <w:rPr>
                <w:rFonts w:hint="eastAsia" w:ascii="Times New Roman" w:hAnsi="Times New Roman" w:eastAsia="宋体" w:cs="Times New Roman"/>
                <w:color w:val="auto"/>
                <w:kern w:val="2"/>
                <w:sz w:val="24"/>
                <w:szCs w:val="24"/>
                <w:highlight w:val="none"/>
                <w:lang w:val="en-US" w:eastAsia="zh-CN" w:bidi="ar-SA"/>
              </w:rPr>
              <w:t>要求</w:t>
            </w:r>
          </w:p>
          <w:p w14:paraId="43984EA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新建5</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危废库</w:t>
            </w:r>
            <w:r>
              <w:rPr>
                <w:rFonts w:hint="eastAsia" w:ascii="Times New Roman" w:hAnsi="Times New Roman" w:eastAsia="宋体" w:cs="Times New Roman"/>
                <w:color w:val="auto"/>
                <w:kern w:val="2"/>
                <w:sz w:val="24"/>
                <w:szCs w:val="24"/>
                <w:highlight w:val="none"/>
                <w:lang w:val="en-US" w:eastAsia="zh-CN" w:bidi="ar-SA"/>
              </w:rPr>
              <w:t>一座用于暂存</w:t>
            </w:r>
            <w:r>
              <w:rPr>
                <w:rFonts w:hint="eastAsia" w:cs="Times New Roman"/>
                <w:color w:val="auto"/>
                <w:kern w:val="2"/>
                <w:sz w:val="24"/>
                <w:szCs w:val="24"/>
                <w:highlight w:val="none"/>
                <w:lang w:val="en-US" w:eastAsia="zh-CN" w:bidi="ar-SA"/>
              </w:rPr>
              <w:t>废机油</w:t>
            </w:r>
            <w:r>
              <w:rPr>
                <w:rFonts w:hint="eastAsia" w:ascii="Times New Roman" w:hAnsi="Times New Roman" w:eastAsia="宋体" w:cs="Times New Roman"/>
                <w:color w:val="auto"/>
                <w:kern w:val="2"/>
                <w:sz w:val="24"/>
                <w:szCs w:val="24"/>
                <w:highlight w:val="none"/>
                <w:lang w:val="en-US" w:eastAsia="zh-CN" w:bidi="ar-SA"/>
              </w:rPr>
              <w:t>，贮存设计满足《危险废物贮存污染控制标准》（GB 18597-2023）以及《危险废物收集 贮存 运输技术规范》（HJ2025-2012）要求，委托有资质的单位进行处置。</w:t>
            </w:r>
            <w:r>
              <w:rPr>
                <w:rFonts w:hint="eastAsia" w:cs="Times New Roman"/>
                <w:color w:val="auto"/>
                <w:kern w:val="2"/>
                <w:sz w:val="24"/>
                <w:szCs w:val="24"/>
                <w:highlight w:val="none"/>
                <w:lang w:val="en-US" w:eastAsia="zh-CN" w:bidi="ar-SA"/>
              </w:rPr>
              <w:t>本项目依托现有工程废气治理设施，通过增加废活性炭、废催化剂的更换频率，减少危废库的贮存周期，现有工程危险废物暂存间满足本项目及现有工程废活性炭、废催化剂贮存要求，因此依托可行。</w:t>
            </w:r>
          </w:p>
          <w:p w14:paraId="644836B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本项目新增危废种类废机油，因此本项目新增5</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危废库</w:t>
            </w:r>
            <w:r>
              <w:rPr>
                <w:rFonts w:hint="eastAsia" w:ascii="Times New Roman" w:hAnsi="Times New Roman" w:eastAsia="宋体" w:cs="Times New Roman"/>
                <w:color w:val="auto"/>
                <w:kern w:val="2"/>
                <w:sz w:val="24"/>
                <w:szCs w:val="24"/>
                <w:highlight w:val="none"/>
                <w:lang w:val="en-US" w:eastAsia="zh-CN" w:bidi="ar-SA"/>
              </w:rPr>
              <w:t>一座用于暂存废机油。</w:t>
            </w:r>
          </w:p>
          <w:p w14:paraId="0B61DB3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本项目危险废物在收集、转运时需满足以下要求：</w:t>
            </w:r>
          </w:p>
          <w:p w14:paraId="1BDF4118">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①危险废物的收集 </w:t>
            </w:r>
          </w:p>
          <w:p w14:paraId="6D39845C">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a.危险废物产生单位进行的危险废物收集包括两个方面，一是在危险废物产生节点将危险废物集中到适当的包装容器中或运输车辆上的活动；二是将已包装或装到运输车辆上的危险废物集中到危险废物产生单位内部临时贮存设施的内部转运。 </w:t>
            </w:r>
          </w:p>
          <w:p w14:paraId="558B47B7">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b.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 </w:t>
            </w:r>
          </w:p>
          <w:p w14:paraId="5DC28FED">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c.危险废物的收集应制定详细的操作规程，内容至少应包括适用范围、操作程序和方法、专用设备和工具、转移和交接、安全保障和应急防护等。 </w:t>
            </w:r>
          </w:p>
          <w:p w14:paraId="79B30F7F">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d.危险废物收集和转运作业人员应根据工作需要配备必要的个人防护装备，如手套、防护镜、防护服、防毒面具或口罩等。 </w:t>
            </w:r>
          </w:p>
          <w:p w14:paraId="490D0784">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e.在危险废物的收集和转运过程中，应采取相应的安全防护和污染防治措施，包括防爆、防火、防中毒、防感染、防泄露、防飞扬、防雨或</w:t>
            </w:r>
            <w:r>
              <w:rPr>
                <w:rFonts w:hint="eastAsia" w:cs="Times New Roman"/>
                <w:color w:val="auto"/>
                <w:kern w:val="0"/>
                <w:sz w:val="24"/>
                <w:szCs w:val="24"/>
                <w:lang w:val="en-US" w:eastAsia="zh-CN" w:bidi="ar-SA"/>
              </w:rPr>
              <w:t>其他</w:t>
            </w:r>
            <w:r>
              <w:rPr>
                <w:rFonts w:hint="default" w:ascii="Times New Roman" w:hAnsi="Times New Roman" w:eastAsia="宋体" w:cs="Times New Roman"/>
                <w:color w:val="auto"/>
                <w:kern w:val="0"/>
                <w:sz w:val="24"/>
                <w:szCs w:val="24"/>
                <w:lang w:val="en-US" w:eastAsia="zh-CN" w:bidi="ar-SA"/>
              </w:rPr>
              <w:t xml:space="preserve">防止污染环境的措施。 </w:t>
            </w:r>
          </w:p>
          <w:p w14:paraId="06C60F57">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f.危险废物收集时应根据危险废物的种类、数量、危险特性、物理形态、运输要求等因素确定包装形式，具体包装应符合如下要求： </w:t>
            </w:r>
          </w:p>
          <w:p w14:paraId="287A1FF9">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1)包装材质要与危险废物相容，可根据废物特性选择钢、铝、塑料等材质。 </w:t>
            </w:r>
          </w:p>
          <w:p w14:paraId="7F735E22">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2)性质类似的废物可收集到同一容器中，性质不相容的危险废物不应混合包装。 </w:t>
            </w:r>
          </w:p>
          <w:p w14:paraId="5CF07DAD">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3)危险废物包装应能有效隔断危险废物迁移扩散途径，并达到防渗、防漏要求。 </w:t>
            </w:r>
          </w:p>
          <w:p w14:paraId="6ACF8561">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4)包装好的危险废物应设置相应的标签，标签信息应填写完整</w:t>
            </w:r>
            <w:r>
              <w:rPr>
                <w:rFonts w:hint="eastAsia" w:cs="Times New Roman"/>
                <w:color w:val="auto"/>
                <w:kern w:val="0"/>
                <w:sz w:val="24"/>
                <w:szCs w:val="24"/>
                <w:lang w:val="en-US" w:eastAsia="zh-CN" w:bidi="ar-SA"/>
              </w:rPr>
              <w:t>详实</w:t>
            </w:r>
            <w:r>
              <w:rPr>
                <w:rFonts w:hint="default" w:ascii="Times New Roman" w:hAnsi="Times New Roman" w:eastAsia="宋体" w:cs="Times New Roman"/>
                <w:color w:val="auto"/>
                <w:kern w:val="0"/>
                <w:sz w:val="24"/>
                <w:szCs w:val="24"/>
                <w:lang w:val="en-US" w:eastAsia="zh-CN" w:bidi="ar-SA"/>
              </w:rPr>
              <w:t xml:space="preserve">。 </w:t>
            </w:r>
          </w:p>
          <w:p w14:paraId="1472EB7E">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5)盛装过危险废物的包装袋或包装容器破损后应按危险废物进行管理和处置。 </w:t>
            </w:r>
          </w:p>
          <w:p w14:paraId="7AB7CF68">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6)危险废物还应根据GB12463的有关要求进行运输包装。 </w:t>
            </w:r>
          </w:p>
          <w:p w14:paraId="4FB50ADC">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g.危险废物的收集作业应满足如下要求： </w:t>
            </w:r>
          </w:p>
          <w:p w14:paraId="65F489FE">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1)应根据收集设备、转运车辆以及现场人员等实际情况确定相应作业区域，同时要设置作业界限标志和警示牌。 </w:t>
            </w:r>
          </w:p>
          <w:p w14:paraId="7AF40EC1">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2)作业区域内应设置危险废物收集专用通道和人员避险通道。 </w:t>
            </w:r>
          </w:p>
          <w:p w14:paraId="14C24D29">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3)收集时应配备必要的收集工具和包装物，以及必要的应急监测设备及应急装备。 </w:t>
            </w:r>
          </w:p>
          <w:p w14:paraId="550B872D">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4)危险废物收集应参照本标准附录A填写记录表，并将记录表作为危险废物管理的重要档案妥善保存。 </w:t>
            </w:r>
          </w:p>
          <w:p w14:paraId="1D87C3DF">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5)收集结束后应清理和恢复收集作业区域，确保作业区域环境整洁安全。 </w:t>
            </w:r>
          </w:p>
          <w:p w14:paraId="2FA2E45E">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6)收集过危险废物的容器、设备、设施、场所及其</w:t>
            </w:r>
            <w:r>
              <w:rPr>
                <w:rFonts w:hint="eastAsia" w:cs="Times New Roman"/>
                <w:color w:val="auto"/>
                <w:kern w:val="2"/>
                <w:sz w:val="24"/>
                <w:szCs w:val="24"/>
                <w:lang w:val="en-US" w:eastAsia="zh-CN" w:bidi="ar-SA"/>
              </w:rPr>
              <w:t>他物品</w:t>
            </w:r>
            <w:r>
              <w:rPr>
                <w:rFonts w:hint="default" w:ascii="Times New Roman" w:hAnsi="Times New Roman" w:eastAsia="宋体" w:cs="Times New Roman"/>
                <w:color w:val="auto"/>
                <w:kern w:val="2"/>
                <w:sz w:val="24"/>
                <w:szCs w:val="24"/>
                <w:lang w:val="en-US" w:eastAsia="zh-CN" w:bidi="ar-SA"/>
              </w:rPr>
              <w:t>转作</w:t>
            </w:r>
            <w:r>
              <w:rPr>
                <w:rFonts w:hint="eastAsia" w:cs="Times New Roman"/>
                <w:color w:val="auto"/>
                <w:kern w:val="2"/>
                <w:sz w:val="24"/>
                <w:szCs w:val="24"/>
                <w:lang w:val="en-US" w:eastAsia="zh-CN" w:bidi="ar-SA"/>
              </w:rPr>
              <w:t>他</w:t>
            </w:r>
            <w:r>
              <w:rPr>
                <w:rFonts w:hint="default" w:ascii="Times New Roman" w:hAnsi="Times New Roman" w:eastAsia="宋体" w:cs="Times New Roman"/>
                <w:color w:val="auto"/>
                <w:kern w:val="2"/>
                <w:sz w:val="24"/>
                <w:szCs w:val="24"/>
                <w:lang w:val="en-US" w:eastAsia="zh-CN" w:bidi="ar-SA"/>
              </w:rPr>
              <w:t xml:space="preserve">用时，应消除污染，确保其使用安全。 </w:t>
            </w:r>
          </w:p>
          <w:p w14:paraId="20EAA0D7">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h.危险废物内部转运作业应满足如下要求：</w:t>
            </w:r>
          </w:p>
          <w:p w14:paraId="54EDC53B">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1)危险废物内部转运应综合考虑厂区的实际情况确定转运路线，尽量避开办公区和生活区。 </w:t>
            </w:r>
          </w:p>
          <w:p w14:paraId="777E612E">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2)危险废物内部转运作业应采用专用的工具，危险废物内部转运应填写《危险废物厂内转运记录表》。 </w:t>
            </w:r>
          </w:p>
          <w:p w14:paraId="697399A2">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3)危险废物内部转运结束后，应对转运路线进行检查和清理，确保无危险废物遗失在转运路线上，并对转运工具进行清洗。 </w:t>
            </w:r>
          </w:p>
          <w:p w14:paraId="59D2BC38">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i.收集不具备运输包装条件的危险废物时，且危险特性不会对环境和操作人员造成重大危害，可在临时包装后进行暂时贮存，但正式运输前应按本标准要求进行包装。 </w:t>
            </w:r>
          </w:p>
          <w:p w14:paraId="42C51FE9">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②危险废物的转运</w:t>
            </w:r>
          </w:p>
          <w:p w14:paraId="57B2301F">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危险废物应按照国家有关规定向当地环境保护行政主管部门申报登记，接受当地环境保护行政主管部门监督管理。同时，根据国务院令第</w:t>
            </w:r>
            <w:r>
              <w:rPr>
                <w:rFonts w:hint="eastAsia" w:ascii="Times New Roman" w:hAnsi="Times New Roman" w:eastAsia="宋体" w:cs="Times New Roman"/>
                <w:color w:val="auto"/>
                <w:sz w:val="24"/>
                <w:szCs w:val="24"/>
                <w:highlight w:val="none"/>
                <w:lang w:val="en-US" w:eastAsia="zh-CN" w:bidi="ar-SA"/>
              </w:rPr>
              <w:t>645</w:t>
            </w:r>
            <w:r>
              <w:rPr>
                <w:rFonts w:hint="default" w:ascii="Times New Roman" w:hAnsi="Times New Roman" w:eastAsia="宋体" w:cs="Times New Roman"/>
                <w:color w:val="auto"/>
                <w:sz w:val="24"/>
                <w:szCs w:val="24"/>
                <w:highlight w:val="none"/>
                <w:lang w:val="en-US" w:eastAsia="zh-CN" w:bidi="ar-SA"/>
              </w:rPr>
              <w:t>号《危险化学品安全管理条例</w:t>
            </w:r>
            <w:r>
              <w:rPr>
                <w:rFonts w:hint="eastAsia"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危险废物收集 贮存 运输技术规范》（HJ2025-2012）的有关规定，在危险废物外运至处置单位时必须严格遵守以下要求：</w:t>
            </w:r>
          </w:p>
          <w:p w14:paraId="6EAD2F91">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a.危险废物运输应由持有危险废物经营许可证的单位按照其许可证的经营范围组织实施，承担危险废物运输的单位应获得交通运输部门颁发的危险货物运输资质；危险废物公路运输应按照《道路危险货物运输管理规定》、JT617以及JT618 执行；废弃危险化学品的运输应执行《危险化学品安全管理条例》有关运输的规定；运输单位承运危险废物时，应在危险废物包装上按照 GB18597 附录A设置标志；危险废物公路运输时，运输车辆应按GB13392设置车辆标志；危险废物运输时的中转、装卸过程应遵守如下技术要求： </w:t>
            </w:r>
          </w:p>
          <w:p w14:paraId="3B043743">
            <w:pPr>
              <w:widowControl w:val="0"/>
              <w:wordWrap/>
              <w:overflowPunct w:val="0"/>
              <w:autoSpaceDE w:val="0"/>
              <w:autoSpaceDN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1)卸载区的工作人员应熟悉废物的危险特性，并配备适当的</w:t>
            </w:r>
            <w:r>
              <w:rPr>
                <w:rFonts w:hint="eastAsia" w:cs="Times New Roman"/>
                <w:color w:val="auto"/>
                <w:sz w:val="24"/>
                <w:szCs w:val="24"/>
                <w:highlight w:val="none"/>
                <w:lang w:val="en-US" w:eastAsia="zh-CN" w:bidi="ar-SA"/>
              </w:rPr>
              <w:t>个体防护装备</w:t>
            </w:r>
            <w:r>
              <w:rPr>
                <w:rFonts w:hint="default" w:ascii="Times New Roman" w:hAnsi="Times New Roman" w:eastAsia="宋体" w:cs="Times New Roman"/>
                <w:color w:val="auto"/>
                <w:sz w:val="24"/>
                <w:szCs w:val="24"/>
                <w:highlight w:val="none"/>
                <w:lang w:val="en-US" w:eastAsia="zh-CN" w:bidi="ar-SA"/>
              </w:rPr>
              <w:t xml:space="preserve">，装卸剧毒废物应配备特殊的防护装备。 </w:t>
            </w:r>
          </w:p>
          <w:p w14:paraId="755D9D5C">
            <w:pPr>
              <w:widowControl w:val="0"/>
              <w:wordWrap/>
              <w:overflowPunct w:val="0"/>
              <w:autoSpaceDE w:val="0"/>
              <w:autoSpaceDN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2)卸载区应配备必要的消防设备和设施，并设置明显的指示标志。 </w:t>
            </w:r>
          </w:p>
          <w:p w14:paraId="6E125789">
            <w:pPr>
              <w:widowControl w:val="0"/>
              <w:wordWrap/>
              <w:overflowPunct w:val="0"/>
              <w:autoSpaceDE w:val="0"/>
              <w:autoSpaceDN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3)危险废物装卸区应设置隔离设施，液态废物卸载区应设置收集槽和缓冲罐。 </w:t>
            </w:r>
          </w:p>
          <w:p w14:paraId="49704F13">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b.对承运人或者接受人的主体资格和技术能力进行核实，依法签订书面合同，并在合同中约定运输、贮存、利用、处置危险废物的污染防治要求及相关责任；</w:t>
            </w:r>
          </w:p>
          <w:p w14:paraId="5576BA28">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c.</w:t>
            </w:r>
            <w:r>
              <w:rPr>
                <w:rFonts w:hint="default" w:ascii="Times New Roman" w:hAnsi="Times New Roman" w:eastAsia="宋体" w:cs="Times New Roman"/>
                <w:color w:val="auto"/>
                <w:sz w:val="24"/>
                <w:szCs w:val="24"/>
                <w:highlight w:val="none"/>
                <w:lang w:val="en-US" w:eastAsia="zh-CN" w:bidi="ar-SA"/>
              </w:rPr>
              <w:t>制定危险废物管理计划，明确拟转移危险废物的种类、重量（数量）和流向等信息；</w:t>
            </w:r>
          </w:p>
          <w:p w14:paraId="7402B6AD">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d.</w:t>
            </w:r>
            <w:r>
              <w:rPr>
                <w:rFonts w:hint="default" w:ascii="Times New Roman" w:hAnsi="Times New Roman" w:eastAsia="宋体" w:cs="Times New Roman"/>
                <w:color w:val="auto"/>
                <w:sz w:val="24"/>
                <w:szCs w:val="24"/>
                <w:highlight w:val="none"/>
                <w:lang w:val="en-US" w:eastAsia="zh-CN" w:bidi="ar-SA"/>
              </w:rPr>
              <w:t>建立危险废物管理台账，对转移的危险废物进行计量称重，如实记录、妥善保管转移危险废物的种类、重量（数量）和</w:t>
            </w:r>
            <w:r>
              <w:rPr>
                <w:rFonts w:hint="eastAsia" w:cs="Times New Roman"/>
                <w:color w:val="auto"/>
                <w:sz w:val="24"/>
                <w:szCs w:val="24"/>
                <w:highlight w:val="none"/>
                <w:lang w:val="en-US" w:eastAsia="zh-CN" w:bidi="ar-SA"/>
              </w:rPr>
              <w:t>接收</w:t>
            </w:r>
            <w:r>
              <w:rPr>
                <w:rFonts w:hint="default" w:ascii="Times New Roman" w:hAnsi="Times New Roman" w:eastAsia="宋体" w:cs="Times New Roman"/>
                <w:color w:val="auto"/>
                <w:sz w:val="24"/>
                <w:szCs w:val="24"/>
                <w:highlight w:val="none"/>
                <w:lang w:val="en-US" w:eastAsia="zh-CN" w:bidi="ar-SA"/>
              </w:rPr>
              <w:t>人等相关信息；</w:t>
            </w:r>
          </w:p>
          <w:p w14:paraId="09410310">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e.</w:t>
            </w:r>
            <w:r>
              <w:rPr>
                <w:rFonts w:hint="default" w:ascii="Times New Roman" w:hAnsi="Times New Roman" w:eastAsia="宋体" w:cs="Times New Roman"/>
                <w:color w:val="auto"/>
                <w:sz w:val="24"/>
                <w:szCs w:val="24"/>
                <w:highlight w:val="none"/>
                <w:lang w:val="en-US" w:eastAsia="zh-CN" w:bidi="ar-SA"/>
              </w:rPr>
              <w:t>填写、运行危险废物转移联单，在危险废物转移联单中如实填写移出人、承运人、</w:t>
            </w:r>
            <w:r>
              <w:rPr>
                <w:rFonts w:hint="eastAsia" w:cs="Times New Roman"/>
                <w:color w:val="auto"/>
                <w:sz w:val="24"/>
                <w:szCs w:val="24"/>
                <w:highlight w:val="none"/>
                <w:lang w:val="en-US" w:eastAsia="zh-CN" w:bidi="ar-SA"/>
              </w:rPr>
              <w:t>接收</w:t>
            </w:r>
            <w:r>
              <w:rPr>
                <w:rFonts w:hint="default" w:ascii="Times New Roman" w:hAnsi="Times New Roman" w:eastAsia="宋体" w:cs="Times New Roman"/>
                <w:color w:val="auto"/>
                <w:sz w:val="24"/>
                <w:szCs w:val="24"/>
                <w:highlight w:val="none"/>
                <w:lang w:val="en-US" w:eastAsia="zh-CN" w:bidi="ar-SA"/>
              </w:rPr>
              <w:t>人信息，转移危险废物的种类、重量（数量）、危险特性等信息，以及突发环境事件的防范措施等；</w:t>
            </w:r>
          </w:p>
          <w:p w14:paraId="4A1C1AA6">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f.</w:t>
            </w:r>
            <w:r>
              <w:rPr>
                <w:rFonts w:hint="default" w:ascii="Times New Roman" w:hAnsi="Times New Roman" w:eastAsia="宋体" w:cs="Times New Roman"/>
                <w:color w:val="auto"/>
                <w:sz w:val="24"/>
                <w:szCs w:val="24"/>
                <w:highlight w:val="none"/>
                <w:lang w:val="en-US" w:eastAsia="zh-CN" w:bidi="ar-SA"/>
              </w:rPr>
              <w:t>及时核实</w:t>
            </w:r>
            <w:r>
              <w:rPr>
                <w:rFonts w:hint="eastAsia" w:cs="Times New Roman"/>
                <w:color w:val="auto"/>
                <w:sz w:val="24"/>
                <w:szCs w:val="24"/>
                <w:highlight w:val="none"/>
                <w:lang w:val="en-US" w:eastAsia="zh-CN" w:bidi="ar-SA"/>
              </w:rPr>
              <w:t>接收</w:t>
            </w:r>
            <w:r>
              <w:rPr>
                <w:rFonts w:hint="default" w:ascii="Times New Roman" w:hAnsi="Times New Roman" w:eastAsia="宋体" w:cs="Times New Roman"/>
                <w:color w:val="auto"/>
                <w:sz w:val="24"/>
                <w:szCs w:val="24"/>
                <w:highlight w:val="none"/>
                <w:lang w:val="en-US" w:eastAsia="zh-CN" w:bidi="ar-SA"/>
              </w:rPr>
              <w:t>人贮存、利用或者处置相关危险废物情况；</w:t>
            </w:r>
          </w:p>
          <w:p w14:paraId="5D292814">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yellow"/>
                <w:lang w:val="en-US" w:eastAsia="zh-CN" w:bidi="ar-SA"/>
              </w:rPr>
            </w:pPr>
            <w:r>
              <w:rPr>
                <w:rFonts w:hint="eastAsia" w:ascii="Times New Roman" w:hAnsi="Times New Roman" w:eastAsia="宋体" w:cs="Times New Roman"/>
                <w:color w:val="auto"/>
                <w:sz w:val="24"/>
                <w:szCs w:val="24"/>
                <w:highlight w:val="none"/>
                <w:lang w:val="en-US" w:eastAsia="zh-CN" w:bidi="ar-SA"/>
              </w:rPr>
              <w:t>g.</w:t>
            </w:r>
            <w:r>
              <w:rPr>
                <w:rFonts w:hint="default" w:ascii="Times New Roman" w:hAnsi="Times New Roman" w:eastAsia="宋体" w:cs="Times New Roman"/>
                <w:color w:val="auto"/>
                <w:sz w:val="24"/>
                <w:szCs w:val="24"/>
                <w:highlight w:val="none"/>
                <w:lang w:val="en-US" w:eastAsia="zh-CN" w:bidi="ar-SA"/>
              </w:rPr>
              <w:t>移出人应当按照国家有关要求开展危险废物鉴别。禁止将危险废物以副产品等名义提供或者委托给无危险废物经营许可证的单位或者其他生产经营者从事收集、贮存、利用、处置活动。</w:t>
            </w:r>
          </w:p>
          <w:p w14:paraId="7F0D99C2">
            <w:pPr>
              <w:widowControl w:val="0"/>
              <w:wordWrap/>
              <w:overflowPunct w:val="0"/>
              <w:autoSpaceDE w:val="0"/>
              <w:autoSpaceDN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yellow"/>
                <w:lang w:val="en-US" w:eastAsia="zh-CN" w:bidi="ar-SA"/>
              </w:rPr>
            </w:pPr>
            <w:r>
              <w:rPr>
                <w:rFonts w:hint="eastAsia" w:cs="Times New Roman"/>
                <w:color w:val="auto"/>
                <w:sz w:val="24"/>
                <w:szCs w:val="24"/>
                <w:highlight w:val="none"/>
                <w:lang w:val="en-US" w:eastAsia="zh-CN" w:bidi="ar-SA"/>
              </w:rPr>
              <w:t>（3）</w:t>
            </w:r>
            <w:r>
              <w:rPr>
                <w:rFonts w:hint="default" w:ascii="Times New Roman" w:hAnsi="Times New Roman" w:eastAsia="宋体" w:cs="Times New Roman"/>
                <w:color w:val="auto"/>
                <w:sz w:val="24"/>
                <w:szCs w:val="24"/>
                <w:highlight w:val="none"/>
                <w:lang w:val="en-US" w:eastAsia="zh-CN" w:bidi="ar-SA"/>
              </w:rPr>
              <w:t>危险废物贮存</w:t>
            </w:r>
          </w:p>
          <w:p w14:paraId="28436BE7">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a.贮存设施应根据危险废物的形态、物理化学性质、包装形式和污染物迁移途径，采取必要的防风、防晒、防雨、防漏、防渗、防腐以及其他环境污染防治措施，不应露天堆放危险废物。</w:t>
            </w:r>
          </w:p>
          <w:p w14:paraId="68D15C12">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b.贮存设施应根据危险废物的类别、数量、形态、物理化学性质和污染防治等要求设置必要的贮存分区，避免不相容的危险废物接触、混合。</w:t>
            </w:r>
          </w:p>
          <w:p w14:paraId="537D8A4E">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c.贮存设施或贮存分区内地面、墙面裙脚、堵截泄漏的围堰、接触危险废物的隔板和墙体等应采用坚固的材料建造，表面无裂缝。</w:t>
            </w:r>
          </w:p>
          <w:p w14:paraId="648AECC9">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default" w:ascii="Times New Roman" w:hAnsi="Times New Roman" w:eastAsia="宋体" w:cs="Times New Roman"/>
                <w:color w:val="auto"/>
                <w:kern w:val="0"/>
                <w:sz w:val="24"/>
                <w:szCs w:val="24"/>
                <w:vertAlign w:val="superscript"/>
                <w:lang w:val="en-US" w:eastAsia="zh-CN" w:bidi="ar-SA"/>
              </w:rPr>
              <w:t>-7</w:t>
            </w:r>
            <w:r>
              <w:rPr>
                <w:rFonts w:hint="default" w:ascii="Times New Roman" w:hAnsi="Times New Roman" w:eastAsia="宋体" w:cs="Times New Roman"/>
                <w:color w:val="auto"/>
                <w:kern w:val="0"/>
                <w:sz w:val="24"/>
                <w:szCs w:val="24"/>
                <w:lang w:val="en-US" w:eastAsia="zh-CN" w:bidi="ar-SA"/>
              </w:rPr>
              <w:t>cm/s），或至少2 mm厚高密度聚乙烯膜等人工防渗材料（渗透系数不大于10</w:t>
            </w:r>
            <w:r>
              <w:rPr>
                <w:rFonts w:hint="default" w:ascii="Times New Roman" w:hAnsi="Times New Roman" w:eastAsia="宋体" w:cs="Times New Roman"/>
                <w:color w:val="auto"/>
                <w:kern w:val="0"/>
                <w:sz w:val="24"/>
                <w:szCs w:val="24"/>
                <w:vertAlign w:val="superscript"/>
                <w:lang w:val="en-US" w:eastAsia="zh-CN" w:bidi="ar-SA"/>
              </w:rPr>
              <w:t>-10</w:t>
            </w:r>
            <w:r>
              <w:rPr>
                <w:rFonts w:hint="default" w:ascii="Times New Roman" w:hAnsi="Times New Roman" w:eastAsia="宋体" w:cs="Times New Roman"/>
                <w:color w:val="auto"/>
                <w:kern w:val="0"/>
                <w:sz w:val="24"/>
                <w:szCs w:val="24"/>
                <w:lang w:val="en-US" w:eastAsia="zh-CN" w:bidi="ar-SA"/>
              </w:rPr>
              <w:t>cm/s），或其他防渗性能等效的材料。</w:t>
            </w:r>
          </w:p>
          <w:p w14:paraId="2C0D188F">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e.同一贮存设施宜采用相同的防渗、防腐工艺（包括防渗、防腐结构或材料），防渗、防腐材料应覆盖所有可能与废物及其渗滤液、渗漏液等接触的构筑物表面；采用不同防渗、防腐工艺应分别建设贮存分区。 </w:t>
            </w:r>
          </w:p>
          <w:p w14:paraId="4E510605">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f.贮存设施应采取技术和管理措施防止无关人员进入。</w:t>
            </w:r>
          </w:p>
          <w:p w14:paraId="7000A195">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2)危险废物贮存容器</w:t>
            </w:r>
          </w:p>
          <w:p w14:paraId="497FF581">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a.容器和包装物材质、内衬应与盛装的危险废物相容。 </w:t>
            </w:r>
          </w:p>
          <w:p w14:paraId="6A9C3068">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b.针对不同类别、形态、物理化学性质的危险废物，其容器和包装物应满足相应的防渗、防漏、防腐和强度等要求。</w:t>
            </w:r>
          </w:p>
          <w:p w14:paraId="3C926811">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c.硬质容器和包装物及其支护结构堆叠码放时不应有明显变形，无破损泄漏。 </w:t>
            </w:r>
          </w:p>
          <w:p w14:paraId="19AAB40B">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d.柔性容器和包装物堆叠码放时应封口严密，无破损泄漏。 </w:t>
            </w:r>
          </w:p>
          <w:p w14:paraId="4993E7BE">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e.使用容器盛装液态、半固态危险废物时，容器内部应留有适当的空间，以适应因温度变化等可能引发的收缩和膨胀，防止其导致容器渗漏或永久变形。 </w:t>
            </w:r>
          </w:p>
          <w:p w14:paraId="5469A1B2">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f.</w:t>
            </w:r>
            <w:r>
              <w:rPr>
                <w:rFonts w:hint="default" w:ascii="Times New Roman" w:hAnsi="Times New Roman" w:eastAsia="宋体" w:cs="Times New Roman"/>
                <w:color w:val="auto"/>
                <w:kern w:val="0"/>
                <w:sz w:val="24"/>
                <w:szCs w:val="24"/>
                <w:lang w:val="en-US" w:eastAsia="zh-CN" w:bidi="ar-SA"/>
              </w:rPr>
              <w:t>容器和包装物外表面应保持清洁。</w:t>
            </w:r>
          </w:p>
          <w:p w14:paraId="6F57B27E">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3）选址与设计原则</w:t>
            </w:r>
          </w:p>
          <w:p w14:paraId="2CC6DDD5">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贮存设施选址满足生态环境保护法律法规、规划和</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三线一单</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 xml:space="preserve">生态环境分区管控的要求。 </w:t>
            </w:r>
          </w:p>
          <w:p w14:paraId="52FF4C96">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集中贮存设施</w:t>
            </w:r>
            <w:r>
              <w:rPr>
                <w:rFonts w:hint="eastAsia" w:ascii="Times New Roman" w:hAnsi="Times New Roman" w:eastAsia="宋体" w:cs="Times New Roman"/>
                <w:color w:val="auto"/>
                <w:kern w:val="0"/>
                <w:sz w:val="24"/>
                <w:szCs w:val="24"/>
                <w:highlight w:val="none"/>
                <w:lang w:val="en-US" w:eastAsia="zh-CN" w:bidi="ar-SA"/>
              </w:rPr>
              <w:t>不</w:t>
            </w:r>
            <w:r>
              <w:rPr>
                <w:rFonts w:hint="default" w:ascii="Times New Roman" w:hAnsi="Times New Roman" w:eastAsia="宋体" w:cs="Times New Roman"/>
                <w:color w:val="auto"/>
                <w:kern w:val="0"/>
                <w:sz w:val="24"/>
                <w:szCs w:val="24"/>
                <w:highlight w:val="none"/>
                <w:lang w:val="en-US" w:eastAsia="zh-CN" w:bidi="ar-SA"/>
              </w:rPr>
              <w:t xml:space="preserve">在生态保护红线区域、永久基本农田和其他需要特别保护的区域内，不在溶洞区或易遭受洪水、滑坡、泥石流、潮汐等严重自然灾害影响的地区。 </w:t>
            </w:r>
          </w:p>
          <w:p w14:paraId="6150B2BA">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 xml:space="preserve">贮存设施不在江河、湖泊、运河、渠道、水库及其最高水位线以下的滩地和岸坡，以及法律法规规定禁止贮存危险废物的其他地点。 </w:t>
            </w:r>
          </w:p>
          <w:p w14:paraId="6C0710A1">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贮存设施场址的位置</w:t>
            </w:r>
            <w:r>
              <w:rPr>
                <w:rFonts w:hint="eastAsia" w:ascii="Times New Roman" w:hAnsi="Times New Roman" w:eastAsia="宋体" w:cs="Times New Roman"/>
                <w:color w:val="auto"/>
                <w:kern w:val="0"/>
                <w:sz w:val="24"/>
                <w:szCs w:val="24"/>
                <w:highlight w:val="none"/>
                <w:lang w:val="en-US" w:eastAsia="zh-CN" w:bidi="ar-SA"/>
              </w:rPr>
              <w:t>位于</w:t>
            </w:r>
            <w:r>
              <w:rPr>
                <w:rFonts w:hint="eastAsia" w:cs="Times New Roman"/>
                <w:color w:val="auto"/>
                <w:kern w:val="0"/>
                <w:sz w:val="24"/>
                <w:szCs w:val="24"/>
                <w:highlight w:val="none"/>
                <w:lang w:val="en-US" w:eastAsia="zh-CN" w:bidi="ar-SA"/>
              </w:rPr>
              <w:t>阜康市苏通小微创业园</w:t>
            </w:r>
            <w:r>
              <w:rPr>
                <w:rFonts w:hint="eastAsia" w:ascii="Times New Roman" w:hAnsi="Times New Roman" w:eastAsia="宋体" w:cs="Times New Roman"/>
                <w:color w:val="auto"/>
                <w:sz w:val="24"/>
                <w:szCs w:val="24"/>
                <w:lang w:val="en-US" w:eastAsia="zh-CN" w:bidi="ar-SA"/>
              </w:rPr>
              <w:t>，周围不存在</w:t>
            </w:r>
            <w:r>
              <w:rPr>
                <w:rFonts w:hint="default" w:ascii="Times New Roman" w:hAnsi="Times New Roman" w:eastAsia="宋体" w:cs="Times New Roman"/>
                <w:color w:val="auto"/>
                <w:kern w:val="0"/>
                <w:sz w:val="24"/>
                <w:szCs w:val="24"/>
                <w:highlight w:val="none"/>
                <w:lang w:val="en-US" w:eastAsia="zh-CN" w:bidi="ar-SA"/>
              </w:rPr>
              <w:t>环境敏感目标。</w:t>
            </w:r>
          </w:p>
          <w:p w14:paraId="747F8ADE">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监督与实施 </w:t>
            </w:r>
          </w:p>
          <w:p w14:paraId="371847BA">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a.地方环境保护行政部门可根据本标准所提出的危险废物收集、贮存、运输要求对管辖区域内的危险废物收集、贮存、运输行为进行监管，确保危险废物收集、贮存、运输过程的环境安全。 </w:t>
            </w:r>
          </w:p>
          <w:p w14:paraId="5D26B758">
            <w:pPr>
              <w:widowControl w:val="0"/>
              <w:wordWrap/>
              <w:adjustRightInd/>
              <w:snapToGrid/>
              <w:spacing w:line="360" w:lineRule="auto"/>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rPr>
              <w:t>b.地方环境保护行政主管部门可根据本标准</w:t>
            </w:r>
            <w:r>
              <w:rPr>
                <w:rFonts w:hint="eastAsia" w:cs="Times New Roman"/>
                <w:color w:val="auto"/>
                <w:kern w:val="0"/>
                <w:sz w:val="24"/>
                <w:szCs w:val="24"/>
                <w:lang w:val="en-US" w:eastAsia="zh-CN"/>
              </w:rPr>
              <w:t>及其他有关</w:t>
            </w:r>
            <w:r>
              <w:rPr>
                <w:rFonts w:hint="default" w:ascii="Times New Roman" w:hAnsi="Times New Roman" w:eastAsia="宋体" w:cs="Times New Roman"/>
                <w:color w:val="auto"/>
                <w:kern w:val="0"/>
                <w:sz w:val="24"/>
                <w:szCs w:val="24"/>
                <w:lang w:val="en-US" w:eastAsia="zh-CN"/>
              </w:rPr>
              <w:t>管理要求建立地方危险废物收集、贮存、运输管理制度和管理档案。</w:t>
            </w:r>
          </w:p>
          <w:p w14:paraId="2DD64D65">
            <w:pPr>
              <w:widowControl w:val="0"/>
              <w:spacing w:line="360" w:lineRule="auto"/>
              <w:ind w:firstLine="482" w:firstLineChars="200"/>
              <w:jc w:val="both"/>
              <w:rPr>
                <w:rFonts w:hint="eastAsia" w:ascii="Times New Roman" w:hAnsi="Times New Roman" w:cs="Times New Roman"/>
                <w:b/>
                <w:bCs/>
                <w:color w:val="auto"/>
                <w:kern w:val="2"/>
                <w:sz w:val="24"/>
                <w:szCs w:val="24"/>
                <w:highlight w:val="none"/>
                <w:lang w:val="en-US" w:eastAsia="zh-CN" w:bidi="ar-SA"/>
              </w:rPr>
            </w:pPr>
            <w:r>
              <w:rPr>
                <w:rFonts w:hint="eastAsia" w:cs="Times New Roman"/>
                <w:b/>
                <w:bCs/>
                <w:color w:val="auto"/>
                <w:kern w:val="2"/>
                <w:sz w:val="24"/>
                <w:szCs w:val="20"/>
                <w:highlight w:val="none"/>
                <w:lang w:val="en-US" w:eastAsia="zh-CN"/>
              </w:rPr>
              <w:t>4.3</w:t>
            </w:r>
            <w:r>
              <w:rPr>
                <w:rFonts w:hint="eastAsia" w:ascii="Times New Roman" w:hAnsi="Times New Roman" w:cs="Times New Roman"/>
                <w:b/>
                <w:bCs/>
                <w:color w:val="auto"/>
                <w:kern w:val="2"/>
                <w:sz w:val="24"/>
                <w:szCs w:val="24"/>
                <w:highlight w:val="none"/>
                <w:lang w:val="en-US" w:eastAsia="zh-CN" w:bidi="ar-SA"/>
              </w:rPr>
              <w:t>一般工业固废填埋场依托可行性分析</w:t>
            </w:r>
          </w:p>
          <w:p w14:paraId="0A55DBE5">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新疆</w:t>
            </w:r>
            <w:r>
              <w:rPr>
                <w:rFonts w:hint="default" w:ascii="Times New Roman" w:hAnsi="Times New Roman" w:eastAsia="宋体" w:cs="Times New Roman"/>
                <w:color w:val="auto"/>
                <w:kern w:val="0"/>
                <w:sz w:val="24"/>
                <w:szCs w:val="24"/>
                <w:highlight w:val="none"/>
                <w:lang w:val="en-US" w:eastAsia="zh-CN"/>
              </w:rPr>
              <w:t>阜康产业园固废综合处置静脉园项目位于阜康市城东污水处理厂西北侧，阜康产业园阜东一区北侧约8km，项目区中心地理坐标为。工程总占地面积为2214400m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（约3322亩），分三期建成，一期工程建设贮存区一期、生产管理区及辅助设施；二期工程建设资源化处置厂及贮存区二期；三期工程建设贮存区三期。本次仅建设一期工程，一期工程贮存区占地面积为92万m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（约1380亩），贮存区库容约为1300万m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，使用年限约为7年。接收处置的固体废物类型主要包括阜康产业园区内企业产生的磷石膏废渣、煤矸石废渣、灰渣废渣和其他废渣等一般工业固体废物，工业贮存处置场平均贮存处置规模为245万t/a。</w:t>
            </w:r>
          </w:p>
          <w:p w14:paraId="0050D285">
            <w:pPr>
              <w:widowControl w:val="0"/>
              <w:wordWrap/>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yellow"/>
                <w:lang w:val="en-US" w:eastAsia="zh-CN"/>
              </w:rPr>
            </w:pPr>
            <w:r>
              <w:rPr>
                <w:rFonts w:hint="eastAsia" w:ascii="Times New Roman" w:hAnsi="Times New Roman" w:eastAsia="宋体" w:cs="Times New Roman"/>
                <w:color w:val="auto"/>
                <w:kern w:val="0"/>
                <w:sz w:val="24"/>
                <w:szCs w:val="24"/>
                <w:highlight w:val="none"/>
                <w:lang w:val="en-US" w:eastAsia="zh-CN"/>
              </w:rPr>
              <w:t>填埋场基底防渗：场底和边坡拟采用压实土和 600g/m</w:t>
            </w:r>
            <w:r>
              <w:rPr>
                <w:rFonts w:hint="eastAsia"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的土工布作为膜下防 渗层和保护层，膜上铺设 600g/m</w:t>
            </w:r>
            <w:r>
              <w:rPr>
                <w:rFonts w:hint="eastAsia"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的土工布作为保护层，同时在贮存场作业时，码放袋装土用于保护防渗材料。 为了使防渗系统稳定，在围堤顶部内侧设置3m宽锚固平台。</w:t>
            </w:r>
          </w:p>
          <w:p w14:paraId="692CF3A7">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yellow"/>
                <w:lang w:val="en-US" w:eastAsia="zh-CN"/>
              </w:rPr>
            </w:pPr>
            <w:r>
              <w:rPr>
                <w:rFonts w:hint="eastAsia" w:ascii="Times New Roman" w:hAnsi="Times New Roman" w:eastAsia="宋体" w:cs="Times New Roman"/>
                <w:color w:val="auto"/>
                <w:kern w:val="0"/>
                <w:sz w:val="24"/>
                <w:szCs w:val="24"/>
                <w:highlight w:val="none"/>
                <w:lang w:val="en-US" w:eastAsia="zh-CN"/>
              </w:rPr>
              <w:t>该项目于2015年2月取得昌吉州环境保护局批复</w:t>
            </w:r>
            <w:r>
              <w:rPr>
                <w:rFonts w:hint="eastAsia"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昌州环评</w:t>
            </w:r>
            <w:r>
              <w:rPr>
                <w:rFonts w:hint="eastAsia" w:cs="Times New Roman"/>
                <w:color w:val="auto"/>
                <w:kern w:val="0"/>
                <w:sz w:val="24"/>
                <w:szCs w:val="24"/>
                <w:highlight w:val="none"/>
                <w:lang w:val="en-US" w:eastAsia="zh-CN"/>
              </w:rPr>
              <w:t>〔2015〕7号）</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2017年12月取得原</w:t>
            </w:r>
            <w:r>
              <w:rPr>
                <w:rFonts w:hint="eastAsia" w:ascii="Times New Roman" w:hAnsi="Times New Roman" w:eastAsia="宋体" w:cs="Times New Roman"/>
                <w:color w:val="auto"/>
                <w:kern w:val="0"/>
                <w:sz w:val="24"/>
                <w:szCs w:val="24"/>
                <w:highlight w:val="none"/>
                <w:lang w:val="en-US" w:eastAsia="zh-CN"/>
              </w:rPr>
              <w:t>阜康市环境保护局《新疆阜康产业园固废综合处置静脉园项目贮存区8号库竣工环境保护验收意见》（阜环函</w:t>
            </w:r>
            <w:r>
              <w:rPr>
                <w:rFonts w:hint="eastAsia" w:cs="Times New Roman"/>
                <w:color w:val="auto"/>
                <w:kern w:val="0"/>
                <w:sz w:val="24"/>
                <w:szCs w:val="24"/>
                <w:highlight w:val="none"/>
                <w:lang w:val="en-US" w:eastAsia="zh-CN"/>
              </w:rPr>
              <w:t>〔2017〕147号</w:t>
            </w:r>
            <w:r>
              <w:rPr>
                <w:rFonts w:hint="eastAsia" w:ascii="Times New Roman" w:hAnsi="Times New Roman" w:eastAsia="宋体" w:cs="Times New Roman"/>
                <w:color w:val="auto"/>
                <w:kern w:val="0"/>
                <w:sz w:val="24"/>
                <w:szCs w:val="24"/>
                <w:highlight w:val="none"/>
                <w:lang w:val="en-US" w:eastAsia="zh-CN"/>
              </w:rPr>
              <w:t>），仅限一般工业固体废物贮存、处置，禁止处置危险废物、生活垃圾等。该项目距离本项目</w:t>
            </w:r>
            <w:r>
              <w:rPr>
                <w:rFonts w:hint="eastAsia" w:cs="Times New Roman"/>
                <w:color w:val="auto"/>
                <w:kern w:val="0"/>
                <w:sz w:val="24"/>
                <w:szCs w:val="24"/>
                <w:highlight w:val="none"/>
                <w:lang w:val="en-US" w:eastAsia="zh-CN"/>
              </w:rPr>
              <w:t>东</w:t>
            </w:r>
            <w:r>
              <w:rPr>
                <w:rFonts w:hint="eastAsia" w:ascii="Times New Roman" w:hAnsi="Times New Roman" w:eastAsia="宋体" w:cs="Times New Roman"/>
                <w:color w:val="auto"/>
                <w:kern w:val="0"/>
                <w:sz w:val="24"/>
                <w:szCs w:val="24"/>
                <w:highlight w:val="none"/>
                <w:lang w:val="en-US" w:eastAsia="zh-CN"/>
              </w:rPr>
              <w:t>侧约</w:t>
            </w:r>
            <w:r>
              <w:rPr>
                <w:rFonts w:hint="eastAsia" w:cs="Times New Roman"/>
                <w:color w:val="auto"/>
                <w:kern w:val="0"/>
                <w:sz w:val="24"/>
                <w:szCs w:val="24"/>
                <w:highlight w:val="none"/>
                <w:lang w:val="en-US" w:eastAsia="zh-CN"/>
              </w:rPr>
              <w:t>29</w:t>
            </w:r>
            <w:r>
              <w:rPr>
                <w:rFonts w:hint="eastAsia" w:ascii="Times New Roman" w:hAnsi="Times New Roman" w:eastAsia="宋体" w:cs="Times New Roman"/>
                <w:color w:val="auto"/>
                <w:kern w:val="0"/>
                <w:sz w:val="24"/>
                <w:szCs w:val="24"/>
                <w:highlight w:val="none"/>
                <w:lang w:val="en-US" w:eastAsia="zh-CN"/>
              </w:rPr>
              <w:t>km，目前填埋场仍有容量，因此本项目依托可行。</w:t>
            </w:r>
          </w:p>
          <w:p w14:paraId="6A2A3833">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落实上述固废处置措施后，固废对环境影响很小，固废处置措施可行。</w:t>
            </w:r>
            <w:r>
              <w:rPr>
                <w:rFonts w:ascii="Times New Roman" w:hAnsi="Times New Roman" w:eastAsia="宋体" w:cs="Times New Roman"/>
                <w:color w:val="auto"/>
                <w:kern w:val="2"/>
                <w:sz w:val="24"/>
                <w:szCs w:val="24"/>
                <w:highlight w:val="none"/>
                <w:lang w:val="en-US" w:eastAsia="zh-CN" w:bidi="ar-SA"/>
              </w:rPr>
              <w:t>落实上述固废处置措施后，固废对环境影响很小，固废处置措施可行。</w:t>
            </w:r>
          </w:p>
          <w:p w14:paraId="750C41C9">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2" w:firstLineChars="200"/>
              <w:jc w:val="both"/>
              <w:textAlignment w:val="auto"/>
              <w:rPr>
                <w:rFonts w:hint="default" w:ascii="Times New Roman" w:hAnsi="Times New Roman" w:eastAsia="宋体" w:cs="Times New Roman"/>
                <w:b/>
                <w:bCs/>
                <w:color w:val="auto"/>
                <w:sz w:val="24"/>
                <w:szCs w:val="24"/>
                <w:lang w:eastAsia="zh-CN"/>
              </w:rPr>
            </w:pPr>
            <w:r>
              <w:rPr>
                <w:rFonts w:hint="eastAsia" w:cs="Times New Roman"/>
                <w:b/>
                <w:bCs/>
                <w:color w:val="auto"/>
                <w:kern w:val="2"/>
                <w:sz w:val="24"/>
                <w:szCs w:val="20"/>
                <w:highlight w:val="none"/>
                <w:lang w:val="en-US" w:eastAsia="zh-CN"/>
              </w:rPr>
              <w:t>4.4固体废物对</w:t>
            </w:r>
            <w:r>
              <w:rPr>
                <w:rFonts w:hint="default" w:ascii="Times New Roman" w:hAnsi="Times New Roman" w:eastAsia="宋体" w:cs="Times New Roman"/>
                <w:b/>
                <w:bCs/>
                <w:color w:val="auto"/>
                <w:sz w:val="24"/>
                <w:szCs w:val="24"/>
                <w:lang w:eastAsia="zh-CN"/>
              </w:rPr>
              <w:t>环境的影响</w:t>
            </w:r>
          </w:p>
          <w:p w14:paraId="35C0D309">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highlight w:val="none"/>
                <w:lang w:val="en-US" w:eastAsia="zh-CN" w:bidi="ar-SA"/>
              </w:rPr>
              <w:t>本项目运营期产生的</w:t>
            </w:r>
            <w:r>
              <w:rPr>
                <w:rFonts w:hint="default" w:ascii="Times New Roman" w:hAnsi="Times New Roman" w:eastAsia="宋体" w:cs="Times New Roman"/>
                <w:color w:val="auto"/>
                <w:sz w:val="24"/>
                <w:szCs w:val="24"/>
                <w:highlight w:val="none"/>
                <w:lang w:val="en-US" w:eastAsia="zh-CN" w:bidi="ar-SA"/>
              </w:rPr>
              <w:t>除尘器粉尘</w:t>
            </w:r>
            <w:r>
              <w:rPr>
                <w:rFonts w:hint="eastAsia" w:ascii="Times New Roman" w:hAnsi="Times New Roman" w:eastAsia="宋体" w:cs="Times New Roman"/>
                <w:color w:val="auto"/>
                <w:sz w:val="24"/>
                <w:szCs w:val="24"/>
                <w:highlight w:val="none"/>
                <w:lang w:val="en-US" w:eastAsia="zh-CN" w:bidi="ar-SA"/>
              </w:rPr>
              <w:t>作为生产原料，通过包装袋收集后，从人工投料口处倒入（投料过程产生的粉尘通过人工投料口处的集气罩收集），回用于腻子粉生产工段</w:t>
            </w:r>
            <w:r>
              <w:rPr>
                <w:rFonts w:hint="eastAsia" w:cs="Times New Roman"/>
                <w:color w:val="auto"/>
                <w:sz w:val="24"/>
                <w:szCs w:val="24"/>
                <w:highlight w:val="none"/>
                <w:lang w:val="en-US" w:eastAsia="zh-CN" w:bidi="ar-SA"/>
              </w:rPr>
              <w:t>。废布袋暂存车间内的一般固废暂存区，由厂家定期回收；废包装袋暂存车间内的一般固废暂存区，定期外售。一般固废暂存于厂区内设置的一般固废暂存区域，由于该区域为封闭区域，同时配备通风装置，因此暂存过程中产生的少量异味可及时通过排气扇排出不会对厂区周边造成影响。</w:t>
            </w:r>
          </w:p>
          <w:p w14:paraId="1D59BEDB">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综上所述，本项目一般固体废物处置满足《一般工业固体废物贮存和填埋污染控制标准》（GB18599-2020）的要求；危险废物贮存满足《危险废物贮存污染控制标准》（GB18597-2023）标准要求。该项目产生的固体废物均得到妥善处理，对环境影响较小。</w:t>
            </w:r>
          </w:p>
          <w:p w14:paraId="4BB9AA9D">
            <w:pPr>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default" w:ascii="Times New Roman" w:hAnsi="Times New Roman" w:eastAsia="宋体" w:cs="Times New Roman"/>
                <w:color w:val="auto"/>
                <w:kern w:val="2"/>
                <w:sz w:val="28"/>
                <w:szCs w:val="28"/>
                <w:highlight w:val="none"/>
                <w:lang w:val="en-US" w:eastAsia="zh-CN"/>
              </w:rPr>
            </w:pPr>
            <w:r>
              <w:rPr>
                <w:rFonts w:hint="eastAsia" w:cs="Times New Roman"/>
                <w:b/>
                <w:color w:val="auto"/>
                <w:kern w:val="2"/>
                <w:sz w:val="28"/>
                <w:szCs w:val="28"/>
                <w:highlight w:val="none"/>
                <w:lang w:val="en-US" w:eastAsia="zh-CN" w:bidi="ar-SA"/>
              </w:rPr>
              <w:t>5、</w:t>
            </w:r>
            <w:r>
              <w:rPr>
                <w:rFonts w:hint="eastAsia" w:ascii="Times New Roman" w:hAnsi="Times New Roman" w:eastAsia="宋体" w:cs="Times New Roman"/>
                <w:b/>
                <w:color w:val="auto"/>
                <w:kern w:val="2"/>
                <w:sz w:val="28"/>
                <w:szCs w:val="28"/>
                <w:highlight w:val="none"/>
                <w:lang w:val="en-US" w:eastAsia="zh-CN" w:bidi="ar-SA"/>
              </w:rPr>
              <w:t>地下水、土壤</w:t>
            </w:r>
          </w:p>
          <w:p w14:paraId="30561C7D">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本项目位于</w:t>
            </w:r>
            <w:r>
              <w:rPr>
                <w:rFonts w:hint="default" w:ascii="Times New Roman" w:hAnsi="Times New Roman" w:eastAsia="宋体" w:cs="Times New Roman"/>
                <w:color w:val="auto"/>
                <w:sz w:val="24"/>
                <w:szCs w:val="24"/>
                <w:lang w:val="en-US" w:eastAsia="zh-CN" w:bidi="ar-SA"/>
              </w:rPr>
              <w:t>阜康市苏通小微创业园</w:t>
            </w:r>
            <w:r>
              <w:rPr>
                <w:rFonts w:hint="eastAsia" w:ascii="Times New Roman" w:hAnsi="Times New Roman" w:eastAsia="宋体" w:cs="Times New Roman"/>
                <w:b w:val="0"/>
                <w:bCs w:val="0"/>
                <w:color w:val="auto"/>
                <w:kern w:val="2"/>
                <w:sz w:val="24"/>
                <w:szCs w:val="20"/>
                <w:highlight w:val="none"/>
                <w:lang w:val="en-US" w:eastAsia="zh-CN"/>
              </w:rPr>
              <w:t>，不涉及集中式饮用水水源和热水、矿泉水、温泉等特殊地下水资源保护区。</w:t>
            </w:r>
          </w:p>
          <w:p w14:paraId="649D2721">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（1）污染源和污染途径</w:t>
            </w:r>
          </w:p>
          <w:p w14:paraId="3DBE9ED1">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①地面防渗等级不足或出现裂痕，导致泄漏物料下渗，污染地下水、土壤环境；</w:t>
            </w:r>
          </w:p>
          <w:p w14:paraId="7E30E11D">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③固体废物防护措施不足，导致雨水混入，污染地下水、土壤环境；</w:t>
            </w:r>
          </w:p>
          <w:p w14:paraId="0D3CAB21">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⑤管理不完善，操作不规范导致物料泄漏。</w:t>
            </w:r>
          </w:p>
          <w:p w14:paraId="6A86403E">
            <w:pPr>
              <w:pageBreakBefore w:val="0"/>
              <w:widowControl w:val="0"/>
              <w:numPr>
                <w:ilvl w:val="0"/>
                <w:numId w:val="5"/>
              </w:numPr>
              <w:kinsoku/>
              <w:wordWrap/>
              <w:overflowPunct/>
              <w:topLinePunct w:val="0"/>
              <w:autoSpaceDE/>
              <w:autoSpaceDN/>
              <w:bidi w:val="0"/>
              <w:adjustRightInd/>
              <w:snapToGrid/>
              <w:spacing w:before="0" w:after="0" w:line="360" w:lineRule="auto"/>
              <w:ind w:left="480" w:leftChars="200" w:right="0" w:firstLine="0" w:firstLineChars="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分区防渗控制要求</w:t>
            </w:r>
          </w:p>
          <w:p w14:paraId="0BB9879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w:t>
            </w:r>
            <w:r>
              <w:rPr>
                <w:rFonts w:hint="default" w:ascii="Times New Roman" w:hAnsi="Times New Roman" w:eastAsia="宋体" w:cs="Times New Roman"/>
                <w:color w:val="auto"/>
                <w:kern w:val="2"/>
                <w:sz w:val="24"/>
                <w:szCs w:val="20"/>
                <w:highlight w:val="none"/>
                <w:lang w:val="en-US" w:eastAsia="zh-CN"/>
              </w:rPr>
              <w:t>防渗分区</w:t>
            </w:r>
          </w:p>
          <w:p w14:paraId="6D48CA5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根据装置、单元的特点和所处的区域及部位，</w:t>
            </w:r>
            <w:r>
              <w:rPr>
                <w:rFonts w:hint="eastAsia" w:ascii="Times New Roman" w:hAnsi="Times New Roman" w:eastAsia="宋体" w:cs="Times New Roman"/>
                <w:color w:val="auto"/>
                <w:kern w:val="2"/>
                <w:sz w:val="24"/>
                <w:szCs w:val="20"/>
                <w:highlight w:val="none"/>
                <w:lang w:val="en-US" w:eastAsia="zh-CN"/>
              </w:rPr>
              <w:t>本</w:t>
            </w:r>
            <w:r>
              <w:rPr>
                <w:rFonts w:hint="default" w:ascii="Times New Roman" w:hAnsi="Times New Roman" w:eastAsia="宋体" w:cs="Times New Roman"/>
                <w:color w:val="auto"/>
                <w:kern w:val="2"/>
                <w:sz w:val="24"/>
                <w:szCs w:val="20"/>
                <w:highlight w:val="none"/>
                <w:lang w:val="en-US" w:eastAsia="zh-CN"/>
              </w:rPr>
              <w:t>项目厂区划分为一般污染防治区、重点污染防治区</w:t>
            </w:r>
            <w:r>
              <w:rPr>
                <w:rFonts w:hint="eastAsia" w:ascii="Times New Roman" w:hAnsi="Times New Roman" w:eastAsia="宋体" w:cs="Times New Roman"/>
                <w:color w:val="auto"/>
                <w:kern w:val="2"/>
                <w:sz w:val="24"/>
                <w:szCs w:val="20"/>
                <w:highlight w:val="none"/>
                <w:lang w:val="en-US" w:eastAsia="zh-CN"/>
              </w:rPr>
              <w:t>、简单防渗区</w:t>
            </w:r>
            <w:r>
              <w:rPr>
                <w:rFonts w:hint="default" w:ascii="Times New Roman" w:hAnsi="Times New Roman" w:eastAsia="宋体" w:cs="Times New Roman"/>
                <w:color w:val="auto"/>
                <w:kern w:val="2"/>
                <w:sz w:val="24"/>
                <w:szCs w:val="20"/>
                <w:highlight w:val="none"/>
                <w:lang w:val="en-US" w:eastAsia="zh-CN"/>
              </w:rPr>
              <w:t>。</w:t>
            </w:r>
          </w:p>
          <w:p w14:paraId="1760062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重点污染防治区：</w:t>
            </w:r>
            <w:r>
              <w:rPr>
                <w:rFonts w:hint="eastAsia" w:cs="Times New Roman"/>
                <w:color w:val="auto"/>
                <w:kern w:val="2"/>
                <w:sz w:val="24"/>
                <w:szCs w:val="20"/>
                <w:highlight w:val="none"/>
                <w:lang w:val="en-US" w:eastAsia="zh-CN"/>
              </w:rPr>
              <w:t>危废库</w:t>
            </w:r>
            <w:r>
              <w:rPr>
                <w:rFonts w:hint="default" w:ascii="Times New Roman" w:hAnsi="Times New Roman" w:eastAsia="宋体" w:cs="Times New Roman"/>
                <w:color w:val="auto"/>
                <w:kern w:val="2"/>
                <w:sz w:val="24"/>
                <w:szCs w:val="20"/>
                <w:highlight w:val="none"/>
                <w:lang w:val="en-US" w:eastAsia="zh-CN"/>
              </w:rPr>
              <w:t>。</w:t>
            </w:r>
          </w:p>
          <w:p w14:paraId="68396AE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一般污染防治区：</w:t>
            </w:r>
            <w:r>
              <w:rPr>
                <w:rFonts w:hint="eastAsia" w:ascii="Times New Roman" w:hAnsi="Times New Roman" w:eastAsia="宋体" w:cs="Times New Roman"/>
                <w:color w:val="auto"/>
                <w:kern w:val="2"/>
                <w:sz w:val="24"/>
                <w:szCs w:val="20"/>
                <w:highlight w:val="none"/>
                <w:lang w:val="en-US" w:eastAsia="zh-CN"/>
              </w:rPr>
              <w:t>生产车间</w:t>
            </w:r>
            <w:r>
              <w:rPr>
                <w:rFonts w:hint="default" w:ascii="Times New Roman" w:hAnsi="Times New Roman" w:eastAsia="宋体" w:cs="Times New Roman"/>
                <w:color w:val="auto"/>
                <w:kern w:val="2"/>
                <w:sz w:val="24"/>
                <w:szCs w:val="20"/>
                <w:highlight w:val="none"/>
                <w:lang w:val="en-US" w:eastAsia="zh-CN"/>
              </w:rPr>
              <w:t>。</w:t>
            </w:r>
          </w:p>
          <w:p w14:paraId="4D758E5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简单</w:t>
            </w:r>
            <w:r>
              <w:rPr>
                <w:rFonts w:hint="default" w:ascii="Times New Roman" w:hAnsi="Times New Roman" w:eastAsia="宋体" w:cs="Times New Roman"/>
                <w:color w:val="auto"/>
                <w:kern w:val="2"/>
                <w:sz w:val="24"/>
                <w:szCs w:val="20"/>
                <w:highlight w:val="none"/>
                <w:lang w:val="en-US" w:eastAsia="zh-CN"/>
              </w:rPr>
              <w:t>污染防治区：</w:t>
            </w:r>
            <w:r>
              <w:rPr>
                <w:rFonts w:hint="eastAsia" w:ascii="Times New Roman" w:hAnsi="Times New Roman" w:eastAsia="宋体" w:cs="Times New Roman"/>
                <w:color w:val="auto"/>
                <w:kern w:val="2"/>
                <w:sz w:val="24"/>
                <w:szCs w:val="20"/>
                <w:highlight w:val="none"/>
                <w:lang w:val="en-US" w:eastAsia="zh-CN"/>
              </w:rPr>
              <w:t>进出场道路。</w:t>
            </w:r>
          </w:p>
          <w:p w14:paraId="66FC5AA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w:t>
            </w:r>
            <w:r>
              <w:rPr>
                <w:rFonts w:hint="default" w:ascii="Times New Roman" w:hAnsi="Times New Roman" w:eastAsia="宋体" w:cs="Times New Roman"/>
                <w:color w:val="auto"/>
                <w:kern w:val="2"/>
                <w:sz w:val="24"/>
                <w:szCs w:val="20"/>
                <w:highlight w:val="none"/>
                <w:lang w:val="en-US" w:eastAsia="zh-CN"/>
              </w:rPr>
              <w:t>分区防渗处理</w:t>
            </w:r>
          </w:p>
          <w:p w14:paraId="3A0490B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重点防渗区：</w:t>
            </w:r>
            <w:r>
              <w:rPr>
                <w:rFonts w:hint="eastAsia" w:ascii="Times New Roman" w:hAnsi="Times New Roman" w:eastAsia="宋体" w:cs="Times New Roman"/>
                <w:color w:val="auto"/>
                <w:kern w:val="2"/>
                <w:sz w:val="24"/>
                <w:szCs w:val="20"/>
                <w:highlight w:val="none"/>
                <w:lang w:val="en-US" w:eastAsia="zh-CN"/>
              </w:rPr>
              <w:t>本项目</w:t>
            </w:r>
            <w:r>
              <w:rPr>
                <w:rFonts w:hint="eastAsia" w:cs="Times New Roman"/>
                <w:color w:val="auto"/>
                <w:kern w:val="2"/>
                <w:sz w:val="24"/>
                <w:szCs w:val="20"/>
                <w:highlight w:val="none"/>
                <w:lang w:val="en-US" w:eastAsia="zh-CN"/>
              </w:rPr>
              <w:t>危废库</w:t>
            </w:r>
            <w:r>
              <w:rPr>
                <w:rFonts w:hint="default" w:ascii="Times New Roman" w:hAnsi="Times New Roman" w:eastAsia="宋体" w:cs="Times New Roman"/>
                <w:color w:val="auto"/>
                <w:kern w:val="2"/>
                <w:sz w:val="24"/>
                <w:szCs w:val="20"/>
                <w:highlight w:val="none"/>
                <w:lang w:val="en-US" w:eastAsia="zh-CN"/>
              </w:rPr>
              <w:t>，</w:t>
            </w:r>
            <w:r>
              <w:rPr>
                <w:rFonts w:hint="eastAsia" w:ascii="Times New Roman" w:hAnsi="Times New Roman" w:eastAsia="宋体" w:cs="Times New Roman"/>
                <w:color w:val="auto"/>
                <w:kern w:val="2"/>
                <w:sz w:val="24"/>
                <w:szCs w:val="20"/>
                <w:highlight w:val="none"/>
                <w:lang w:val="en-US" w:eastAsia="zh-CN"/>
              </w:rPr>
              <w:t>防渗方案</w:t>
            </w:r>
            <w:r>
              <w:rPr>
                <w:rFonts w:hint="default" w:ascii="Times New Roman" w:hAnsi="Times New Roman" w:eastAsia="宋体" w:cs="Times New Roman"/>
                <w:color w:val="auto"/>
                <w:kern w:val="2"/>
                <w:sz w:val="24"/>
                <w:szCs w:val="20"/>
                <w:highlight w:val="none"/>
                <w:lang w:val="en-US" w:eastAsia="zh-CN"/>
              </w:rPr>
              <w:t>黏土夯实+2mm厚高密度聚乙烯膜（HDPE）+水泥地面</w:t>
            </w:r>
            <w:r>
              <w:rPr>
                <w:rFonts w:hint="eastAsia" w:ascii="Times New Roman" w:hAnsi="Times New Roman" w:eastAsia="宋体" w:cs="Times New Roman"/>
                <w:color w:val="auto"/>
                <w:kern w:val="2"/>
                <w:sz w:val="24"/>
                <w:szCs w:val="20"/>
                <w:highlight w:val="none"/>
                <w:lang w:val="en-US" w:eastAsia="zh-CN"/>
              </w:rPr>
              <w:t>，设计满足《环境影响评价技术导则 地下水环境》（HJ 610-2016）要求</w:t>
            </w:r>
            <w:r>
              <w:rPr>
                <w:rFonts w:hint="default" w:ascii="Times New Roman" w:hAnsi="Times New Roman" w:eastAsia="宋体" w:cs="Times New Roman"/>
                <w:color w:val="auto"/>
                <w:kern w:val="2"/>
                <w:sz w:val="24"/>
                <w:szCs w:val="20"/>
                <w:highlight w:val="none"/>
                <w:lang w:val="en-US" w:eastAsia="zh-CN"/>
              </w:rPr>
              <w:t>：等效黏土防渗层Mb≥6.0m，K≤1×10</w:t>
            </w:r>
            <w:r>
              <w:rPr>
                <w:rFonts w:hint="eastAsia" w:ascii="Times New Roman" w:hAnsi="Times New Roman" w:eastAsia="宋体" w:cs="Times New Roman"/>
                <w:color w:val="auto"/>
                <w:kern w:val="2"/>
                <w:sz w:val="24"/>
                <w:szCs w:val="20"/>
                <w:highlight w:val="none"/>
                <w:vertAlign w:val="superscript"/>
                <w:lang w:val="en-US" w:eastAsia="zh-CN"/>
              </w:rPr>
              <w:t>-7</w:t>
            </w:r>
            <w:r>
              <w:rPr>
                <w:rFonts w:hint="default" w:ascii="Times New Roman" w:hAnsi="Times New Roman" w:eastAsia="宋体" w:cs="Times New Roman"/>
                <w:color w:val="auto"/>
                <w:kern w:val="2"/>
                <w:sz w:val="24"/>
                <w:szCs w:val="20"/>
                <w:highlight w:val="none"/>
                <w:lang w:val="en-US" w:eastAsia="zh-CN"/>
              </w:rPr>
              <w:t>cm/s</w:t>
            </w:r>
            <w:r>
              <w:rPr>
                <w:rFonts w:hint="eastAsia" w:ascii="Times New Roman" w:hAnsi="Times New Roman" w:eastAsia="宋体" w:cs="Times New Roman"/>
                <w:color w:val="auto"/>
                <w:kern w:val="2"/>
                <w:sz w:val="24"/>
                <w:szCs w:val="20"/>
                <w:highlight w:val="none"/>
                <w:lang w:val="en-US" w:eastAsia="zh-CN"/>
              </w:rPr>
              <w:t>。</w:t>
            </w:r>
          </w:p>
          <w:p w14:paraId="767FA26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一般防渗区：采用厚度Mb=1.5m，渗透系数K≤10</w:t>
            </w:r>
            <w:r>
              <w:rPr>
                <w:rFonts w:hint="default" w:ascii="Times New Roman" w:hAnsi="Times New Roman" w:eastAsia="宋体" w:cs="Times New Roman"/>
                <w:color w:val="auto"/>
                <w:kern w:val="2"/>
                <w:sz w:val="24"/>
                <w:szCs w:val="20"/>
                <w:highlight w:val="none"/>
                <w:vertAlign w:val="superscript"/>
                <w:lang w:val="en-US" w:eastAsia="zh-CN"/>
              </w:rPr>
              <w:t>-7</w:t>
            </w:r>
            <w:r>
              <w:rPr>
                <w:rFonts w:hint="default" w:ascii="Times New Roman" w:hAnsi="Times New Roman" w:eastAsia="宋体" w:cs="Times New Roman"/>
                <w:color w:val="auto"/>
                <w:kern w:val="2"/>
                <w:sz w:val="24"/>
                <w:szCs w:val="20"/>
                <w:highlight w:val="none"/>
                <w:lang w:val="en-US" w:eastAsia="zh-CN"/>
              </w:rPr>
              <w:t>cm/s防渗等效的20cm厚P4等级混凝土进行防渗。防渗技术</w:t>
            </w:r>
            <w:r>
              <w:rPr>
                <w:rFonts w:hint="eastAsia" w:ascii="Times New Roman" w:hAnsi="Times New Roman" w:eastAsia="宋体" w:cs="Times New Roman"/>
                <w:color w:val="auto"/>
                <w:kern w:val="2"/>
                <w:sz w:val="24"/>
                <w:szCs w:val="20"/>
                <w:highlight w:val="none"/>
                <w:lang w:val="en-US" w:eastAsia="zh-CN"/>
              </w:rPr>
              <w:t>满足</w:t>
            </w:r>
            <w:r>
              <w:rPr>
                <w:rFonts w:hint="default" w:ascii="Times New Roman" w:hAnsi="Times New Roman" w:eastAsia="宋体" w:cs="Times New Roman"/>
                <w:color w:val="auto"/>
                <w:kern w:val="2"/>
                <w:sz w:val="24"/>
                <w:szCs w:val="20"/>
                <w:highlight w:val="none"/>
                <w:lang w:val="en-US" w:eastAsia="zh-CN"/>
              </w:rPr>
              <w:t>：等效黏土防渗层Mb≥1.5m，K≤1×10</w:t>
            </w:r>
            <w:r>
              <w:rPr>
                <w:rFonts w:hint="default" w:ascii="Times New Roman" w:hAnsi="Times New Roman" w:eastAsia="宋体" w:cs="Times New Roman"/>
                <w:color w:val="auto"/>
                <w:kern w:val="2"/>
                <w:sz w:val="24"/>
                <w:szCs w:val="20"/>
                <w:highlight w:val="none"/>
                <w:vertAlign w:val="superscript"/>
                <w:lang w:val="en-US" w:eastAsia="zh-CN"/>
              </w:rPr>
              <w:t>-7</w:t>
            </w:r>
            <w:r>
              <w:rPr>
                <w:rFonts w:hint="default" w:ascii="Times New Roman" w:hAnsi="Times New Roman" w:eastAsia="宋体" w:cs="Times New Roman"/>
                <w:color w:val="auto"/>
                <w:kern w:val="2"/>
                <w:sz w:val="24"/>
                <w:szCs w:val="20"/>
                <w:highlight w:val="none"/>
                <w:lang w:val="en-US" w:eastAsia="zh-CN"/>
              </w:rPr>
              <w:t>cm/s</w:t>
            </w:r>
            <w:r>
              <w:rPr>
                <w:rFonts w:hint="eastAsia" w:ascii="Times New Roman" w:hAnsi="Times New Roman" w:eastAsia="宋体" w:cs="Times New Roman"/>
                <w:color w:val="auto"/>
                <w:kern w:val="2"/>
                <w:sz w:val="24"/>
                <w:szCs w:val="20"/>
                <w:highlight w:val="none"/>
                <w:lang w:val="en-US" w:eastAsia="zh-CN"/>
              </w:rPr>
              <w:t>。（</w:t>
            </w:r>
            <w:r>
              <w:rPr>
                <w:rFonts w:hint="eastAsia" w:cs="Times New Roman"/>
                <w:color w:val="auto"/>
                <w:kern w:val="2"/>
                <w:sz w:val="24"/>
                <w:szCs w:val="20"/>
                <w:highlight w:val="none"/>
                <w:lang w:val="en-US" w:eastAsia="zh-CN"/>
              </w:rPr>
              <w:t>生产车间基本硬化已由</w:t>
            </w:r>
            <w:r>
              <w:rPr>
                <w:rFonts w:hint="eastAsia" w:cs="Times New Roman"/>
                <w:bCs/>
                <w:color w:val="auto"/>
                <w:kern w:val="0"/>
                <w:sz w:val="24"/>
                <w:szCs w:val="24"/>
                <w:highlight w:val="none"/>
                <w:lang w:val="en-US" w:eastAsia="zh-CN" w:bidi="ar-SA"/>
              </w:rPr>
              <w:t>阜康市新疆东方启辰工贸有限公司建设完成</w:t>
            </w:r>
            <w:r>
              <w:rPr>
                <w:rFonts w:hint="eastAsia" w:ascii="Times New Roman" w:hAnsi="Times New Roman" w:eastAsia="宋体" w:cs="Times New Roman"/>
                <w:color w:val="auto"/>
                <w:kern w:val="2"/>
                <w:sz w:val="24"/>
                <w:szCs w:val="20"/>
                <w:highlight w:val="none"/>
                <w:lang w:val="en-US" w:eastAsia="zh-CN"/>
              </w:rPr>
              <w:t>）。</w:t>
            </w:r>
          </w:p>
          <w:p w14:paraId="32A199F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简单</w:t>
            </w:r>
            <w:r>
              <w:rPr>
                <w:rFonts w:hint="default" w:ascii="Times New Roman" w:hAnsi="Times New Roman" w:eastAsia="宋体" w:cs="Times New Roman"/>
                <w:color w:val="auto"/>
                <w:kern w:val="2"/>
                <w:sz w:val="24"/>
                <w:szCs w:val="20"/>
                <w:highlight w:val="none"/>
                <w:lang w:val="en-US" w:eastAsia="zh-CN"/>
              </w:rPr>
              <w:t>污染防治区：</w:t>
            </w:r>
            <w:r>
              <w:rPr>
                <w:rFonts w:hint="eastAsia" w:ascii="Times New Roman" w:hAnsi="Times New Roman" w:eastAsia="宋体" w:cs="Times New Roman"/>
                <w:color w:val="auto"/>
                <w:kern w:val="2"/>
                <w:sz w:val="24"/>
                <w:szCs w:val="20"/>
                <w:highlight w:val="none"/>
                <w:lang w:val="en-US" w:eastAsia="zh-CN"/>
              </w:rPr>
              <w:t>硬化地面即可，进出场道路</w:t>
            </w:r>
            <w:r>
              <w:rPr>
                <w:rFonts w:hint="eastAsia" w:ascii="Times New Roman" w:hAnsi="Times New Roman" w:cs="Times New Roman"/>
                <w:color w:val="auto"/>
                <w:kern w:val="2"/>
                <w:sz w:val="24"/>
                <w:szCs w:val="20"/>
                <w:highlight w:val="none"/>
                <w:lang w:val="en-US" w:eastAsia="zh-CN"/>
              </w:rPr>
              <w:t>硬化地面</w:t>
            </w:r>
            <w:r>
              <w:rPr>
                <w:rFonts w:hint="eastAsia" w:ascii="Times New Roman" w:hAnsi="Times New Roman" w:eastAsia="宋体" w:cs="Times New Roman"/>
                <w:color w:val="auto"/>
                <w:kern w:val="2"/>
                <w:sz w:val="24"/>
                <w:szCs w:val="20"/>
                <w:highlight w:val="none"/>
                <w:lang w:val="en-US" w:eastAsia="zh-CN"/>
              </w:rPr>
              <w:t>已</w:t>
            </w:r>
            <w:r>
              <w:rPr>
                <w:rFonts w:hint="eastAsia" w:ascii="Times New Roman" w:hAnsi="Times New Roman" w:cs="Times New Roman"/>
                <w:color w:val="auto"/>
                <w:kern w:val="2"/>
                <w:sz w:val="24"/>
                <w:szCs w:val="20"/>
                <w:highlight w:val="none"/>
                <w:lang w:val="en-US" w:eastAsia="zh-CN"/>
              </w:rPr>
              <w:t>由</w:t>
            </w:r>
            <w:r>
              <w:rPr>
                <w:rFonts w:hint="eastAsia" w:cs="Times New Roman"/>
                <w:bCs/>
                <w:color w:val="auto"/>
                <w:kern w:val="0"/>
                <w:sz w:val="24"/>
                <w:szCs w:val="24"/>
                <w:highlight w:val="none"/>
                <w:lang w:val="en-US" w:eastAsia="zh-CN" w:bidi="ar-SA"/>
              </w:rPr>
              <w:t>阜康市新疆东方启辰工贸有限公司</w:t>
            </w:r>
            <w:r>
              <w:rPr>
                <w:rFonts w:hint="eastAsia" w:ascii="Times New Roman" w:hAnsi="Times New Roman" w:eastAsia="宋体" w:cs="Times New Roman"/>
                <w:color w:val="auto"/>
                <w:kern w:val="2"/>
                <w:szCs w:val="24"/>
                <w:lang w:val="en-US" w:eastAsia="zh-CN"/>
              </w:rPr>
              <w:t>建设完成</w:t>
            </w:r>
            <w:r>
              <w:rPr>
                <w:rFonts w:hint="eastAsia" w:ascii="Times New Roman" w:hAnsi="Times New Roman" w:eastAsia="宋体" w:cs="Times New Roman"/>
                <w:color w:val="auto"/>
                <w:kern w:val="2"/>
                <w:sz w:val="24"/>
                <w:szCs w:val="20"/>
                <w:highlight w:val="none"/>
                <w:lang w:val="en-US" w:eastAsia="zh-CN"/>
              </w:rPr>
              <w:t>。</w:t>
            </w:r>
          </w:p>
          <w:p w14:paraId="37B6A0C4">
            <w:pPr>
              <w:spacing w:line="360" w:lineRule="auto"/>
              <w:jc w:val="center"/>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表</w:t>
            </w:r>
            <w:r>
              <w:rPr>
                <w:rFonts w:hint="eastAsia" w:ascii="Times New Roman" w:hAnsi="Times New Roman" w:eastAsia="宋体" w:cs="Times New Roman"/>
                <w:b/>
                <w:bCs/>
                <w:color w:val="auto"/>
                <w:kern w:val="2"/>
                <w:sz w:val="24"/>
                <w:szCs w:val="24"/>
                <w:highlight w:val="none"/>
                <w:lang w:val="en-US" w:eastAsia="zh-CN"/>
              </w:rPr>
              <w:t>4.9-1</w:t>
            </w:r>
            <w:r>
              <w:rPr>
                <w:rFonts w:hint="eastAsia" w:ascii="Times New Roman" w:hAnsi="Times New Roman" w:eastAsia="宋体" w:cs="Times New Roman"/>
                <w:b/>
                <w:bCs/>
                <w:color w:val="auto"/>
                <w:kern w:val="2"/>
                <w:sz w:val="24"/>
                <w:szCs w:val="24"/>
                <w:highlight w:val="none"/>
              </w:rPr>
              <w:t>各污染区防渗措施</w:t>
            </w:r>
          </w:p>
          <w:tbl>
            <w:tblPr>
              <w:tblStyle w:val="16"/>
              <w:tblW w:w="50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269"/>
              <w:gridCol w:w="1287"/>
              <w:gridCol w:w="1491"/>
              <w:gridCol w:w="1297"/>
              <w:gridCol w:w="2109"/>
            </w:tblGrid>
            <w:tr w14:paraId="7A272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1406D725">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场区内建筑物</w:t>
                  </w:r>
                </w:p>
              </w:tc>
              <w:tc>
                <w:tcPr>
                  <w:tcW w:w="746" w:type="pct"/>
                  <w:tcBorders>
                    <w:tl2br w:val="nil"/>
                    <w:tr2bl w:val="nil"/>
                  </w:tcBorders>
                  <w:vAlign w:val="center"/>
                </w:tcPr>
                <w:p w14:paraId="2BE10263">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包气带防污性能</w:t>
                  </w:r>
                </w:p>
              </w:tc>
              <w:tc>
                <w:tcPr>
                  <w:tcW w:w="756" w:type="pct"/>
                  <w:tcBorders>
                    <w:tl2br w:val="nil"/>
                    <w:tr2bl w:val="nil"/>
                  </w:tcBorders>
                  <w:vAlign w:val="center"/>
                </w:tcPr>
                <w:p w14:paraId="272B3564">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污染控制难易程度</w:t>
                  </w:r>
                </w:p>
              </w:tc>
              <w:tc>
                <w:tcPr>
                  <w:tcW w:w="876" w:type="pct"/>
                  <w:tcBorders>
                    <w:tl2br w:val="nil"/>
                    <w:tr2bl w:val="nil"/>
                  </w:tcBorders>
                  <w:vAlign w:val="center"/>
                </w:tcPr>
                <w:p w14:paraId="0C0AFE9E">
                  <w:pPr>
                    <w:spacing w:line="240" w:lineRule="auto"/>
                    <w:jc w:val="center"/>
                    <w:rPr>
                      <w:rFonts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zh-TW" w:eastAsia="zh-TW"/>
                    </w:rPr>
                    <w:t>污染物类型</w:t>
                  </w:r>
                </w:p>
              </w:tc>
              <w:tc>
                <w:tcPr>
                  <w:tcW w:w="762" w:type="pct"/>
                  <w:tcBorders>
                    <w:tl2br w:val="nil"/>
                    <w:tr2bl w:val="nil"/>
                  </w:tcBorders>
                  <w:vAlign w:val="center"/>
                </w:tcPr>
                <w:p w14:paraId="50881BBD">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防渗分区</w:t>
                  </w:r>
                </w:p>
              </w:tc>
              <w:tc>
                <w:tcPr>
                  <w:tcW w:w="1240" w:type="pct"/>
                  <w:tcBorders>
                    <w:tl2br w:val="nil"/>
                    <w:tr2bl w:val="nil"/>
                  </w:tcBorders>
                  <w:vAlign w:val="center"/>
                </w:tcPr>
                <w:p w14:paraId="5A12B33D">
                  <w:pPr>
                    <w:widowControl/>
                    <w:spacing w:line="240" w:lineRule="auto"/>
                    <w:jc w:val="center"/>
                    <w:rPr>
                      <w:rFonts w:ascii="Calibri" w:hAnsi="Calibri" w:eastAsia="宋体" w:cs="Times New Roman"/>
                      <w:b w:val="0"/>
                      <w:bCs w:val="0"/>
                      <w:color w:val="auto"/>
                      <w:sz w:val="21"/>
                      <w:szCs w:val="24"/>
                      <w:highlight w:val="none"/>
                    </w:rPr>
                  </w:pPr>
                  <w:r>
                    <w:rPr>
                      <w:rFonts w:hint="eastAsia" w:ascii="宋体" w:hAnsi="宋体" w:eastAsia="宋体" w:cs="宋体"/>
                      <w:b w:val="0"/>
                      <w:bCs w:val="0"/>
                      <w:color w:val="auto"/>
                      <w:sz w:val="21"/>
                      <w:szCs w:val="21"/>
                      <w:highlight w:val="none"/>
                      <w:lang w:bidi="ar"/>
                    </w:rPr>
                    <w:t>防渗处理措施</w:t>
                  </w:r>
                </w:p>
              </w:tc>
            </w:tr>
            <w:tr w14:paraId="5A814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27A19C01">
                  <w:pPr>
                    <w:spacing w:line="240" w:lineRule="auto"/>
                    <w:jc w:val="center"/>
                    <w:rPr>
                      <w:rFonts w:hint="eastAsia" w:ascii="Times New Roman" w:hAnsi="Times New Roman" w:eastAsia="宋体" w:cs="Times New Roman"/>
                      <w:b w:val="0"/>
                      <w:bCs w:val="0"/>
                      <w:color w:val="auto"/>
                      <w:sz w:val="21"/>
                      <w:szCs w:val="24"/>
                      <w:highlight w:val="none"/>
                      <w:lang w:eastAsia="zh-CN"/>
                    </w:rPr>
                  </w:pPr>
                  <w:r>
                    <w:rPr>
                      <w:rFonts w:hint="eastAsia" w:cs="Times New Roman"/>
                      <w:b w:val="0"/>
                      <w:bCs w:val="0"/>
                      <w:color w:val="auto"/>
                      <w:sz w:val="21"/>
                      <w:szCs w:val="24"/>
                      <w:highlight w:val="none"/>
                      <w:lang w:eastAsia="zh-CN"/>
                    </w:rPr>
                    <w:t>危废库</w:t>
                  </w:r>
                </w:p>
              </w:tc>
              <w:tc>
                <w:tcPr>
                  <w:tcW w:w="746" w:type="pct"/>
                  <w:tcBorders>
                    <w:tl2br w:val="nil"/>
                    <w:tr2bl w:val="nil"/>
                  </w:tcBorders>
                  <w:vAlign w:val="center"/>
                </w:tcPr>
                <w:p w14:paraId="4C865510">
                  <w:pPr>
                    <w:spacing w:line="240" w:lineRule="auto"/>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弱</w:t>
                  </w:r>
                </w:p>
              </w:tc>
              <w:tc>
                <w:tcPr>
                  <w:tcW w:w="756" w:type="pct"/>
                  <w:tcBorders>
                    <w:tl2br w:val="nil"/>
                    <w:tr2bl w:val="nil"/>
                  </w:tcBorders>
                  <w:vAlign w:val="center"/>
                </w:tcPr>
                <w:p w14:paraId="7C9E81DE">
                  <w:pPr>
                    <w:spacing w:line="240" w:lineRule="auto"/>
                    <w:jc w:val="center"/>
                    <w:rPr>
                      <w:rFonts w:hint="eastAsia"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zh-TW" w:eastAsia="zh-TW"/>
                    </w:rPr>
                    <w:t>难</w:t>
                  </w:r>
                </w:p>
              </w:tc>
              <w:tc>
                <w:tcPr>
                  <w:tcW w:w="876" w:type="pct"/>
                  <w:tcBorders>
                    <w:tl2br w:val="nil"/>
                    <w:tr2bl w:val="nil"/>
                  </w:tcBorders>
                  <w:vAlign w:val="center"/>
                </w:tcPr>
                <w:p w14:paraId="6F4A8C44">
                  <w:pPr>
                    <w:spacing w:line="240" w:lineRule="auto"/>
                    <w:jc w:val="center"/>
                    <w:rPr>
                      <w:rFonts w:hint="eastAsia"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en-US" w:eastAsia="zh-CN"/>
                    </w:rPr>
                    <w:t>非</w:t>
                  </w:r>
                  <w:r>
                    <w:rPr>
                      <w:rFonts w:hint="eastAsia" w:ascii="Times New Roman" w:hAnsi="Times New Roman" w:eastAsia="宋体" w:cs="Times New Roman"/>
                      <w:b w:val="0"/>
                      <w:bCs w:val="0"/>
                      <w:color w:val="auto"/>
                      <w:sz w:val="21"/>
                      <w:szCs w:val="21"/>
                      <w:highlight w:val="none"/>
                      <w:lang w:val="zh-TW" w:eastAsia="zh-TW"/>
                    </w:rPr>
                    <w:t>重金属、持久性有机物</w:t>
                  </w:r>
                </w:p>
                <w:p w14:paraId="13C48D34">
                  <w:pPr>
                    <w:spacing w:line="240" w:lineRule="auto"/>
                    <w:jc w:val="center"/>
                    <w:rPr>
                      <w:rFonts w:hint="eastAsia"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zh-TW" w:eastAsia="zh-TW"/>
                    </w:rPr>
                    <w:t>污染物</w:t>
                  </w:r>
                  <w:r>
                    <w:rPr>
                      <w:rFonts w:hint="eastAsia" w:ascii="Times New Roman" w:hAnsi="Times New Roman" w:eastAsia="宋体" w:cs="Times New Roman"/>
                      <w:b w:val="0"/>
                      <w:bCs w:val="0"/>
                      <w:color w:val="auto"/>
                      <w:sz w:val="21"/>
                      <w:szCs w:val="21"/>
                      <w:highlight w:val="none"/>
                      <w:lang w:val="en-US" w:eastAsia="zh-CN"/>
                    </w:rPr>
                    <w:t>的</w:t>
                  </w:r>
                  <w:r>
                    <w:rPr>
                      <w:rFonts w:hint="eastAsia" w:ascii="Times New Roman" w:hAnsi="Times New Roman" w:eastAsia="宋体" w:cs="Times New Roman"/>
                      <w:b w:val="0"/>
                      <w:bCs w:val="0"/>
                      <w:color w:val="auto"/>
                      <w:sz w:val="21"/>
                      <w:szCs w:val="21"/>
                      <w:highlight w:val="none"/>
                      <w:lang w:val="zh-TW" w:eastAsia="zh-TW"/>
                    </w:rPr>
                    <w:t>其他类型</w:t>
                  </w:r>
                </w:p>
              </w:tc>
              <w:tc>
                <w:tcPr>
                  <w:tcW w:w="762" w:type="pct"/>
                  <w:tcBorders>
                    <w:tl2br w:val="nil"/>
                    <w:tr2bl w:val="nil"/>
                  </w:tcBorders>
                  <w:vAlign w:val="center"/>
                </w:tcPr>
                <w:p w14:paraId="66BCA3D6">
                  <w:pPr>
                    <w:spacing w:line="240" w:lineRule="auto"/>
                    <w:jc w:val="center"/>
                    <w:rPr>
                      <w:rFonts w:hint="eastAsia"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重点防渗</w:t>
                  </w:r>
                </w:p>
              </w:tc>
              <w:tc>
                <w:tcPr>
                  <w:tcW w:w="1240" w:type="pct"/>
                  <w:tcBorders>
                    <w:tl2br w:val="nil"/>
                    <w:tr2bl w:val="nil"/>
                  </w:tcBorders>
                  <w:vAlign w:val="center"/>
                </w:tcPr>
                <w:p w14:paraId="0B01D210">
                  <w:pPr>
                    <w:spacing w:line="240" w:lineRule="auto"/>
                    <w:jc w:val="center"/>
                    <w:rPr>
                      <w:rFonts w:ascii="Times New Roman" w:hAnsi="Times New Roman" w:eastAsia="宋体" w:cs="Times New Roman"/>
                      <w:b w:val="0"/>
                      <w:bCs w:val="0"/>
                      <w:color w:val="auto"/>
                      <w:sz w:val="21"/>
                      <w:szCs w:val="24"/>
                      <w:highlight w:val="none"/>
                    </w:rPr>
                  </w:pPr>
                  <w:r>
                    <w:rPr>
                      <w:rFonts w:ascii="Times New Roman" w:hAnsi="Times New Roman" w:eastAsia="宋体" w:cs="Times New Roman"/>
                      <w:b w:val="0"/>
                      <w:bCs w:val="0"/>
                      <w:color w:val="auto"/>
                      <w:sz w:val="21"/>
                      <w:szCs w:val="24"/>
                      <w:highlight w:val="none"/>
                    </w:rPr>
                    <w:t>等效黏土防渗层Mb≥6.0m，K≤1.0×10</w:t>
                  </w:r>
                  <w:r>
                    <w:rPr>
                      <w:rFonts w:hint="eastAsia" w:ascii="Times New Roman" w:hAnsi="Times New Roman" w:eastAsia="宋体" w:cs="Times New Roman"/>
                      <w:b w:val="0"/>
                      <w:bCs w:val="0"/>
                      <w:color w:val="auto"/>
                      <w:sz w:val="21"/>
                      <w:szCs w:val="24"/>
                      <w:highlight w:val="none"/>
                      <w:vertAlign w:val="superscript"/>
                      <w:lang w:val="en-US" w:eastAsia="zh-CN"/>
                    </w:rPr>
                    <w:t>-7</w:t>
                  </w:r>
                  <w:r>
                    <w:rPr>
                      <w:rFonts w:ascii="Times New Roman" w:hAnsi="Times New Roman" w:eastAsia="宋体" w:cs="Times New Roman"/>
                      <w:b w:val="0"/>
                      <w:bCs w:val="0"/>
                      <w:color w:val="auto"/>
                      <w:sz w:val="21"/>
                      <w:szCs w:val="24"/>
                      <w:highlight w:val="none"/>
                    </w:rPr>
                    <w:t>cm/s</w:t>
                  </w:r>
                </w:p>
              </w:tc>
            </w:tr>
            <w:tr w14:paraId="35D97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4EF1CBF2">
                  <w:pPr>
                    <w:spacing w:line="240" w:lineRule="auto"/>
                    <w:jc w:val="center"/>
                    <w:rPr>
                      <w:rFonts w:hint="default" w:ascii="Times New Roman" w:hAnsi="Times New Roman" w:eastAsia="宋体"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生产车间</w:t>
                  </w:r>
                </w:p>
              </w:tc>
              <w:tc>
                <w:tcPr>
                  <w:tcW w:w="746" w:type="pct"/>
                  <w:tcBorders>
                    <w:tl2br w:val="nil"/>
                    <w:tr2bl w:val="nil"/>
                  </w:tcBorders>
                  <w:vAlign w:val="center"/>
                </w:tcPr>
                <w:p w14:paraId="58C40B00">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en-US" w:eastAsia="zh-CN"/>
                    </w:rPr>
                    <w:t>弱</w:t>
                  </w:r>
                </w:p>
              </w:tc>
              <w:tc>
                <w:tcPr>
                  <w:tcW w:w="756" w:type="pct"/>
                  <w:tcBorders>
                    <w:tl2br w:val="nil"/>
                    <w:tr2bl w:val="nil"/>
                  </w:tcBorders>
                  <w:vAlign w:val="center"/>
                </w:tcPr>
                <w:p w14:paraId="68836409">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易</w:t>
                  </w:r>
                  <w:r>
                    <w:rPr>
                      <w:rFonts w:hint="eastAsia" w:ascii="Times New Roman" w:hAnsi="Times New Roman" w:eastAsia="宋体" w:cs="Times New Roman"/>
                      <w:b w:val="0"/>
                      <w:bCs w:val="0"/>
                      <w:color w:val="auto"/>
                      <w:sz w:val="21"/>
                      <w:szCs w:val="24"/>
                      <w:highlight w:val="none"/>
                      <w:lang w:val="en-US" w:eastAsia="zh-CN"/>
                    </w:rPr>
                    <w:t>--</w:t>
                  </w:r>
                  <w:r>
                    <w:rPr>
                      <w:rFonts w:hint="eastAsia" w:ascii="Times New Roman" w:hAnsi="Times New Roman" w:eastAsia="宋体" w:cs="Times New Roman"/>
                      <w:b w:val="0"/>
                      <w:bCs w:val="0"/>
                      <w:color w:val="auto"/>
                      <w:sz w:val="21"/>
                      <w:szCs w:val="21"/>
                      <w:highlight w:val="none"/>
                      <w:lang w:val="zh-TW" w:eastAsia="zh-TW"/>
                    </w:rPr>
                    <w:t>难</w:t>
                  </w:r>
                </w:p>
              </w:tc>
              <w:tc>
                <w:tcPr>
                  <w:tcW w:w="876" w:type="pct"/>
                  <w:tcBorders>
                    <w:tl2br w:val="nil"/>
                    <w:tr2bl w:val="nil"/>
                  </w:tcBorders>
                  <w:vAlign w:val="center"/>
                </w:tcPr>
                <w:p w14:paraId="420DF121">
                  <w:pPr>
                    <w:spacing w:line="240" w:lineRule="auto"/>
                    <w:jc w:val="center"/>
                    <w:rPr>
                      <w:rFonts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en-US" w:eastAsia="zh-CN"/>
                    </w:rPr>
                    <w:t>非</w:t>
                  </w:r>
                  <w:r>
                    <w:rPr>
                      <w:rFonts w:hint="eastAsia" w:ascii="Times New Roman" w:hAnsi="Times New Roman" w:eastAsia="宋体" w:cs="Times New Roman"/>
                      <w:b w:val="0"/>
                      <w:bCs w:val="0"/>
                      <w:color w:val="auto"/>
                      <w:sz w:val="21"/>
                      <w:szCs w:val="21"/>
                      <w:highlight w:val="none"/>
                      <w:lang w:val="zh-TW" w:eastAsia="zh-TW"/>
                    </w:rPr>
                    <w:t>重金属、持久性有机物</w:t>
                  </w:r>
                </w:p>
              </w:tc>
              <w:tc>
                <w:tcPr>
                  <w:tcW w:w="762" w:type="pct"/>
                  <w:tcBorders>
                    <w:tl2br w:val="nil"/>
                    <w:tr2bl w:val="nil"/>
                  </w:tcBorders>
                  <w:vAlign w:val="center"/>
                </w:tcPr>
                <w:p w14:paraId="11D41E5F">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一般防渗</w:t>
                  </w:r>
                </w:p>
              </w:tc>
              <w:tc>
                <w:tcPr>
                  <w:tcW w:w="1240" w:type="pct"/>
                  <w:tcBorders>
                    <w:tl2br w:val="nil"/>
                    <w:tr2bl w:val="nil"/>
                  </w:tcBorders>
                  <w:vAlign w:val="center"/>
                </w:tcPr>
                <w:p w14:paraId="2B7383D8">
                  <w:pPr>
                    <w:spacing w:line="240" w:lineRule="auto"/>
                    <w:jc w:val="center"/>
                    <w:rPr>
                      <w:rFonts w:ascii="Times New Roman" w:hAnsi="Times New Roman" w:eastAsia="宋体" w:cs="Times New Roman"/>
                      <w:b w:val="0"/>
                      <w:bCs w:val="0"/>
                      <w:color w:val="auto"/>
                      <w:sz w:val="21"/>
                      <w:szCs w:val="24"/>
                      <w:highlight w:val="none"/>
                    </w:rPr>
                  </w:pPr>
                  <w:r>
                    <w:rPr>
                      <w:rFonts w:ascii="Times New Roman" w:hAnsi="Times New Roman" w:eastAsia="宋体" w:cs="Times New Roman"/>
                      <w:b w:val="0"/>
                      <w:bCs w:val="0"/>
                      <w:color w:val="auto"/>
                      <w:sz w:val="21"/>
                      <w:szCs w:val="24"/>
                      <w:highlight w:val="none"/>
                    </w:rPr>
                    <w:t>等效黏土防渗层Mb≥1.5m，K≤1.0×10</w:t>
                  </w:r>
                  <w:r>
                    <w:rPr>
                      <w:rFonts w:ascii="Times New Roman" w:hAnsi="Times New Roman" w:eastAsia="宋体" w:cs="Times New Roman"/>
                      <w:b w:val="0"/>
                      <w:bCs w:val="0"/>
                      <w:color w:val="auto"/>
                      <w:sz w:val="21"/>
                      <w:szCs w:val="24"/>
                      <w:highlight w:val="none"/>
                      <w:vertAlign w:val="superscript"/>
                    </w:rPr>
                    <w:t>-7</w:t>
                  </w:r>
                  <w:r>
                    <w:rPr>
                      <w:rFonts w:ascii="Times New Roman" w:hAnsi="Times New Roman" w:eastAsia="宋体" w:cs="Times New Roman"/>
                      <w:b w:val="0"/>
                      <w:bCs w:val="0"/>
                      <w:color w:val="auto"/>
                      <w:sz w:val="21"/>
                      <w:szCs w:val="24"/>
                      <w:highlight w:val="none"/>
                    </w:rPr>
                    <w:t>cm/s</w:t>
                  </w:r>
                </w:p>
              </w:tc>
            </w:tr>
            <w:tr w14:paraId="61024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6C6E98B3">
                  <w:pPr>
                    <w:spacing w:line="240" w:lineRule="auto"/>
                    <w:jc w:val="center"/>
                    <w:rPr>
                      <w:rFonts w:hint="default" w:ascii="Times New Roman" w:hAnsi="Times New Roman" w:eastAsia="宋体"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进出场道路</w:t>
                  </w:r>
                </w:p>
              </w:tc>
              <w:tc>
                <w:tcPr>
                  <w:tcW w:w="746" w:type="pct"/>
                  <w:tcBorders>
                    <w:tl2br w:val="nil"/>
                    <w:tr2bl w:val="nil"/>
                  </w:tcBorders>
                  <w:vAlign w:val="center"/>
                </w:tcPr>
                <w:p w14:paraId="7C2C4386">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en-US" w:eastAsia="zh-CN"/>
                    </w:rPr>
                    <w:t>弱</w:t>
                  </w:r>
                </w:p>
              </w:tc>
              <w:tc>
                <w:tcPr>
                  <w:tcW w:w="756" w:type="pct"/>
                  <w:tcBorders>
                    <w:tl2br w:val="nil"/>
                    <w:tr2bl w:val="nil"/>
                  </w:tcBorders>
                  <w:vAlign w:val="center"/>
                </w:tcPr>
                <w:p w14:paraId="0A320641">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易</w:t>
                  </w:r>
                </w:p>
              </w:tc>
              <w:tc>
                <w:tcPr>
                  <w:tcW w:w="876" w:type="pct"/>
                  <w:tcBorders>
                    <w:tl2br w:val="nil"/>
                    <w:tr2bl w:val="nil"/>
                  </w:tcBorders>
                  <w:vAlign w:val="center"/>
                </w:tcPr>
                <w:p w14:paraId="4A80EC5F">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污染物</w:t>
                  </w:r>
                  <w:r>
                    <w:rPr>
                      <w:rFonts w:hint="eastAsia" w:ascii="Times New Roman" w:hAnsi="Times New Roman" w:eastAsia="宋体" w:cs="Times New Roman"/>
                      <w:b w:val="0"/>
                      <w:bCs w:val="0"/>
                      <w:color w:val="auto"/>
                      <w:sz w:val="21"/>
                      <w:szCs w:val="21"/>
                      <w:highlight w:val="none"/>
                      <w:lang w:val="en-US" w:eastAsia="zh-CN"/>
                    </w:rPr>
                    <w:t>的</w:t>
                  </w:r>
                  <w:r>
                    <w:rPr>
                      <w:rFonts w:hint="eastAsia" w:ascii="Times New Roman" w:hAnsi="Times New Roman" w:eastAsia="宋体" w:cs="Times New Roman"/>
                      <w:b w:val="0"/>
                      <w:bCs w:val="0"/>
                      <w:color w:val="auto"/>
                      <w:sz w:val="21"/>
                      <w:szCs w:val="21"/>
                      <w:highlight w:val="none"/>
                      <w:lang w:val="zh-TW" w:eastAsia="zh-TW"/>
                    </w:rPr>
                    <w:t>其他类型</w:t>
                  </w:r>
                </w:p>
              </w:tc>
              <w:tc>
                <w:tcPr>
                  <w:tcW w:w="762" w:type="pct"/>
                  <w:tcBorders>
                    <w:tl2br w:val="nil"/>
                    <w:tr2bl w:val="nil"/>
                  </w:tcBorders>
                  <w:vAlign w:val="center"/>
                </w:tcPr>
                <w:p w14:paraId="31C68B12">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简单防渗</w:t>
                  </w:r>
                </w:p>
              </w:tc>
              <w:tc>
                <w:tcPr>
                  <w:tcW w:w="1240" w:type="pct"/>
                  <w:tcBorders>
                    <w:tl2br w:val="nil"/>
                    <w:tr2bl w:val="nil"/>
                  </w:tcBorders>
                  <w:vAlign w:val="center"/>
                </w:tcPr>
                <w:p w14:paraId="4908746A">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一般地面硬化</w:t>
                  </w:r>
                </w:p>
              </w:tc>
            </w:tr>
          </w:tbl>
          <w:p w14:paraId="2808AE71">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（3）环境影响分析</w:t>
            </w:r>
          </w:p>
          <w:p w14:paraId="5D2073B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根据项目特点，厂区进行分区并对不同分区采取相应的防渗措施。项目对可能产生地下水</w:t>
            </w:r>
            <w:r>
              <w:rPr>
                <w:rFonts w:hint="eastAsia" w:ascii="Times New Roman" w:hAnsi="Times New Roman" w:eastAsia="宋体" w:cs="Times New Roman"/>
                <w:color w:val="auto"/>
                <w:kern w:val="2"/>
                <w:sz w:val="24"/>
                <w:szCs w:val="20"/>
                <w:highlight w:val="none"/>
                <w:lang w:val="en-US" w:eastAsia="zh-CN"/>
              </w:rPr>
              <w:t>、土壤</w:t>
            </w:r>
            <w:r>
              <w:rPr>
                <w:rFonts w:hint="default" w:ascii="Times New Roman" w:hAnsi="Times New Roman" w:eastAsia="宋体" w:cs="Times New Roman"/>
                <w:color w:val="auto"/>
                <w:kern w:val="2"/>
                <w:sz w:val="24"/>
                <w:szCs w:val="20"/>
                <w:highlight w:val="none"/>
                <w:lang w:val="en-US" w:eastAsia="zh-CN"/>
              </w:rPr>
              <w:t>影响的各项途径均进行有效预防，各项防渗措施可以有效地防止对区域地下水</w:t>
            </w:r>
            <w:r>
              <w:rPr>
                <w:rFonts w:hint="eastAsia" w:ascii="Times New Roman" w:hAnsi="Times New Roman" w:eastAsia="宋体" w:cs="Times New Roman"/>
                <w:color w:val="auto"/>
                <w:kern w:val="2"/>
                <w:sz w:val="24"/>
                <w:szCs w:val="20"/>
                <w:highlight w:val="none"/>
                <w:lang w:val="en-US" w:eastAsia="zh-CN"/>
              </w:rPr>
              <w:t>、土壤</w:t>
            </w:r>
            <w:r>
              <w:rPr>
                <w:rFonts w:hint="default" w:ascii="Times New Roman" w:hAnsi="Times New Roman" w:eastAsia="宋体" w:cs="Times New Roman"/>
                <w:color w:val="auto"/>
                <w:kern w:val="2"/>
                <w:sz w:val="24"/>
                <w:szCs w:val="20"/>
                <w:highlight w:val="none"/>
                <w:lang w:val="en-US" w:eastAsia="zh-CN"/>
              </w:rPr>
              <w:t>造成污染。综上所述，项目不会对</w:t>
            </w:r>
            <w:r>
              <w:rPr>
                <w:rFonts w:hint="eastAsia" w:ascii="Times New Roman" w:hAnsi="Times New Roman" w:eastAsia="宋体" w:cs="Times New Roman"/>
                <w:color w:val="auto"/>
                <w:kern w:val="2"/>
                <w:sz w:val="24"/>
                <w:szCs w:val="20"/>
                <w:highlight w:val="none"/>
                <w:lang w:val="en-US" w:eastAsia="zh-CN"/>
              </w:rPr>
              <w:t>项目区</w:t>
            </w:r>
            <w:r>
              <w:rPr>
                <w:rFonts w:hint="default" w:ascii="Times New Roman" w:hAnsi="Times New Roman" w:eastAsia="宋体" w:cs="Times New Roman"/>
                <w:color w:val="auto"/>
                <w:kern w:val="2"/>
                <w:sz w:val="24"/>
                <w:szCs w:val="20"/>
                <w:highlight w:val="none"/>
                <w:lang w:val="en-US" w:eastAsia="zh-CN"/>
              </w:rPr>
              <w:t>地下水</w:t>
            </w:r>
            <w:r>
              <w:rPr>
                <w:rFonts w:hint="eastAsia" w:ascii="Times New Roman" w:hAnsi="Times New Roman" w:eastAsia="宋体" w:cs="Times New Roman"/>
                <w:color w:val="auto"/>
                <w:kern w:val="2"/>
                <w:sz w:val="24"/>
                <w:szCs w:val="20"/>
                <w:highlight w:val="none"/>
                <w:lang w:val="en-US" w:eastAsia="zh-CN"/>
              </w:rPr>
              <w:t>、土壤</w:t>
            </w:r>
            <w:r>
              <w:rPr>
                <w:rFonts w:hint="default" w:ascii="Times New Roman" w:hAnsi="Times New Roman" w:eastAsia="宋体" w:cs="Times New Roman"/>
                <w:color w:val="auto"/>
                <w:kern w:val="2"/>
                <w:sz w:val="24"/>
                <w:szCs w:val="20"/>
                <w:highlight w:val="none"/>
                <w:lang w:val="en-US" w:eastAsia="zh-CN"/>
              </w:rPr>
              <w:t>环境造成污染影响</w:t>
            </w:r>
            <w:r>
              <w:rPr>
                <w:rFonts w:hint="eastAsia" w:ascii="Times New Roman" w:hAnsi="Times New Roman" w:eastAsia="宋体" w:cs="Times New Roman"/>
                <w:color w:val="auto"/>
                <w:kern w:val="2"/>
                <w:sz w:val="24"/>
                <w:szCs w:val="20"/>
                <w:highlight w:val="none"/>
                <w:lang w:val="en-US" w:eastAsia="zh-CN"/>
              </w:rPr>
              <w:t>。</w:t>
            </w:r>
          </w:p>
          <w:p w14:paraId="33E5E54E">
            <w:pPr>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Times New Roman" w:hAnsi="Times New Roman" w:eastAsia="宋体" w:cs="Times New Roman"/>
                <w:b/>
                <w:color w:val="auto"/>
                <w:kern w:val="2"/>
                <w:sz w:val="28"/>
                <w:szCs w:val="28"/>
                <w:highlight w:val="none"/>
                <w:lang w:val="en-US" w:eastAsia="zh-CN" w:bidi="ar-SA"/>
              </w:rPr>
            </w:pPr>
            <w:bookmarkStart w:id="87" w:name="_Toc310503802"/>
            <w:bookmarkStart w:id="88" w:name="_Toc299381542"/>
            <w:bookmarkStart w:id="89" w:name="_Toc299961768"/>
            <w:bookmarkStart w:id="90" w:name="_Toc489948729"/>
            <w:bookmarkStart w:id="91" w:name="_Toc29336"/>
            <w:bookmarkStart w:id="92" w:name="_Toc321043920"/>
            <w:bookmarkStart w:id="93" w:name="_Toc56408841"/>
            <w:bookmarkStart w:id="94" w:name="_Toc98474133"/>
            <w:bookmarkStart w:id="95" w:name="_Toc52004057"/>
            <w:bookmarkStart w:id="96" w:name="_Toc52068207"/>
            <w:bookmarkStart w:id="97" w:name="_Toc93082890"/>
            <w:r>
              <w:rPr>
                <w:rFonts w:hint="eastAsia" w:cs="Times New Roman"/>
                <w:b/>
                <w:color w:val="auto"/>
                <w:kern w:val="2"/>
                <w:sz w:val="28"/>
                <w:szCs w:val="28"/>
                <w:highlight w:val="none"/>
                <w:lang w:val="en-US" w:eastAsia="zh-CN" w:bidi="ar-SA"/>
              </w:rPr>
              <w:t>6、</w:t>
            </w:r>
            <w:r>
              <w:rPr>
                <w:rFonts w:hint="eastAsia" w:ascii="Times New Roman" w:hAnsi="Times New Roman" w:eastAsia="宋体" w:cs="Times New Roman"/>
                <w:b/>
                <w:color w:val="auto"/>
                <w:kern w:val="2"/>
                <w:sz w:val="28"/>
                <w:szCs w:val="28"/>
                <w:highlight w:val="none"/>
                <w:lang w:val="en-US" w:eastAsia="zh-CN" w:bidi="ar-SA"/>
              </w:rPr>
              <w:t>生态环境影响分析</w:t>
            </w:r>
            <w:bookmarkEnd w:id="87"/>
            <w:bookmarkEnd w:id="88"/>
            <w:bookmarkEnd w:id="89"/>
            <w:bookmarkEnd w:id="90"/>
            <w:bookmarkEnd w:id="91"/>
            <w:bookmarkEnd w:id="92"/>
          </w:p>
          <w:p w14:paraId="05996F0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本项目</w:t>
            </w:r>
            <w:r>
              <w:rPr>
                <w:rFonts w:hint="eastAsia" w:cs="Times New Roman"/>
                <w:b w:val="0"/>
                <w:bCs w:val="0"/>
                <w:color w:val="auto"/>
                <w:kern w:val="2"/>
                <w:sz w:val="24"/>
                <w:szCs w:val="20"/>
                <w:highlight w:val="none"/>
                <w:lang w:val="en-US" w:eastAsia="zh-CN"/>
              </w:rPr>
              <w:t>用地</w:t>
            </w:r>
            <w:r>
              <w:rPr>
                <w:rFonts w:hint="eastAsia" w:ascii="Times New Roman" w:hAnsi="Times New Roman" w:eastAsia="宋体" w:cs="Times New Roman"/>
                <w:b w:val="0"/>
                <w:bCs w:val="0"/>
                <w:color w:val="auto"/>
                <w:kern w:val="2"/>
                <w:sz w:val="24"/>
                <w:szCs w:val="20"/>
                <w:highlight w:val="none"/>
                <w:lang w:val="en-US" w:eastAsia="zh-CN"/>
              </w:rPr>
              <w:t>属于</w:t>
            </w:r>
            <w:r>
              <w:rPr>
                <w:rFonts w:hint="eastAsia" w:cs="Times New Roman"/>
                <w:b w:val="0"/>
                <w:bCs w:val="0"/>
                <w:color w:val="auto"/>
                <w:kern w:val="2"/>
                <w:sz w:val="24"/>
                <w:szCs w:val="20"/>
                <w:highlight w:val="none"/>
                <w:lang w:val="en-US" w:eastAsia="zh-CN"/>
              </w:rPr>
              <w:t>工业用地</w:t>
            </w:r>
            <w:r>
              <w:rPr>
                <w:rFonts w:hint="eastAsia" w:ascii="Times New Roman" w:hAnsi="Times New Roman" w:eastAsia="宋体" w:cs="Times New Roman"/>
                <w:color w:val="auto"/>
                <w:kern w:val="2"/>
                <w:sz w:val="24"/>
                <w:szCs w:val="20"/>
                <w:highlight w:val="none"/>
                <w:lang w:val="en-US" w:eastAsia="zh-CN"/>
              </w:rPr>
              <w:t>，</w:t>
            </w:r>
            <w:r>
              <w:rPr>
                <w:rFonts w:hint="eastAsia" w:ascii="Times New Roman" w:hAnsi="Times New Roman" w:cs="Times New Roman"/>
                <w:color w:val="auto"/>
                <w:kern w:val="2"/>
                <w:sz w:val="24"/>
                <w:szCs w:val="20"/>
                <w:highlight w:val="none"/>
                <w:lang w:val="en-US" w:eastAsia="zh-CN"/>
              </w:rPr>
              <w:t>厂区内</w:t>
            </w:r>
            <w:r>
              <w:rPr>
                <w:rFonts w:hint="eastAsia" w:ascii="Times New Roman" w:hAnsi="Times New Roman" w:eastAsia="宋体" w:cs="Times New Roman"/>
                <w:color w:val="auto"/>
                <w:kern w:val="2"/>
                <w:sz w:val="24"/>
                <w:szCs w:val="20"/>
                <w:highlight w:val="none"/>
                <w:lang w:val="en-US" w:eastAsia="zh-CN"/>
              </w:rPr>
              <w:t>已进行相应的地面硬化措施，故本项目建设不会导致生态环境质量的降低。项目投入运营后，将加强厂区及其周围的绿化和植被的恢复及补偿工作，项目在生产过程中不存在</w:t>
            </w:r>
            <w:r>
              <w:rPr>
                <w:rFonts w:hint="eastAsia" w:cs="Times New Roman"/>
                <w:color w:val="auto"/>
                <w:kern w:val="2"/>
                <w:sz w:val="24"/>
                <w:szCs w:val="20"/>
                <w:highlight w:val="none"/>
                <w:lang w:val="en-US" w:eastAsia="zh-CN"/>
              </w:rPr>
              <w:t>破坏</w:t>
            </w:r>
            <w:r>
              <w:rPr>
                <w:rFonts w:hint="eastAsia" w:ascii="Times New Roman" w:hAnsi="Times New Roman" w:eastAsia="宋体" w:cs="Times New Roman"/>
                <w:color w:val="auto"/>
                <w:kern w:val="2"/>
                <w:sz w:val="24"/>
                <w:szCs w:val="20"/>
                <w:highlight w:val="none"/>
                <w:lang w:val="en-US" w:eastAsia="zh-CN"/>
              </w:rPr>
              <w:t>植被的工业活动，运营期不会对植物资源产生不利影响，通过加强施工人员的宣传教育和管理，可减少在建设初期对野生动物的影响，对生态环境的影响有限。</w:t>
            </w:r>
          </w:p>
          <w:bookmarkEnd w:id="93"/>
          <w:bookmarkEnd w:id="94"/>
          <w:bookmarkEnd w:id="95"/>
          <w:bookmarkEnd w:id="96"/>
          <w:bookmarkEnd w:id="97"/>
          <w:p w14:paraId="016A3AB4">
            <w:pPr>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default" w:ascii="Times New Roman" w:hAnsi="Times New Roman" w:eastAsia="宋体" w:cs="Times New Roman"/>
                <w:color w:val="auto"/>
                <w:kern w:val="2"/>
                <w:sz w:val="28"/>
                <w:szCs w:val="28"/>
                <w:highlight w:val="none"/>
                <w:lang w:val="en-US" w:eastAsia="zh-CN"/>
              </w:rPr>
            </w:pPr>
            <w:r>
              <w:rPr>
                <w:rFonts w:hint="eastAsia" w:cs="Times New Roman"/>
                <w:b/>
                <w:color w:val="auto"/>
                <w:kern w:val="2"/>
                <w:sz w:val="28"/>
                <w:szCs w:val="28"/>
                <w:highlight w:val="none"/>
                <w:lang w:val="en-US" w:eastAsia="zh-CN" w:bidi="ar-SA"/>
              </w:rPr>
              <w:t>7、</w:t>
            </w:r>
            <w:r>
              <w:rPr>
                <w:rFonts w:hint="eastAsia" w:ascii="Times New Roman" w:hAnsi="Times New Roman" w:eastAsia="宋体" w:cs="Times New Roman"/>
                <w:b/>
                <w:color w:val="auto"/>
                <w:kern w:val="2"/>
                <w:sz w:val="28"/>
                <w:szCs w:val="28"/>
                <w:highlight w:val="none"/>
                <w:lang w:val="en-US" w:eastAsia="zh-CN" w:bidi="ar-SA"/>
              </w:rPr>
              <w:t>环境风险分析</w:t>
            </w:r>
          </w:p>
          <w:p w14:paraId="7D8BAF8F">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（1）评价依据</w:t>
            </w:r>
          </w:p>
          <w:p w14:paraId="2643FDD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①风险调查</w:t>
            </w:r>
          </w:p>
          <w:p w14:paraId="1AB405F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根据《建设项目环境影响报告表编制技术指南污染影响类（试行）》，明确有毒有害和易燃易爆等危险物质和风险源分布情况及可能影响途径，并提出相应环境风险防范措施。</w:t>
            </w:r>
          </w:p>
          <w:p w14:paraId="4CF4C42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color w:val="auto"/>
              </w:rPr>
              <w:t>本项目拟在厂区内储存</w:t>
            </w:r>
            <w:r>
              <w:rPr>
                <w:rFonts w:hint="eastAsia"/>
                <w:color w:val="auto"/>
                <w:lang w:val="en-US" w:eastAsia="zh-CN"/>
              </w:rPr>
              <w:t>2-3天</w:t>
            </w:r>
            <w:r>
              <w:rPr>
                <w:rFonts w:hint="eastAsia"/>
                <w:color w:val="auto"/>
              </w:rPr>
              <w:t>的原材料，</w:t>
            </w:r>
            <w:r>
              <w:rPr>
                <w:rFonts w:hint="eastAsia"/>
                <w:color w:val="auto"/>
                <w:lang w:val="en-US" w:eastAsia="zh-CN"/>
              </w:rPr>
              <w:t>原料</w:t>
            </w:r>
            <w:r>
              <w:rPr>
                <w:rFonts w:hint="eastAsia"/>
                <w:color w:val="auto"/>
              </w:rPr>
              <w:t>的最大储存量约为</w:t>
            </w:r>
            <w:r>
              <w:rPr>
                <w:rFonts w:hint="eastAsia"/>
                <w:color w:val="auto"/>
                <w:lang w:val="en-US" w:eastAsia="zh-CN"/>
              </w:rPr>
              <w:t>1000</w:t>
            </w:r>
            <w:r>
              <w:rPr>
                <w:rFonts w:hint="eastAsia"/>
                <w:color w:val="auto"/>
              </w:rPr>
              <w:t>吨，</w:t>
            </w:r>
            <w:r>
              <w:rPr>
                <w:rFonts w:hint="eastAsia"/>
                <w:color w:val="auto"/>
                <w:lang w:val="en-US" w:eastAsia="zh-CN"/>
              </w:rPr>
              <w:t>生产车间原料堆放区</w:t>
            </w:r>
            <w:r>
              <w:rPr>
                <w:rFonts w:hint="eastAsia"/>
                <w:color w:val="auto"/>
              </w:rPr>
              <w:t>储存。根据《危险化学品重大危险源辨识》（GB18218-2018）可知，未列入重大危险源辨识的范围内。</w:t>
            </w:r>
          </w:p>
          <w:p w14:paraId="71D6795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本项目生产、使用、储存过程中涉及的有毒有害、易燃物质主要为废机油，分布位置为</w:t>
            </w:r>
            <w:r>
              <w:rPr>
                <w:rFonts w:hint="eastAsia" w:cs="Times New Roman"/>
                <w:color w:val="auto"/>
                <w:kern w:val="2"/>
                <w:sz w:val="24"/>
                <w:szCs w:val="20"/>
                <w:highlight w:val="none"/>
                <w:lang w:val="en-US" w:eastAsia="zh-CN"/>
              </w:rPr>
              <w:t>危废库</w:t>
            </w:r>
            <w:r>
              <w:rPr>
                <w:rFonts w:hint="eastAsia" w:ascii="Times New Roman" w:hAnsi="Times New Roman" w:eastAsia="宋体" w:cs="Times New Roman"/>
                <w:color w:val="auto"/>
                <w:kern w:val="2"/>
                <w:sz w:val="24"/>
                <w:szCs w:val="20"/>
                <w:highlight w:val="none"/>
                <w:lang w:val="en-US" w:eastAsia="zh-CN"/>
              </w:rPr>
              <w:t>，影响途径为泄露、火灾。</w:t>
            </w:r>
          </w:p>
          <w:p w14:paraId="5DC8165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对照《建设项目 环境风险评价技术导则》(HJ169-2018)附录B，根据表B.2其他危险物质临界量推荐值，根据GB30000.18《化学品分类和标签规范第 18 部分：急性毒性》，重大危险源识别见表4.11-1。</w:t>
            </w:r>
          </w:p>
          <w:p w14:paraId="37D3BFD1">
            <w:pPr>
              <w:keepNext w:val="0"/>
              <w:keepLines w:val="0"/>
              <w:pageBreakBefore w:val="0"/>
              <w:widowControl w:val="0"/>
              <w:kinsoku/>
              <w:wordWrap/>
              <w:overflowPunct w:val="0"/>
              <w:topLinePunct w:val="0"/>
              <w:autoSpaceDE/>
              <w:autoSpaceDN/>
              <w:bidi w:val="0"/>
              <w:adjustRightInd/>
              <w:snapToGrid w:val="0"/>
              <w:spacing w:before="0" w:after="0" w:line="360" w:lineRule="auto"/>
              <w:ind w:left="0" w:right="0" w:firstLine="0" w:firstLineChars="0"/>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w:t>
            </w:r>
            <w:r>
              <w:rPr>
                <w:rFonts w:hint="eastAsia" w:ascii="Times New Roman" w:hAnsi="Times New Roman" w:eastAsia="宋体" w:cs="Times New Roman"/>
                <w:b/>
                <w:color w:val="auto"/>
                <w:kern w:val="2"/>
                <w:sz w:val="24"/>
                <w:szCs w:val="24"/>
                <w:highlight w:val="none"/>
                <w:lang w:val="en-US" w:eastAsia="zh-CN" w:bidi="ar-SA"/>
              </w:rPr>
              <w:t>4.11-1</w:t>
            </w:r>
            <w:r>
              <w:rPr>
                <w:rFonts w:hint="default" w:ascii="Times New Roman" w:hAnsi="Times New Roman" w:eastAsia="宋体" w:cs="Times New Roman"/>
                <w:b/>
                <w:color w:val="auto"/>
                <w:kern w:val="2"/>
                <w:sz w:val="24"/>
                <w:szCs w:val="24"/>
                <w:highlight w:val="none"/>
                <w:lang w:val="en-US" w:eastAsia="zh-CN" w:bidi="ar-SA"/>
              </w:rPr>
              <w:t>重大危险源识别表</w:t>
            </w:r>
          </w:p>
          <w:tbl>
            <w:tblPr>
              <w:tblStyle w:val="15"/>
              <w:tblW w:w="50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5"/>
              <w:gridCol w:w="1537"/>
              <w:gridCol w:w="1750"/>
              <w:gridCol w:w="2708"/>
              <w:gridCol w:w="1884"/>
            </w:tblGrid>
            <w:tr w14:paraId="285EC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367" w:type="pct"/>
                  <w:tcBorders>
                    <w:tl2br w:val="nil"/>
                    <w:tr2bl w:val="nil"/>
                  </w:tcBorders>
                  <w:noWrap w:val="0"/>
                  <w:vAlign w:val="center"/>
                </w:tcPr>
                <w:p w14:paraId="062772E8">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序号</w:t>
                  </w:r>
                </w:p>
              </w:tc>
              <w:tc>
                <w:tcPr>
                  <w:tcW w:w="903" w:type="pct"/>
                  <w:tcBorders>
                    <w:tl2br w:val="nil"/>
                    <w:tr2bl w:val="nil"/>
                  </w:tcBorders>
                  <w:noWrap w:val="0"/>
                  <w:vAlign w:val="center"/>
                </w:tcPr>
                <w:p w14:paraId="58FB4488">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危险物质名称</w:t>
                  </w:r>
                </w:p>
              </w:tc>
              <w:tc>
                <w:tcPr>
                  <w:tcW w:w="1028" w:type="pct"/>
                  <w:tcBorders>
                    <w:tl2br w:val="nil"/>
                    <w:tr2bl w:val="nil"/>
                  </w:tcBorders>
                  <w:noWrap w:val="0"/>
                  <w:vAlign w:val="center"/>
                </w:tcPr>
                <w:p w14:paraId="3C41CE8E">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临界量Q（t）</w:t>
                  </w:r>
                </w:p>
              </w:tc>
              <w:tc>
                <w:tcPr>
                  <w:tcW w:w="1592" w:type="pct"/>
                  <w:tcBorders>
                    <w:tl2br w:val="nil"/>
                    <w:tr2bl w:val="nil"/>
                  </w:tcBorders>
                  <w:noWrap w:val="0"/>
                  <w:vAlign w:val="center"/>
                </w:tcPr>
                <w:p w14:paraId="793D98C1">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项目</w:t>
                  </w:r>
                  <w:r>
                    <w:rPr>
                      <w:rFonts w:hint="eastAsia" w:ascii="Times New Roman" w:hAnsi="Times New Roman" w:eastAsia="宋体" w:cs="Times New Roman"/>
                      <w:color w:val="auto"/>
                      <w:kern w:val="2"/>
                      <w:sz w:val="21"/>
                      <w:szCs w:val="24"/>
                      <w:lang w:val="en-US" w:eastAsia="zh-CN"/>
                    </w:rPr>
                    <w:t>储存量</w:t>
                  </w:r>
                  <w:r>
                    <w:rPr>
                      <w:rFonts w:hint="default" w:ascii="Times New Roman" w:hAnsi="Times New Roman" w:eastAsia="宋体" w:cs="Times New Roman"/>
                      <w:color w:val="auto"/>
                      <w:kern w:val="2"/>
                      <w:sz w:val="21"/>
                      <w:szCs w:val="24"/>
                      <w:lang w:val="en-US" w:eastAsia="zh-CN"/>
                    </w:rPr>
                    <w:t xml:space="preserve"> q（t）</w:t>
                  </w:r>
                </w:p>
              </w:tc>
              <w:tc>
                <w:tcPr>
                  <w:tcW w:w="1107" w:type="pct"/>
                  <w:tcBorders>
                    <w:tl2br w:val="nil"/>
                    <w:tr2bl w:val="nil"/>
                  </w:tcBorders>
                  <w:noWrap w:val="0"/>
                  <w:vAlign w:val="center"/>
                </w:tcPr>
                <w:p w14:paraId="2BB0456E">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储存位置</w:t>
                  </w:r>
                </w:p>
              </w:tc>
            </w:tr>
            <w:tr w14:paraId="08067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tcBorders>
                    <w:tl2br w:val="nil"/>
                    <w:tr2bl w:val="nil"/>
                  </w:tcBorders>
                  <w:noWrap w:val="0"/>
                  <w:vAlign w:val="center"/>
                </w:tcPr>
                <w:p w14:paraId="6E1B1884">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4"/>
                      <w:lang w:val="en-US" w:eastAsia="zh-CN"/>
                    </w:rPr>
                    <w:t>1</w:t>
                  </w:r>
                </w:p>
              </w:tc>
              <w:tc>
                <w:tcPr>
                  <w:tcW w:w="903" w:type="pct"/>
                  <w:tcBorders>
                    <w:tl2br w:val="nil"/>
                    <w:tr2bl w:val="nil"/>
                  </w:tcBorders>
                  <w:noWrap w:val="0"/>
                  <w:vAlign w:val="center"/>
                </w:tcPr>
                <w:p w14:paraId="257830EC">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废机油</w:t>
                  </w:r>
                </w:p>
              </w:tc>
              <w:tc>
                <w:tcPr>
                  <w:tcW w:w="1028" w:type="pct"/>
                  <w:tcBorders>
                    <w:tl2br w:val="nil"/>
                    <w:tr2bl w:val="nil"/>
                  </w:tcBorders>
                  <w:noWrap w:val="0"/>
                  <w:vAlign w:val="center"/>
                </w:tcPr>
                <w:p w14:paraId="00EB7F16">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4"/>
                      <w:lang w:val="en-US" w:eastAsia="zh-CN"/>
                    </w:rPr>
                    <w:t>2500（油类物质）</w:t>
                  </w:r>
                </w:p>
              </w:tc>
              <w:tc>
                <w:tcPr>
                  <w:tcW w:w="1592" w:type="pct"/>
                  <w:tcBorders>
                    <w:tl2br w:val="nil"/>
                    <w:tr2bl w:val="nil"/>
                  </w:tcBorders>
                  <w:noWrap w:val="0"/>
                  <w:vAlign w:val="center"/>
                </w:tcPr>
                <w:p w14:paraId="7EE600A0">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eastAsia" w:ascii="Times New Roman" w:hAnsi="Times New Roman" w:cs="Times New Roman"/>
                      <w:color w:val="auto"/>
                      <w:kern w:val="2"/>
                      <w:sz w:val="21"/>
                      <w:szCs w:val="24"/>
                      <w:lang w:val="en-US" w:eastAsia="zh-CN"/>
                    </w:rPr>
                    <w:t>0.</w:t>
                  </w:r>
                  <w:r>
                    <w:rPr>
                      <w:rFonts w:hint="eastAsia" w:cs="Times New Roman"/>
                      <w:color w:val="auto"/>
                      <w:kern w:val="2"/>
                      <w:sz w:val="21"/>
                      <w:szCs w:val="24"/>
                      <w:lang w:val="en-US" w:eastAsia="zh-CN"/>
                    </w:rPr>
                    <w:t>1</w:t>
                  </w:r>
                </w:p>
              </w:tc>
              <w:tc>
                <w:tcPr>
                  <w:tcW w:w="1107" w:type="pct"/>
                  <w:tcBorders>
                    <w:tl2br w:val="nil"/>
                    <w:tr2bl w:val="nil"/>
                  </w:tcBorders>
                  <w:noWrap w:val="0"/>
                  <w:vAlign w:val="center"/>
                </w:tcPr>
                <w:p w14:paraId="73239D0B">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危废库</w:t>
                  </w:r>
                </w:p>
              </w:tc>
            </w:tr>
          </w:tbl>
          <w:p w14:paraId="0256957E">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②风险潜势初判</w:t>
            </w:r>
          </w:p>
          <w:p w14:paraId="0395F8FF">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建设项目环境风险评价技术导则》(HJ169-2018)，项目所涉及的每种危险物质在厂界内的最大存在总量与其对应临界量的比值Q来表征危险性。当只涉及一种危险物质时，计算该物质的总量与其临界值比值，即为Q；当存在多种危险物质时，则按下式计算物质总量与其临界量比值（Q）。</w:t>
            </w:r>
          </w:p>
          <w:p w14:paraId="7696AC52">
            <w:pPr>
              <w:widowControl w:val="0"/>
              <w:overflowPunct w:val="0"/>
              <w:autoSpaceDE w:val="0"/>
              <w:autoSpaceDN w:val="0"/>
              <w:adjustRightInd w:val="0"/>
              <w:snapToGrid w:val="0"/>
              <w:spacing w:before="0" w:after="0" w:line="240" w:lineRule="auto"/>
              <w:ind w:left="0" w:right="0"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drawing>
                <wp:inline distT="0" distB="0" distL="114300" distR="114300">
                  <wp:extent cx="1630680" cy="552450"/>
                  <wp:effectExtent l="0" t="0" r="7620" b="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41"/>
                          <a:srcRect r="57249"/>
                          <a:stretch>
                            <a:fillRect/>
                          </a:stretch>
                        </pic:blipFill>
                        <pic:spPr>
                          <a:xfrm>
                            <a:off x="0" y="0"/>
                            <a:ext cx="1630680" cy="552450"/>
                          </a:xfrm>
                          <a:prstGeom prst="rect">
                            <a:avLst/>
                          </a:prstGeom>
                          <a:noFill/>
                          <a:ln>
                            <a:noFill/>
                          </a:ln>
                        </pic:spPr>
                      </pic:pic>
                    </a:graphicData>
                  </a:graphic>
                </wp:inline>
              </w:drawing>
            </w:r>
          </w:p>
          <w:p w14:paraId="1AF88685">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式中：q</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n</w:t>
            </w:r>
            <w:r>
              <w:rPr>
                <w:rFonts w:hint="default" w:ascii="Times New Roman" w:hAnsi="Times New Roman" w:eastAsia="宋体" w:cs="Times New Roman"/>
                <w:color w:val="auto"/>
                <w:kern w:val="2"/>
                <w:sz w:val="24"/>
                <w:szCs w:val="24"/>
                <w:highlight w:val="none"/>
                <w:lang w:val="en-US" w:eastAsia="zh-CN" w:bidi="ar-SA"/>
              </w:rPr>
              <w:t>——每种危险物质实际存在量，t。</w:t>
            </w:r>
          </w:p>
          <w:p w14:paraId="0075C89D">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n</w:t>
            </w:r>
            <w:r>
              <w:rPr>
                <w:rFonts w:hint="default" w:ascii="Times New Roman" w:hAnsi="Times New Roman" w:eastAsia="宋体" w:cs="Times New Roman"/>
                <w:color w:val="auto"/>
                <w:kern w:val="2"/>
                <w:sz w:val="24"/>
                <w:szCs w:val="24"/>
                <w:highlight w:val="none"/>
                <w:lang w:val="en-US" w:eastAsia="zh-CN" w:bidi="ar-SA"/>
              </w:rPr>
              <w:t>——与各危险物质相对应的生产场所或贮存区的临界量，t。</w:t>
            </w:r>
          </w:p>
          <w:p w14:paraId="73DA793A">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当Q＜1时，该项目环境风险潜势为Ⅰ。</w:t>
            </w:r>
          </w:p>
          <w:p w14:paraId="6DE5EEE2">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当Q≥1时，将Q值划分为：（a）1≤Q＜10；（b）10≤Q＜100；（c）Q≥100。</w:t>
            </w:r>
          </w:p>
          <w:p w14:paraId="3AE5E459">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本项目涉及的危险化学品Q=</w:t>
            </w:r>
            <w:r>
              <w:rPr>
                <w:rFonts w:hint="eastAsia" w:ascii="Times New Roman" w:hAnsi="Times New Roman" w:eastAsia="宋体" w:cs="Times New Roman"/>
                <w:color w:val="auto"/>
                <w:kern w:val="2"/>
                <w:sz w:val="24"/>
                <w:szCs w:val="24"/>
                <w:highlight w:val="none"/>
                <w:lang w:val="en-US" w:eastAsia="zh-CN"/>
              </w:rPr>
              <w:t>0.000</w:t>
            </w:r>
            <w:r>
              <w:rPr>
                <w:rFonts w:hint="eastAsia" w:cs="Times New Roman"/>
                <w:color w:val="auto"/>
                <w:kern w:val="2"/>
                <w:sz w:val="24"/>
                <w:szCs w:val="24"/>
                <w:highlight w:val="none"/>
                <w:lang w:val="en-US" w:eastAsia="zh-CN"/>
              </w:rPr>
              <w:t>04</w:t>
            </w:r>
            <w:r>
              <w:rPr>
                <w:rFonts w:hint="default" w:ascii="Times New Roman" w:hAnsi="Times New Roman" w:eastAsia="宋体" w:cs="Times New Roman"/>
                <w:color w:val="auto"/>
                <w:kern w:val="2"/>
                <w:sz w:val="24"/>
                <w:szCs w:val="24"/>
                <w:highlight w:val="none"/>
              </w:rPr>
              <w:t>＜1。</w:t>
            </w:r>
            <w:r>
              <w:rPr>
                <w:rFonts w:hint="default" w:ascii="Times New Roman" w:hAnsi="Times New Roman" w:eastAsia="宋体" w:cs="Times New Roman"/>
                <w:color w:val="auto"/>
                <w:kern w:val="2"/>
                <w:sz w:val="24"/>
                <w:szCs w:val="24"/>
                <w:highlight w:val="none"/>
                <w:lang w:val="en-US" w:eastAsia="zh-CN"/>
              </w:rPr>
              <w:t>本项目</w:t>
            </w:r>
            <w:r>
              <w:rPr>
                <w:rFonts w:hint="default" w:ascii="Times New Roman" w:hAnsi="Times New Roman" w:eastAsia="宋体" w:cs="Times New Roman"/>
                <w:color w:val="auto"/>
                <w:kern w:val="2"/>
                <w:sz w:val="24"/>
                <w:szCs w:val="24"/>
                <w:highlight w:val="none"/>
              </w:rPr>
              <w:t>环境风险潜势为Ⅰ</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危险物质存储量未超过临界量，不开展环境风险专题评价</w:t>
            </w:r>
            <w:r>
              <w:rPr>
                <w:rFonts w:hint="eastAsia" w:ascii="Times New Roman" w:hAnsi="Times New Roman" w:eastAsia="宋体" w:cs="Times New Roman"/>
                <w:color w:val="auto"/>
                <w:kern w:val="2"/>
                <w:sz w:val="24"/>
                <w:szCs w:val="24"/>
                <w:highlight w:val="none"/>
                <w:lang w:eastAsia="zh-CN"/>
              </w:rPr>
              <w:t>。</w:t>
            </w:r>
          </w:p>
          <w:p w14:paraId="6C98C125">
            <w:pPr>
              <w:pageBreakBefore w:val="0"/>
              <w:widowControl w:val="0"/>
              <w:numPr>
                <w:ilvl w:val="0"/>
                <w:numId w:val="0"/>
              </w:numPr>
              <w:kinsoku/>
              <w:wordWrap/>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（2）环境敏感目标概况</w:t>
            </w:r>
          </w:p>
          <w:p w14:paraId="2AE04CC9">
            <w:pPr>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72" w:firstLineChars="200"/>
              <w:jc w:val="both"/>
              <w:textAlignment w:val="auto"/>
              <w:rPr>
                <w:rFonts w:hint="default" w:ascii="Times New Roman" w:hAnsi="Times New Roman" w:eastAsia="宋体" w:cs="Times New Roman"/>
                <w:color w:val="auto"/>
                <w:spacing w:val="-2"/>
                <w:szCs w:val="20"/>
                <w:lang w:val="en-US" w:eastAsia="zh-CN"/>
              </w:rPr>
            </w:pPr>
            <w:r>
              <w:rPr>
                <w:rFonts w:hint="eastAsia" w:ascii="Times New Roman" w:hAnsi="Times New Roman" w:eastAsia="宋体" w:cs="Times New Roman"/>
                <w:color w:val="auto"/>
                <w:spacing w:val="-2"/>
                <w:szCs w:val="20"/>
                <w:lang w:val="en-US" w:eastAsia="zh-CN"/>
              </w:rPr>
              <w:t>①</w:t>
            </w:r>
            <w:r>
              <w:rPr>
                <w:rFonts w:ascii="Times New Roman" w:hAnsi="Times New Roman" w:eastAsia="宋体" w:cs="Times New Roman"/>
                <w:color w:val="auto"/>
                <w:spacing w:val="-2"/>
                <w:szCs w:val="20"/>
              </w:rPr>
              <w:t>大气环境敏感</w:t>
            </w:r>
            <w:r>
              <w:rPr>
                <w:rFonts w:hint="eastAsia" w:ascii="Times New Roman" w:hAnsi="Times New Roman" w:eastAsia="宋体" w:cs="Times New Roman"/>
                <w:color w:val="auto"/>
                <w:spacing w:val="-2"/>
                <w:szCs w:val="20"/>
                <w:lang w:val="en-US" w:eastAsia="zh-CN"/>
              </w:rPr>
              <w:t>目标调查及敏感程度</w:t>
            </w:r>
          </w:p>
          <w:p w14:paraId="30511807">
            <w:pPr>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72" w:firstLineChars="200"/>
              <w:jc w:val="both"/>
              <w:textAlignment w:val="auto"/>
              <w:rPr>
                <w:rFonts w:ascii="Times New Roman" w:hAnsi="Times New Roman" w:eastAsia="宋体" w:cs="Times New Roman"/>
                <w:color w:val="auto"/>
                <w:spacing w:val="-2"/>
                <w:szCs w:val="20"/>
              </w:rPr>
            </w:pPr>
            <w:r>
              <w:rPr>
                <w:rFonts w:ascii="Times New Roman" w:hAnsi="Times New Roman" w:eastAsia="宋体" w:cs="Times New Roman"/>
                <w:color w:val="auto"/>
                <w:spacing w:val="-2"/>
                <w:szCs w:val="20"/>
              </w:rPr>
              <w:t>根据《建设项目环境风险评价技术导则》（HJ169-2018）附录D的规定：项目所在区域大气环境敏感程度是依据环境敏感目标环境敏感性及人口密度划分环境风险受体的敏感性来确定。大气环境敏感程度共分为三种类型：E1为环境高度敏感区，E2为环境中度敏感区，E3为环境低度敏感区，分级原则见表</w:t>
            </w:r>
            <w:r>
              <w:rPr>
                <w:rFonts w:hint="eastAsia" w:ascii="Times New Roman" w:hAnsi="Times New Roman" w:eastAsia="宋体" w:cs="Times New Roman"/>
                <w:color w:val="auto"/>
                <w:spacing w:val="-2"/>
                <w:szCs w:val="20"/>
                <w:lang w:val="en-US" w:eastAsia="zh-CN"/>
              </w:rPr>
              <w:t>4.11-2</w:t>
            </w:r>
            <w:r>
              <w:rPr>
                <w:rFonts w:ascii="Times New Roman" w:hAnsi="Times New Roman" w:eastAsia="宋体" w:cs="Times New Roman"/>
                <w:color w:val="auto"/>
                <w:spacing w:val="-2"/>
                <w:szCs w:val="20"/>
              </w:rPr>
              <w:t>。</w:t>
            </w:r>
          </w:p>
          <w:p w14:paraId="770B5D69">
            <w:pPr>
              <w:widowControl/>
              <w:spacing w:after="80" w:line="520" w:lineRule="exact"/>
              <w:jc w:val="center"/>
              <w:rPr>
                <w:rFonts w:ascii="Times New Roman" w:hAnsi="Times New Roman" w:eastAsia="宋体" w:cs="Times New Roman"/>
                <w:b/>
                <w:color w:val="auto"/>
                <w:szCs w:val="24"/>
                <w:lang w:bidi="en-US"/>
              </w:rPr>
            </w:pPr>
            <w:r>
              <w:rPr>
                <w:rFonts w:ascii="Times New Roman" w:hAnsi="Times New Roman" w:eastAsia="宋体" w:cs="Times New Roman"/>
                <w:b/>
                <w:color w:val="auto"/>
                <w:szCs w:val="24"/>
                <w:lang w:bidi="en-US"/>
              </w:rPr>
              <w:t>表</w:t>
            </w:r>
            <w:r>
              <w:rPr>
                <w:rFonts w:hint="eastAsia" w:ascii="Times New Roman" w:hAnsi="Times New Roman" w:eastAsia="宋体" w:cs="Times New Roman"/>
                <w:b/>
                <w:color w:val="auto"/>
                <w:szCs w:val="24"/>
                <w:lang w:val="en-US" w:eastAsia="zh-CN" w:bidi="en-US"/>
              </w:rPr>
              <w:t>4.11-2</w:t>
            </w:r>
            <w:r>
              <w:rPr>
                <w:rFonts w:ascii="Times New Roman" w:hAnsi="Times New Roman" w:eastAsia="宋体" w:cs="Times New Roman"/>
                <w:b/>
                <w:color w:val="auto"/>
                <w:szCs w:val="24"/>
                <w:lang w:bidi="en-US"/>
              </w:rPr>
              <w:t>大气环境敏感程度分级原则一览表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7491"/>
            </w:tblGrid>
            <w:tr w14:paraId="07FA3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14:paraId="0A275EDA">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分级</w:t>
                  </w:r>
                </w:p>
              </w:tc>
              <w:tc>
                <w:tcPr>
                  <w:tcW w:w="7506" w:type="dxa"/>
                  <w:tcBorders>
                    <w:tl2br w:val="nil"/>
                    <w:tr2bl w:val="nil"/>
                  </w:tcBorders>
                  <w:vAlign w:val="center"/>
                </w:tcPr>
                <w:p w14:paraId="194EDA5A">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大气环境敏感性</w:t>
                  </w:r>
                </w:p>
              </w:tc>
            </w:tr>
            <w:tr w14:paraId="029D1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14:paraId="67BEC9E1">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E1</w:t>
                  </w:r>
                </w:p>
              </w:tc>
              <w:tc>
                <w:tcPr>
                  <w:tcW w:w="7506" w:type="dxa"/>
                  <w:tcBorders>
                    <w:tl2br w:val="nil"/>
                    <w:tr2bl w:val="nil"/>
                  </w:tcBorders>
                  <w:vAlign w:val="center"/>
                </w:tcPr>
                <w:p w14:paraId="2D426508">
                  <w:pPr>
                    <w:spacing w:line="240" w:lineRule="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6C37F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14:paraId="5A916ECA">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E2</w:t>
                  </w:r>
                </w:p>
              </w:tc>
              <w:tc>
                <w:tcPr>
                  <w:tcW w:w="7506" w:type="dxa"/>
                  <w:tcBorders>
                    <w:tl2br w:val="nil"/>
                    <w:tr2bl w:val="nil"/>
                  </w:tcBorders>
                  <w:vAlign w:val="center"/>
                </w:tcPr>
                <w:p w14:paraId="4ABE741F">
                  <w:pPr>
                    <w:spacing w:line="240" w:lineRule="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6BC27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5" w:type="dxa"/>
                  <w:tcBorders>
                    <w:tl2br w:val="nil"/>
                    <w:tr2bl w:val="nil"/>
                  </w:tcBorders>
                  <w:vAlign w:val="center"/>
                </w:tcPr>
                <w:p w14:paraId="563BA815">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E3</w:t>
                  </w:r>
                </w:p>
              </w:tc>
              <w:tc>
                <w:tcPr>
                  <w:tcW w:w="7506" w:type="dxa"/>
                  <w:tcBorders>
                    <w:tl2br w:val="nil"/>
                    <w:tr2bl w:val="nil"/>
                  </w:tcBorders>
                  <w:vAlign w:val="center"/>
                </w:tcPr>
                <w:p w14:paraId="1D377F45">
                  <w:pPr>
                    <w:spacing w:line="240" w:lineRule="auto"/>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46EF7307">
            <w:pPr>
              <w:spacing w:line="520" w:lineRule="exact"/>
              <w:ind w:firstLine="472" w:firstLineChars="200"/>
              <w:rPr>
                <w:rFonts w:ascii="Times New Roman" w:hAnsi="Times New Roman" w:eastAsia="宋体" w:cs="Times New Roman"/>
                <w:color w:val="auto"/>
                <w:spacing w:val="-2"/>
                <w:szCs w:val="20"/>
              </w:rPr>
            </w:pPr>
            <w:r>
              <w:rPr>
                <w:rFonts w:hint="eastAsia" w:ascii="Times New Roman" w:hAnsi="Times New Roman" w:eastAsia="宋体" w:cs="Times New Roman"/>
                <w:color w:val="auto"/>
                <w:spacing w:val="-2"/>
                <w:sz w:val="24"/>
                <w:highlight w:val="none"/>
                <w:lang w:val="en-US" w:eastAsia="zh-CN"/>
              </w:rPr>
              <w:t xml:space="preserve"> </w:t>
            </w:r>
            <w:r>
              <w:rPr>
                <w:rFonts w:hint="default" w:ascii="Times New Roman" w:hAnsi="Times New Roman" w:eastAsia="宋体" w:cs="Times New Roman"/>
                <w:color w:val="auto"/>
                <w:spacing w:val="-2"/>
                <w:sz w:val="24"/>
                <w:highlight w:val="none"/>
              </w:rPr>
              <w:t>根据项目涉及的危险物质可能的影响途径和所在区域的实际环境特点</w:t>
            </w:r>
            <w:r>
              <w:rPr>
                <w:rFonts w:hint="eastAsia" w:ascii="Times New Roman" w:hAnsi="Times New Roman" w:eastAsia="宋体" w:cs="Times New Roman"/>
                <w:color w:val="auto"/>
                <w:spacing w:val="-2"/>
                <w:sz w:val="24"/>
                <w:highlight w:val="none"/>
                <w:lang w:eastAsia="zh-CN"/>
              </w:rPr>
              <w:t>，</w:t>
            </w:r>
            <w:r>
              <w:rPr>
                <w:rFonts w:hint="eastAsia" w:ascii="Times New Roman" w:hAnsi="Times New Roman" w:eastAsia="宋体" w:cs="Times New Roman"/>
                <w:color w:val="auto"/>
                <w:spacing w:val="-2"/>
                <w:sz w:val="24"/>
                <w:highlight w:val="none"/>
                <w:lang w:val="en-US" w:eastAsia="zh-CN"/>
              </w:rPr>
              <w:t>本项目周边500m范围内不存在环境保护目标，均为园区工业企业，周边500m范围内人口总数大于1000人，为大气环境高度敏感区E1。</w:t>
            </w:r>
          </w:p>
          <w:p w14:paraId="6B5F6425">
            <w:pPr>
              <w:spacing w:line="520" w:lineRule="exact"/>
              <w:ind w:firstLine="472" w:firstLineChars="200"/>
              <w:rPr>
                <w:rFonts w:ascii="Times New Roman" w:hAnsi="Times New Roman" w:eastAsia="宋体" w:cs="Times New Roman"/>
                <w:color w:val="auto"/>
                <w:spacing w:val="-2"/>
                <w:szCs w:val="20"/>
              </w:rPr>
            </w:pPr>
            <w:r>
              <w:rPr>
                <w:rFonts w:hint="eastAsia" w:ascii="Times New Roman" w:hAnsi="Times New Roman" w:eastAsia="宋体" w:cs="Times New Roman"/>
                <w:color w:val="auto"/>
                <w:spacing w:val="-2"/>
                <w:szCs w:val="20"/>
                <w:lang w:val="en-US" w:eastAsia="zh-CN"/>
              </w:rPr>
              <w:t>②</w:t>
            </w:r>
            <w:r>
              <w:rPr>
                <w:rFonts w:ascii="Times New Roman" w:hAnsi="Times New Roman" w:eastAsia="宋体" w:cs="Times New Roman"/>
                <w:color w:val="auto"/>
                <w:spacing w:val="-2"/>
                <w:szCs w:val="20"/>
              </w:rPr>
              <w:t>地表水环境</w:t>
            </w:r>
            <w:r>
              <w:rPr>
                <w:rFonts w:hint="eastAsia" w:ascii="Times New Roman" w:hAnsi="Times New Roman" w:eastAsia="宋体" w:cs="Times New Roman"/>
                <w:color w:val="auto"/>
                <w:spacing w:val="-2"/>
                <w:szCs w:val="20"/>
                <w:lang w:val="en-US" w:eastAsia="zh-CN"/>
              </w:rPr>
              <w:t>敏感目标调查以及</w:t>
            </w:r>
            <w:r>
              <w:rPr>
                <w:rFonts w:ascii="Times New Roman" w:hAnsi="Times New Roman" w:eastAsia="宋体" w:cs="Times New Roman"/>
                <w:color w:val="auto"/>
                <w:spacing w:val="-2"/>
                <w:szCs w:val="20"/>
              </w:rPr>
              <w:t>敏感程度</w:t>
            </w:r>
          </w:p>
          <w:p w14:paraId="1A4ECB78">
            <w:pPr>
              <w:spacing w:line="520" w:lineRule="exact"/>
              <w:ind w:firstLine="472" w:firstLineChars="200"/>
              <w:rPr>
                <w:rFonts w:ascii="Times New Roman" w:hAnsi="Times New Roman" w:eastAsia="宋体" w:cs="Times New Roman"/>
                <w:color w:val="auto"/>
                <w:spacing w:val="-2"/>
                <w:szCs w:val="20"/>
              </w:rPr>
            </w:pPr>
            <w:r>
              <w:rPr>
                <w:rFonts w:ascii="Times New Roman" w:hAnsi="Times New Roman" w:eastAsia="宋体" w:cs="Times New Roman"/>
                <w:color w:val="auto"/>
                <w:spacing w:val="-2"/>
                <w:szCs w:val="20"/>
              </w:rPr>
              <w:t>根据《建设项目环境风险评价技术导则》（HJ169-2018）附录D的规定：区域地表水环境敏感程度依据事故情况下危险物质泄漏到水体的排放点受纳地表水体功能敏感性与下游环境敏感目标情况确定。区域地表水环境敏感程度共分为三种类型，E1为环境高度敏感区，E2为环境中度敏感区，E3为环境低度敏感区，其分级原则见表</w:t>
            </w:r>
            <w:r>
              <w:rPr>
                <w:rFonts w:hint="eastAsia" w:ascii="Times New Roman" w:hAnsi="Times New Roman" w:eastAsia="宋体" w:cs="Times New Roman"/>
                <w:color w:val="auto"/>
                <w:spacing w:val="-2"/>
                <w:szCs w:val="20"/>
                <w:lang w:val="en-US" w:eastAsia="zh-CN"/>
              </w:rPr>
              <w:t>4.11-3</w:t>
            </w:r>
            <w:r>
              <w:rPr>
                <w:rFonts w:ascii="Times New Roman" w:hAnsi="Times New Roman" w:eastAsia="宋体" w:cs="Times New Roman"/>
                <w:color w:val="auto"/>
                <w:spacing w:val="-2"/>
                <w:szCs w:val="20"/>
              </w:rPr>
              <w:t>。其中地表水功能敏感性分区和环境敏感目标分级原则分别见表</w:t>
            </w:r>
            <w:r>
              <w:rPr>
                <w:rFonts w:hint="eastAsia" w:ascii="Times New Roman" w:hAnsi="Times New Roman" w:eastAsia="宋体" w:cs="Times New Roman"/>
                <w:color w:val="auto"/>
                <w:spacing w:val="-2"/>
                <w:szCs w:val="20"/>
                <w:lang w:val="en-US" w:eastAsia="zh-CN"/>
              </w:rPr>
              <w:t>4.11-4</w:t>
            </w:r>
            <w:r>
              <w:rPr>
                <w:rFonts w:ascii="Times New Roman" w:hAnsi="Times New Roman" w:eastAsia="宋体" w:cs="Times New Roman"/>
                <w:color w:val="auto"/>
                <w:spacing w:val="-2"/>
                <w:szCs w:val="20"/>
              </w:rPr>
              <w:t>和表</w:t>
            </w:r>
            <w:r>
              <w:rPr>
                <w:rFonts w:hint="eastAsia" w:ascii="Times New Roman" w:hAnsi="Times New Roman" w:eastAsia="宋体" w:cs="Times New Roman"/>
                <w:color w:val="auto"/>
                <w:spacing w:val="-2"/>
                <w:szCs w:val="20"/>
                <w:lang w:val="en-US" w:eastAsia="zh-CN"/>
              </w:rPr>
              <w:t>4.11-5</w:t>
            </w:r>
            <w:r>
              <w:rPr>
                <w:rFonts w:ascii="Times New Roman" w:hAnsi="Times New Roman" w:eastAsia="宋体" w:cs="Times New Roman"/>
                <w:color w:val="auto"/>
                <w:spacing w:val="-2"/>
                <w:szCs w:val="20"/>
              </w:rPr>
              <w:t>。</w:t>
            </w:r>
          </w:p>
          <w:p w14:paraId="46C0080E">
            <w:pPr>
              <w:widowControl/>
              <w:spacing w:after="80" w:line="520" w:lineRule="exact"/>
              <w:jc w:val="center"/>
              <w:rPr>
                <w:rFonts w:ascii="Times New Roman" w:hAnsi="Times New Roman" w:eastAsia="宋体" w:cs="Times New Roman"/>
                <w:b/>
                <w:color w:val="auto"/>
                <w:szCs w:val="24"/>
                <w:lang w:bidi="en-US"/>
              </w:rPr>
            </w:pPr>
            <w:r>
              <w:rPr>
                <w:rFonts w:ascii="Times New Roman" w:hAnsi="Times New Roman" w:eastAsia="宋体" w:cs="Times New Roman"/>
                <w:b/>
                <w:color w:val="auto"/>
                <w:szCs w:val="24"/>
                <w:lang w:bidi="en-US"/>
              </w:rPr>
              <w:t>表</w:t>
            </w:r>
            <w:r>
              <w:rPr>
                <w:rFonts w:hint="eastAsia" w:ascii="Times New Roman" w:hAnsi="Times New Roman" w:eastAsia="宋体" w:cs="Times New Roman"/>
                <w:b/>
                <w:color w:val="auto"/>
                <w:szCs w:val="24"/>
                <w:lang w:val="en-US" w:eastAsia="zh-CN" w:bidi="en-US"/>
              </w:rPr>
              <w:t>4.11-3</w:t>
            </w:r>
            <w:r>
              <w:rPr>
                <w:rFonts w:ascii="Times New Roman" w:hAnsi="Times New Roman" w:eastAsia="宋体" w:cs="Times New Roman"/>
                <w:b/>
                <w:color w:val="auto"/>
                <w:szCs w:val="24"/>
                <w:lang w:bidi="en-US"/>
              </w:rPr>
              <w:t>地表水环境敏感程度分级原则一览表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7"/>
              <w:gridCol w:w="2126"/>
            </w:tblGrid>
            <w:tr w14:paraId="7D6C0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restart"/>
                  <w:tcBorders>
                    <w:tl2br w:val="nil"/>
                    <w:tr2bl w:val="nil"/>
                  </w:tcBorders>
                  <w:vAlign w:val="center"/>
                </w:tcPr>
                <w:p w14:paraId="7F7D7220">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环境敏感目标</w:t>
                  </w:r>
                </w:p>
              </w:tc>
              <w:tc>
                <w:tcPr>
                  <w:tcW w:w="6391" w:type="dxa"/>
                  <w:gridSpan w:val="3"/>
                  <w:tcBorders>
                    <w:tl2br w:val="nil"/>
                    <w:tr2bl w:val="nil"/>
                  </w:tcBorders>
                  <w:vAlign w:val="center"/>
                </w:tcPr>
                <w:p w14:paraId="342DB240">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地表水功能敏感性</w:t>
                  </w:r>
                </w:p>
              </w:tc>
            </w:tr>
            <w:tr w14:paraId="189C2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continue"/>
                  <w:tcBorders>
                    <w:tl2br w:val="nil"/>
                    <w:tr2bl w:val="nil"/>
                  </w:tcBorders>
                  <w:vAlign w:val="center"/>
                </w:tcPr>
                <w:p w14:paraId="13C6EDFE">
                  <w:pPr>
                    <w:spacing w:line="240" w:lineRule="auto"/>
                    <w:jc w:val="center"/>
                    <w:rPr>
                      <w:rFonts w:ascii="Times New Roman" w:hAnsi="Times New Roman" w:eastAsia="宋体" w:cs="Times New Roman"/>
                      <w:color w:val="auto"/>
                      <w:spacing w:val="-2"/>
                      <w:sz w:val="21"/>
                      <w:szCs w:val="21"/>
                    </w:rPr>
                  </w:pPr>
                </w:p>
              </w:tc>
              <w:tc>
                <w:tcPr>
                  <w:tcW w:w="2130" w:type="dxa"/>
                  <w:tcBorders>
                    <w:tl2br w:val="nil"/>
                    <w:tr2bl w:val="nil"/>
                  </w:tcBorders>
                  <w:vAlign w:val="center"/>
                </w:tcPr>
                <w:p w14:paraId="0D8797C2">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F1</w:t>
                  </w:r>
                </w:p>
              </w:tc>
              <w:tc>
                <w:tcPr>
                  <w:tcW w:w="2131" w:type="dxa"/>
                  <w:tcBorders>
                    <w:tl2br w:val="nil"/>
                    <w:tr2bl w:val="nil"/>
                  </w:tcBorders>
                  <w:vAlign w:val="center"/>
                </w:tcPr>
                <w:p w14:paraId="54B16BD2">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F2</w:t>
                  </w:r>
                </w:p>
              </w:tc>
              <w:tc>
                <w:tcPr>
                  <w:tcW w:w="2130" w:type="dxa"/>
                  <w:tcBorders>
                    <w:tl2br w:val="nil"/>
                    <w:tr2bl w:val="nil"/>
                  </w:tcBorders>
                  <w:vAlign w:val="center"/>
                </w:tcPr>
                <w:p w14:paraId="596E2C6E">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F3</w:t>
                  </w:r>
                </w:p>
              </w:tc>
            </w:tr>
            <w:tr w14:paraId="38FDD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14:paraId="38449138">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S1</w:t>
                  </w:r>
                </w:p>
              </w:tc>
              <w:tc>
                <w:tcPr>
                  <w:tcW w:w="2130" w:type="dxa"/>
                  <w:tcBorders>
                    <w:tl2br w:val="nil"/>
                    <w:tr2bl w:val="nil"/>
                  </w:tcBorders>
                  <w:vAlign w:val="center"/>
                </w:tcPr>
                <w:p w14:paraId="22714B1F">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E1</w:t>
                  </w:r>
                </w:p>
              </w:tc>
              <w:tc>
                <w:tcPr>
                  <w:tcW w:w="2131" w:type="dxa"/>
                  <w:tcBorders>
                    <w:tl2br w:val="nil"/>
                    <w:tr2bl w:val="nil"/>
                  </w:tcBorders>
                  <w:vAlign w:val="center"/>
                </w:tcPr>
                <w:p w14:paraId="488BC4CE">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E2</w:t>
                  </w:r>
                </w:p>
              </w:tc>
              <w:tc>
                <w:tcPr>
                  <w:tcW w:w="2130" w:type="dxa"/>
                  <w:tcBorders>
                    <w:tl2br w:val="nil"/>
                    <w:tr2bl w:val="nil"/>
                  </w:tcBorders>
                  <w:vAlign w:val="center"/>
                </w:tcPr>
                <w:p w14:paraId="04E186C8">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E3</w:t>
                  </w:r>
                </w:p>
              </w:tc>
            </w:tr>
            <w:tr w14:paraId="54640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14:paraId="62B1B4CE">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S2</w:t>
                  </w:r>
                </w:p>
              </w:tc>
              <w:tc>
                <w:tcPr>
                  <w:tcW w:w="2130" w:type="dxa"/>
                  <w:tcBorders>
                    <w:tl2br w:val="nil"/>
                    <w:tr2bl w:val="nil"/>
                  </w:tcBorders>
                  <w:vAlign w:val="center"/>
                </w:tcPr>
                <w:p w14:paraId="2D892CA4">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E1</w:t>
                  </w:r>
                </w:p>
              </w:tc>
              <w:tc>
                <w:tcPr>
                  <w:tcW w:w="2131" w:type="dxa"/>
                  <w:tcBorders>
                    <w:tl2br w:val="nil"/>
                    <w:tr2bl w:val="nil"/>
                  </w:tcBorders>
                  <w:vAlign w:val="center"/>
                </w:tcPr>
                <w:p w14:paraId="1B0A09D9">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E2</w:t>
                  </w:r>
                </w:p>
              </w:tc>
              <w:tc>
                <w:tcPr>
                  <w:tcW w:w="2130" w:type="dxa"/>
                  <w:tcBorders>
                    <w:tl2br w:val="nil"/>
                    <w:tr2bl w:val="nil"/>
                  </w:tcBorders>
                  <w:vAlign w:val="center"/>
                </w:tcPr>
                <w:p w14:paraId="009B765F">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E3</w:t>
                  </w:r>
                </w:p>
              </w:tc>
            </w:tr>
            <w:tr w14:paraId="6479E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14:paraId="7597F27F">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S3</w:t>
                  </w:r>
                </w:p>
              </w:tc>
              <w:tc>
                <w:tcPr>
                  <w:tcW w:w="2130" w:type="dxa"/>
                  <w:tcBorders>
                    <w:tl2br w:val="nil"/>
                    <w:tr2bl w:val="nil"/>
                  </w:tcBorders>
                  <w:vAlign w:val="center"/>
                </w:tcPr>
                <w:p w14:paraId="1C08B6CC">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E1</w:t>
                  </w:r>
                </w:p>
              </w:tc>
              <w:tc>
                <w:tcPr>
                  <w:tcW w:w="2131" w:type="dxa"/>
                  <w:tcBorders>
                    <w:tl2br w:val="nil"/>
                    <w:tr2bl w:val="nil"/>
                  </w:tcBorders>
                  <w:vAlign w:val="center"/>
                </w:tcPr>
                <w:p w14:paraId="504AF503">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E2</w:t>
                  </w:r>
                </w:p>
              </w:tc>
              <w:tc>
                <w:tcPr>
                  <w:tcW w:w="2130" w:type="dxa"/>
                  <w:tcBorders>
                    <w:tl2br w:val="nil"/>
                    <w:tr2bl w:val="nil"/>
                  </w:tcBorders>
                  <w:vAlign w:val="center"/>
                </w:tcPr>
                <w:p w14:paraId="7C96A470">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E3</w:t>
                  </w:r>
                </w:p>
              </w:tc>
            </w:tr>
          </w:tbl>
          <w:p w14:paraId="411F2121">
            <w:pPr>
              <w:widowControl/>
              <w:spacing w:after="80" w:line="520" w:lineRule="exact"/>
              <w:jc w:val="center"/>
              <w:rPr>
                <w:rFonts w:ascii="Times New Roman" w:hAnsi="Times New Roman" w:eastAsia="宋体" w:cs="Times New Roman"/>
                <w:b/>
                <w:color w:val="auto"/>
                <w:szCs w:val="24"/>
                <w:lang w:bidi="en-US"/>
              </w:rPr>
            </w:pPr>
            <w:r>
              <w:rPr>
                <w:rFonts w:ascii="Times New Roman" w:hAnsi="Times New Roman" w:eastAsia="宋体" w:cs="Times New Roman"/>
                <w:b/>
                <w:color w:val="auto"/>
                <w:szCs w:val="24"/>
                <w:lang w:bidi="en-US"/>
              </w:rPr>
              <w:t>表</w:t>
            </w:r>
            <w:r>
              <w:rPr>
                <w:rFonts w:hint="eastAsia" w:ascii="Times New Roman" w:hAnsi="Times New Roman" w:eastAsia="宋体" w:cs="Times New Roman"/>
                <w:b/>
                <w:color w:val="auto"/>
                <w:szCs w:val="24"/>
                <w:lang w:val="en-US" w:eastAsia="zh-CN" w:bidi="en-US"/>
              </w:rPr>
              <w:t>4.11-4</w:t>
            </w:r>
            <w:r>
              <w:rPr>
                <w:rFonts w:ascii="Times New Roman" w:hAnsi="Times New Roman" w:eastAsia="宋体" w:cs="Times New Roman"/>
                <w:b/>
                <w:color w:val="auto"/>
                <w:szCs w:val="24"/>
                <w:lang w:bidi="en-US"/>
              </w:rPr>
              <w:t>地表水功能敏感性分区原则一览表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7199"/>
            </w:tblGrid>
            <w:tr w14:paraId="4FB6A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791B1CD4">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敏感性</w:t>
                  </w:r>
                </w:p>
              </w:tc>
              <w:tc>
                <w:tcPr>
                  <w:tcW w:w="7214" w:type="dxa"/>
                  <w:tcBorders>
                    <w:tl2br w:val="nil"/>
                    <w:tr2bl w:val="nil"/>
                  </w:tcBorders>
                  <w:vAlign w:val="center"/>
                </w:tcPr>
                <w:p w14:paraId="6BC6B854">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地表水环境敏感特征</w:t>
                  </w:r>
                </w:p>
              </w:tc>
            </w:tr>
            <w:tr w14:paraId="39C93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7C749331">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敏感F1</w:t>
                  </w:r>
                </w:p>
              </w:tc>
              <w:tc>
                <w:tcPr>
                  <w:tcW w:w="7214" w:type="dxa"/>
                  <w:tcBorders>
                    <w:tl2br w:val="nil"/>
                    <w:tr2bl w:val="nil"/>
                  </w:tcBorders>
                  <w:vAlign w:val="center"/>
                </w:tcPr>
                <w:p w14:paraId="44AF0F0C">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排放点进入地表水水域环境功能为Ⅱ类及以上，或海水水质分类第一类；或以发生事故时，危险物质泄漏到水体的排放点算起，排放进入受纳河流最大流速时，24h流经范围内涉跨国界的</w:t>
                  </w:r>
                </w:p>
              </w:tc>
            </w:tr>
            <w:tr w14:paraId="29E05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33F2BD00">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较敏感F2</w:t>
                  </w:r>
                </w:p>
              </w:tc>
              <w:tc>
                <w:tcPr>
                  <w:tcW w:w="7214" w:type="dxa"/>
                  <w:tcBorders>
                    <w:tl2br w:val="nil"/>
                    <w:tr2bl w:val="nil"/>
                  </w:tcBorders>
                  <w:vAlign w:val="center"/>
                </w:tcPr>
                <w:p w14:paraId="4D7FE91E">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排放点进入地表水水域环境功能为Ⅲ类，或海水水质分类第二类；或以发生事故时，危险物质泄漏到水体的排放点算起，排放进入受纳河流最大流速时，24h流经范围内涉跨省界的</w:t>
                  </w:r>
                </w:p>
              </w:tc>
            </w:tr>
            <w:tr w14:paraId="1DE32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28D648FF">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低敏感F3</w:t>
                  </w:r>
                </w:p>
              </w:tc>
              <w:tc>
                <w:tcPr>
                  <w:tcW w:w="7214" w:type="dxa"/>
                  <w:tcBorders>
                    <w:tl2br w:val="nil"/>
                    <w:tr2bl w:val="nil"/>
                  </w:tcBorders>
                  <w:vAlign w:val="center"/>
                </w:tcPr>
                <w:p w14:paraId="7FAFB652">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上述地区之外的其他地区</w:t>
                  </w:r>
                </w:p>
              </w:tc>
            </w:tr>
          </w:tbl>
          <w:p w14:paraId="38848AE4">
            <w:pPr>
              <w:widowControl/>
              <w:spacing w:line="520" w:lineRule="exact"/>
              <w:jc w:val="center"/>
              <w:rPr>
                <w:rFonts w:ascii="Times New Roman" w:hAnsi="Times New Roman" w:eastAsia="宋体" w:cs="Times New Roman"/>
                <w:b/>
                <w:color w:val="auto"/>
                <w:szCs w:val="24"/>
                <w:lang w:bidi="en-US"/>
              </w:rPr>
            </w:pPr>
            <w:r>
              <w:rPr>
                <w:rFonts w:ascii="Times New Roman" w:hAnsi="Times New Roman" w:eastAsia="宋体" w:cs="Times New Roman"/>
                <w:b/>
                <w:color w:val="auto"/>
                <w:szCs w:val="24"/>
                <w:lang w:bidi="en-US"/>
              </w:rPr>
              <w:t>表</w:t>
            </w:r>
            <w:r>
              <w:rPr>
                <w:rFonts w:hint="eastAsia" w:ascii="Times New Roman" w:hAnsi="Times New Roman" w:eastAsia="宋体" w:cs="Times New Roman"/>
                <w:b/>
                <w:color w:val="auto"/>
                <w:szCs w:val="24"/>
                <w:lang w:val="en-US" w:eastAsia="zh-CN" w:bidi="en-US"/>
              </w:rPr>
              <w:t>4.11-5</w:t>
            </w:r>
            <w:r>
              <w:rPr>
                <w:rFonts w:ascii="Times New Roman" w:hAnsi="Times New Roman" w:eastAsia="宋体" w:cs="Times New Roman"/>
                <w:b/>
                <w:color w:val="auto"/>
                <w:szCs w:val="24"/>
                <w:lang w:bidi="en-US"/>
              </w:rPr>
              <w:t>环境敏感目标分级原则一览表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7199"/>
            </w:tblGrid>
            <w:tr w14:paraId="0594D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1BFC8927">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分级</w:t>
                  </w:r>
                </w:p>
              </w:tc>
              <w:tc>
                <w:tcPr>
                  <w:tcW w:w="7214" w:type="dxa"/>
                  <w:tcBorders>
                    <w:tl2br w:val="nil"/>
                    <w:tr2bl w:val="nil"/>
                  </w:tcBorders>
                  <w:vAlign w:val="center"/>
                </w:tcPr>
                <w:p w14:paraId="245C8D3F">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环境敏感目标</w:t>
                  </w:r>
                </w:p>
              </w:tc>
            </w:tr>
            <w:tr w14:paraId="56F88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6B4D6A78">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S1</w:t>
                  </w:r>
                </w:p>
              </w:tc>
              <w:tc>
                <w:tcPr>
                  <w:tcW w:w="7214" w:type="dxa"/>
                  <w:tcBorders>
                    <w:tl2br w:val="nil"/>
                    <w:tr2bl w:val="nil"/>
                  </w:tcBorders>
                  <w:vAlign w:val="center"/>
                </w:tcPr>
                <w:p w14:paraId="30430CCB">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74D2F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10EBDE47">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S2</w:t>
                  </w:r>
                </w:p>
              </w:tc>
              <w:tc>
                <w:tcPr>
                  <w:tcW w:w="7214" w:type="dxa"/>
                  <w:tcBorders>
                    <w:tl2br w:val="nil"/>
                    <w:tr2bl w:val="nil"/>
                  </w:tcBorders>
                  <w:vAlign w:val="center"/>
                </w:tcPr>
                <w:p w14:paraId="10005D3D">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4EEBC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dxa"/>
                  <w:tcBorders>
                    <w:tl2br w:val="nil"/>
                    <w:tr2bl w:val="nil"/>
                  </w:tcBorders>
                  <w:vAlign w:val="center"/>
                </w:tcPr>
                <w:p w14:paraId="0FC2CB67">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S3</w:t>
                  </w:r>
                </w:p>
              </w:tc>
              <w:tc>
                <w:tcPr>
                  <w:tcW w:w="7214" w:type="dxa"/>
                  <w:tcBorders>
                    <w:tl2br w:val="nil"/>
                    <w:tr2bl w:val="nil"/>
                  </w:tcBorders>
                  <w:vAlign w:val="center"/>
                </w:tcPr>
                <w:p w14:paraId="0D954D72">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排放点下游（顺水流向）10km范围、近岸海域一个潮周期水质点可能达到的最大水平距离的两倍范围内无上述类型1和类型2包括的敏感保护目标</w:t>
                  </w:r>
                </w:p>
              </w:tc>
            </w:tr>
          </w:tbl>
          <w:p w14:paraId="17FE246B">
            <w:pPr>
              <w:spacing w:line="520" w:lineRule="exact"/>
              <w:ind w:firstLine="472" w:firstLineChars="200"/>
              <w:rPr>
                <w:rFonts w:ascii="Times New Roman" w:hAnsi="Times New Roman" w:eastAsia="宋体" w:cs="Times New Roman"/>
                <w:color w:val="auto"/>
                <w:spacing w:val="-2"/>
                <w:szCs w:val="20"/>
              </w:rPr>
            </w:pPr>
            <w:r>
              <w:rPr>
                <w:rFonts w:hint="eastAsia" w:ascii="Times New Roman" w:hAnsi="Times New Roman" w:eastAsia="宋体" w:cs="Times New Roman"/>
                <w:color w:val="auto"/>
                <w:spacing w:val="-2"/>
                <w:szCs w:val="20"/>
                <w:lang w:val="en-US" w:eastAsia="zh-CN"/>
              </w:rPr>
              <w:t>本项目周边不存在500m范围不存在地表水饮用水水源保护区等特殊重要保护地表水保护目标</w:t>
            </w:r>
            <w:r>
              <w:rPr>
                <w:rFonts w:ascii="Times New Roman" w:hAnsi="Times New Roman" w:eastAsia="宋体" w:cs="Times New Roman"/>
                <w:color w:val="auto"/>
                <w:spacing w:val="-2"/>
                <w:szCs w:val="20"/>
              </w:rPr>
              <w:t>，</w:t>
            </w:r>
            <w:r>
              <w:rPr>
                <w:rFonts w:hint="eastAsia" w:ascii="Times New Roman" w:hAnsi="Times New Roman" w:eastAsia="宋体" w:cs="Times New Roman"/>
                <w:color w:val="auto"/>
                <w:spacing w:val="-2"/>
                <w:szCs w:val="20"/>
                <w:lang w:val="en-US" w:eastAsia="zh-CN"/>
              </w:rPr>
              <w:t>本项目风选排水、生活污水均排入园区管网</w:t>
            </w:r>
            <w:r>
              <w:rPr>
                <w:rFonts w:hint="eastAsia" w:ascii="Times New Roman" w:hAnsi="Times New Roman" w:eastAsia="宋体" w:cs="Times New Roman"/>
                <w:color w:val="auto"/>
                <w:spacing w:val="-2"/>
                <w:szCs w:val="20"/>
                <w:lang w:eastAsia="zh-CN"/>
              </w:rPr>
              <w:t>，</w:t>
            </w:r>
            <w:r>
              <w:rPr>
                <w:rFonts w:ascii="Times New Roman" w:hAnsi="Times New Roman" w:eastAsia="宋体" w:cs="Times New Roman"/>
                <w:color w:val="auto"/>
                <w:spacing w:val="-2"/>
                <w:szCs w:val="20"/>
              </w:rPr>
              <w:t>不排入地表水体，项目与所在区域无水力联系，不是集中式饮用水水源（包括已建成的在用、备用、应急水源，在建和规划的饮用水水源）准保护区和补给径流区，敏感目标为S</w:t>
            </w:r>
            <w:r>
              <w:rPr>
                <w:rFonts w:hint="eastAsia" w:ascii="Times New Roman" w:hAnsi="Times New Roman" w:eastAsia="宋体" w:cs="Times New Roman"/>
                <w:color w:val="auto"/>
                <w:spacing w:val="-2"/>
                <w:szCs w:val="20"/>
              </w:rPr>
              <w:t>3</w:t>
            </w:r>
            <w:r>
              <w:rPr>
                <w:rFonts w:ascii="Times New Roman" w:hAnsi="Times New Roman" w:eastAsia="宋体" w:cs="Times New Roman"/>
                <w:color w:val="auto"/>
                <w:spacing w:val="-2"/>
                <w:szCs w:val="20"/>
              </w:rPr>
              <w:t xml:space="preserve">，但本项目生活废水不排入地表水体，因此地表水环境敏感特征为低敏感F3。    </w:t>
            </w:r>
          </w:p>
          <w:p w14:paraId="14678221">
            <w:pPr>
              <w:spacing w:line="520" w:lineRule="exact"/>
              <w:ind w:firstLine="472" w:firstLineChars="200"/>
              <w:rPr>
                <w:rFonts w:ascii="Times New Roman" w:hAnsi="Times New Roman" w:eastAsia="宋体" w:cs="Times New Roman"/>
                <w:color w:val="auto"/>
                <w:spacing w:val="-2"/>
                <w:szCs w:val="20"/>
              </w:rPr>
            </w:pPr>
            <w:r>
              <w:rPr>
                <w:rFonts w:ascii="Times New Roman" w:hAnsi="Times New Roman" w:eastAsia="宋体" w:cs="Times New Roman"/>
                <w:color w:val="auto"/>
                <w:spacing w:val="-2"/>
                <w:szCs w:val="20"/>
              </w:rPr>
              <w:t>3）地下水环境敏感程度的确定</w:t>
            </w:r>
          </w:p>
          <w:p w14:paraId="3F0851E0">
            <w:pPr>
              <w:spacing w:line="520" w:lineRule="exact"/>
              <w:ind w:firstLine="472" w:firstLineChars="200"/>
              <w:rPr>
                <w:rFonts w:ascii="Times New Roman" w:hAnsi="Times New Roman" w:eastAsia="宋体" w:cs="Times New Roman"/>
                <w:color w:val="auto"/>
                <w:spacing w:val="-2"/>
                <w:szCs w:val="20"/>
              </w:rPr>
            </w:pPr>
            <w:r>
              <w:rPr>
                <w:rFonts w:ascii="Times New Roman" w:hAnsi="Times New Roman" w:eastAsia="宋体" w:cs="Times New Roman"/>
                <w:color w:val="auto"/>
                <w:spacing w:val="-2"/>
                <w:szCs w:val="20"/>
              </w:rPr>
              <w:t>根据《建设项目环境风险评价技术导则》（HJ169-2018）附录D的规定：项目所在区域地下水环境敏感程度依据地下水功能敏感性与包气带防污性能确定。区域地下水环境敏感程度共分为三种类型，E1为环境高度敏感区，E2为环境中度敏感区，E3为环境低度敏感区，其分级原则见表</w:t>
            </w:r>
            <w:r>
              <w:rPr>
                <w:rFonts w:hint="eastAsia" w:ascii="Times New Roman" w:hAnsi="Times New Roman" w:eastAsia="宋体" w:cs="Times New Roman"/>
                <w:color w:val="auto"/>
                <w:spacing w:val="-2"/>
                <w:szCs w:val="20"/>
                <w:lang w:val="en-US" w:eastAsia="zh-CN"/>
              </w:rPr>
              <w:t>4.11-6</w:t>
            </w:r>
            <w:r>
              <w:rPr>
                <w:rFonts w:ascii="Times New Roman" w:hAnsi="Times New Roman" w:eastAsia="宋体" w:cs="Times New Roman"/>
                <w:color w:val="auto"/>
                <w:spacing w:val="-2"/>
                <w:szCs w:val="20"/>
              </w:rPr>
              <w:t>。其中地下水功能敏感性分区和包气带防污性能分级分别见表</w:t>
            </w:r>
            <w:r>
              <w:rPr>
                <w:rFonts w:hint="eastAsia" w:ascii="Times New Roman" w:hAnsi="Times New Roman" w:eastAsia="宋体" w:cs="Times New Roman"/>
                <w:color w:val="auto"/>
                <w:spacing w:val="-2"/>
                <w:szCs w:val="20"/>
                <w:lang w:val="en-US" w:eastAsia="zh-CN"/>
              </w:rPr>
              <w:t>4.11-7</w:t>
            </w:r>
            <w:r>
              <w:rPr>
                <w:rFonts w:ascii="Times New Roman" w:hAnsi="Times New Roman" w:eastAsia="宋体" w:cs="Times New Roman"/>
                <w:color w:val="auto"/>
                <w:spacing w:val="-2"/>
                <w:szCs w:val="20"/>
              </w:rPr>
              <w:t>和表</w:t>
            </w:r>
            <w:r>
              <w:rPr>
                <w:rFonts w:hint="eastAsia" w:ascii="Times New Roman" w:hAnsi="Times New Roman" w:eastAsia="宋体" w:cs="Times New Roman"/>
                <w:color w:val="auto"/>
                <w:spacing w:val="-2"/>
                <w:szCs w:val="20"/>
                <w:lang w:val="en-US" w:eastAsia="zh-CN"/>
              </w:rPr>
              <w:t>4.11-8</w:t>
            </w:r>
            <w:r>
              <w:rPr>
                <w:rFonts w:ascii="Times New Roman" w:hAnsi="Times New Roman" w:eastAsia="宋体" w:cs="Times New Roman"/>
                <w:color w:val="auto"/>
                <w:spacing w:val="-2"/>
                <w:szCs w:val="20"/>
              </w:rPr>
              <w:t>。当同一建设项目涉及两个G分区或D分级及以上时，取相对值。</w:t>
            </w:r>
          </w:p>
          <w:p w14:paraId="06F82173">
            <w:pPr>
              <w:widowControl/>
              <w:spacing w:after="80" w:line="520" w:lineRule="exact"/>
              <w:jc w:val="center"/>
              <w:rPr>
                <w:rFonts w:ascii="Times New Roman" w:hAnsi="Times New Roman" w:eastAsia="宋体" w:cs="Times New Roman"/>
                <w:b/>
                <w:color w:val="auto"/>
                <w:szCs w:val="24"/>
                <w:lang w:bidi="en-US"/>
              </w:rPr>
            </w:pPr>
            <w:r>
              <w:rPr>
                <w:rFonts w:ascii="Times New Roman" w:hAnsi="Times New Roman" w:eastAsia="宋体" w:cs="Times New Roman"/>
                <w:b/>
                <w:color w:val="auto"/>
                <w:szCs w:val="24"/>
                <w:lang w:bidi="en-US"/>
              </w:rPr>
              <w:t>表</w:t>
            </w:r>
            <w:r>
              <w:rPr>
                <w:rFonts w:hint="eastAsia" w:ascii="Times New Roman" w:hAnsi="Times New Roman" w:eastAsia="宋体" w:cs="Times New Roman"/>
                <w:b/>
                <w:color w:val="auto"/>
                <w:szCs w:val="24"/>
                <w:lang w:val="en-US" w:eastAsia="zh-CN" w:bidi="en-US"/>
              </w:rPr>
              <w:t>4.11-6</w:t>
            </w:r>
            <w:r>
              <w:rPr>
                <w:rFonts w:ascii="Times New Roman" w:hAnsi="Times New Roman" w:eastAsia="宋体" w:cs="Times New Roman"/>
                <w:b/>
                <w:color w:val="auto"/>
                <w:szCs w:val="24"/>
                <w:lang w:bidi="en-US"/>
              </w:rPr>
              <w:t>地下水环境敏感程度分级原则一览表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7"/>
              <w:gridCol w:w="2126"/>
            </w:tblGrid>
            <w:tr w14:paraId="01A88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restart"/>
                  <w:tcBorders>
                    <w:tl2br w:val="nil"/>
                    <w:tr2bl w:val="nil"/>
                  </w:tcBorders>
                  <w:vAlign w:val="center"/>
                </w:tcPr>
                <w:p w14:paraId="00895207">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包气带防污性能</w:t>
                  </w:r>
                </w:p>
              </w:tc>
              <w:tc>
                <w:tcPr>
                  <w:tcW w:w="6391" w:type="dxa"/>
                  <w:gridSpan w:val="3"/>
                  <w:tcBorders>
                    <w:tl2br w:val="nil"/>
                    <w:tr2bl w:val="nil"/>
                  </w:tcBorders>
                  <w:vAlign w:val="center"/>
                </w:tcPr>
                <w:p w14:paraId="239CDAE2">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地下水功能敏感性</w:t>
                  </w:r>
                </w:p>
              </w:tc>
            </w:tr>
            <w:tr w14:paraId="033A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continue"/>
                  <w:tcBorders>
                    <w:tl2br w:val="nil"/>
                    <w:tr2bl w:val="nil"/>
                  </w:tcBorders>
                  <w:vAlign w:val="center"/>
                </w:tcPr>
                <w:p w14:paraId="4371BC09">
                  <w:pPr>
                    <w:spacing w:line="240" w:lineRule="auto"/>
                    <w:jc w:val="center"/>
                    <w:rPr>
                      <w:rFonts w:ascii="Times New Roman" w:hAnsi="Times New Roman" w:eastAsia="宋体" w:cs="Times New Roman"/>
                      <w:color w:val="auto"/>
                      <w:spacing w:val="-2"/>
                      <w:sz w:val="21"/>
                      <w:szCs w:val="21"/>
                    </w:rPr>
                  </w:pPr>
                </w:p>
              </w:tc>
              <w:tc>
                <w:tcPr>
                  <w:tcW w:w="2130" w:type="dxa"/>
                  <w:tcBorders>
                    <w:tl2br w:val="nil"/>
                    <w:tr2bl w:val="nil"/>
                  </w:tcBorders>
                  <w:vAlign w:val="center"/>
                </w:tcPr>
                <w:p w14:paraId="7F1981FF">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G1</w:t>
                  </w:r>
                </w:p>
              </w:tc>
              <w:tc>
                <w:tcPr>
                  <w:tcW w:w="2131" w:type="dxa"/>
                  <w:tcBorders>
                    <w:tl2br w:val="nil"/>
                    <w:tr2bl w:val="nil"/>
                  </w:tcBorders>
                  <w:vAlign w:val="center"/>
                </w:tcPr>
                <w:p w14:paraId="62B060F3">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G2</w:t>
                  </w:r>
                </w:p>
              </w:tc>
              <w:tc>
                <w:tcPr>
                  <w:tcW w:w="2130" w:type="dxa"/>
                  <w:tcBorders>
                    <w:tl2br w:val="nil"/>
                    <w:tr2bl w:val="nil"/>
                  </w:tcBorders>
                  <w:vAlign w:val="center"/>
                </w:tcPr>
                <w:p w14:paraId="321A122D">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G3</w:t>
                  </w:r>
                </w:p>
              </w:tc>
            </w:tr>
            <w:tr w14:paraId="0A70D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14:paraId="0C44FE43">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D1</w:t>
                  </w:r>
                </w:p>
              </w:tc>
              <w:tc>
                <w:tcPr>
                  <w:tcW w:w="2130" w:type="dxa"/>
                  <w:tcBorders>
                    <w:tl2br w:val="nil"/>
                    <w:tr2bl w:val="nil"/>
                  </w:tcBorders>
                  <w:vAlign w:val="center"/>
                </w:tcPr>
                <w:p w14:paraId="233A5C39">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E1</w:t>
                  </w:r>
                </w:p>
              </w:tc>
              <w:tc>
                <w:tcPr>
                  <w:tcW w:w="2131" w:type="dxa"/>
                  <w:tcBorders>
                    <w:tl2br w:val="nil"/>
                    <w:tr2bl w:val="nil"/>
                  </w:tcBorders>
                  <w:vAlign w:val="center"/>
                </w:tcPr>
                <w:p w14:paraId="562DA3C2">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E1</w:t>
                  </w:r>
                </w:p>
              </w:tc>
              <w:tc>
                <w:tcPr>
                  <w:tcW w:w="2130" w:type="dxa"/>
                  <w:tcBorders>
                    <w:tl2br w:val="nil"/>
                    <w:tr2bl w:val="nil"/>
                  </w:tcBorders>
                  <w:vAlign w:val="center"/>
                </w:tcPr>
                <w:p w14:paraId="775E6935">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E2</w:t>
                  </w:r>
                </w:p>
              </w:tc>
            </w:tr>
            <w:tr w14:paraId="50FF9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14:paraId="304C92AA">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D2</w:t>
                  </w:r>
                </w:p>
              </w:tc>
              <w:tc>
                <w:tcPr>
                  <w:tcW w:w="2130" w:type="dxa"/>
                  <w:tcBorders>
                    <w:tl2br w:val="nil"/>
                    <w:tr2bl w:val="nil"/>
                  </w:tcBorders>
                  <w:vAlign w:val="center"/>
                </w:tcPr>
                <w:p w14:paraId="11FB7A08">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E1</w:t>
                  </w:r>
                </w:p>
              </w:tc>
              <w:tc>
                <w:tcPr>
                  <w:tcW w:w="2131" w:type="dxa"/>
                  <w:tcBorders>
                    <w:tl2br w:val="nil"/>
                    <w:tr2bl w:val="nil"/>
                  </w:tcBorders>
                  <w:vAlign w:val="center"/>
                </w:tcPr>
                <w:p w14:paraId="3A6FA0E8">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E2</w:t>
                  </w:r>
                </w:p>
              </w:tc>
              <w:tc>
                <w:tcPr>
                  <w:tcW w:w="2130" w:type="dxa"/>
                  <w:tcBorders>
                    <w:tl2br w:val="nil"/>
                    <w:tr2bl w:val="nil"/>
                  </w:tcBorders>
                  <w:vAlign w:val="center"/>
                </w:tcPr>
                <w:p w14:paraId="2802F299">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E3</w:t>
                  </w:r>
                </w:p>
              </w:tc>
            </w:tr>
            <w:tr w14:paraId="28C72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tcBorders>
                    <w:tl2br w:val="nil"/>
                    <w:tr2bl w:val="nil"/>
                  </w:tcBorders>
                  <w:vAlign w:val="center"/>
                </w:tcPr>
                <w:p w14:paraId="006B8EA4">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D3</w:t>
                  </w:r>
                </w:p>
              </w:tc>
              <w:tc>
                <w:tcPr>
                  <w:tcW w:w="2130" w:type="dxa"/>
                  <w:tcBorders>
                    <w:tl2br w:val="nil"/>
                    <w:tr2bl w:val="nil"/>
                  </w:tcBorders>
                  <w:vAlign w:val="center"/>
                </w:tcPr>
                <w:p w14:paraId="365C763D">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E2</w:t>
                  </w:r>
                </w:p>
              </w:tc>
              <w:tc>
                <w:tcPr>
                  <w:tcW w:w="2131" w:type="dxa"/>
                  <w:tcBorders>
                    <w:tl2br w:val="nil"/>
                    <w:tr2bl w:val="nil"/>
                  </w:tcBorders>
                  <w:vAlign w:val="center"/>
                </w:tcPr>
                <w:p w14:paraId="40A64BC3">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E3</w:t>
                  </w:r>
                </w:p>
              </w:tc>
              <w:tc>
                <w:tcPr>
                  <w:tcW w:w="2130" w:type="dxa"/>
                  <w:tcBorders>
                    <w:tl2br w:val="nil"/>
                    <w:tr2bl w:val="nil"/>
                  </w:tcBorders>
                  <w:vAlign w:val="center"/>
                </w:tcPr>
                <w:p w14:paraId="18BB35B0">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E3</w:t>
                  </w:r>
                </w:p>
              </w:tc>
            </w:tr>
          </w:tbl>
          <w:p w14:paraId="1671D77B">
            <w:pPr>
              <w:widowControl/>
              <w:spacing w:after="80" w:line="520" w:lineRule="exact"/>
              <w:jc w:val="center"/>
              <w:rPr>
                <w:rFonts w:ascii="Times New Roman" w:hAnsi="Times New Roman" w:eastAsia="宋体" w:cs="Times New Roman"/>
                <w:b/>
                <w:color w:val="auto"/>
                <w:szCs w:val="24"/>
                <w:lang w:bidi="en-US"/>
              </w:rPr>
            </w:pPr>
            <w:r>
              <w:rPr>
                <w:rFonts w:ascii="Times New Roman" w:hAnsi="Times New Roman" w:eastAsia="宋体" w:cs="Times New Roman"/>
                <w:b/>
                <w:color w:val="auto"/>
                <w:szCs w:val="24"/>
                <w:lang w:bidi="en-US"/>
              </w:rPr>
              <w:t>表</w:t>
            </w:r>
            <w:r>
              <w:rPr>
                <w:rFonts w:hint="eastAsia" w:ascii="Times New Roman" w:hAnsi="Times New Roman" w:eastAsia="宋体" w:cs="Times New Roman"/>
                <w:b/>
                <w:color w:val="auto"/>
                <w:szCs w:val="24"/>
                <w:lang w:val="en-US" w:eastAsia="zh-CN" w:bidi="en-US"/>
              </w:rPr>
              <w:t>4.11-7</w:t>
            </w:r>
            <w:r>
              <w:rPr>
                <w:rFonts w:ascii="Times New Roman" w:hAnsi="Times New Roman" w:eastAsia="宋体" w:cs="Times New Roman"/>
                <w:b/>
                <w:color w:val="auto"/>
                <w:szCs w:val="24"/>
                <w:lang w:bidi="en-US"/>
              </w:rPr>
              <w:t>地下水功能敏感性分区原则一览表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6909"/>
            </w:tblGrid>
            <w:tr w14:paraId="0FE9B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405744F3">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分级</w:t>
                  </w:r>
                </w:p>
              </w:tc>
              <w:tc>
                <w:tcPr>
                  <w:tcW w:w="6923" w:type="dxa"/>
                  <w:tcBorders>
                    <w:tl2br w:val="nil"/>
                    <w:tr2bl w:val="nil"/>
                  </w:tcBorders>
                  <w:vAlign w:val="center"/>
                </w:tcPr>
                <w:p w14:paraId="7E5F2E13">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分级地下水环境敏感特征</w:t>
                  </w:r>
                </w:p>
              </w:tc>
            </w:tr>
            <w:tr w14:paraId="76595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72295DE1">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敏感G1</w:t>
                  </w:r>
                </w:p>
              </w:tc>
              <w:tc>
                <w:tcPr>
                  <w:tcW w:w="6923" w:type="dxa"/>
                  <w:tcBorders>
                    <w:tl2br w:val="nil"/>
                    <w:tr2bl w:val="nil"/>
                  </w:tcBorders>
                  <w:vAlign w:val="center"/>
                </w:tcPr>
                <w:p w14:paraId="6FC089C0">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5EB40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60AC7D75">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较敏感G2</w:t>
                  </w:r>
                </w:p>
              </w:tc>
              <w:tc>
                <w:tcPr>
                  <w:tcW w:w="6923" w:type="dxa"/>
                  <w:tcBorders>
                    <w:tl2br w:val="nil"/>
                    <w:tr2bl w:val="nil"/>
                  </w:tcBorders>
                  <w:vAlign w:val="center"/>
                </w:tcPr>
                <w:p w14:paraId="4AE3C2D2">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14:paraId="1148B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57421F49">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不敏感G3</w:t>
                  </w:r>
                </w:p>
              </w:tc>
              <w:tc>
                <w:tcPr>
                  <w:tcW w:w="6923" w:type="dxa"/>
                  <w:tcBorders>
                    <w:tl2br w:val="nil"/>
                    <w:tr2bl w:val="nil"/>
                  </w:tcBorders>
                  <w:vAlign w:val="center"/>
                </w:tcPr>
                <w:p w14:paraId="45DBEBD9">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上述地区之外的其他地区</w:t>
                  </w:r>
                </w:p>
              </w:tc>
            </w:tr>
            <w:tr w14:paraId="60901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1" w:type="dxa"/>
                  <w:gridSpan w:val="2"/>
                  <w:tcBorders>
                    <w:tl2br w:val="nil"/>
                    <w:tr2bl w:val="nil"/>
                  </w:tcBorders>
                  <w:vAlign w:val="center"/>
                </w:tcPr>
                <w:p w14:paraId="622E69A5">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环境敏感区是指《建设项目环境影响评价分类管理名录》中所界定的涉及地下水的环境敏感区</w:t>
                  </w:r>
                </w:p>
              </w:tc>
            </w:tr>
          </w:tbl>
          <w:p w14:paraId="10D2566C">
            <w:pPr>
              <w:widowControl/>
              <w:spacing w:after="80" w:line="520" w:lineRule="exact"/>
              <w:jc w:val="center"/>
              <w:rPr>
                <w:rFonts w:ascii="Times New Roman" w:hAnsi="Times New Roman" w:eastAsia="宋体" w:cs="Times New Roman"/>
                <w:b/>
                <w:color w:val="auto"/>
                <w:szCs w:val="24"/>
                <w:lang w:bidi="en-US"/>
              </w:rPr>
            </w:pPr>
            <w:r>
              <w:rPr>
                <w:rFonts w:ascii="Times New Roman" w:hAnsi="Times New Roman" w:eastAsia="宋体" w:cs="Times New Roman"/>
                <w:b/>
                <w:color w:val="auto"/>
                <w:szCs w:val="24"/>
                <w:lang w:bidi="en-US"/>
              </w:rPr>
              <w:t>表</w:t>
            </w:r>
            <w:r>
              <w:rPr>
                <w:rFonts w:hint="eastAsia" w:ascii="Times New Roman" w:hAnsi="Times New Roman" w:eastAsia="宋体" w:cs="Times New Roman"/>
                <w:b/>
                <w:color w:val="auto"/>
                <w:szCs w:val="24"/>
                <w:lang w:val="en-US" w:eastAsia="zh-CN" w:bidi="en-US"/>
              </w:rPr>
              <w:t>4.11-8</w:t>
            </w:r>
            <w:r>
              <w:rPr>
                <w:rFonts w:ascii="Times New Roman" w:hAnsi="Times New Roman" w:eastAsia="宋体" w:cs="Times New Roman"/>
                <w:b/>
                <w:color w:val="auto"/>
                <w:szCs w:val="24"/>
                <w:lang w:bidi="en-US"/>
              </w:rPr>
              <w:t>包气带防污性能分级原则一览表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6909"/>
            </w:tblGrid>
            <w:tr w14:paraId="430F3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40939F1A">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分级</w:t>
                  </w:r>
                </w:p>
              </w:tc>
              <w:tc>
                <w:tcPr>
                  <w:tcW w:w="6923" w:type="dxa"/>
                  <w:tcBorders>
                    <w:tl2br w:val="nil"/>
                    <w:tr2bl w:val="nil"/>
                  </w:tcBorders>
                  <w:vAlign w:val="center"/>
                </w:tcPr>
                <w:p w14:paraId="5B82808B">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包气带岩土的渗透性能</w:t>
                  </w:r>
                </w:p>
              </w:tc>
            </w:tr>
            <w:tr w14:paraId="6D7F3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1BFDA78E">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D3</w:t>
                  </w:r>
                </w:p>
              </w:tc>
              <w:tc>
                <w:tcPr>
                  <w:tcW w:w="6923" w:type="dxa"/>
                  <w:tcBorders>
                    <w:tl2br w:val="nil"/>
                    <w:tr2bl w:val="nil"/>
                  </w:tcBorders>
                  <w:vAlign w:val="center"/>
                </w:tcPr>
                <w:p w14:paraId="3393B8CD">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Mb≥1.0m，K≤1.0×10</w:t>
                  </w:r>
                  <w:r>
                    <w:rPr>
                      <w:rFonts w:ascii="Times New Roman" w:hAnsi="Times New Roman" w:eastAsia="宋体" w:cs="Times New Roman"/>
                      <w:color w:val="auto"/>
                      <w:spacing w:val="-2"/>
                      <w:sz w:val="21"/>
                      <w:szCs w:val="21"/>
                      <w:vertAlign w:val="superscript"/>
                    </w:rPr>
                    <w:t>-6</w:t>
                  </w:r>
                  <w:r>
                    <w:rPr>
                      <w:rFonts w:ascii="Times New Roman" w:hAnsi="Times New Roman" w:eastAsia="宋体" w:cs="Times New Roman"/>
                      <w:color w:val="auto"/>
                      <w:spacing w:val="-2"/>
                      <w:sz w:val="21"/>
                      <w:szCs w:val="21"/>
                    </w:rPr>
                    <w:t>cm/s，且分布连续、稳定</w:t>
                  </w:r>
                </w:p>
              </w:tc>
            </w:tr>
            <w:tr w14:paraId="7E143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3142E009">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D2</w:t>
                  </w:r>
                </w:p>
              </w:tc>
              <w:tc>
                <w:tcPr>
                  <w:tcW w:w="6923" w:type="dxa"/>
                  <w:tcBorders>
                    <w:tl2br w:val="nil"/>
                    <w:tr2bl w:val="nil"/>
                  </w:tcBorders>
                  <w:vAlign w:val="center"/>
                </w:tcPr>
                <w:p w14:paraId="53B96536">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0.5m≤Mb&lt;1.0m，K≤1.0×10</w:t>
                  </w:r>
                  <w:r>
                    <w:rPr>
                      <w:rFonts w:ascii="Times New Roman" w:hAnsi="Times New Roman" w:eastAsia="宋体" w:cs="Times New Roman"/>
                      <w:color w:val="auto"/>
                      <w:spacing w:val="-2"/>
                      <w:sz w:val="21"/>
                      <w:szCs w:val="21"/>
                      <w:vertAlign w:val="superscript"/>
                    </w:rPr>
                    <w:t>-6</w:t>
                  </w:r>
                  <w:r>
                    <w:rPr>
                      <w:rFonts w:ascii="Times New Roman" w:hAnsi="Times New Roman" w:eastAsia="宋体" w:cs="Times New Roman"/>
                      <w:color w:val="auto"/>
                      <w:spacing w:val="-2"/>
                      <w:sz w:val="21"/>
                      <w:szCs w:val="21"/>
                    </w:rPr>
                    <w:t>cm/s，且分布连续、稳定</w:t>
                  </w:r>
                </w:p>
                <w:p w14:paraId="105C8F0E">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Mb≥1.0m，1.0×10</w:t>
                  </w:r>
                  <w:r>
                    <w:rPr>
                      <w:rFonts w:ascii="Times New Roman" w:hAnsi="Times New Roman" w:eastAsia="宋体" w:cs="Times New Roman"/>
                      <w:color w:val="auto"/>
                      <w:spacing w:val="-2"/>
                      <w:sz w:val="21"/>
                      <w:szCs w:val="21"/>
                      <w:vertAlign w:val="superscript"/>
                    </w:rPr>
                    <w:t>-6</w:t>
                  </w:r>
                  <w:r>
                    <w:rPr>
                      <w:rFonts w:ascii="Times New Roman" w:hAnsi="Times New Roman" w:eastAsia="宋体" w:cs="Times New Roman"/>
                      <w:color w:val="auto"/>
                      <w:spacing w:val="-2"/>
                      <w:sz w:val="21"/>
                      <w:szCs w:val="21"/>
                    </w:rPr>
                    <w:t>cm/s＜K≤1.0×10</w:t>
                  </w:r>
                  <w:r>
                    <w:rPr>
                      <w:rFonts w:ascii="Times New Roman" w:hAnsi="Times New Roman" w:eastAsia="宋体" w:cs="Times New Roman"/>
                      <w:color w:val="auto"/>
                      <w:spacing w:val="-2"/>
                      <w:sz w:val="21"/>
                      <w:szCs w:val="21"/>
                      <w:vertAlign w:val="superscript"/>
                    </w:rPr>
                    <w:t>-4</w:t>
                  </w:r>
                  <w:r>
                    <w:rPr>
                      <w:rFonts w:ascii="Times New Roman" w:hAnsi="Times New Roman" w:eastAsia="宋体" w:cs="Times New Roman"/>
                      <w:color w:val="auto"/>
                      <w:spacing w:val="-2"/>
                      <w:sz w:val="21"/>
                      <w:szCs w:val="21"/>
                    </w:rPr>
                    <w:t>cm/s，且分布连续、稳定</w:t>
                  </w:r>
                </w:p>
              </w:tc>
            </w:tr>
            <w:tr w14:paraId="6C354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tcBorders>
                    <w:tl2br w:val="nil"/>
                    <w:tr2bl w:val="nil"/>
                  </w:tcBorders>
                  <w:vAlign w:val="center"/>
                </w:tcPr>
                <w:p w14:paraId="447DA3C4">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D1</w:t>
                  </w:r>
                </w:p>
              </w:tc>
              <w:tc>
                <w:tcPr>
                  <w:tcW w:w="6923" w:type="dxa"/>
                  <w:tcBorders>
                    <w:tl2br w:val="nil"/>
                    <w:tr2bl w:val="nil"/>
                  </w:tcBorders>
                  <w:vAlign w:val="center"/>
                </w:tcPr>
                <w:p w14:paraId="1F99D866">
                  <w:pPr>
                    <w:spacing w:line="240" w:lineRule="auto"/>
                    <w:jc w:val="center"/>
                    <w:rPr>
                      <w:rFonts w:ascii="Times New Roman" w:hAnsi="Times New Roman" w:eastAsia="宋体" w:cs="Times New Roman"/>
                      <w:color w:val="auto"/>
                      <w:spacing w:val="-2"/>
                      <w:sz w:val="21"/>
                      <w:szCs w:val="21"/>
                    </w:rPr>
                  </w:pPr>
                  <w:r>
                    <w:rPr>
                      <w:rFonts w:ascii="Times New Roman" w:hAnsi="Times New Roman" w:eastAsia="宋体" w:cs="Times New Roman"/>
                      <w:color w:val="auto"/>
                      <w:spacing w:val="-2"/>
                      <w:sz w:val="21"/>
                      <w:szCs w:val="21"/>
                    </w:rPr>
                    <w:t>岩（土）层不满足上述“D2”和“D3”条件</w:t>
                  </w:r>
                </w:p>
              </w:tc>
            </w:tr>
            <w:tr w14:paraId="70816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1" w:type="dxa"/>
                  <w:gridSpan w:val="2"/>
                  <w:tcBorders>
                    <w:tl2br w:val="nil"/>
                    <w:tr2bl w:val="nil"/>
                  </w:tcBorders>
                  <w:vAlign w:val="center"/>
                </w:tcPr>
                <w:p w14:paraId="01662BBA">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Mb：岩土层单层厚度。K：渗透系数</w:t>
                  </w:r>
                </w:p>
              </w:tc>
            </w:tr>
          </w:tbl>
          <w:p w14:paraId="513A3164">
            <w:pPr>
              <w:spacing w:line="520" w:lineRule="exact"/>
              <w:ind w:firstLine="472" w:firstLineChars="200"/>
              <w:rPr>
                <w:rFonts w:ascii="Times New Roman" w:hAnsi="Times New Roman" w:eastAsia="宋体" w:cs="Times New Roman"/>
                <w:color w:val="auto"/>
                <w:spacing w:val="-2"/>
                <w:szCs w:val="20"/>
              </w:rPr>
            </w:pPr>
            <w:r>
              <w:rPr>
                <w:rFonts w:ascii="Times New Roman" w:hAnsi="Times New Roman" w:eastAsia="宋体" w:cs="Times New Roman"/>
                <w:color w:val="auto"/>
                <w:spacing w:val="-2"/>
                <w:szCs w:val="20"/>
              </w:rPr>
              <w:t>本项目</w:t>
            </w:r>
            <w:r>
              <w:rPr>
                <w:rFonts w:hint="eastAsia" w:ascii="Times New Roman" w:hAnsi="Times New Roman" w:eastAsia="宋体" w:cs="Times New Roman"/>
                <w:color w:val="auto"/>
                <w:spacing w:val="-2"/>
                <w:szCs w:val="20"/>
                <w:lang w:val="en-US" w:eastAsia="zh-CN"/>
              </w:rPr>
              <w:t>不涉及</w:t>
            </w:r>
            <w:r>
              <w:rPr>
                <w:rFonts w:ascii="Times New Roman" w:hAnsi="Times New Roman" w:eastAsia="宋体" w:cs="Times New Roman"/>
                <w:color w:val="auto"/>
                <w:spacing w:val="-2"/>
                <w:szCs w:val="20"/>
              </w:rPr>
              <w:t>集中式饮用水水源（包括已建成的在用、备用、应急水源，在建和规划的饮用水水源）准保护区和补给径流区，根据表</w:t>
            </w:r>
            <w:r>
              <w:rPr>
                <w:rFonts w:hint="eastAsia" w:ascii="Times New Roman" w:hAnsi="Times New Roman" w:eastAsia="宋体" w:cs="Times New Roman"/>
                <w:color w:val="auto"/>
                <w:spacing w:val="-2"/>
                <w:szCs w:val="20"/>
                <w:lang w:val="en-US" w:eastAsia="zh-CN"/>
              </w:rPr>
              <w:t>4.11-8</w:t>
            </w:r>
            <w:r>
              <w:rPr>
                <w:rFonts w:ascii="Times New Roman" w:hAnsi="Times New Roman" w:eastAsia="宋体" w:cs="Times New Roman"/>
                <w:color w:val="auto"/>
                <w:spacing w:val="-2"/>
                <w:szCs w:val="20"/>
              </w:rPr>
              <w:t>的判定依据，本项目所在区域地下水功能敏感性为不敏感G3。</w:t>
            </w:r>
          </w:p>
          <w:p w14:paraId="16E6EF55">
            <w:pPr>
              <w:spacing w:line="520" w:lineRule="exact"/>
              <w:ind w:firstLine="480" w:firstLineChars="200"/>
              <w:rPr>
                <w:rFonts w:hint="default" w:ascii="Times New Roman" w:hAnsi="Times New Roman" w:eastAsia="宋体" w:cs="宋体"/>
                <w:b/>
                <w:color w:val="auto"/>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w:t>
            </w:r>
            <w:r>
              <w:rPr>
                <w:rFonts w:hint="default" w:ascii="Times New Roman" w:hAnsi="Times New Roman" w:eastAsia="宋体" w:cs="Times New Roman"/>
                <w:color w:val="auto"/>
                <w:kern w:val="2"/>
                <w:sz w:val="24"/>
                <w:szCs w:val="24"/>
                <w:lang w:val="zh-TW" w:eastAsia="zh-CN"/>
              </w:rPr>
              <w:t>项目区及周围水文地质条件</w:t>
            </w:r>
            <w:r>
              <w:rPr>
                <w:rFonts w:hint="eastAsia" w:ascii="Times New Roman" w:hAnsi="Times New Roman" w:eastAsia="宋体" w:cs="Times New Roman"/>
                <w:color w:val="auto"/>
                <w:kern w:val="2"/>
                <w:sz w:val="24"/>
                <w:szCs w:val="24"/>
                <w:lang w:val="zh-TW" w:eastAsia="zh-CN"/>
              </w:rPr>
              <w:t>，</w:t>
            </w:r>
            <w:r>
              <w:rPr>
                <w:rFonts w:hint="default" w:ascii="Times New Roman" w:hAnsi="Times New Roman" w:eastAsia="宋体" w:cs="Times New Roman"/>
                <w:color w:val="auto"/>
                <w:kern w:val="2"/>
                <w:sz w:val="24"/>
                <w:szCs w:val="24"/>
                <w:lang w:val="zh-TW" w:eastAsia="zh-CN"/>
              </w:rPr>
              <w:t>上层为低液限粉土夹低液粘土，厚度 2.4~3.0m，局部夹有薄层粉细砂透镜体，粉细砂厚度为0.2~0.3m，渗透系数在 5.79×10</w:t>
            </w:r>
            <w:r>
              <w:rPr>
                <w:rFonts w:hint="default" w:ascii="Times New Roman" w:hAnsi="Times New Roman" w:eastAsia="宋体" w:cs="Times New Roman"/>
                <w:color w:val="auto"/>
                <w:kern w:val="2"/>
                <w:sz w:val="24"/>
                <w:szCs w:val="24"/>
                <w:vertAlign w:val="superscript"/>
                <w:lang w:val="zh-TW" w:eastAsia="zh-CN"/>
              </w:rPr>
              <w:t>-4</w:t>
            </w:r>
            <w:r>
              <w:rPr>
                <w:rFonts w:hint="default" w:ascii="Times New Roman" w:hAnsi="Times New Roman" w:eastAsia="宋体" w:cs="Times New Roman"/>
                <w:color w:val="auto"/>
                <w:kern w:val="2"/>
                <w:sz w:val="24"/>
                <w:szCs w:val="24"/>
                <w:lang w:val="zh-TW" w:eastAsia="zh-CN"/>
              </w:rPr>
              <w:t>cm/s；下部低液限粉土和粉细砂厚度分别为1.0~1.2m和0.8~1.0m，渗透系数为1.16×10</w:t>
            </w:r>
            <w:r>
              <w:rPr>
                <w:rFonts w:hint="default" w:ascii="Times New Roman" w:hAnsi="Times New Roman" w:eastAsia="宋体" w:cs="Times New Roman"/>
                <w:color w:val="auto"/>
                <w:kern w:val="2"/>
                <w:sz w:val="24"/>
                <w:szCs w:val="24"/>
                <w:vertAlign w:val="superscript"/>
                <w:lang w:val="zh-TW" w:eastAsia="zh-CN"/>
              </w:rPr>
              <w:t>-4</w:t>
            </w:r>
            <w:r>
              <w:rPr>
                <w:rFonts w:hint="default" w:ascii="Times New Roman" w:hAnsi="Times New Roman" w:eastAsia="宋体" w:cs="Times New Roman"/>
                <w:color w:val="auto"/>
                <w:kern w:val="2"/>
                <w:sz w:val="24"/>
                <w:szCs w:val="24"/>
                <w:lang w:val="zh-TW" w:eastAsia="zh-CN"/>
              </w:rPr>
              <w:t>cm/s</w:t>
            </w:r>
            <w:r>
              <w:rPr>
                <w:rFonts w:ascii="Times New Roman" w:hAnsi="Times New Roman" w:eastAsia="宋体" w:cs="Times New Roman"/>
                <w:color w:val="auto"/>
                <w:spacing w:val="-2"/>
                <w:szCs w:val="20"/>
              </w:rPr>
              <w:t>，根据表</w:t>
            </w:r>
            <w:r>
              <w:rPr>
                <w:rFonts w:hint="eastAsia" w:ascii="Times New Roman" w:hAnsi="Times New Roman" w:eastAsia="宋体" w:cs="Times New Roman"/>
                <w:color w:val="auto"/>
                <w:spacing w:val="-2"/>
                <w:szCs w:val="20"/>
                <w:lang w:val="en-US" w:eastAsia="zh-CN"/>
              </w:rPr>
              <w:t>4.11-9</w:t>
            </w:r>
            <w:r>
              <w:rPr>
                <w:rFonts w:ascii="Times New Roman" w:hAnsi="Times New Roman" w:eastAsia="宋体" w:cs="Times New Roman"/>
                <w:color w:val="auto"/>
                <w:spacing w:val="-2"/>
                <w:szCs w:val="20"/>
              </w:rPr>
              <w:t>的判定依据，本项目所在区域包气带防污性能分级为D</w:t>
            </w:r>
            <w:r>
              <w:rPr>
                <w:rFonts w:hint="eastAsia" w:ascii="Times New Roman" w:hAnsi="Times New Roman" w:eastAsia="宋体" w:cs="Times New Roman"/>
                <w:color w:val="auto"/>
                <w:spacing w:val="-2"/>
                <w:szCs w:val="20"/>
                <w:lang w:val="en-US" w:eastAsia="zh-CN"/>
              </w:rPr>
              <w:t>1</w:t>
            </w:r>
            <w:r>
              <w:rPr>
                <w:rFonts w:ascii="Times New Roman" w:hAnsi="Times New Roman" w:eastAsia="宋体" w:cs="Times New Roman"/>
                <w:color w:val="auto"/>
                <w:spacing w:val="-2"/>
                <w:szCs w:val="20"/>
              </w:rPr>
              <w:t>。项目所在区域的地下水环境敏感程度分级为E</w:t>
            </w:r>
            <w:r>
              <w:rPr>
                <w:rFonts w:hint="eastAsia" w:ascii="Times New Roman" w:hAnsi="Times New Roman" w:eastAsia="宋体" w:cs="Times New Roman"/>
                <w:color w:val="auto"/>
                <w:spacing w:val="-2"/>
                <w:szCs w:val="20"/>
                <w:lang w:val="en-US" w:eastAsia="zh-CN"/>
              </w:rPr>
              <w:t>2</w:t>
            </w:r>
            <w:r>
              <w:rPr>
                <w:rFonts w:ascii="Times New Roman" w:hAnsi="Times New Roman" w:eastAsia="宋体" w:cs="Times New Roman"/>
                <w:color w:val="auto"/>
                <w:spacing w:val="-2"/>
                <w:szCs w:val="20"/>
              </w:rPr>
              <w:t>。</w:t>
            </w:r>
          </w:p>
          <w:p w14:paraId="1CF46BBE">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（3）环境风险识别</w:t>
            </w:r>
          </w:p>
          <w:p w14:paraId="186DD95D">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风险影响途径</w:t>
            </w:r>
          </w:p>
          <w:p w14:paraId="1B4BE69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①火灾</w:t>
            </w:r>
          </w:p>
          <w:p w14:paraId="31B78B0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废机油泄漏在遇明火或高热发生火灾时，除热辐射伤害之外，火灾过程中还会产生大量烟雾。烟雾的成分和数量取决于可燃物的化学组成和燃烧反应条件（如温度、压力、助燃物数量等）。在低温时，即明燃阶段，烟雾中以液滴粒子为主，烟气呈青白色。当温度上升至260℃以上时，因发生脱水反应，产生大量游离的炭粒子，烟气呈黑色或灰黑色，当火点温度上升至500℃以上时，炭粒子逐渐减少，烟雾呈灰色。</w:t>
            </w:r>
          </w:p>
          <w:p w14:paraId="15700A9E">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②矿物油泄露</w:t>
            </w:r>
          </w:p>
          <w:p w14:paraId="36D93D17">
            <w:pPr>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atLeast"/>
              <w:ind w:right="0" w:rightChars="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通过对风险识别并结合本工程实际情况，本项目风险主要是矿物油类在危废暂存库暂存过程中，因外力影响、腐蚀、材料各环节存在的缺陷和失误，导致废机油泄露。</w:t>
            </w:r>
          </w:p>
          <w:p w14:paraId="41751DBE">
            <w:pPr>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atLeast"/>
              <w:ind w:right="0" w:rightChars="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 xml:space="preserve">（4）环境风险分析 </w:t>
            </w:r>
          </w:p>
          <w:p w14:paraId="7E8A3FDD">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w:t>
            </w:r>
            <w:r>
              <w:rPr>
                <w:rFonts w:hint="default" w:ascii="Times New Roman" w:hAnsi="Times New Roman" w:eastAsia="宋体" w:cs="Times New Roman"/>
                <w:color w:val="auto"/>
                <w:kern w:val="2"/>
                <w:sz w:val="24"/>
                <w:szCs w:val="20"/>
                <w:highlight w:val="none"/>
                <w:lang w:val="en-US" w:eastAsia="zh-CN"/>
              </w:rPr>
              <w:t>大气环境</w:t>
            </w:r>
          </w:p>
          <w:p w14:paraId="70A60283">
            <w:pPr>
              <w:spacing w:line="52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本项目在</w:t>
            </w:r>
            <w:r>
              <w:rPr>
                <w:rFonts w:hint="default" w:ascii="Times New Roman" w:hAnsi="Times New Roman" w:eastAsia="宋体" w:cs="Times New Roman"/>
                <w:color w:val="auto"/>
                <w:sz w:val="24"/>
                <w:szCs w:val="24"/>
                <w:highlight w:val="none"/>
                <w:lang w:val="en-US" w:eastAsia="zh-CN"/>
              </w:rPr>
              <w:t>矿物油类</w:t>
            </w:r>
            <w:r>
              <w:rPr>
                <w:rFonts w:hint="eastAsia" w:ascii="Times New Roman" w:hAnsi="Times New Roman" w:eastAsia="宋体" w:cs="Times New Roman"/>
                <w:color w:val="auto"/>
                <w:sz w:val="24"/>
                <w:szCs w:val="24"/>
                <w:highlight w:val="none"/>
                <w:lang w:val="en-US" w:eastAsia="zh-CN"/>
              </w:rPr>
              <w:t>在</w:t>
            </w:r>
            <w:r>
              <w:rPr>
                <w:rFonts w:hint="eastAsia" w:cs="Times New Roman"/>
                <w:color w:val="auto"/>
                <w:sz w:val="24"/>
                <w:szCs w:val="24"/>
                <w:highlight w:val="none"/>
                <w:lang w:val="en-US" w:eastAsia="zh-CN"/>
              </w:rPr>
              <w:t>危废库</w:t>
            </w:r>
            <w:r>
              <w:rPr>
                <w:rFonts w:hint="eastAsia" w:ascii="Times New Roman" w:hAnsi="Times New Roman" w:eastAsia="宋体" w:cs="Times New Roman"/>
                <w:color w:val="auto"/>
                <w:sz w:val="24"/>
                <w:szCs w:val="24"/>
                <w:highlight w:val="none"/>
                <w:lang w:val="en-US" w:eastAsia="zh-CN"/>
              </w:rPr>
              <w:t>内储存较少，储存量较小，</w:t>
            </w:r>
            <w:r>
              <w:rPr>
                <w:rFonts w:hint="default" w:ascii="Times New Roman" w:hAnsi="Times New Roman" w:eastAsia="宋体" w:cs="Times New Roman"/>
                <w:color w:val="auto"/>
                <w:sz w:val="24"/>
                <w:szCs w:val="24"/>
                <w:highlight w:val="none"/>
              </w:rPr>
              <w:t>仅对厂区内的工作人员产生影响，对厂界外人员基本没有影响。本项目事故情况下，事故情况最不利气象条件下，</w:t>
            </w:r>
            <w:r>
              <w:rPr>
                <w:rFonts w:hint="default" w:ascii="Times New Roman" w:hAnsi="Times New Roman" w:eastAsia="宋体" w:cs="Times New Roman"/>
                <w:color w:val="auto"/>
                <w:sz w:val="24"/>
                <w:szCs w:val="24"/>
                <w:highlight w:val="none"/>
                <w:lang w:val="en-US" w:eastAsia="zh-CN"/>
              </w:rPr>
              <w:t>矿物油类</w:t>
            </w:r>
            <w:r>
              <w:rPr>
                <w:rFonts w:hint="default" w:ascii="Times New Roman" w:hAnsi="Times New Roman" w:eastAsia="宋体" w:cs="Times New Roman"/>
                <w:color w:val="auto"/>
                <w:sz w:val="24"/>
                <w:szCs w:val="24"/>
                <w:highlight w:val="none"/>
              </w:rPr>
              <w:t>对周围环境</w:t>
            </w:r>
            <w:r>
              <w:rPr>
                <w:rFonts w:hint="eastAsia" w:ascii="Times New Roman" w:hAnsi="Times New Roman" w:eastAsia="宋体" w:cs="Times New Roman"/>
                <w:color w:val="auto"/>
                <w:sz w:val="24"/>
                <w:szCs w:val="24"/>
                <w:highlight w:val="none"/>
                <w:lang w:val="en-US" w:eastAsia="zh-CN"/>
              </w:rPr>
              <w:t>影响</w:t>
            </w:r>
            <w:r>
              <w:rPr>
                <w:rFonts w:hint="default" w:ascii="Times New Roman" w:hAnsi="Times New Roman" w:eastAsia="宋体" w:cs="Times New Roman"/>
                <w:color w:val="auto"/>
                <w:sz w:val="24"/>
                <w:szCs w:val="24"/>
                <w:highlight w:val="none"/>
              </w:rPr>
              <w:t>在可控范围内。</w:t>
            </w:r>
          </w:p>
          <w:p w14:paraId="480889B3">
            <w:pPr>
              <w:keepNext w:val="0"/>
              <w:keepLines w:val="0"/>
              <w:pageBreakBefore w:val="0"/>
              <w:widowControl w:val="0"/>
              <w:kinsoku/>
              <w:wordWrap/>
              <w:overflowPunct/>
              <w:topLinePunct w:val="0"/>
              <w:autoSpaceDE/>
              <w:autoSpaceDN/>
              <w:bidi w:val="0"/>
              <w:adjustRightInd/>
              <w:snapToGrid/>
              <w:spacing w:line="480" w:lineRule="exact"/>
              <w:ind w:firstLine="480" w:firstLineChars="200"/>
              <w:contextualSpacing/>
              <w:textAlignment w:val="auto"/>
              <w:rPr>
                <w:rFonts w:hint="eastAsia" w:hAnsi="宋体"/>
                <w:bCs/>
                <w:color w:val="auto"/>
                <w:sz w:val="24"/>
                <w:lang w:val="en-US" w:eastAsia="zh-CN"/>
              </w:rPr>
            </w:pPr>
            <w:r>
              <w:rPr>
                <w:rFonts w:hint="eastAsia" w:hAnsi="宋体"/>
                <w:bCs/>
                <w:color w:val="auto"/>
                <w:sz w:val="24"/>
                <w:lang w:val="en-US" w:eastAsia="zh-CN"/>
              </w:rPr>
              <w:t>由于厂区内分布9座筒仓，贮存物料均为粉状，因此存在一定高度和高压的风险，当筒仓出现破损时，会导致物料外泄，短期1天内会造成项目区周边TSP浓度过高，经大气沉降后，TSP浓度逐渐变为正常值。</w:t>
            </w:r>
          </w:p>
          <w:p w14:paraId="31A51ED2">
            <w:pPr>
              <w:pStyle w:val="18"/>
              <w:tabs>
                <w:tab w:val="left" w:pos="1845"/>
              </w:tabs>
              <w:spacing w:line="480" w:lineRule="exact"/>
              <w:ind w:firstLine="480" w:firstLineChars="200"/>
              <w:jc w:val="left"/>
              <w:rPr>
                <w:b w:val="0"/>
                <w:bCs/>
                <w:color w:val="auto"/>
              </w:rPr>
            </w:pPr>
            <w:r>
              <w:rPr>
                <w:rFonts w:hint="eastAsia"/>
                <w:b w:val="0"/>
                <w:bCs/>
                <w:color w:val="auto"/>
              </w:rPr>
              <w:t>（</w:t>
            </w:r>
            <w:r>
              <w:rPr>
                <w:rFonts w:hint="eastAsia"/>
                <w:b w:val="0"/>
                <w:bCs/>
                <w:color w:val="auto"/>
                <w:lang w:val="en-US" w:eastAsia="zh-CN"/>
              </w:rPr>
              <w:t>3</w:t>
            </w:r>
            <w:r>
              <w:rPr>
                <w:rFonts w:hint="eastAsia"/>
                <w:b w:val="0"/>
                <w:bCs/>
                <w:color w:val="auto"/>
              </w:rPr>
              <w:t>）应急处置措施</w:t>
            </w:r>
          </w:p>
          <w:p w14:paraId="27A0265D">
            <w:pPr>
              <w:pStyle w:val="18"/>
              <w:tabs>
                <w:tab w:val="left" w:pos="1845"/>
              </w:tabs>
              <w:spacing w:line="480" w:lineRule="exact"/>
              <w:ind w:firstLine="480" w:firstLineChars="200"/>
              <w:jc w:val="left"/>
              <w:rPr>
                <w:rFonts w:hint="eastAsia"/>
                <w:b w:val="0"/>
                <w:bCs/>
                <w:color w:val="auto"/>
              </w:rPr>
            </w:pPr>
            <w:r>
              <w:rPr>
                <w:rFonts w:hint="eastAsia"/>
                <w:b w:val="0"/>
                <w:bCs/>
                <w:color w:val="auto"/>
              </w:rPr>
              <w:t>在发生火灾事故时，应第一时间封闭厂房，减少污染物的扩散。入火势较小可自行使用灭火器等消防设施进行灭火。如火势较大，则拨打电话向消防部门求助。火灾处理后，消防废水通过</w:t>
            </w:r>
            <w:r>
              <w:rPr>
                <w:rFonts w:hint="eastAsia"/>
                <w:b w:val="0"/>
                <w:bCs/>
                <w:color w:val="auto"/>
                <w:lang w:val="en-US" w:eastAsia="zh-CN"/>
              </w:rPr>
              <w:t>厂区</w:t>
            </w:r>
            <w:r>
              <w:rPr>
                <w:rFonts w:hint="eastAsia"/>
                <w:b w:val="0"/>
                <w:bCs/>
                <w:color w:val="auto"/>
              </w:rPr>
              <w:t>导流槽收集至围堰内。</w:t>
            </w:r>
          </w:p>
          <w:p w14:paraId="57D38DB9">
            <w:pPr>
              <w:pStyle w:val="18"/>
              <w:tabs>
                <w:tab w:val="left" w:pos="1845"/>
              </w:tabs>
              <w:spacing w:line="480" w:lineRule="exact"/>
              <w:ind w:firstLine="480" w:firstLineChars="200"/>
              <w:jc w:val="left"/>
              <w:rPr>
                <w:b w:val="0"/>
                <w:bCs/>
                <w:color w:val="auto"/>
              </w:rPr>
            </w:pPr>
            <w:r>
              <w:rPr>
                <w:rFonts w:hint="eastAsia"/>
                <w:b w:val="0"/>
                <w:bCs/>
                <w:color w:val="auto"/>
              </w:rPr>
              <w:t>在发生</w:t>
            </w:r>
            <w:r>
              <w:rPr>
                <w:rFonts w:hint="eastAsia"/>
                <w:b w:val="0"/>
                <w:bCs/>
                <w:color w:val="auto"/>
                <w:lang w:val="en-US" w:eastAsia="zh-CN"/>
              </w:rPr>
              <w:t>粉尘泄漏</w:t>
            </w:r>
            <w:r>
              <w:rPr>
                <w:rFonts w:hint="eastAsia"/>
                <w:b w:val="0"/>
                <w:bCs/>
                <w:color w:val="auto"/>
              </w:rPr>
              <w:t>事故时，应第一时间</w:t>
            </w:r>
            <w:r>
              <w:rPr>
                <w:rFonts w:hint="eastAsia"/>
                <w:b w:val="0"/>
                <w:bCs/>
                <w:color w:val="auto"/>
                <w:lang w:val="en-US" w:eastAsia="zh-CN"/>
              </w:rPr>
              <w:t>抽空筒仓。</w:t>
            </w:r>
          </w:p>
          <w:p w14:paraId="1D94530F">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p>
          <w:p w14:paraId="2A257D0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②水</w:t>
            </w:r>
            <w:r>
              <w:rPr>
                <w:rFonts w:hint="default" w:ascii="Times New Roman" w:hAnsi="Times New Roman" w:eastAsia="宋体" w:cs="Times New Roman"/>
                <w:color w:val="auto"/>
                <w:kern w:val="2"/>
                <w:sz w:val="24"/>
                <w:szCs w:val="20"/>
                <w:highlight w:val="none"/>
                <w:lang w:val="en-US" w:eastAsia="zh-CN"/>
              </w:rPr>
              <w:t>环境</w:t>
            </w:r>
          </w:p>
          <w:p w14:paraId="3BAA65A5">
            <w:pPr>
              <w:spacing w:line="52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本项目与地表水体不发生水力联系</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事故情况下，泄露的物料均泄露于</w:t>
            </w:r>
            <w:r>
              <w:rPr>
                <w:rFonts w:hint="eastAsia" w:ascii="Times New Roman" w:hAnsi="Times New Roman" w:eastAsia="宋体" w:cs="Times New Roman"/>
                <w:color w:val="auto"/>
                <w:sz w:val="24"/>
                <w:szCs w:val="24"/>
                <w:highlight w:val="none"/>
                <w:lang w:val="en-US" w:eastAsia="zh-CN"/>
              </w:rPr>
              <w:t>硬化地面，</w:t>
            </w:r>
            <w:r>
              <w:rPr>
                <w:rFonts w:hint="eastAsia" w:cs="Times New Roman"/>
                <w:color w:val="auto"/>
                <w:sz w:val="24"/>
                <w:szCs w:val="24"/>
                <w:highlight w:val="none"/>
                <w:lang w:val="en-US" w:eastAsia="zh-CN"/>
              </w:rPr>
              <w:t>危废库</w:t>
            </w:r>
            <w:r>
              <w:rPr>
                <w:rFonts w:hint="eastAsia" w:ascii="Times New Roman" w:hAnsi="Times New Roman" w:eastAsia="宋体" w:cs="Times New Roman"/>
                <w:color w:val="auto"/>
                <w:sz w:val="24"/>
                <w:szCs w:val="24"/>
                <w:highlight w:val="none"/>
                <w:lang w:val="en-US" w:eastAsia="zh-CN"/>
              </w:rPr>
              <w:t>为重点防渗</w:t>
            </w:r>
            <w:r>
              <w:rPr>
                <w:rFonts w:hint="default" w:ascii="Times New Roman" w:hAnsi="Times New Roman" w:eastAsia="宋体" w:cs="Times New Roman"/>
                <w:color w:val="auto"/>
                <w:sz w:val="24"/>
                <w:szCs w:val="24"/>
                <w:highlight w:val="none"/>
              </w:rPr>
              <w:t>。因此，事故情况下，泄露的物料对</w:t>
            </w:r>
            <w:r>
              <w:rPr>
                <w:rFonts w:hint="eastAsia" w:ascii="Times New Roman" w:hAnsi="Times New Roman" w:eastAsia="宋体" w:cs="Times New Roman"/>
                <w:color w:val="auto"/>
                <w:sz w:val="24"/>
                <w:szCs w:val="24"/>
                <w:highlight w:val="none"/>
                <w:lang w:val="en-US" w:eastAsia="zh-CN"/>
              </w:rPr>
              <w:t>周边水</w:t>
            </w:r>
            <w:r>
              <w:rPr>
                <w:rFonts w:hint="default" w:ascii="Times New Roman" w:hAnsi="Times New Roman" w:eastAsia="宋体" w:cs="Times New Roman"/>
                <w:color w:val="auto"/>
                <w:sz w:val="24"/>
                <w:szCs w:val="24"/>
                <w:highlight w:val="none"/>
              </w:rPr>
              <w:t>环境无影响。</w:t>
            </w:r>
          </w:p>
          <w:p w14:paraId="21B2732F">
            <w:pPr>
              <w:widowControl w:val="0"/>
              <w:autoSpaceDE w:val="0"/>
              <w:autoSpaceDN w:val="0"/>
              <w:adjustRightInd w:val="0"/>
              <w:rPr>
                <w:rFonts w:hint="default" w:ascii="宋体" w:hAnsi="Times New Roman" w:eastAsia="宋体" w:cs="宋体"/>
                <w:color w:val="auto"/>
                <w:sz w:val="24"/>
                <w:szCs w:val="24"/>
                <w:lang w:val="en-US" w:eastAsia="zh-CN" w:bidi="ar-SA"/>
              </w:rPr>
            </w:pPr>
            <w:r>
              <w:rPr>
                <w:rFonts w:hint="eastAsia" w:ascii="Times New Roman" w:hAnsi="Times New Roman" w:eastAsia="宋体" w:cs="Times New Roman"/>
                <w:color w:val="auto"/>
                <w:sz w:val="24"/>
                <w:szCs w:val="24"/>
                <w:highlight w:val="none"/>
                <w:lang w:val="en-US" w:eastAsia="zh-CN" w:bidi="ar-SA"/>
              </w:rPr>
              <w:t xml:space="preserve">    ③土壤环境</w:t>
            </w:r>
          </w:p>
          <w:p w14:paraId="60C1C280">
            <w:pPr>
              <w:spacing w:line="52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营运期内</w:t>
            </w:r>
            <w:r>
              <w:rPr>
                <w:rFonts w:hint="eastAsia" w:ascii="Times New Roman" w:hAnsi="Times New Roman" w:eastAsia="宋体" w:cs="Times New Roman"/>
                <w:color w:val="auto"/>
                <w:sz w:val="24"/>
                <w:szCs w:val="24"/>
                <w:highlight w:val="none"/>
                <w:lang w:val="en-US" w:eastAsia="zh-CN" w:bidi="ar-SA"/>
              </w:rPr>
              <w:t>物料</w:t>
            </w:r>
            <w:r>
              <w:rPr>
                <w:rFonts w:hint="default" w:ascii="Times New Roman" w:hAnsi="Times New Roman" w:eastAsia="宋体" w:cs="Times New Roman"/>
                <w:color w:val="auto"/>
                <w:sz w:val="24"/>
                <w:szCs w:val="24"/>
                <w:highlight w:val="none"/>
                <w:lang w:val="en-US" w:eastAsia="zh-CN" w:bidi="ar-SA"/>
              </w:rPr>
              <w:t>若发生泄漏（在不发生爆炸及火灾情况下），泄漏的物料会蔓延至</w:t>
            </w:r>
            <w:r>
              <w:rPr>
                <w:rFonts w:hint="eastAsia" w:cs="Times New Roman"/>
                <w:color w:val="auto"/>
                <w:sz w:val="24"/>
                <w:szCs w:val="24"/>
                <w:highlight w:val="none"/>
                <w:lang w:val="en-US" w:eastAsia="zh-CN" w:bidi="ar-SA"/>
              </w:rPr>
              <w:t>危废库</w:t>
            </w:r>
            <w:r>
              <w:rPr>
                <w:rFonts w:hint="eastAsia" w:ascii="Times New Roman" w:hAnsi="Times New Roman" w:eastAsia="宋体" w:cs="Times New Roman"/>
                <w:color w:val="auto"/>
                <w:sz w:val="24"/>
                <w:szCs w:val="24"/>
                <w:highlight w:val="none"/>
                <w:lang w:val="en-US" w:eastAsia="zh-CN" w:bidi="ar-SA"/>
              </w:rPr>
              <w:t>内</w:t>
            </w:r>
            <w:r>
              <w:rPr>
                <w:rFonts w:hint="default" w:ascii="Times New Roman" w:hAnsi="Times New Roman" w:eastAsia="宋体" w:cs="Times New Roman"/>
                <w:color w:val="auto"/>
                <w:sz w:val="24"/>
                <w:szCs w:val="24"/>
                <w:highlight w:val="none"/>
                <w:lang w:val="en-US" w:eastAsia="zh-CN" w:bidi="ar-SA"/>
              </w:rPr>
              <w:t>地面</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地面采取</w:t>
            </w:r>
            <w:r>
              <w:rPr>
                <w:rFonts w:hint="eastAsia" w:ascii="Times New Roman" w:hAnsi="Times New Roman" w:eastAsia="宋体" w:cs="Times New Roman"/>
                <w:color w:val="auto"/>
                <w:sz w:val="24"/>
                <w:szCs w:val="24"/>
                <w:highlight w:val="none"/>
                <w:lang w:val="en-US" w:eastAsia="zh-CN" w:bidi="ar-SA"/>
              </w:rPr>
              <w:t>重点防渗措施</w:t>
            </w:r>
            <w:r>
              <w:rPr>
                <w:rFonts w:hint="default" w:ascii="Times New Roman" w:hAnsi="Times New Roman" w:eastAsia="宋体" w:cs="Times New Roman"/>
                <w:color w:val="auto"/>
                <w:sz w:val="24"/>
                <w:szCs w:val="24"/>
                <w:highlight w:val="none"/>
                <w:lang w:val="en-US" w:eastAsia="zh-CN" w:bidi="ar-SA"/>
              </w:rPr>
              <w:t>进行防护，</w:t>
            </w:r>
            <w:r>
              <w:rPr>
                <w:rFonts w:hint="eastAsia" w:ascii="Times New Roman" w:hAnsi="Times New Roman" w:eastAsia="宋体" w:cs="Times New Roman"/>
                <w:color w:val="auto"/>
                <w:sz w:val="24"/>
                <w:szCs w:val="24"/>
                <w:highlight w:val="none"/>
                <w:lang w:val="en-US" w:eastAsia="zh-CN" w:bidi="ar-SA"/>
              </w:rPr>
              <w:t>厂区内地面均做硬化处理</w:t>
            </w:r>
            <w:r>
              <w:rPr>
                <w:rFonts w:hint="default" w:ascii="Times New Roman" w:hAnsi="Times New Roman" w:eastAsia="宋体" w:cs="Times New Roman"/>
                <w:color w:val="auto"/>
                <w:sz w:val="24"/>
                <w:szCs w:val="24"/>
                <w:highlight w:val="none"/>
                <w:lang w:val="en-US" w:eastAsia="zh-CN" w:bidi="ar-SA"/>
              </w:rPr>
              <w:t>，因此，泄漏后不会大面积逸散，在发生泄漏后，厂内工作人员将及时清理，因此，若发生泄漏等事故不会对</w:t>
            </w:r>
            <w:r>
              <w:rPr>
                <w:rFonts w:hint="eastAsia" w:ascii="Times New Roman" w:hAnsi="Times New Roman" w:eastAsia="宋体" w:cs="Times New Roman"/>
                <w:color w:val="auto"/>
                <w:sz w:val="24"/>
                <w:szCs w:val="24"/>
                <w:highlight w:val="none"/>
                <w:lang w:val="en-US" w:eastAsia="zh-CN" w:bidi="ar-SA"/>
              </w:rPr>
              <w:t>土壤环境</w:t>
            </w:r>
            <w:r>
              <w:rPr>
                <w:rFonts w:hint="default" w:ascii="Times New Roman" w:hAnsi="Times New Roman" w:eastAsia="宋体" w:cs="Times New Roman"/>
                <w:color w:val="auto"/>
                <w:sz w:val="24"/>
                <w:szCs w:val="24"/>
                <w:highlight w:val="none"/>
                <w:lang w:val="en-US" w:eastAsia="zh-CN"/>
              </w:rPr>
              <w:t>造成影响。</w:t>
            </w:r>
          </w:p>
          <w:p w14:paraId="270925C2">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（5）环境风险防范措施</w:t>
            </w:r>
          </w:p>
          <w:p w14:paraId="7E836833">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企业设置安全环保管理机构，配备管理人员，通过技能培训，承担该公司运行中的环保安全工作。</w:t>
            </w:r>
          </w:p>
          <w:p w14:paraId="1318644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安全环保机构将根据相关的环境管理要求，结合具体情况，制定企业的各项安全生产管理制度、严格的生产操作规则和完善的事故应急计划及相应的应急处理手段和设施，同时加强安全教育，以提高职工的安全意识和安全防范能力。</w:t>
            </w:r>
          </w:p>
          <w:p w14:paraId="77302575">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①总图布置</w:t>
            </w:r>
          </w:p>
          <w:p w14:paraId="68311FAA">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在总平面布置方面，严格执行相关规范要求，所有建、构筑物之间或与</w:t>
            </w:r>
            <w:r>
              <w:rPr>
                <w:rFonts w:hint="eastAsia" w:ascii="Times New Roman" w:hAnsi="Times New Roman" w:cs="Times New Roman"/>
                <w:color w:val="auto"/>
                <w:kern w:val="2"/>
                <w:sz w:val="24"/>
                <w:szCs w:val="20"/>
                <w:highlight w:val="none"/>
                <w:lang w:val="en-US" w:eastAsia="zh-CN"/>
              </w:rPr>
              <w:t>其他</w:t>
            </w:r>
            <w:r>
              <w:rPr>
                <w:rFonts w:hint="eastAsia" w:ascii="Times New Roman" w:hAnsi="Times New Roman" w:eastAsia="宋体" w:cs="Times New Roman"/>
                <w:color w:val="auto"/>
                <w:kern w:val="2"/>
                <w:sz w:val="24"/>
                <w:szCs w:val="20"/>
                <w:highlight w:val="none"/>
                <w:lang w:val="en-US" w:eastAsia="zh-CN"/>
              </w:rPr>
              <w:t>场所之间留有足够的防火间距，防止在火灾或爆炸时相互影响；严格按工艺处理物料特性，对厂区进行危险区划分。</w:t>
            </w:r>
          </w:p>
          <w:p w14:paraId="58FEF093">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道路实行人、货流分开(划分人行区域和车辆行驶区域、不重叠)，划出专用车辆行驶路线、严禁烟火标志等并严格执行；在总平面布置中配套建设应急救援设施、救援通道、应急疏散避难所等防护设施。按《安全标志》规定在装置区设置有关的安全标志。道路形成环状，建筑间距符合要求，设置大门，将厂前区和人流、物流分开。</w:t>
            </w:r>
          </w:p>
          <w:p w14:paraId="0C27F77F">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②建筑安全防范</w:t>
            </w:r>
          </w:p>
          <w:p w14:paraId="22DC4C9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火灾危险性等级和防火要求，建筑物的防火等级均采用国家现行规范要求的耐火等级设计，满足建筑防火要求。凡禁火区均设置明显标志牌。各种易燃物料均储存在阴凉、通风处，远离火源。安全出口及安全疏散距离应符合《建筑设计防火规范》(GB50016-2006)的要求。</w:t>
            </w:r>
          </w:p>
          <w:p w14:paraId="5979324E">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生产工序的特点，在生产设施按物料性质和人身可能意外接触到的有害物质而引起烧伤、刺激或伤害皮肤的区域内，均设置紧急淋浴和洗眼器，并加以明显标记。并在生产区设置救护箱。工作人员配备必要的个人防护用品。</w:t>
            </w:r>
          </w:p>
          <w:p w14:paraId="241AC339">
            <w:pPr>
              <w:pStyle w:val="18"/>
              <w:tabs>
                <w:tab w:val="left" w:pos="1845"/>
              </w:tabs>
              <w:spacing w:line="480" w:lineRule="exact"/>
              <w:ind w:firstLine="480" w:firstLineChars="200"/>
              <w:jc w:val="left"/>
              <w:rPr>
                <w:rFonts w:hint="eastAsia"/>
                <w:b w:val="0"/>
                <w:bCs/>
                <w:color w:val="auto"/>
                <w:lang w:val="en-US" w:eastAsia="zh-CN"/>
              </w:rPr>
            </w:pPr>
            <w:r>
              <w:rPr>
                <w:rFonts w:hint="eastAsia"/>
                <w:b w:val="0"/>
                <w:bCs/>
                <w:color w:val="auto"/>
                <w:lang w:val="en-US" w:eastAsia="zh-CN"/>
              </w:rPr>
              <w:t>③设置危废间，并采取重点防渗处理。</w:t>
            </w:r>
          </w:p>
          <w:p w14:paraId="011C7162">
            <w:pPr>
              <w:pStyle w:val="18"/>
              <w:tabs>
                <w:tab w:val="left" w:pos="1845"/>
              </w:tabs>
              <w:spacing w:line="480" w:lineRule="exact"/>
              <w:ind w:firstLine="480" w:firstLineChars="200"/>
              <w:jc w:val="left"/>
              <w:rPr>
                <w:b w:val="0"/>
                <w:bCs/>
                <w:color w:val="auto"/>
              </w:rPr>
            </w:pPr>
            <w:r>
              <w:rPr>
                <w:rFonts w:hint="eastAsia"/>
                <w:b w:val="0"/>
                <w:bCs/>
                <w:color w:val="auto"/>
                <w:lang w:val="en-US" w:eastAsia="zh-CN"/>
              </w:rPr>
              <w:t>④</w:t>
            </w:r>
            <w:r>
              <w:rPr>
                <w:rFonts w:hint="eastAsia"/>
                <w:b w:val="0"/>
                <w:bCs/>
                <w:color w:val="auto"/>
              </w:rPr>
              <w:t>定期对</w:t>
            </w:r>
            <w:r>
              <w:rPr>
                <w:rFonts w:hint="eastAsia"/>
                <w:b w:val="0"/>
                <w:bCs/>
                <w:color w:val="auto"/>
                <w:lang w:val="en-US" w:eastAsia="zh-CN"/>
              </w:rPr>
              <w:t>筒仓</w:t>
            </w:r>
            <w:r>
              <w:rPr>
                <w:rFonts w:hint="eastAsia"/>
                <w:b w:val="0"/>
                <w:bCs/>
                <w:color w:val="auto"/>
              </w:rPr>
              <w:t>等装纳容器进行检测，及时对已损坏的设施进行修补或更换，确保装纳容器密闭完好；</w:t>
            </w:r>
          </w:p>
          <w:p w14:paraId="1240965B">
            <w:pPr>
              <w:spacing w:line="480" w:lineRule="exact"/>
              <w:ind w:firstLine="480" w:firstLineChars="200"/>
              <w:jc w:val="left"/>
              <w:rPr>
                <w:b w:val="0"/>
                <w:bCs/>
                <w:color w:val="auto"/>
              </w:rPr>
            </w:pPr>
            <w:r>
              <w:rPr>
                <w:rFonts w:hint="eastAsia"/>
                <w:b w:val="0"/>
                <w:bCs/>
                <w:color w:val="auto"/>
                <w:lang w:val="en-US" w:eastAsia="zh-CN"/>
              </w:rPr>
              <w:t>⑤</w:t>
            </w:r>
            <w:r>
              <w:rPr>
                <w:b w:val="0"/>
                <w:bCs/>
                <w:color w:val="auto"/>
              </w:rPr>
              <w:t>安装设置视频监控系统，并与</w:t>
            </w:r>
            <w:r>
              <w:rPr>
                <w:rFonts w:hint="eastAsia"/>
                <w:b w:val="0"/>
                <w:bCs/>
                <w:color w:val="auto"/>
                <w:lang w:val="en-US" w:eastAsia="zh-CN"/>
              </w:rPr>
              <w:t>环保部门联网</w:t>
            </w:r>
            <w:r>
              <w:rPr>
                <w:b w:val="0"/>
                <w:bCs/>
                <w:color w:val="auto"/>
              </w:rPr>
              <w:t>。</w:t>
            </w:r>
          </w:p>
          <w:p w14:paraId="5D5B0143">
            <w:pPr>
              <w:spacing w:line="480" w:lineRule="exact"/>
              <w:ind w:firstLine="480" w:firstLineChars="200"/>
              <w:jc w:val="left"/>
              <w:rPr>
                <w:rFonts w:hint="eastAsia"/>
                <w:b w:val="0"/>
                <w:bCs/>
                <w:color w:val="auto"/>
                <w:lang w:val="en-US" w:eastAsia="zh-CN"/>
              </w:rPr>
            </w:pPr>
            <w:r>
              <w:rPr>
                <w:rFonts w:hint="eastAsia"/>
                <w:b w:val="0"/>
                <w:bCs/>
                <w:color w:val="auto"/>
                <w:lang w:val="en-US" w:eastAsia="zh-CN"/>
              </w:rPr>
              <w:t>根据《危险废物贮存污染控制标准》（GB18597-2023），设置警示标志，分类管理，分类存放；配备必要的危险品事故防范和应急技术装备，定期巡检。</w:t>
            </w:r>
          </w:p>
          <w:p w14:paraId="4A878F34">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b w:val="0"/>
                <w:bCs/>
                <w:color w:val="auto"/>
                <w:lang w:val="en-US" w:eastAsia="zh-CN"/>
              </w:rPr>
            </w:pPr>
            <w:r>
              <w:rPr>
                <w:rFonts w:hint="eastAsia"/>
                <w:b w:val="0"/>
                <w:bCs/>
                <w:color w:val="auto"/>
                <w:lang w:val="en-US" w:eastAsia="zh-CN"/>
              </w:rPr>
              <w:t>⑥加强环保设施日常管理和维护，定期检查、及时维修或更换零部件。制定完善的管理制度及相应的急救设施，进行应急预案修订工作，定期组织应急演练。</w:t>
            </w:r>
          </w:p>
          <w:p w14:paraId="5BDD1ACA">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cs="Times New Roman"/>
                <w:color w:val="auto"/>
                <w:kern w:val="2"/>
                <w:sz w:val="24"/>
                <w:szCs w:val="20"/>
                <w:highlight w:val="none"/>
                <w:lang w:val="en-US" w:eastAsia="zh-CN"/>
              </w:rPr>
              <w:t>（6）</w:t>
            </w:r>
            <w:r>
              <w:rPr>
                <w:rFonts w:hint="eastAsia" w:ascii="Times New Roman" w:hAnsi="Times New Roman" w:eastAsia="宋体" w:cs="Times New Roman"/>
                <w:color w:val="auto"/>
                <w:kern w:val="2"/>
                <w:sz w:val="24"/>
                <w:szCs w:val="20"/>
                <w:highlight w:val="none"/>
                <w:lang w:val="en-US" w:eastAsia="zh-CN"/>
              </w:rPr>
              <w:t>污染治理系统事故预防措施</w:t>
            </w:r>
          </w:p>
          <w:p w14:paraId="640AFFE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项目的废气治理设施在设计、施工时，应严格按照工程设计规范要求进行，选用标准管材，并做必要的防腐防渗处理。锅炉房、</w:t>
            </w:r>
            <w:r>
              <w:rPr>
                <w:rFonts w:hint="eastAsia" w:cs="Times New Roman"/>
                <w:color w:val="auto"/>
                <w:kern w:val="2"/>
                <w:sz w:val="24"/>
                <w:szCs w:val="20"/>
                <w:highlight w:val="none"/>
                <w:lang w:val="en-US" w:eastAsia="zh-CN"/>
              </w:rPr>
              <w:t>危废库</w:t>
            </w:r>
            <w:r>
              <w:rPr>
                <w:rFonts w:hint="eastAsia" w:ascii="Times New Roman" w:hAnsi="Times New Roman" w:eastAsia="宋体" w:cs="Times New Roman"/>
                <w:color w:val="auto"/>
                <w:kern w:val="2"/>
                <w:sz w:val="24"/>
                <w:szCs w:val="20"/>
                <w:highlight w:val="none"/>
                <w:lang w:val="en-US" w:eastAsia="zh-CN"/>
              </w:rPr>
              <w:t>设置相应的灭火器。项目金属设备、设施均采用保护接地措施，如发生火灾时火灾面积亦能得到一定程度控制，对火灾向更大范围扩大起到抑制作用。</w:t>
            </w:r>
          </w:p>
          <w:p w14:paraId="27FD1243">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2、环境风险事故应急处置措施</w:t>
            </w:r>
          </w:p>
          <w:p w14:paraId="40AD283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A.废气事故应急处理</w:t>
            </w:r>
          </w:p>
          <w:p w14:paraId="2FF98301">
            <w:pPr>
              <w:pStyle w:val="18"/>
              <w:tabs>
                <w:tab w:val="left" w:pos="1845"/>
              </w:tabs>
              <w:spacing w:line="480" w:lineRule="exact"/>
              <w:ind w:firstLine="480" w:firstLineChars="200"/>
              <w:jc w:val="left"/>
              <w:rPr>
                <w:b w:val="0"/>
                <w:bCs/>
                <w:color w:val="auto"/>
              </w:rPr>
            </w:pPr>
            <w:r>
              <w:rPr>
                <w:rFonts w:hint="eastAsia"/>
                <w:b w:val="0"/>
                <w:bCs/>
                <w:color w:val="auto"/>
              </w:rPr>
              <w:t>在发生</w:t>
            </w:r>
            <w:r>
              <w:rPr>
                <w:rFonts w:hint="eastAsia"/>
                <w:b w:val="0"/>
                <w:bCs/>
                <w:color w:val="auto"/>
                <w:lang w:val="en-US" w:eastAsia="zh-CN"/>
              </w:rPr>
              <w:t>粉尘泄漏</w:t>
            </w:r>
            <w:r>
              <w:rPr>
                <w:rFonts w:hint="eastAsia"/>
                <w:b w:val="0"/>
                <w:bCs/>
                <w:color w:val="auto"/>
              </w:rPr>
              <w:t>事故时，应第一时间</w:t>
            </w:r>
            <w:r>
              <w:rPr>
                <w:rFonts w:hint="eastAsia"/>
                <w:b w:val="0"/>
                <w:bCs/>
                <w:color w:val="auto"/>
                <w:lang w:val="en-US" w:eastAsia="zh-CN"/>
              </w:rPr>
              <w:t>抽空筒仓。</w:t>
            </w:r>
          </w:p>
          <w:p w14:paraId="47B83EE0">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严格控制和管理，加强事故防范措施和事故应急处理的技能，将“预防为主、安全第一”的理念作为减少事故发生、降低污染事故损害的主要保障。</w:t>
            </w:r>
          </w:p>
          <w:p w14:paraId="73BD9E59">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事故发生后积极组织力量维修，环境监测人员迅速赶到事故现场监测，并详细记录好监测数据，以备应急领导小组参考。事故排除后，环境监测人员持续监测环境状况，机械设备抢修人员负责对设备进行全面的维修保养，确保环境与设备全部安全后方可恢复生产；善后处理对要负责进行事故原因调查和全面的设备安全检查，询问事故发现人有关情况，包括电力设备运行情况、故障部位等。</w:t>
            </w:r>
          </w:p>
          <w:p w14:paraId="150AF088">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B.火灾的应急处理</w:t>
            </w:r>
          </w:p>
          <w:p w14:paraId="021D6C5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本项目发生火灾，应根据应急预案分级响应条件，</w:t>
            </w:r>
            <w:r>
              <w:rPr>
                <w:rFonts w:hint="eastAsia" w:cs="Times New Roman"/>
                <w:color w:val="auto"/>
                <w:kern w:val="2"/>
                <w:sz w:val="24"/>
                <w:szCs w:val="20"/>
                <w:highlight w:val="none"/>
                <w:lang w:val="en-US" w:eastAsia="zh-CN"/>
              </w:rPr>
              <w:t>启动相应</w:t>
            </w:r>
            <w:r>
              <w:rPr>
                <w:rFonts w:hint="eastAsia" w:ascii="Times New Roman" w:hAnsi="Times New Roman" w:eastAsia="宋体" w:cs="Times New Roman"/>
                <w:color w:val="auto"/>
                <w:kern w:val="2"/>
                <w:sz w:val="24"/>
                <w:szCs w:val="20"/>
                <w:highlight w:val="none"/>
                <w:lang w:val="en-US" w:eastAsia="zh-CN"/>
              </w:rPr>
              <w:t>的分级措施。</w:t>
            </w:r>
          </w:p>
          <w:p w14:paraId="547D67B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①立即向调度室和应急指挥办公室报告。</w:t>
            </w:r>
          </w:p>
          <w:p w14:paraId="345F7507">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②切断火势蔓延的途径，冷却和疏散受火势威胁的密闭容器和可燃物，控制燃烧范围，并积极抢救受伤和被困人员。</w:t>
            </w:r>
          </w:p>
          <w:p w14:paraId="2EDFC7B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③通知环保、安全等相关部门人员，启动应急救护程序。</w:t>
            </w:r>
          </w:p>
          <w:p w14:paraId="4AC22679">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④组织救援小组，封锁现场，疏散人员。</w:t>
            </w:r>
          </w:p>
          <w:p w14:paraId="730B0B71">
            <w:pPr>
              <w:pStyle w:val="18"/>
              <w:tabs>
                <w:tab w:val="left" w:pos="1845"/>
              </w:tabs>
              <w:spacing w:line="480" w:lineRule="exact"/>
              <w:ind w:firstLine="482" w:firstLineChars="200"/>
              <w:jc w:val="left"/>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⑤</w:t>
            </w:r>
            <w:r>
              <w:rPr>
                <w:rFonts w:hint="eastAsia"/>
                <w:b w:val="0"/>
                <w:bCs/>
                <w:color w:val="auto"/>
              </w:rPr>
              <w:t>火灾处理后，消防废水通过</w:t>
            </w:r>
            <w:r>
              <w:rPr>
                <w:rFonts w:hint="eastAsia"/>
                <w:b w:val="0"/>
                <w:bCs/>
                <w:color w:val="auto"/>
                <w:lang w:val="en-US" w:eastAsia="zh-CN"/>
              </w:rPr>
              <w:t>厂区</w:t>
            </w:r>
            <w:r>
              <w:rPr>
                <w:rFonts w:hint="eastAsia"/>
                <w:b w:val="0"/>
                <w:bCs/>
                <w:color w:val="auto"/>
              </w:rPr>
              <w:t>导流槽收集至</w:t>
            </w:r>
            <w:r>
              <w:rPr>
                <w:rFonts w:hint="eastAsia"/>
                <w:b w:val="0"/>
                <w:bCs/>
                <w:color w:val="auto"/>
                <w:lang w:val="en-US" w:eastAsia="zh-CN"/>
              </w:rPr>
              <w:t>事故池</w:t>
            </w:r>
            <w:r>
              <w:rPr>
                <w:rFonts w:hint="eastAsia"/>
                <w:b w:val="0"/>
                <w:bCs/>
                <w:color w:val="auto"/>
              </w:rPr>
              <w:t>内。</w:t>
            </w:r>
            <w:r>
              <w:rPr>
                <w:rFonts w:hint="eastAsia" w:ascii="Times New Roman" w:hAnsi="Times New Roman" w:eastAsia="宋体" w:cs="Times New Roman"/>
                <w:b w:val="0"/>
                <w:bCs/>
                <w:color w:val="auto"/>
                <w:kern w:val="2"/>
                <w:sz w:val="24"/>
                <w:szCs w:val="20"/>
                <w:highlight w:val="none"/>
                <w:lang w:val="en-US" w:eastAsia="zh-CN"/>
              </w:rPr>
              <w:t>灭火工作结束后，对现场进行恢复清理，对环境可能受到污染范围内的空气、</w:t>
            </w:r>
            <w:r>
              <w:rPr>
                <w:rFonts w:hint="eastAsia" w:cs="Times New Roman"/>
                <w:b w:val="0"/>
                <w:bCs/>
                <w:color w:val="auto"/>
                <w:kern w:val="2"/>
                <w:sz w:val="24"/>
                <w:szCs w:val="20"/>
                <w:highlight w:val="none"/>
                <w:lang w:val="en-US" w:eastAsia="zh-CN"/>
              </w:rPr>
              <w:t>水体</w:t>
            </w:r>
            <w:r>
              <w:rPr>
                <w:rFonts w:hint="eastAsia" w:ascii="Times New Roman" w:hAnsi="Times New Roman" w:eastAsia="宋体" w:cs="Times New Roman"/>
                <w:b w:val="0"/>
                <w:bCs/>
                <w:color w:val="auto"/>
                <w:kern w:val="2"/>
                <w:sz w:val="24"/>
                <w:szCs w:val="20"/>
                <w:highlight w:val="none"/>
                <w:lang w:val="en-US" w:eastAsia="zh-CN"/>
              </w:rPr>
              <w:t>、土壤进行取样监测，判定污染影响程度和采取必要的处理。</w:t>
            </w:r>
          </w:p>
          <w:p w14:paraId="46FA8F3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0"/>
                <w:highlight w:val="none"/>
                <w:lang w:val="en-US" w:eastAsia="zh-CN"/>
              </w:rPr>
              <w:t>⑥调查和鉴定事故原因，提出事故评估报告，补充和修改事故防范措施和应急方案。</w:t>
            </w:r>
          </w:p>
          <w:p w14:paraId="2BDE389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C.矿物油泄露处置</w:t>
            </w:r>
          </w:p>
          <w:p w14:paraId="1C979779">
            <w:pPr>
              <w:spacing w:line="520" w:lineRule="exact"/>
              <w:ind w:firstLine="480" w:firstLineChars="200"/>
              <w:rPr>
                <w:rFonts w:hint="default" w:ascii="Times New Roman" w:hAnsi="Times New Roman" w:eastAsia="宋体" w:cs="宋体"/>
                <w:color w:val="auto"/>
                <w:highlight w:val="none"/>
                <w:lang w:val="en-US" w:eastAsia="zh-CN"/>
              </w:rPr>
            </w:pPr>
            <w:r>
              <w:rPr>
                <w:rFonts w:hint="default" w:ascii="Times New Roman" w:hAnsi="Times New Roman" w:eastAsia="宋体" w:cs="Times New Roman"/>
                <w:color w:val="auto"/>
                <w:sz w:val="24"/>
                <w:szCs w:val="24"/>
                <w:highlight w:val="none"/>
                <w:lang w:val="en-US" w:eastAsia="zh-CN" w:bidi="ar-SA"/>
              </w:rPr>
              <w:t>营运期内</w:t>
            </w:r>
            <w:r>
              <w:rPr>
                <w:rFonts w:hint="eastAsia" w:ascii="Times New Roman" w:hAnsi="Times New Roman" w:eastAsia="宋体" w:cs="Times New Roman"/>
                <w:color w:val="auto"/>
                <w:sz w:val="24"/>
                <w:szCs w:val="24"/>
                <w:highlight w:val="none"/>
                <w:lang w:val="en-US" w:eastAsia="zh-CN" w:bidi="ar-SA"/>
              </w:rPr>
              <w:t>物料</w:t>
            </w:r>
            <w:r>
              <w:rPr>
                <w:rFonts w:hint="default" w:ascii="Times New Roman" w:hAnsi="Times New Roman" w:eastAsia="宋体" w:cs="Times New Roman"/>
                <w:color w:val="auto"/>
                <w:sz w:val="24"/>
                <w:szCs w:val="24"/>
                <w:highlight w:val="none"/>
                <w:lang w:val="en-US" w:eastAsia="zh-CN" w:bidi="ar-SA"/>
              </w:rPr>
              <w:t>若发生泄漏（在不发生爆炸及火灾情况下），</w:t>
            </w:r>
            <w:r>
              <w:rPr>
                <w:rFonts w:hint="eastAsia" w:cs="Times New Roman"/>
                <w:color w:val="auto"/>
                <w:sz w:val="24"/>
                <w:szCs w:val="24"/>
                <w:highlight w:val="none"/>
                <w:lang w:val="en-US" w:eastAsia="zh-CN" w:bidi="ar-SA"/>
              </w:rPr>
              <w:t>危废库</w:t>
            </w:r>
            <w:r>
              <w:rPr>
                <w:rFonts w:hint="eastAsia" w:ascii="Times New Roman" w:hAnsi="Times New Roman" w:eastAsia="宋体" w:cs="Times New Roman"/>
                <w:color w:val="auto"/>
                <w:sz w:val="24"/>
                <w:szCs w:val="24"/>
                <w:highlight w:val="none"/>
                <w:lang w:val="en-US" w:eastAsia="zh-CN" w:bidi="ar-SA"/>
              </w:rPr>
              <w:t>设置重点防渗，</w:t>
            </w:r>
            <w:r>
              <w:rPr>
                <w:rFonts w:hint="default" w:ascii="Times New Roman" w:hAnsi="Times New Roman" w:eastAsia="宋体" w:cs="Times New Roman"/>
                <w:color w:val="auto"/>
                <w:sz w:val="24"/>
                <w:szCs w:val="24"/>
                <w:highlight w:val="none"/>
                <w:lang w:val="en-US" w:eastAsia="zh-CN" w:bidi="ar-SA"/>
              </w:rPr>
              <w:t>地面采取渗透系数不小于10</w:t>
            </w:r>
            <w:r>
              <w:rPr>
                <w:rFonts w:hint="default" w:ascii="Times New Roman" w:hAnsi="Times New Roman" w:eastAsia="宋体" w:cs="Times New Roman"/>
                <w:color w:val="auto"/>
                <w:sz w:val="24"/>
                <w:szCs w:val="24"/>
                <w:highlight w:val="none"/>
                <w:vertAlign w:val="superscript"/>
                <w:lang w:val="en-US" w:eastAsia="zh-CN" w:bidi="ar-SA"/>
              </w:rPr>
              <w:t>-</w:t>
            </w:r>
            <w:r>
              <w:rPr>
                <w:rFonts w:hint="eastAsia" w:ascii="Times New Roman" w:hAnsi="Times New Roman" w:cs="Times New Roman"/>
                <w:color w:val="auto"/>
                <w:sz w:val="24"/>
                <w:szCs w:val="24"/>
                <w:highlight w:val="none"/>
                <w:vertAlign w:val="superscript"/>
                <w:lang w:val="en-US" w:eastAsia="zh-CN" w:bidi="ar-SA"/>
              </w:rPr>
              <w:t>7</w:t>
            </w:r>
            <w:r>
              <w:rPr>
                <w:rFonts w:hint="default" w:ascii="Times New Roman" w:hAnsi="Times New Roman" w:eastAsia="宋体" w:cs="Times New Roman"/>
                <w:color w:val="auto"/>
                <w:sz w:val="24"/>
                <w:szCs w:val="24"/>
                <w:highlight w:val="none"/>
                <w:lang w:val="en-US" w:eastAsia="zh-CN" w:bidi="ar-SA"/>
              </w:rPr>
              <w:t>cm/s的防渗措施进行防护，</w:t>
            </w:r>
            <w:r>
              <w:rPr>
                <w:rFonts w:hint="eastAsia" w:ascii="Times New Roman" w:hAnsi="Times New Roman" w:eastAsia="宋体" w:cs="Times New Roman"/>
                <w:color w:val="auto"/>
                <w:sz w:val="24"/>
                <w:szCs w:val="24"/>
                <w:highlight w:val="none"/>
                <w:lang w:val="en-US" w:eastAsia="zh-CN" w:bidi="ar-SA"/>
              </w:rPr>
              <w:t>厂区内地面均做硬化处理</w:t>
            </w:r>
            <w:r>
              <w:rPr>
                <w:rFonts w:hint="default" w:ascii="Times New Roman" w:hAnsi="Times New Roman" w:eastAsia="宋体" w:cs="Times New Roman"/>
                <w:color w:val="auto"/>
                <w:sz w:val="24"/>
                <w:szCs w:val="24"/>
                <w:highlight w:val="none"/>
                <w:lang w:val="en-US" w:eastAsia="zh-CN" w:bidi="ar-SA"/>
              </w:rPr>
              <w:t>，因此，泄漏后不会大面积逸散，在发生泄漏后，厂内工作人员将及时清理，因此，若发生泄漏等事故不会对</w:t>
            </w:r>
            <w:r>
              <w:rPr>
                <w:rFonts w:hint="eastAsia" w:ascii="Times New Roman" w:hAnsi="Times New Roman" w:eastAsia="宋体" w:cs="Times New Roman"/>
                <w:color w:val="auto"/>
                <w:sz w:val="24"/>
                <w:szCs w:val="24"/>
                <w:highlight w:val="none"/>
                <w:lang w:val="en-US" w:eastAsia="zh-CN" w:bidi="ar-SA"/>
              </w:rPr>
              <w:t>土壤、地下水环境</w:t>
            </w:r>
            <w:r>
              <w:rPr>
                <w:rFonts w:hint="default" w:ascii="Times New Roman" w:hAnsi="Times New Roman" w:eastAsia="宋体" w:cs="Times New Roman"/>
                <w:color w:val="auto"/>
                <w:sz w:val="24"/>
                <w:szCs w:val="24"/>
                <w:highlight w:val="none"/>
                <w:lang w:val="en-US" w:eastAsia="zh-CN"/>
              </w:rPr>
              <w:t>造成影响。</w:t>
            </w:r>
          </w:p>
          <w:p w14:paraId="6A6D86A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cs="Times New Roman"/>
                <w:color w:val="auto"/>
                <w:kern w:val="2"/>
                <w:sz w:val="24"/>
                <w:szCs w:val="20"/>
                <w:highlight w:val="none"/>
                <w:lang w:val="en-US" w:eastAsia="zh-CN"/>
              </w:rPr>
            </w:pPr>
            <w:r>
              <w:rPr>
                <w:rFonts w:hint="eastAsia" w:ascii="Times New Roman" w:hAnsi="Times New Roman" w:cs="Times New Roman"/>
                <w:color w:val="auto"/>
                <w:kern w:val="2"/>
                <w:sz w:val="24"/>
                <w:szCs w:val="20"/>
                <w:highlight w:val="none"/>
                <w:lang w:val="en-US" w:eastAsia="zh-CN"/>
              </w:rPr>
              <w:t>D.危险废物运输、转运、贮存污染防治措施</w:t>
            </w:r>
          </w:p>
          <w:p w14:paraId="14430A9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cs="Times New Roman"/>
                <w:color w:val="auto"/>
                <w:kern w:val="2"/>
                <w:sz w:val="24"/>
                <w:szCs w:val="20"/>
                <w:highlight w:val="none"/>
                <w:lang w:val="en-US" w:eastAsia="zh-CN"/>
              </w:rPr>
            </w:pPr>
            <w:r>
              <w:rPr>
                <w:rFonts w:hint="eastAsia" w:ascii="Times New Roman" w:hAnsi="Times New Roman" w:cs="Times New Roman"/>
                <w:color w:val="auto"/>
                <w:kern w:val="2"/>
                <w:sz w:val="24"/>
                <w:szCs w:val="20"/>
                <w:highlight w:val="none"/>
                <w:lang w:val="en-US" w:eastAsia="zh-CN"/>
              </w:rPr>
              <w:t>危险废物储存现场环境风险防范措施：</w:t>
            </w:r>
            <w:r>
              <w:rPr>
                <w:rFonts w:hint="eastAsia" w:cs="Times New Roman"/>
                <w:color w:val="auto"/>
                <w:kern w:val="2"/>
                <w:sz w:val="24"/>
                <w:szCs w:val="20"/>
                <w:highlight w:val="none"/>
                <w:lang w:val="en-US" w:eastAsia="zh-CN"/>
              </w:rPr>
              <w:t>危废库</w:t>
            </w:r>
            <w:r>
              <w:rPr>
                <w:rFonts w:hint="eastAsia" w:ascii="Times New Roman" w:hAnsi="Times New Roman" w:cs="Times New Roman"/>
                <w:color w:val="auto"/>
                <w:kern w:val="2"/>
                <w:sz w:val="24"/>
                <w:szCs w:val="20"/>
                <w:highlight w:val="none"/>
                <w:lang w:val="en-US" w:eastAsia="zh-CN"/>
              </w:rPr>
              <w:t>做好“三防”措施（即防渗漏、防扬散、防流失措施）。仓库地面设有防渗措施、设置事故应急池以及导流槽。对事故应急池内可能产生的废液定期清理并收集，保持事故应急池处于常空状态。企业加强管理，严厉杜绝危废不处理直接排放，对厂内的违法排污行为及时上报指挥组并应依法追究其法律责任。</w:t>
            </w:r>
          </w:p>
          <w:p w14:paraId="332A295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cs="Times New Roman"/>
                <w:color w:val="auto"/>
                <w:kern w:val="2"/>
                <w:sz w:val="24"/>
                <w:szCs w:val="20"/>
                <w:highlight w:val="none"/>
                <w:lang w:val="en-US" w:eastAsia="zh-CN"/>
              </w:rPr>
            </w:pPr>
            <w:r>
              <w:rPr>
                <w:rFonts w:hint="eastAsia" w:ascii="Times New Roman" w:hAnsi="Times New Roman" w:cs="Times New Roman"/>
                <w:color w:val="auto"/>
                <w:kern w:val="2"/>
                <w:sz w:val="24"/>
                <w:szCs w:val="20"/>
                <w:highlight w:val="none"/>
                <w:lang w:val="en-US" w:eastAsia="zh-CN"/>
              </w:rPr>
              <w:t>危险废物厂内运输过程防范措施：危险废物在厂内运输过程中，存在储存容器破裂、泄漏等风险，从而引发环境污染事故。一旦发生以上事故，主要措施有：发生</w:t>
            </w:r>
            <w:r>
              <w:rPr>
                <w:rFonts w:hint="eastAsia" w:cs="Times New Roman"/>
                <w:color w:val="auto"/>
                <w:kern w:val="2"/>
                <w:sz w:val="24"/>
                <w:szCs w:val="20"/>
                <w:highlight w:val="none"/>
                <w:lang w:val="en-US" w:eastAsia="zh-CN"/>
              </w:rPr>
              <w:t>固体</w:t>
            </w:r>
            <w:r>
              <w:rPr>
                <w:rFonts w:hint="eastAsia" w:ascii="Times New Roman" w:hAnsi="Times New Roman" w:cs="Times New Roman"/>
                <w:color w:val="auto"/>
                <w:kern w:val="2"/>
                <w:sz w:val="24"/>
                <w:szCs w:val="20"/>
                <w:highlight w:val="none"/>
                <w:lang w:val="en-US" w:eastAsia="zh-CN"/>
              </w:rPr>
              <w:t>危险废物泄漏后，可采用覆盖、收容的方法处置，用铲或扫帚将其清理并重新包装。除对源头进行封外，事故现场人员应及时采取措施，将防渗区外的泄漏物优先收容，并将表面受污染的土壤一并进行收集妥善处置。对防渗区内的泄漏物在收容后，可用水进一步洗消处理，以减少污染。冲洗水利用事故废水收集系统收集进入</w:t>
            </w:r>
            <w:r>
              <w:rPr>
                <w:rFonts w:hint="eastAsia" w:cs="Times New Roman"/>
                <w:color w:val="auto"/>
                <w:kern w:val="2"/>
                <w:sz w:val="24"/>
                <w:szCs w:val="20"/>
                <w:highlight w:val="none"/>
                <w:lang w:val="en-US" w:eastAsia="zh-CN"/>
              </w:rPr>
              <w:t>危废库</w:t>
            </w:r>
            <w:r>
              <w:rPr>
                <w:rFonts w:hint="eastAsia" w:ascii="Times New Roman" w:hAnsi="Times New Roman" w:cs="Times New Roman"/>
                <w:color w:val="auto"/>
                <w:kern w:val="2"/>
                <w:sz w:val="24"/>
                <w:szCs w:val="20"/>
                <w:highlight w:val="none"/>
                <w:lang w:val="en-US" w:eastAsia="zh-CN"/>
              </w:rPr>
              <w:t>内事故应急池暂存。</w:t>
            </w:r>
          </w:p>
          <w:p w14:paraId="7F8A22E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cs="Times New Roman"/>
                <w:color w:val="auto"/>
                <w:kern w:val="2"/>
                <w:sz w:val="24"/>
                <w:szCs w:val="20"/>
                <w:highlight w:val="none"/>
                <w:lang w:val="en-US" w:eastAsia="zh-CN"/>
              </w:rPr>
            </w:pPr>
            <w:r>
              <w:rPr>
                <w:rFonts w:hint="eastAsia" w:ascii="Times New Roman" w:hAnsi="Times New Roman" w:cs="Times New Roman"/>
                <w:color w:val="auto"/>
                <w:kern w:val="2"/>
                <w:sz w:val="24"/>
                <w:szCs w:val="20"/>
                <w:highlight w:val="none"/>
                <w:lang w:val="en-US" w:eastAsia="zh-CN"/>
              </w:rPr>
              <w:t>危险废物厂外运输过程防范措施：项目危险废物全部交由有处理资质的单位处理，运输也由危废处置单位负责。厂外运输过程中，存在车辆交通事故，储存容器破裂、突爆，泄漏等风险，从而引发环境污染事故。一旦发生以上事故，应立即将泄漏情况、货物特性、地点向有关部门报告，并将车辆移至安全地段。如无危险，设法止住泄漏。泄漏处理人员应穿戴防护用品，防止泄漏物品飞溅到眼睛内或皮肤上。撤离非必要人员，隔离危险区并禁止入内。立即隔离泄漏或溢流区。常规消防人员防护服对此类危险品无效。运输固态或膏状危险废物发生泄漏时，在不影响道路交通情况下，采用铲、扫等设备清理后重新包装。</w:t>
            </w:r>
          </w:p>
          <w:p w14:paraId="1F44A29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cs="Times New Roman"/>
                <w:color w:val="auto"/>
                <w:kern w:val="2"/>
                <w:sz w:val="24"/>
                <w:szCs w:val="20"/>
                <w:highlight w:val="none"/>
                <w:lang w:val="en-US" w:eastAsia="zh-CN"/>
              </w:rPr>
            </w:pPr>
            <w:r>
              <w:rPr>
                <w:rFonts w:hint="eastAsia" w:ascii="Times New Roman" w:hAnsi="Times New Roman" w:cs="Times New Roman"/>
                <w:color w:val="auto"/>
                <w:kern w:val="2"/>
                <w:sz w:val="24"/>
                <w:szCs w:val="20"/>
                <w:highlight w:val="none"/>
                <w:lang w:val="en-US" w:eastAsia="zh-CN"/>
              </w:rPr>
              <w:t>发生火灾或卷入火中时，用干粉、二氧化碳、泡沫灭火，并用雾状水或大量的水喷射罐体降温，但不得将水柱直接喷射到物资上，预防飞溅。</w:t>
            </w:r>
          </w:p>
          <w:p w14:paraId="2A46B27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cs="Times New Roman"/>
                <w:color w:val="auto"/>
                <w:kern w:val="2"/>
                <w:sz w:val="24"/>
                <w:szCs w:val="20"/>
                <w:highlight w:val="none"/>
                <w:lang w:val="en-US" w:eastAsia="zh-CN"/>
              </w:rPr>
              <w:t>施救人员应穿戴合适的防护用品，戴上隔绝式呼吸器，人站在上风处进行扑救。</w:t>
            </w:r>
          </w:p>
          <w:p w14:paraId="00FE08A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4）风险应急监测</w:t>
            </w:r>
          </w:p>
          <w:p w14:paraId="5348EE2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①监测项目</w:t>
            </w:r>
          </w:p>
          <w:p w14:paraId="478CF4D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环境空气：非甲烷总烃</w:t>
            </w:r>
            <w:r>
              <w:rPr>
                <w:rFonts w:hint="eastAsia" w:ascii="Times New Roman" w:hAnsi="Times New Roman" w:cs="Times New Roman"/>
                <w:color w:val="auto"/>
                <w:kern w:val="2"/>
                <w:sz w:val="24"/>
                <w:szCs w:val="20"/>
                <w:highlight w:val="none"/>
                <w:lang w:val="en-US" w:eastAsia="zh-CN"/>
              </w:rPr>
              <w:t>、颗粒物</w:t>
            </w:r>
            <w:r>
              <w:rPr>
                <w:rFonts w:hint="eastAsia" w:ascii="Times New Roman" w:hAnsi="Times New Roman" w:eastAsia="宋体" w:cs="Times New Roman"/>
                <w:color w:val="auto"/>
                <w:kern w:val="2"/>
                <w:sz w:val="24"/>
                <w:szCs w:val="20"/>
                <w:highlight w:val="none"/>
                <w:lang w:val="en-US" w:eastAsia="zh-CN"/>
              </w:rPr>
              <w:t>；</w:t>
            </w:r>
          </w:p>
          <w:p w14:paraId="1E3AFBE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地下水：pH、COD、BOD、SS、氨氮、石油类；</w:t>
            </w:r>
          </w:p>
          <w:p w14:paraId="70C9BCA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②监测区域</w:t>
            </w:r>
          </w:p>
          <w:p w14:paraId="6171DAA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大气环境：本项目周边区域</w:t>
            </w:r>
            <w:r>
              <w:rPr>
                <w:rFonts w:hint="eastAsia" w:cs="Times New Roman"/>
                <w:color w:val="auto"/>
                <w:kern w:val="2"/>
                <w:sz w:val="24"/>
                <w:szCs w:val="20"/>
                <w:highlight w:val="none"/>
                <w:lang w:val="en-US" w:eastAsia="zh-CN"/>
              </w:rPr>
              <w:t>（</w:t>
            </w:r>
            <w:r>
              <w:rPr>
                <w:rFonts w:hint="eastAsia" w:ascii="Times New Roman" w:hAnsi="Times New Roman" w:eastAsia="宋体" w:cs="Times New Roman"/>
                <w:color w:val="auto"/>
                <w:kern w:val="2"/>
                <w:sz w:val="24"/>
                <w:szCs w:val="20"/>
                <w:highlight w:val="none"/>
                <w:lang w:val="en-US" w:eastAsia="zh-CN"/>
              </w:rPr>
              <w:t>根据事故排放</w:t>
            </w:r>
            <w:r>
              <w:rPr>
                <w:rFonts w:hint="eastAsia" w:cs="Times New Roman"/>
                <w:color w:val="auto"/>
                <w:kern w:val="2"/>
                <w:sz w:val="24"/>
                <w:szCs w:val="20"/>
                <w:highlight w:val="none"/>
                <w:lang w:val="en-US" w:eastAsia="zh-CN"/>
              </w:rPr>
              <w:t>量确</w:t>
            </w:r>
            <w:r>
              <w:rPr>
                <w:rFonts w:hint="eastAsia" w:ascii="Times New Roman" w:hAnsi="Times New Roman" w:eastAsia="宋体" w:cs="Times New Roman"/>
                <w:color w:val="auto"/>
                <w:kern w:val="2"/>
                <w:sz w:val="24"/>
                <w:szCs w:val="20"/>
                <w:highlight w:val="none"/>
                <w:lang w:val="en-US" w:eastAsia="zh-CN"/>
              </w:rPr>
              <w:t>定监测范围</w:t>
            </w:r>
            <w:r>
              <w:rPr>
                <w:rFonts w:hint="eastAsia" w:cs="Times New Roman"/>
                <w:color w:val="auto"/>
                <w:kern w:val="2"/>
                <w:sz w:val="24"/>
                <w:szCs w:val="20"/>
                <w:highlight w:val="none"/>
                <w:lang w:val="en-US" w:eastAsia="zh-CN"/>
              </w:rPr>
              <w:t>）</w:t>
            </w:r>
            <w:r>
              <w:rPr>
                <w:rFonts w:hint="eastAsia" w:ascii="Times New Roman" w:hAnsi="Times New Roman" w:eastAsia="宋体" w:cs="Times New Roman"/>
                <w:color w:val="auto"/>
                <w:kern w:val="2"/>
                <w:sz w:val="24"/>
                <w:szCs w:val="20"/>
                <w:highlight w:val="none"/>
                <w:lang w:val="en-US" w:eastAsia="zh-CN"/>
              </w:rPr>
              <w:t>；</w:t>
            </w:r>
          </w:p>
          <w:p w14:paraId="43E927D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水环境：本项目周边地下水环境</w:t>
            </w:r>
          </w:p>
          <w:p w14:paraId="3D5C329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5）按照要求，制定本项目环境风险事故应急预案。</w:t>
            </w:r>
          </w:p>
          <w:p w14:paraId="500CB16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（4）风险小结</w:t>
            </w:r>
          </w:p>
          <w:p w14:paraId="5B7E0E4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项目运行过程中存在火灾、泄露风险，必须严格执行国家的技术规范和操作规程要求，落实各项安全规章制度，避免事故的发生。</w:t>
            </w:r>
          </w:p>
          <w:p w14:paraId="76BECA34">
            <w:pPr>
              <w:widowControl w:val="0"/>
              <w:overflowPunct w:val="0"/>
              <w:autoSpaceDE w:val="0"/>
              <w:autoSpaceDN w:val="0"/>
              <w:adjustRightInd w:val="0"/>
              <w:snapToGrid w:val="0"/>
              <w:spacing w:before="0" w:after="0" w:line="360" w:lineRule="auto"/>
              <w:ind w:left="0" w:right="0" w:firstLine="480" w:firstLineChars="200"/>
              <w:jc w:val="left"/>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在认真落实项目拟采取的安全措施及评价所提出的安全措施及安全对策后，项目的事故对周围的影响是可以接受的。</w:t>
            </w:r>
          </w:p>
          <w:p w14:paraId="790D8E51">
            <w:pPr>
              <w:widowControl w:val="0"/>
              <w:overflowPunct w:val="0"/>
              <w:autoSpaceDE w:val="0"/>
              <w:autoSpaceDN w:val="0"/>
              <w:adjustRightInd w:val="0"/>
              <w:snapToGrid w:val="0"/>
              <w:spacing w:before="0" w:after="0" w:line="360" w:lineRule="auto"/>
              <w:ind w:left="0" w:right="0" w:firstLine="482" w:firstLineChars="200"/>
              <w:jc w:val="center"/>
              <w:rPr>
                <w:rFonts w:hint="default" w:ascii="Times New Roman" w:hAnsi="Times New Roman" w:eastAsia="宋体" w:cs="Times New Roman"/>
                <w:b/>
                <w:bCs/>
                <w:snapToGrid w:val="0"/>
                <w:color w:val="auto"/>
                <w:kern w:val="2"/>
                <w:sz w:val="24"/>
                <w:szCs w:val="24"/>
                <w:highlight w:val="none"/>
                <w:lang w:val="en-US" w:eastAsia="zh-CN" w:bidi="ar-SA"/>
              </w:rPr>
            </w:pPr>
            <w:r>
              <w:rPr>
                <w:rFonts w:hint="default" w:ascii="Times New Roman" w:hAnsi="Times New Roman" w:eastAsia="宋体" w:cs="Times New Roman"/>
                <w:b/>
                <w:bCs/>
                <w:snapToGrid w:val="0"/>
                <w:color w:val="auto"/>
                <w:kern w:val="2"/>
                <w:sz w:val="24"/>
                <w:szCs w:val="24"/>
                <w:highlight w:val="none"/>
                <w:lang w:val="en-US" w:eastAsia="zh-CN" w:bidi="ar-SA"/>
              </w:rPr>
              <w:t>表</w:t>
            </w:r>
            <w:r>
              <w:rPr>
                <w:rFonts w:hint="eastAsia" w:ascii="Times New Roman" w:hAnsi="Times New Roman" w:eastAsia="宋体" w:cs="Times New Roman"/>
                <w:b/>
                <w:bCs/>
                <w:snapToGrid w:val="0"/>
                <w:color w:val="auto"/>
                <w:kern w:val="2"/>
                <w:sz w:val="24"/>
                <w:szCs w:val="24"/>
                <w:highlight w:val="none"/>
                <w:lang w:val="en-US" w:eastAsia="zh-CN" w:bidi="ar-SA"/>
              </w:rPr>
              <w:t>4.11-</w:t>
            </w:r>
            <w:r>
              <w:rPr>
                <w:rFonts w:hint="eastAsia" w:ascii="Times New Roman" w:hAnsi="Times New Roman" w:cs="Times New Roman"/>
                <w:b/>
                <w:bCs/>
                <w:snapToGrid w:val="0"/>
                <w:color w:val="auto"/>
                <w:kern w:val="2"/>
                <w:sz w:val="24"/>
                <w:szCs w:val="24"/>
                <w:highlight w:val="none"/>
                <w:lang w:val="en-US" w:eastAsia="zh-CN" w:bidi="ar-SA"/>
              </w:rPr>
              <w:t>3</w:t>
            </w:r>
            <w:r>
              <w:rPr>
                <w:rFonts w:hint="eastAsia" w:ascii="Times New Roman" w:hAnsi="Times New Roman" w:eastAsia="宋体" w:cs="Times New Roman"/>
                <w:b/>
                <w:bCs/>
                <w:snapToGrid w:val="0"/>
                <w:color w:val="auto"/>
                <w:kern w:val="2"/>
                <w:sz w:val="24"/>
                <w:szCs w:val="24"/>
                <w:highlight w:val="none"/>
                <w:lang w:val="en-US" w:eastAsia="zh-CN" w:bidi="ar-SA"/>
              </w:rPr>
              <w:t xml:space="preserve">  </w:t>
            </w:r>
            <w:r>
              <w:rPr>
                <w:rFonts w:hint="default" w:ascii="Times New Roman" w:hAnsi="Times New Roman" w:eastAsia="宋体" w:cs="Times New Roman"/>
                <w:b/>
                <w:bCs/>
                <w:snapToGrid w:val="0"/>
                <w:color w:val="auto"/>
                <w:kern w:val="2"/>
                <w:sz w:val="24"/>
                <w:szCs w:val="24"/>
                <w:highlight w:val="none"/>
                <w:lang w:val="en-US" w:eastAsia="zh-CN" w:bidi="ar-SA"/>
              </w:rPr>
              <w:t>建设项目环境风险简单分析内容表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910"/>
              <w:gridCol w:w="1238"/>
              <w:gridCol w:w="1931"/>
              <w:gridCol w:w="1666"/>
              <w:gridCol w:w="1759"/>
            </w:tblGrid>
            <w:tr w14:paraId="3DE99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14:paraId="46D2B3B8">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建设项目名称</w:t>
                  </w:r>
                </w:p>
              </w:tc>
              <w:tc>
                <w:tcPr>
                  <w:tcW w:w="6594" w:type="dxa"/>
                  <w:gridSpan w:val="4"/>
                  <w:tcBorders>
                    <w:tl2br w:val="nil"/>
                    <w:tr2bl w:val="nil"/>
                  </w:tcBorders>
                  <w:noWrap w:val="0"/>
                  <w:vAlign w:val="center"/>
                </w:tcPr>
                <w:p w14:paraId="5DEC0A20">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新疆美邻美佳新型建材有限公司建设年产5万吨腻子粉、10万吨瓷砖胶生产线项目</w:t>
                  </w:r>
                </w:p>
              </w:tc>
            </w:tr>
            <w:tr w14:paraId="5037A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14:paraId="36FE7BA5">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建设地点</w:t>
                  </w:r>
                </w:p>
              </w:tc>
              <w:tc>
                <w:tcPr>
                  <w:tcW w:w="6594" w:type="dxa"/>
                  <w:gridSpan w:val="4"/>
                  <w:tcBorders>
                    <w:tl2br w:val="nil"/>
                    <w:tr2bl w:val="nil"/>
                  </w:tcBorders>
                  <w:noWrap w:val="0"/>
                  <w:vAlign w:val="center"/>
                </w:tcPr>
                <w:p w14:paraId="6D33D7E2">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阜康市苏通小微创业园阜康市</w:t>
                  </w:r>
                  <w:r>
                    <w:rPr>
                      <w:rFonts w:hint="eastAsia" w:cs="Times New Roman"/>
                      <w:color w:val="auto"/>
                      <w:kern w:val="2"/>
                      <w:sz w:val="21"/>
                      <w:szCs w:val="24"/>
                      <w:highlight w:val="none"/>
                      <w:lang w:val="en-US" w:eastAsia="zh-CN"/>
                    </w:rPr>
                    <w:t>新疆东方启辰工贸有限公司</w:t>
                  </w:r>
                  <w:r>
                    <w:rPr>
                      <w:rFonts w:hint="default" w:ascii="Times New Roman" w:hAnsi="Times New Roman" w:eastAsia="宋体" w:cs="Times New Roman"/>
                      <w:color w:val="auto"/>
                      <w:kern w:val="2"/>
                      <w:sz w:val="21"/>
                      <w:szCs w:val="24"/>
                      <w:highlight w:val="none"/>
                      <w:lang w:val="en-US" w:eastAsia="zh-CN"/>
                    </w:rPr>
                    <w:t>院内</w:t>
                  </w:r>
                </w:p>
              </w:tc>
            </w:tr>
            <w:tr w14:paraId="501F3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14:paraId="5F05936E">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地理坐标</w:t>
                  </w:r>
                </w:p>
              </w:tc>
              <w:tc>
                <w:tcPr>
                  <w:tcW w:w="1238" w:type="dxa"/>
                  <w:tcBorders>
                    <w:tl2br w:val="nil"/>
                    <w:tr2bl w:val="nil"/>
                  </w:tcBorders>
                  <w:noWrap w:val="0"/>
                  <w:vAlign w:val="center"/>
                </w:tcPr>
                <w:p w14:paraId="002EEE2E">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纬度</w:t>
                  </w:r>
                </w:p>
              </w:tc>
              <w:tc>
                <w:tcPr>
                  <w:tcW w:w="1931" w:type="dxa"/>
                  <w:tcBorders>
                    <w:tl2br w:val="nil"/>
                    <w:tr2bl w:val="nil"/>
                  </w:tcBorders>
                  <w:noWrap w:val="0"/>
                  <w:vAlign w:val="center"/>
                </w:tcPr>
                <w:p w14:paraId="520AAB63">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eastAsia="zh-CN"/>
                    </w:rPr>
                  </w:pPr>
                </w:p>
              </w:tc>
              <w:tc>
                <w:tcPr>
                  <w:tcW w:w="1666" w:type="dxa"/>
                  <w:tcBorders>
                    <w:tl2br w:val="nil"/>
                    <w:tr2bl w:val="nil"/>
                  </w:tcBorders>
                  <w:noWrap w:val="0"/>
                  <w:vAlign w:val="center"/>
                </w:tcPr>
                <w:p w14:paraId="0EB97ACB">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经度</w:t>
                  </w:r>
                </w:p>
              </w:tc>
              <w:tc>
                <w:tcPr>
                  <w:tcW w:w="1759" w:type="dxa"/>
                  <w:tcBorders>
                    <w:tl2br w:val="nil"/>
                    <w:tr2bl w:val="nil"/>
                  </w:tcBorders>
                  <w:noWrap w:val="0"/>
                  <w:vAlign w:val="center"/>
                </w:tcPr>
                <w:p w14:paraId="1D11859B">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p>
              </w:tc>
            </w:tr>
            <w:tr w14:paraId="52180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14:paraId="77CCAE9D">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主要危险物质及分布</w:t>
                  </w:r>
                </w:p>
              </w:tc>
              <w:tc>
                <w:tcPr>
                  <w:tcW w:w="6594" w:type="dxa"/>
                  <w:gridSpan w:val="4"/>
                  <w:tcBorders>
                    <w:tl2br w:val="nil"/>
                    <w:tr2bl w:val="nil"/>
                  </w:tcBorders>
                  <w:noWrap w:val="0"/>
                  <w:vAlign w:val="center"/>
                </w:tcPr>
                <w:p w14:paraId="71F4DB70">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废矿物油：</w:t>
                  </w:r>
                  <w:r>
                    <w:rPr>
                      <w:rFonts w:hint="eastAsia" w:cs="Times New Roman"/>
                      <w:color w:val="auto"/>
                      <w:kern w:val="2"/>
                      <w:sz w:val="21"/>
                      <w:szCs w:val="24"/>
                      <w:highlight w:val="none"/>
                      <w:lang w:val="en-US" w:eastAsia="zh-CN"/>
                    </w:rPr>
                    <w:t>危废库</w:t>
                  </w:r>
                </w:p>
              </w:tc>
            </w:tr>
            <w:tr w14:paraId="7F7E1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14:paraId="3B4C0C2F">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环境影响途径及危害后果（大气、地表水和地下水等）</w:t>
                  </w:r>
                </w:p>
              </w:tc>
              <w:tc>
                <w:tcPr>
                  <w:tcW w:w="6594" w:type="dxa"/>
                  <w:gridSpan w:val="4"/>
                  <w:tcBorders>
                    <w:tl2br w:val="nil"/>
                    <w:tr2bl w:val="nil"/>
                  </w:tcBorders>
                  <w:noWrap w:val="0"/>
                  <w:vAlign w:val="center"/>
                </w:tcPr>
                <w:p w14:paraId="2C95D83B">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主要影响途径：</w:t>
                  </w:r>
                  <w:r>
                    <w:rPr>
                      <w:rFonts w:hint="eastAsia" w:ascii="Times New Roman" w:hAnsi="Times New Roman" w:eastAsia="宋体" w:cs="Times New Roman"/>
                      <w:color w:val="auto"/>
                      <w:kern w:val="2"/>
                      <w:sz w:val="21"/>
                      <w:szCs w:val="24"/>
                      <w:highlight w:val="none"/>
                      <w:lang w:val="en-US" w:eastAsia="zh-CN"/>
                    </w:rPr>
                    <w:t>废气事故排放、废矿物油泄露、火灾、爆炸</w:t>
                  </w:r>
                  <w:r>
                    <w:rPr>
                      <w:rFonts w:hint="default" w:ascii="Times New Roman" w:hAnsi="Times New Roman" w:eastAsia="宋体" w:cs="Times New Roman"/>
                      <w:color w:val="auto"/>
                      <w:kern w:val="2"/>
                      <w:sz w:val="21"/>
                      <w:szCs w:val="24"/>
                      <w:highlight w:val="none"/>
                      <w:lang w:val="en-US" w:eastAsia="zh-CN"/>
                    </w:rPr>
                    <w:t>；</w:t>
                  </w:r>
                </w:p>
                <w:p w14:paraId="22C29EB0">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危害后果：</w:t>
                  </w:r>
                  <w:r>
                    <w:rPr>
                      <w:rFonts w:hint="eastAsia" w:ascii="Times New Roman" w:hAnsi="Times New Roman" w:eastAsia="宋体" w:cs="Times New Roman"/>
                      <w:color w:val="auto"/>
                      <w:kern w:val="2"/>
                      <w:sz w:val="21"/>
                      <w:szCs w:val="24"/>
                      <w:highlight w:val="none"/>
                      <w:lang w:val="en-US" w:eastAsia="zh-CN"/>
                    </w:rPr>
                    <w:t>废矿物油泄露引起火灾、爆炸泄露导致环境空气、水环境和土壤污染，及时采取应急措施，</w:t>
                  </w:r>
                  <w:r>
                    <w:rPr>
                      <w:rFonts w:hint="default" w:ascii="Times New Roman" w:hAnsi="Times New Roman" w:eastAsia="宋体" w:cs="Times New Roman"/>
                      <w:color w:val="auto"/>
                      <w:kern w:val="2"/>
                      <w:sz w:val="21"/>
                      <w:szCs w:val="24"/>
                      <w:highlight w:val="none"/>
                      <w:lang w:val="en-US" w:eastAsia="zh-CN"/>
                    </w:rPr>
                    <w:t>不会对</w:t>
                  </w:r>
                  <w:r>
                    <w:rPr>
                      <w:rFonts w:hint="eastAsia" w:ascii="Times New Roman" w:hAnsi="Times New Roman" w:eastAsia="宋体" w:cs="Times New Roman"/>
                      <w:color w:val="auto"/>
                      <w:kern w:val="2"/>
                      <w:sz w:val="21"/>
                      <w:szCs w:val="24"/>
                      <w:highlight w:val="none"/>
                      <w:lang w:val="en-US" w:eastAsia="zh-CN"/>
                    </w:rPr>
                    <w:t>环境</w:t>
                  </w:r>
                  <w:r>
                    <w:rPr>
                      <w:rFonts w:hint="default" w:ascii="Times New Roman" w:hAnsi="Times New Roman" w:eastAsia="宋体" w:cs="Times New Roman"/>
                      <w:color w:val="auto"/>
                      <w:kern w:val="2"/>
                      <w:sz w:val="21"/>
                      <w:szCs w:val="24"/>
                      <w:highlight w:val="none"/>
                      <w:lang w:val="en-US" w:eastAsia="zh-CN"/>
                    </w:rPr>
                    <w:t>产生</w:t>
                  </w:r>
                  <w:r>
                    <w:rPr>
                      <w:rFonts w:hint="eastAsia" w:ascii="Times New Roman" w:hAnsi="Times New Roman" w:eastAsia="宋体" w:cs="Times New Roman"/>
                      <w:color w:val="auto"/>
                      <w:kern w:val="2"/>
                      <w:sz w:val="21"/>
                      <w:szCs w:val="24"/>
                      <w:highlight w:val="none"/>
                      <w:lang w:val="en-US" w:eastAsia="zh-CN"/>
                    </w:rPr>
                    <w:t>显著不利</w:t>
                  </w:r>
                  <w:r>
                    <w:rPr>
                      <w:rFonts w:hint="default" w:ascii="Times New Roman" w:hAnsi="Times New Roman" w:eastAsia="宋体" w:cs="Times New Roman"/>
                      <w:color w:val="auto"/>
                      <w:kern w:val="2"/>
                      <w:sz w:val="21"/>
                      <w:szCs w:val="24"/>
                      <w:highlight w:val="none"/>
                      <w:lang w:val="en-US" w:eastAsia="zh-CN"/>
                    </w:rPr>
                    <w:t>影响</w:t>
                  </w:r>
                </w:p>
              </w:tc>
            </w:tr>
            <w:tr w14:paraId="3AE25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14:paraId="61D36221">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风险防范措施要求</w:t>
                  </w:r>
                </w:p>
              </w:tc>
              <w:tc>
                <w:tcPr>
                  <w:tcW w:w="6594" w:type="dxa"/>
                  <w:gridSpan w:val="4"/>
                  <w:tcBorders>
                    <w:tl2br w:val="nil"/>
                    <w:tr2bl w:val="nil"/>
                  </w:tcBorders>
                  <w:noWrap w:val="0"/>
                  <w:vAlign w:val="center"/>
                </w:tcPr>
                <w:p w14:paraId="7A2B2310">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①</w:t>
                  </w:r>
                  <w:r>
                    <w:rPr>
                      <w:rFonts w:hint="eastAsia" w:ascii="Times New Roman" w:hAnsi="Times New Roman" w:eastAsia="宋体" w:cs="Times New Roman"/>
                      <w:color w:val="auto"/>
                      <w:kern w:val="2"/>
                      <w:sz w:val="21"/>
                      <w:szCs w:val="24"/>
                      <w:highlight w:val="none"/>
                      <w:lang w:val="en-US" w:eastAsia="zh-CN"/>
                    </w:rPr>
                    <w:t>修编</w:t>
                  </w:r>
                  <w:r>
                    <w:rPr>
                      <w:rFonts w:hint="default" w:ascii="Times New Roman" w:hAnsi="Times New Roman" w:eastAsia="宋体" w:cs="Times New Roman"/>
                      <w:color w:val="auto"/>
                      <w:kern w:val="2"/>
                      <w:sz w:val="21"/>
                      <w:szCs w:val="24"/>
                      <w:highlight w:val="none"/>
                      <w:lang w:val="en-US" w:eastAsia="zh-CN"/>
                    </w:rPr>
                    <w:t>突发事件环境应急预案并定期演练；</w:t>
                  </w:r>
                </w:p>
                <w:p w14:paraId="7DCD8D75">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rPr>
                  </w:pPr>
                  <w:r>
                    <w:rPr>
                      <w:rFonts w:hint="default" w:ascii="Times New Roman" w:hAnsi="Times New Roman" w:eastAsia="宋体" w:cs="Times New Roman"/>
                      <w:color w:val="auto"/>
                      <w:kern w:val="2"/>
                      <w:sz w:val="21"/>
                      <w:szCs w:val="24"/>
                      <w:highlight w:val="none"/>
                    </w:rPr>
                    <w:t>②建设单位从总图布置、</w:t>
                  </w:r>
                  <w:r>
                    <w:rPr>
                      <w:rFonts w:hint="eastAsia" w:cs="Times New Roman"/>
                      <w:color w:val="auto"/>
                      <w:kern w:val="2"/>
                      <w:sz w:val="21"/>
                      <w:szCs w:val="24"/>
                      <w:highlight w:val="none"/>
                      <w:lang w:eastAsia="zh-CN"/>
                    </w:rPr>
                    <w:t>电气安全措施</w:t>
                  </w:r>
                  <w:r>
                    <w:rPr>
                      <w:rFonts w:hint="default" w:ascii="Times New Roman" w:hAnsi="Times New Roman" w:eastAsia="宋体" w:cs="Times New Roman"/>
                      <w:color w:val="auto"/>
                      <w:kern w:val="2"/>
                      <w:sz w:val="21"/>
                      <w:szCs w:val="24"/>
                      <w:highlight w:val="none"/>
                    </w:rPr>
                    <w:t>、制定应急预案等方面完善了环境风险防范措施；</w:t>
                  </w:r>
                </w:p>
              </w:tc>
            </w:tr>
            <w:tr w14:paraId="40844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0" w:type="dxa"/>
                  <w:tcBorders>
                    <w:tl2br w:val="nil"/>
                    <w:tr2bl w:val="nil"/>
                  </w:tcBorders>
                  <w:noWrap w:val="0"/>
                  <w:vAlign w:val="center"/>
                </w:tcPr>
                <w:p w14:paraId="1041C440">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填表说明（列出项目相关信息及评价说明）</w:t>
                  </w:r>
                </w:p>
              </w:tc>
              <w:tc>
                <w:tcPr>
                  <w:tcW w:w="6594" w:type="dxa"/>
                  <w:gridSpan w:val="4"/>
                  <w:tcBorders>
                    <w:tl2br w:val="nil"/>
                    <w:tr2bl w:val="nil"/>
                  </w:tcBorders>
                  <w:noWrap w:val="0"/>
                  <w:vAlign w:val="center"/>
                </w:tcPr>
                <w:p w14:paraId="6C8374E7">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both"/>
                    <w:textAlignment w:val="auto"/>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根据物质危险性识别确定各环境要素环境风险潜势等级均为Ⅰ，根据《建设项目环境风险评价技术导则》（HJ/T169-2018），环境风险评价工作等级为简单分析，评价深度以定性说明为主，环境风险评价对其进行了简要定性分析。最终确定环境风险可控，处于可接受水平。</w:t>
                  </w:r>
                </w:p>
              </w:tc>
            </w:tr>
          </w:tbl>
          <w:p w14:paraId="4312A573">
            <w:pPr>
              <w:pageBreakBefore w:val="0"/>
              <w:widowControl w:val="0"/>
              <w:kinsoku/>
              <w:wordWrap/>
              <w:overflowPunct/>
              <w:topLinePunct w:val="0"/>
              <w:autoSpaceDE/>
              <w:autoSpaceDN/>
              <w:bidi w:val="0"/>
              <w:adjustRightInd/>
              <w:snapToGrid/>
              <w:spacing w:before="0" w:after="0" w:line="480" w:lineRule="exact"/>
              <w:ind w:left="0" w:right="0" w:firstLine="562" w:firstLineChars="200"/>
              <w:jc w:val="both"/>
              <w:textAlignment w:val="auto"/>
              <w:rPr>
                <w:rFonts w:hint="default" w:ascii="Times New Roman" w:hAnsi="Times New Roman" w:eastAsia="宋体" w:cs="Times New Roman"/>
                <w:b/>
                <w:color w:val="auto"/>
                <w:kern w:val="2"/>
                <w:sz w:val="28"/>
                <w:szCs w:val="28"/>
                <w:highlight w:val="none"/>
                <w:lang w:val="en-US" w:eastAsia="zh-CN" w:bidi="ar-SA"/>
              </w:rPr>
            </w:pPr>
            <w:r>
              <w:rPr>
                <w:rFonts w:hint="eastAsia" w:ascii="Times New Roman" w:hAnsi="Times New Roman" w:eastAsia="宋体" w:cs="Times New Roman"/>
                <w:b/>
                <w:color w:val="auto"/>
                <w:kern w:val="2"/>
                <w:sz w:val="28"/>
                <w:szCs w:val="28"/>
                <w:highlight w:val="none"/>
                <w:lang w:val="en-US" w:eastAsia="zh-CN" w:bidi="ar-SA"/>
              </w:rPr>
              <w:t>4.12“三同时”验收</w:t>
            </w:r>
          </w:p>
          <w:p w14:paraId="25C289B9">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本项目环境保护设施</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三同时</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验收一览表见表</w:t>
            </w:r>
            <w:r>
              <w:rPr>
                <w:rFonts w:hint="eastAsia" w:ascii="Times New Roman" w:hAnsi="Times New Roman" w:eastAsia="宋体" w:cs="Times New Roman"/>
                <w:b w:val="0"/>
                <w:bCs w:val="0"/>
                <w:color w:val="auto"/>
                <w:kern w:val="0"/>
                <w:sz w:val="24"/>
                <w:szCs w:val="24"/>
                <w:highlight w:val="none"/>
                <w:lang w:val="en-US" w:eastAsia="zh-CN" w:bidi="ar-SA"/>
              </w:rPr>
              <w:t>4.12-1。</w:t>
            </w:r>
          </w:p>
          <w:p w14:paraId="2DAF1DC4">
            <w:pPr>
              <w:spacing w:line="360" w:lineRule="auto"/>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w:t>
            </w:r>
            <w:r>
              <w:rPr>
                <w:rFonts w:hint="eastAsia" w:ascii="Times New Roman" w:hAnsi="Times New Roman" w:eastAsia="宋体" w:cs="Times New Roman"/>
                <w:b/>
                <w:bCs/>
                <w:color w:val="auto"/>
                <w:kern w:val="2"/>
                <w:sz w:val="24"/>
                <w:szCs w:val="24"/>
                <w:highlight w:val="none"/>
                <w:lang w:val="en-US" w:eastAsia="zh-CN"/>
              </w:rPr>
              <w:t>4.12-1</w:t>
            </w:r>
            <w:r>
              <w:rPr>
                <w:rFonts w:hint="default" w:ascii="Times New Roman" w:hAnsi="Times New Roman" w:eastAsia="宋体" w:cs="Times New Roman"/>
                <w:b/>
                <w:bCs/>
                <w:color w:val="auto"/>
                <w:kern w:val="2"/>
                <w:sz w:val="24"/>
                <w:szCs w:val="24"/>
                <w:highlight w:val="none"/>
                <w:lang w:val="en-US" w:eastAsia="zh-CN"/>
              </w:rPr>
              <w:t>环保设施</w:t>
            </w:r>
            <w:r>
              <w:rPr>
                <w:rFonts w:hint="eastAsia" w:ascii="Times New Roman" w:hAnsi="Times New Roman" w:eastAsia="宋体" w:cs="Times New Roman"/>
                <w:b/>
                <w:bCs/>
                <w:color w:val="auto"/>
                <w:kern w:val="2"/>
                <w:sz w:val="24"/>
                <w:szCs w:val="24"/>
                <w:highlight w:val="none"/>
                <w:lang w:val="en-US" w:eastAsia="zh-CN"/>
              </w:rPr>
              <w:t>“</w:t>
            </w:r>
            <w:r>
              <w:rPr>
                <w:rFonts w:hint="default" w:ascii="Times New Roman" w:hAnsi="Times New Roman" w:eastAsia="宋体" w:cs="Times New Roman"/>
                <w:b/>
                <w:bCs/>
                <w:color w:val="auto"/>
                <w:kern w:val="2"/>
                <w:sz w:val="24"/>
                <w:szCs w:val="24"/>
                <w:highlight w:val="none"/>
                <w:lang w:val="en-US" w:eastAsia="zh-CN"/>
              </w:rPr>
              <w:t>三同时</w:t>
            </w:r>
            <w:r>
              <w:rPr>
                <w:rFonts w:hint="eastAsia" w:ascii="Times New Roman" w:hAnsi="Times New Roman" w:eastAsia="宋体" w:cs="Times New Roman"/>
                <w:b/>
                <w:bCs/>
                <w:color w:val="auto"/>
                <w:kern w:val="2"/>
                <w:sz w:val="24"/>
                <w:szCs w:val="24"/>
                <w:highlight w:val="none"/>
                <w:lang w:val="en-US" w:eastAsia="zh-CN"/>
              </w:rPr>
              <w:t>”</w:t>
            </w:r>
            <w:r>
              <w:rPr>
                <w:rFonts w:hint="default" w:ascii="Times New Roman" w:hAnsi="Times New Roman" w:eastAsia="宋体" w:cs="Times New Roman"/>
                <w:b/>
                <w:bCs/>
                <w:color w:val="auto"/>
                <w:kern w:val="2"/>
                <w:sz w:val="24"/>
                <w:szCs w:val="24"/>
                <w:highlight w:val="none"/>
                <w:lang w:val="en-US" w:eastAsia="zh-CN"/>
              </w:rPr>
              <w:t>验收一览表</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0"/>
              <w:gridCol w:w="711"/>
              <w:gridCol w:w="525"/>
              <w:gridCol w:w="884"/>
              <w:gridCol w:w="1594"/>
              <w:gridCol w:w="840"/>
              <w:gridCol w:w="2175"/>
              <w:gridCol w:w="1285"/>
            </w:tblGrid>
            <w:tr w14:paraId="1C911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tcBorders>
                    <w:tl2br w:val="nil"/>
                    <w:tr2bl w:val="nil"/>
                  </w:tcBorders>
                  <w:noWrap w:val="0"/>
                  <w:vAlign w:val="center"/>
                </w:tcPr>
                <w:p w14:paraId="23574752">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类别</w:t>
                  </w:r>
                </w:p>
              </w:tc>
              <w:tc>
                <w:tcPr>
                  <w:tcW w:w="711" w:type="dxa"/>
                  <w:tcBorders>
                    <w:tl2br w:val="nil"/>
                    <w:tr2bl w:val="nil"/>
                  </w:tcBorders>
                  <w:noWrap w:val="0"/>
                  <w:vAlign w:val="center"/>
                </w:tcPr>
                <w:p w14:paraId="1F859FB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监测点位</w:t>
                  </w:r>
                </w:p>
              </w:tc>
              <w:tc>
                <w:tcPr>
                  <w:tcW w:w="525" w:type="dxa"/>
                  <w:tcBorders>
                    <w:tl2br w:val="nil"/>
                    <w:tr2bl w:val="nil"/>
                  </w:tcBorders>
                  <w:noWrap w:val="0"/>
                  <w:vAlign w:val="center"/>
                </w:tcPr>
                <w:p w14:paraId="082C3CA9">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治理项目</w:t>
                  </w:r>
                </w:p>
              </w:tc>
              <w:tc>
                <w:tcPr>
                  <w:tcW w:w="884" w:type="dxa"/>
                  <w:tcBorders>
                    <w:tl2br w:val="nil"/>
                    <w:tr2bl w:val="nil"/>
                  </w:tcBorders>
                  <w:noWrap w:val="0"/>
                  <w:vAlign w:val="center"/>
                </w:tcPr>
                <w:p w14:paraId="19C16F0B">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污染因子</w:t>
                  </w:r>
                </w:p>
              </w:tc>
              <w:tc>
                <w:tcPr>
                  <w:tcW w:w="1594" w:type="dxa"/>
                  <w:tcBorders>
                    <w:tl2br w:val="nil"/>
                    <w:tr2bl w:val="nil"/>
                  </w:tcBorders>
                  <w:noWrap w:val="0"/>
                  <w:vAlign w:val="center"/>
                </w:tcPr>
                <w:p w14:paraId="05F528C4">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主要环保措施</w:t>
                  </w:r>
                </w:p>
              </w:tc>
              <w:tc>
                <w:tcPr>
                  <w:tcW w:w="840" w:type="dxa"/>
                  <w:tcBorders>
                    <w:tl2br w:val="nil"/>
                    <w:tr2bl w:val="nil"/>
                  </w:tcBorders>
                  <w:noWrap w:val="0"/>
                  <w:vAlign w:val="center"/>
                </w:tcPr>
                <w:p w14:paraId="7931CCC2">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数量</w:t>
                  </w:r>
                </w:p>
              </w:tc>
              <w:tc>
                <w:tcPr>
                  <w:tcW w:w="2175" w:type="dxa"/>
                  <w:tcBorders>
                    <w:tl2br w:val="nil"/>
                    <w:tr2bl w:val="nil"/>
                  </w:tcBorders>
                  <w:noWrap w:val="0"/>
                  <w:vAlign w:val="center"/>
                </w:tcPr>
                <w:p w14:paraId="09543327">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验收标准</w:t>
                  </w:r>
                </w:p>
              </w:tc>
              <w:tc>
                <w:tcPr>
                  <w:tcW w:w="1285" w:type="dxa"/>
                  <w:tcBorders>
                    <w:tl2br w:val="nil"/>
                    <w:tr2bl w:val="nil"/>
                  </w:tcBorders>
                  <w:noWrap w:val="0"/>
                  <w:vAlign w:val="center"/>
                </w:tcPr>
                <w:p w14:paraId="5AA969B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标准限值</w:t>
                  </w:r>
                </w:p>
              </w:tc>
            </w:tr>
            <w:tr w14:paraId="4A6E6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490" w:type="dxa"/>
                  <w:vMerge w:val="restart"/>
                  <w:tcBorders>
                    <w:tl2br w:val="nil"/>
                    <w:tr2bl w:val="nil"/>
                  </w:tcBorders>
                  <w:noWrap w:val="0"/>
                  <w:vAlign w:val="center"/>
                </w:tcPr>
                <w:p w14:paraId="409B76E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w:t>
                  </w:r>
                </w:p>
                <w:p w14:paraId="5978E092">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处理</w:t>
                  </w:r>
                </w:p>
              </w:tc>
              <w:tc>
                <w:tcPr>
                  <w:tcW w:w="711" w:type="dxa"/>
                  <w:tcBorders>
                    <w:tl2br w:val="nil"/>
                    <w:tr2bl w:val="nil"/>
                  </w:tcBorders>
                  <w:noWrap w:val="0"/>
                  <w:vAlign w:val="center"/>
                </w:tcPr>
                <w:p w14:paraId="25244FE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DA001</w:t>
                  </w:r>
                </w:p>
              </w:tc>
              <w:tc>
                <w:tcPr>
                  <w:tcW w:w="525" w:type="dxa"/>
                  <w:tcBorders>
                    <w:tl2br w:val="nil"/>
                    <w:tr2bl w:val="nil"/>
                  </w:tcBorders>
                  <w:noWrap w:val="0"/>
                  <w:vAlign w:val="center"/>
                </w:tcPr>
                <w:p w14:paraId="7408F39D">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有组织</w:t>
                  </w:r>
                </w:p>
              </w:tc>
              <w:tc>
                <w:tcPr>
                  <w:tcW w:w="884" w:type="dxa"/>
                  <w:tcBorders>
                    <w:tl2br w:val="nil"/>
                    <w:tr2bl w:val="nil"/>
                  </w:tcBorders>
                  <w:noWrap w:val="0"/>
                  <w:vAlign w:val="center"/>
                </w:tcPr>
                <w:p w14:paraId="39568D2B">
                  <w:pPr>
                    <w:widowControl w:val="0"/>
                    <w:spacing w:line="32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颗粒物</w:t>
                  </w:r>
                </w:p>
              </w:tc>
              <w:tc>
                <w:tcPr>
                  <w:tcW w:w="1594" w:type="dxa"/>
                  <w:tcBorders>
                    <w:tl2br w:val="nil"/>
                    <w:tr2bl w:val="nil"/>
                  </w:tcBorders>
                  <w:noWrap w:val="0"/>
                  <w:vAlign w:val="center"/>
                </w:tcPr>
                <w:p w14:paraId="05AAB50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6台集气罩+2套布袋除尘器+1座15m排气筒</w:t>
                  </w:r>
                </w:p>
              </w:tc>
              <w:tc>
                <w:tcPr>
                  <w:tcW w:w="840" w:type="dxa"/>
                  <w:tcBorders>
                    <w:tl2br w:val="nil"/>
                    <w:tr2bl w:val="nil"/>
                  </w:tcBorders>
                  <w:noWrap w:val="0"/>
                  <w:vAlign w:val="center"/>
                </w:tcPr>
                <w:p w14:paraId="0DFDF2BB">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175" w:type="dxa"/>
                  <w:tcBorders>
                    <w:tl2br w:val="nil"/>
                    <w:tr2bl w:val="nil"/>
                  </w:tcBorders>
                  <w:noWrap w:val="0"/>
                  <w:vAlign w:val="center"/>
                </w:tcPr>
                <w:p w14:paraId="4EED8EBA">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zh-CN" w:eastAsia="zh-CN"/>
                    </w:rPr>
                    <w:t>《水泥工业大气污染物排放标准》(GB 4915-2013 ）表2 大气污染物特别排放限值</w:t>
                  </w:r>
                </w:p>
              </w:tc>
              <w:tc>
                <w:tcPr>
                  <w:tcW w:w="1285" w:type="dxa"/>
                  <w:tcBorders>
                    <w:tl2br w:val="nil"/>
                    <w:tr2bl w:val="nil"/>
                  </w:tcBorders>
                  <w:noWrap w:val="0"/>
                  <w:vAlign w:val="center"/>
                </w:tcPr>
                <w:p w14:paraId="4A914F59">
                  <w:pPr>
                    <w:spacing w:line="240" w:lineRule="auto"/>
                    <w:jc w:val="center"/>
                    <w:rPr>
                      <w:rFonts w:hint="default" w:ascii="Times New Roman" w:hAnsi="Times New Roman" w:eastAsia="宋体" w:cs="Times New Roman"/>
                      <w:snapToGrid w:val="0"/>
                      <w:color w:val="auto"/>
                      <w:kern w:val="2"/>
                      <w:sz w:val="21"/>
                      <w:szCs w:val="21"/>
                      <w:highlight w:val="none"/>
                    </w:rPr>
                  </w:pPr>
                  <w:r>
                    <w:rPr>
                      <w:rFonts w:hint="eastAsia" w:ascii="Times New Roman" w:hAnsi="Times New Roman" w:cs="Times New Roman"/>
                      <w:color w:val="auto"/>
                      <w:kern w:val="2"/>
                      <w:sz w:val="21"/>
                      <w:szCs w:val="21"/>
                      <w:lang w:val="en-US" w:eastAsia="zh-CN" w:bidi="ar-SA"/>
                    </w:rPr>
                    <w:t>10</w:t>
                  </w:r>
                  <w:r>
                    <w:rPr>
                      <w:rFonts w:hint="default" w:ascii="Times New Roman" w:hAnsi="Times New Roman" w:eastAsia="宋体" w:cs="Times New Roman"/>
                      <w:snapToGrid w:val="0"/>
                      <w:color w:val="auto"/>
                      <w:kern w:val="2"/>
                      <w:sz w:val="21"/>
                      <w:szCs w:val="21"/>
                      <w:highlight w:val="none"/>
                    </w:rPr>
                    <w:t>mg/m</w:t>
                  </w:r>
                  <w:r>
                    <w:rPr>
                      <w:rFonts w:hint="default" w:ascii="Times New Roman" w:hAnsi="Times New Roman" w:eastAsia="宋体" w:cs="Times New Roman"/>
                      <w:snapToGrid w:val="0"/>
                      <w:color w:val="auto"/>
                      <w:kern w:val="2"/>
                      <w:sz w:val="21"/>
                      <w:szCs w:val="21"/>
                      <w:highlight w:val="none"/>
                      <w:vertAlign w:val="superscript"/>
                    </w:rPr>
                    <w:t>3</w:t>
                  </w:r>
                </w:p>
              </w:tc>
            </w:tr>
            <w:tr w14:paraId="55648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0" w:type="dxa"/>
                  <w:vMerge w:val="continue"/>
                  <w:tcBorders>
                    <w:tl2br w:val="nil"/>
                    <w:tr2bl w:val="nil"/>
                  </w:tcBorders>
                  <w:noWrap w:val="0"/>
                  <w:vAlign w:val="center"/>
                </w:tcPr>
                <w:p w14:paraId="18A6995C">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711" w:type="dxa"/>
                  <w:tcBorders>
                    <w:tl2br w:val="nil"/>
                    <w:tr2bl w:val="nil"/>
                  </w:tcBorders>
                  <w:noWrap w:val="0"/>
                  <w:vAlign w:val="center"/>
                </w:tcPr>
                <w:p w14:paraId="631D3CDB">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厂界上风向1个监测点，下风向3个监测点</w:t>
                  </w:r>
                </w:p>
              </w:tc>
              <w:tc>
                <w:tcPr>
                  <w:tcW w:w="525" w:type="dxa"/>
                  <w:tcBorders>
                    <w:tl2br w:val="nil"/>
                    <w:tr2bl w:val="nil"/>
                  </w:tcBorders>
                  <w:noWrap w:val="0"/>
                  <w:vAlign w:val="center"/>
                </w:tcPr>
                <w:p w14:paraId="7416984E">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884" w:type="dxa"/>
                  <w:tcBorders>
                    <w:tl2br w:val="nil"/>
                    <w:tr2bl w:val="nil"/>
                  </w:tcBorders>
                  <w:noWrap w:val="0"/>
                  <w:vAlign w:val="center"/>
                </w:tcPr>
                <w:p w14:paraId="4A84F94C">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颗粒物</w:t>
                  </w:r>
                </w:p>
              </w:tc>
              <w:tc>
                <w:tcPr>
                  <w:tcW w:w="1594" w:type="dxa"/>
                  <w:tcBorders>
                    <w:tl2br w:val="nil"/>
                    <w:tr2bl w:val="nil"/>
                  </w:tcBorders>
                  <w:noWrap w:val="0"/>
                  <w:vAlign w:val="center"/>
                </w:tcPr>
                <w:p w14:paraId="6216EA0D">
                  <w:pPr>
                    <w:widowControl w:val="0"/>
                    <w:spacing w:line="320" w:lineRule="exact"/>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加强车辆管控、篷布覆盖、加强封闭式作业</w:t>
                  </w:r>
                </w:p>
              </w:tc>
              <w:tc>
                <w:tcPr>
                  <w:tcW w:w="840" w:type="dxa"/>
                  <w:tcBorders>
                    <w:tl2br w:val="nil"/>
                    <w:tr2bl w:val="nil"/>
                  </w:tcBorders>
                  <w:noWrap w:val="0"/>
                  <w:vAlign w:val="center"/>
                </w:tcPr>
                <w:p w14:paraId="544D8331">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w:t>
                  </w:r>
                </w:p>
              </w:tc>
              <w:tc>
                <w:tcPr>
                  <w:tcW w:w="2175" w:type="dxa"/>
                  <w:tcBorders>
                    <w:tl2br w:val="nil"/>
                    <w:tr2bl w:val="nil"/>
                  </w:tcBorders>
                  <w:noWrap w:val="0"/>
                  <w:vAlign w:val="center"/>
                </w:tcPr>
                <w:p w14:paraId="2290F87E">
                  <w:pPr>
                    <w:widowControl w:val="0"/>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《水泥工业大气污染物排放标准》(GB 4915-2013 ）表3 大气污染物无组织排放限值</w:t>
                  </w:r>
                </w:p>
              </w:tc>
              <w:tc>
                <w:tcPr>
                  <w:tcW w:w="1285" w:type="dxa"/>
                  <w:tcBorders>
                    <w:tl2br w:val="nil"/>
                    <w:tr2bl w:val="nil"/>
                  </w:tcBorders>
                  <w:noWrap w:val="0"/>
                  <w:vAlign w:val="center"/>
                </w:tcPr>
                <w:p w14:paraId="12EE5F1D">
                  <w:pPr>
                    <w:widowControl w:val="0"/>
                    <w:overflow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highlight w:val="none"/>
                      <w:lang w:val="en-US" w:eastAsia="zh-CN"/>
                    </w:rPr>
                    <w:t>0.5</w:t>
                  </w:r>
                  <w:r>
                    <w:rPr>
                      <w:rFonts w:hint="default" w:ascii="Times New Roman" w:hAnsi="Times New Roman" w:eastAsia="宋体" w:cs="Times New Roman"/>
                      <w:snapToGrid w:val="0"/>
                      <w:color w:val="auto"/>
                      <w:kern w:val="2"/>
                      <w:sz w:val="21"/>
                      <w:szCs w:val="21"/>
                      <w:highlight w:val="none"/>
                    </w:rPr>
                    <w:t>mg/m</w:t>
                  </w:r>
                  <w:r>
                    <w:rPr>
                      <w:rFonts w:hint="default" w:ascii="Times New Roman" w:hAnsi="Times New Roman" w:eastAsia="宋体" w:cs="Times New Roman"/>
                      <w:snapToGrid w:val="0"/>
                      <w:color w:val="auto"/>
                      <w:kern w:val="2"/>
                      <w:sz w:val="21"/>
                      <w:szCs w:val="21"/>
                      <w:highlight w:val="none"/>
                      <w:vertAlign w:val="superscript"/>
                    </w:rPr>
                    <w:t>3</w:t>
                  </w:r>
                </w:p>
              </w:tc>
            </w:tr>
            <w:tr w14:paraId="5C8EE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490" w:type="dxa"/>
                  <w:tcBorders>
                    <w:tl2br w:val="nil"/>
                    <w:tr2bl w:val="nil"/>
                  </w:tcBorders>
                  <w:noWrap w:val="0"/>
                  <w:vAlign w:val="center"/>
                </w:tcPr>
                <w:p w14:paraId="23C8E6B0">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水污染防治</w:t>
                  </w:r>
                </w:p>
              </w:tc>
              <w:tc>
                <w:tcPr>
                  <w:tcW w:w="711" w:type="dxa"/>
                  <w:tcBorders>
                    <w:tl2br w:val="nil"/>
                    <w:tr2bl w:val="nil"/>
                  </w:tcBorders>
                  <w:noWrap w:val="0"/>
                  <w:vAlign w:val="center"/>
                </w:tcPr>
                <w:p w14:paraId="70196068">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DW001生活污水排放口</w:t>
                  </w:r>
                </w:p>
              </w:tc>
              <w:tc>
                <w:tcPr>
                  <w:tcW w:w="525" w:type="dxa"/>
                  <w:tcBorders>
                    <w:tl2br w:val="nil"/>
                    <w:tr2bl w:val="nil"/>
                  </w:tcBorders>
                  <w:noWrap w:val="0"/>
                  <w:vAlign w:val="center"/>
                </w:tcPr>
                <w:p w14:paraId="19A7681E">
                  <w:pPr>
                    <w:widowControl w:val="0"/>
                    <w:spacing w:line="32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生活污水</w:t>
                  </w:r>
                </w:p>
              </w:tc>
              <w:tc>
                <w:tcPr>
                  <w:tcW w:w="884" w:type="dxa"/>
                  <w:tcBorders>
                    <w:tl2br w:val="nil"/>
                    <w:tr2bl w:val="nil"/>
                  </w:tcBorders>
                  <w:noWrap w:val="0"/>
                  <w:vAlign w:val="center"/>
                </w:tcPr>
                <w:p w14:paraId="29121B74">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rPr>
                    <w:t>pH、COD、BOD</w:t>
                  </w:r>
                  <w:r>
                    <w:rPr>
                      <w:rFonts w:hint="eastAsia" w:ascii="Times New Roman" w:hAnsi="Times New Roman" w:eastAsia="宋体" w:cs="宋体"/>
                      <w:color w:val="auto"/>
                      <w:sz w:val="21"/>
                      <w:szCs w:val="21"/>
                      <w:vertAlign w:val="subscript"/>
                      <w:lang w:val="en-US" w:eastAsia="zh-CN"/>
                    </w:rPr>
                    <w:t>5</w:t>
                  </w:r>
                  <w:r>
                    <w:rPr>
                      <w:rFonts w:hint="eastAsia" w:ascii="Times New Roman" w:hAnsi="Times New Roman" w:eastAsia="宋体" w:cs="宋体"/>
                      <w:color w:val="auto"/>
                      <w:sz w:val="21"/>
                      <w:szCs w:val="21"/>
                      <w:lang w:val="en-US" w:eastAsia="zh-CN"/>
                    </w:rPr>
                    <w:t>、SS、氨氮</w:t>
                  </w:r>
                </w:p>
              </w:tc>
              <w:tc>
                <w:tcPr>
                  <w:tcW w:w="1594" w:type="dxa"/>
                  <w:tcBorders>
                    <w:tl2br w:val="nil"/>
                    <w:tr2bl w:val="nil"/>
                  </w:tcBorders>
                  <w:noWrap w:val="0"/>
                  <w:vAlign w:val="center"/>
                </w:tcPr>
                <w:p w14:paraId="6B436FE9">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排入园区管网</w:t>
                  </w:r>
                </w:p>
              </w:tc>
              <w:tc>
                <w:tcPr>
                  <w:tcW w:w="840" w:type="dxa"/>
                  <w:tcBorders>
                    <w:tl2br w:val="nil"/>
                    <w:tr2bl w:val="nil"/>
                  </w:tcBorders>
                  <w:noWrap w:val="0"/>
                  <w:vAlign w:val="center"/>
                </w:tcPr>
                <w:p w14:paraId="6B6ADB8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2175" w:type="dxa"/>
                  <w:tcBorders>
                    <w:tl2br w:val="nil"/>
                    <w:tr2bl w:val="nil"/>
                  </w:tcBorders>
                  <w:noWrap w:val="0"/>
                  <w:vAlign w:val="center"/>
                </w:tcPr>
                <w:p w14:paraId="6526B36C">
                  <w:pPr>
                    <w:widowControl w:val="0"/>
                    <w:spacing w:line="320" w:lineRule="exact"/>
                    <w:jc w:val="center"/>
                    <w:rPr>
                      <w:rFonts w:hint="default" w:ascii="Times New Roman" w:hAnsi="Times New Roman" w:eastAsia="Calibri" w:cs="Times New Roman"/>
                      <w:color w:val="auto"/>
                      <w:kern w:val="0"/>
                      <w:sz w:val="21"/>
                      <w:szCs w:val="21"/>
                      <w:highlight w:val="none"/>
                      <w:lang w:val="en-US" w:eastAsia="zh-CN" w:bidi="ar-SA"/>
                    </w:rPr>
                  </w:pPr>
                  <w:r>
                    <w:rPr>
                      <w:rFonts w:hint="default" w:ascii="Times New Roman" w:hAnsi="Times New Roman" w:eastAsia="Calibri" w:cs="Times New Roman"/>
                      <w:color w:val="auto"/>
                      <w:kern w:val="0"/>
                      <w:sz w:val="21"/>
                      <w:szCs w:val="21"/>
                      <w:highlight w:val="none"/>
                      <w:lang w:val="en-US" w:eastAsia="zh-CN" w:bidi="ar-SA"/>
                    </w:rPr>
                    <w:t>《污水综合排放标准》（GB8978-1996）表4 第二类污染物最高允许排放浓度三级标准</w:t>
                  </w:r>
                </w:p>
              </w:tc>
              <w:tc>
                <w:tcPr>
                  <w:tcW w:w="1285" w:type="dxa"/>
                  <w:tcBorders>
                    <w:tl2br w:val="nil"/>
                    <w:tr2bl w:val="nil"/>
                  </w:tcBorders>
                  <w:noWrap w:val="0"/>
                  <w:vAlign w:val="center"/>
                </w:tcPr>
                <w:p w14:paraId="094AA0DC">
                  <w:pPr>
                    <w:widowControl w:val="0"/>
                    <w:spacing w:line="320" w:lineRule="exact"/>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pH6-9；</w:t>
                  </w:r>
                  <w:r>
                    <w:rPr>
                      <w:rFonts w:hint="default" w:ascii="Times New Roman" w:hAnsi="Times New Roman" w:eastAsia="宋体" w:cs="Times New Roman"/>
                      <w:snapToGrid w:val="0"/>
                      <w:color w:val="auto"/>
                      <w:kern w:val="0"/>
                      <w:sz w:val="21"/>
                      <w:szCs w:val="21"/>
                      <w:highlight w:val="none"/>
                      <w:lang w:val="en-US" w:eastAsia="zh-CN" w:bidi="ar-SA"/>
                    </w:rPr>
                    <w:t>CODcr500mg/L；BOD300mg/L；SS400mg/L</w:t>
                  </w:r>
                  <w:r>
                    <w:rPr>
                      <w:rFonts w:hint="eastAsia" w:ascii="Times New Roman" w:hAnsi="Times New Roman" w:eastAsia="宋体" w:cs="Times New Roman"/>
                      <w:snapToGrid w:val="0"/>
                      <w:color w:val="auto"/>
                      <w:kern w:val="0"/>
                      <w:sz w:val="21"/>
                      <w:szCs w:val="21"/>
                      <w:highlight w:val="none"/>
                      <w:lang w:val="en-US" w:eastAsia="zh-CN" w:bidi="ar-SA"/>
                    </w:rPr>
                    <w:t>；氨氮</w:t>
                  </w:r>
                  <w:r>
                    <w:rPr>
                      <w:rFonts w:hint="eastAsia" w:cs="Times New Roman"/>
                      <w:snapToGrid w:val="0"/>
                      <w:color w:val="auto"/>
                      <w:kern w:val="0"/>
                      <w:sz w:val="21"/>
                      <w:szCs w:val="21"/>
                      <w:highlight w:val="none"/>
                      <w:lang w:val="en-US" w:eastAsia="zh-CN" w:bidi="ar-SA"/>
                    </w:rPr>
                    <w:t>/</w:t>
                  </w:r>
                </w:p>
              </w:tc>
            </w:tr>
            <w:tr w14:paraId="2346D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tcBorders>
                    <w:tl2br w:val="nil"/>
                    <w:tr2bl w:val="nil"/>
                  </w:tcBorders>
                  <w:noWrap w:val="0"/>
                  <w:vAlign w:val="center"/>
                </w:tcPr>
                <w:p w14:paraId="40F93B73">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w:t>
                  </w:r>
                </w:p>
                <w:p w14:paraId="34B15972">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控制</w:t>
                  </w:r>
                </w:p>
              </w:tc>
              <w:tc>
                <w:tcPr>
                  <w:tcW w:w="711" w:type="dxa"/>
                  <w:tcBorders>
                    <w:tl2br w:val="nil"/>
                    <w:tr2bl w:val="nil"/>
                  </w:tcBorders>
                  <w:noWrap w:val="0"/>
                  <w:vAlign w:val="center"/>
                </w:tcPr>
                <w:p w14:paraId="5BECE0B7">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厂界4个监测点</w:t>
                  </w:r>
                </w:p>
              </w:tc>
              <w:tc>
                <w:tcPr>
                  <w:tcW w:w="525" w:type="dxa"/>
                  <w:tcBorders>
                    <w:tl2br w:val="nil"/>
                    <w:tr2bl w:val="nil"/>
                  </w:tcBorders>
                  <w:noWrap w:val="0"/>
                  <w:vAlign w:val="center"/>
                </w:tcPr>
                <w:p w14:paraId="2C0F8860">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生产设备</w:t>
                  </w:r>
                </w:p>
              </w:tc>
              <w:tc>
                <w:tcPr>
                  <w:tcW w:w="884" w:type="dxa"/>
                  <w:tcBorders>
                    <w:tl2br w:val="nil"/>
                    <w:tr2bl w:val="nil"/>
                  </w:tcBorders>
                  <w:noWrap w:val="0"/>
                  <w:vAlign w:val="center"/>
                </w:tcPr>
                <w:p w14:paraId="1529C2A1">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机械噪声</w:t>
                  </w:r>
                </w:p>
              </w:tc>
              <w:tc>
                <w:tcPr>
                  <w:tcW w:w="1594" w:type="dxa"/>
                  <w:tcBorders>
                    <w:tl2br w:val="nil"/>
                    <w:tr2bl w:val="nil"/>
                  </w:tcBorders>
                  <w:noWrap w:val="0"/>
                  <w:vAlign w:val="center"/>
                </w:tcPr>
                <w:p w14:paraId="0306FA0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选用具有减震、降噪、隔声、消声设计的设备</w:t>
                  </w:r>
                </w:p>
              </w:tc>
              <w:tc>
                <w:tcPr>
                  <w:tcW w:w="840" w:type="dxa"/>
                  <w:tcBorders>
                    <w:tl2br w:val="nil"/>
                    <w:tr2bl w:val="nil"/>
                  </w:tcBorders>
                  <w:noWrap w:val="0"/>
                  <w:vAlign w:val="center"/>
                </w:tcPr>
                <w:p w14:paraId="54131B63">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若干</w:t>
                  </w:r>
                </w:p>
              </w:tc>
              <w:tc>
                <w:tcPr>
                  <w:tcW w:w="2175" w:type="dxa"/>
                  <w:tcBorders>
                    <w:tl2br w:val="nil"/>
                    <w:tr2bl w:val="nil"/>
                  </w:tcBorders>
                  <w:noWrap w:val="0"/>
                  <w:vAlign w:val="center"/>
                </w:tcPr>
                <w:p w14:paraId="0A81BDCA">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《工业企业厂界环境噪声排放标准》（GB12348-2008）中</w:t>
                  </w: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类标准</w:t>
                  </w:r>
                </w:p>
              </w:tc>
              <w:tc>
                <w:tcPr>
                  <w:tcW w:w="1285" w:type="dxa"/>
                  <w:tcBorders>
                    <w:tl2br w:val="nil"/>
                    <w:tr2bl w:val="nil"/>
                  </w:tcBorders>
                  <w:noWrap w:val="0"/>
                  <w:vAlign w:val="center"/>
                </w:tcPr>
                <w:p w14:paraId="396EF50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昼间≤</w:t>
                  </w:r>
                  <w:r>
                    <w:rPr>
                      <w:rFonts w:hint="eastAsia" w:ascii="Times New Roman" w:hAnsi="Times New Roman" w:eastAsia="宋体" w:cs="Times New Roman"/>
                      <w:color w:val="auto"/>
                      <w:kern w:val="0"/>
                      <w:sz w:val="21"/>
                      <w:szCs w:val="21"/>
                      <w:highlight w:val="none"/>
                      <w:lang w:val="en-US" w:eastAsia="zh-CN" w:bidi="ar-SA"/>
                    </w:rPr>
                    <w:t>6</w:t>
                  </w:r>
                  <w:r>
                    <w:rPr>
                      <w:rFonts w:hint="eastAsia" w:cs="Times New Roman"/>
                      <w:color w:val="auto"/>
                      <w:kern w:val="0"/>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dB(A)，夜间≤5</w:t>
                  </w:r>
                  <w:r>
                    <w:rPr>
                      <w:rFonts w:hint="eastAsia"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dB(A)</w:t>
                  </w:r>
                </w:p>
              </w:tc>
            </w:tr>
            <w:tr w14:paraId="2CECB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90" w:type="dxa"/>
                  <w:vMerge w:val="restart"/>
                  <w:tcBorders>
                    <w:tl2br w:val="nil"/>
                    <w:tr2bl w:val="nil"/>
                  </w:tcBorders>
                  <w:noWrap w:val="0"/>
                  <w:vAlign w:val="center"/>
                </w:tcPr>
                <w:p w14:paraId="6B531D97">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固体废物</w:t>
                  </w:r>
                </w:p>
              </w:tc>
              <w:tc>
                <w:tcPr>
                  <w:tcW w:w="711" w:type="dxa"/>
                  <w:vMerge w:val="restart"/>
                  <w:tcBorders>
                    <w:tl2br w:val="nil"/>
                    <w:tr2bl w:val="nil"/>
                  </w:tcBorders>
                  <w:noWrap w:val="0"/>
                  <w:vAlign w:val="center"/>
                </w:tcPr>
                <w:p w14:paraId="0B733072">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25" w:type="dxa"/>
                  <w:tcBorders>
                    <w:tl2br w:val="nil"/>
                    <w:tr2bl w:val="nil"/>
                  </w:tcBorders>
                  <w:noWrap w:val="0"/>
                  <w:vAlign w:val="center"/>
                </w:tcPr>
                <w:p w14:paraId="10BEA5EC">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生活垃圾</w:t>
                  </w:r>
                </w:p>
              </w:tc>
              <w:tc>
                <w:tcPr>
                  <w:tcW w:w="884" w:type="dxa"/>
                  <w:tcBorders>
                    <w:tl2br w:val="nil"/>
                    <w:tr2bl w:val="nil"/>
                  </w:tcBorders>
                  <w:noWrap w:val="0"/>
                  <w:vAlign w:val="center"/>
                </w:tcPr>
                <w:p w14:paraId="2CB91DE9">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生活垃圾</w:t>
                  </w:r>
                </w:p>
              </w:tc>
              <w:tc>
                <w:tcPr>
                  <w:tcW w:w="1594" w:type="dxa"/>
                  <w:tcBorders>
                    <w:tl2br w:val="nil"/>
                    <w:tr2bl w:val="nil"/>
                  </w:tcBorders>
                  <w:noWrap w:val="0"/>
                  <w:vAlign w:val="center"/>
                </w:tcPr>
                <w:p w14:paraId="2C4E12D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可密封生活垃圾收集点</w:t>
                  </w:r>
                </w:p>
              </w:tc>
              <w:tc>
                <w:tcPr>
                  <w:tcW w:w="840" w:type="dxa"/>
                  <w:tcBorders>
                    <w:tl2br w:val="nil"/>
                    <w:tr2bl w:val="nil"/>
                  </w:tcBorders>
                  <w:noWrap w:val="0"/>
                  <w:vAlign w:val="center"/>
                </w:tcPr>
                <w:p w14:paraId="4C11E0AD">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1个</w:t>
                  </w:r>
                </w:p>
              </w:tc>
              <w:tc>
                <w:tcPr>
                  <w:tcW w:w="2175" w:type="dxa"/>
                  <w:vMerge w:val="restart"/>
                  <w:tcBorders>
                    <w:tl2br w:val="nil"/>
                    <w:tr2bl w:val="nil"/>
                  </w:tcBorders>
                  <w:noWrap w:val="0"/>
                  <w:vAlign w:val="center"/>
                </w:tcPr>
                <w:p w14:paraId="607135FA">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《一般工业固体废物贮存和填埋污染控制标准》（GB 18599-2020）</w:t>
                  </w:r>
                </w:p>
              </w:tc>
              <w:tc>
                <w:tcPr>
                  <w:tcW w:w="1285" w:type="dxa"/>
                  <w:vMerge w:val="restart"/>
                  <w:tcBorders>
                    <w:tl2br w:val="nil"/>
                    <w:tr2bl w:val="nil"/>
                  </w:tcBorders>
                  <w:noWrap w:val="0"/>
                  <w:vAlign w:val="center"/>
                </w:tcPr>
                <w:p w14:paraId="5B39AF13">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14:paraId="114AD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90" w:type="dxa"/>
                  <w:vMerge w:val="continue"/>
                  <w:tcBorders>
                    <w:tl2br w:val="nil"/>
                    <w:tr2bl w:val="nil"/>
                  </w:tcBorders>
                  <w:noWrap w:val="0"/>
                  <w:vAlign w:val="center"/>
                </w:tcPr>
                <w:p w14:paraId="2F5E5468">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711" w:type="dxa"/>
                  <w:vMerge w:val="continue"/>
                  <w:tcBorders>
                    <w:tl2br w:val="nil"/>
                    <w:tr2bl w:val="nil"/>
                  </w:tcBorders>
                  <w:noWrap w:val="0"/>
                  <w:vAlign w:val="center"/>
                </w:tcPr>
                <w:p w14:paraId="648DFCF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525" w:type="dxa"/>
                  <w:tcBorders>
                    <w:tl2br w:val="nil"/>
                    <w:tr2bl w:val="nil"/>
                  </w:tcBorders>
                  <w:noWrap w:val="0"/>
                  <w:vAlign w:val="center"/>
                </w:tcPr>
                <w:p w14:paraId="584398D8">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一般固废</w:t>
                  </w:r>
                </w:p>
              </w:tc>
              <w:tc>
                <w:tcPr>
                  <w:tcW w:w="884" w:type="dxa"/>
                  <w:tcBorders>
                    <w:tl2br w:val="nil"/>
                    <w:tr2bl w:val="nil"/>
                  </w:tcBorders>
                  <w:noWrap w:val="0"/>
                  <w:vAlign w:val="center"/>
                </w:tcPr>
                <w:p w14:paraId="2274648A">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除尘灰、废布袋、废包装袋</w:t>
                  </w:r>
                </w:p>
              </w:tc>
              <w:tc>
                <w:tcPr>
                  <w:tcW w:w="1594" w:type="dxa"/>
                  <w:tcBorders>
                    <w:tl2br w:val="nil"/>
                    <w:tr2bl w:val="nil"/>
                  </w:tcBorders>
                  <w:noWrap w:val="0"/>
                  <w:vAlign w:val="center"/>
                </w:tcPr>
                <w:p w14:paraId="53DE1CD3">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840" w:type="dxa"/>
                  <w:tcBorders>
                    <w:tl2br w:val="nil"/>
                    <w:tr2bl w:val="nil"/>
                  </w:tcBorders>
                  <w:noWrap w:val="0"/>
                  <w:vAlign w:val="center"/>
                </w:tcPr>
                <w:p w14:paraId="5CA9ABE0">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2175" w:type="dxa"/>
                  <w:vMerge w:val="continue"/>
                  <w:tcBorders>
                    <w:tl2br w:val="nil"/>
                    <w:tr2bl w:val="nil"/>
                  </w:tcBorders>
                  <w:noWrap w:val="0"/>
                  <w:vAlign w:val="center"/>
                </w:tcPr>
                <w:p w14:paraId="46564137">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1285" w:type="dxa"/>
                  <w:vMerge w:val="continue"/>
                  <w:tcBorders>
                    <w:tl2br w:val="nil"/>
                    <w:tr2bl w:val="nil"/>
                  </w:tcBorders>
                  <w:noWrap w:val="0"/>
                  <w:vAlign w:val="center"/>
                </w:tcPr>
                <w:p w14:paraId="366CE7E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r>
            <w:tr w14:paraId="643C8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90" w:type="dxa"/>
                  <w:vMerge w:val="continue"/>
                  <w:tcBorders>
                    <w:tl2br w:val="nil"/>
                    <w:tr2bl w:val="nil"/>
                  </w:tcBorders>
                  <w:noWrap w:val="0"/>
                  <w:vAlign w:val="center"/>
                </w:tcPr>
                <w:p w14:paraId="023F8CC0">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711" w:type="dxa"/>
                  <w:vMerge w:val="continue"/>
                  <w:tcBorders>
                    <w:tl2br w:val="nil"/>
                    <w:tr2bl w:val="nil"/>
                  </w:tcBorders>
                  <w:noWrap w:val="0"/>
                  <w:vAlign w:val="center"/>
                </w:tcPr>
                <w:p w14:paraId="412F1883">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525" w:type="dxa"/>
                  <w:tcBorders>
                    <w:tl2br w:val="nil"/>
                    <w:tr2bl w:val="nil"/>
                  </w:tcBorders>
                  <w:noWrap w:val="0"/>
                  <w:vAlign w:val="center"/>
                </w:tcPr>
                <w:p w14:paraId="01254B67">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危险废物</w:t>
                  </w:r>
                </w:p>
              </w:tc>
              <w:tc>
                <w:tcPr>
                  <w:tcW w:w="884" w:type="dxa"/>
                  <w:tcBorders>
                    <w:tl2br w:val="nil"/>
                    <w:tr2bl w:val="nil"/>
                  </w:tcBorders>
                  <w:noWrap w:val="0"/>
                  <w:vAlign w:val="center"/>
                </w:tcPr>
                <w:p w14:paraId="6A80B06D">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废机油</w:t>
                  </w:r>
                </w:p>
              </w:tc>
              <w:tc>
                <w:tcPr>
                  <w:tcW w:w="1594" w:type="dxa"/>
                  <w:tcBorders>
                    <w:tl2br w:val="nil"/>
                    <w:tr2bl w:val="nil"/>
                  </w:tcBorders>
                  <w:noWrap w:val="0"/>
                  <w:vAlign w:val="center"/>
                </w:tcPr>
                <w:p w14:paraId="02E54080">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危废库</w:t>
                  </w:r>
                </w:p>
              </w:tc>
              <w:tc>
                <w:tcPr>
                  <w:tcW w:w="840" w:type="dxa"/>
                  <w:tcBorders>
                    <w:tl2br w:val="nil"/>
                    <w:tr2bl w:val="nil"/>
                  </w:tcBorders>
                  <w:noWrap w:val="0"/>
                  <w:vAlign w:val="center"/>
                </w:tcPr>
                <w:p w14:paraId="2FF96840">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en-US" w:eastAsia="zh-CN" w:bidi="ar-SA"/>
                    </w:rPr>
                    <w:t>个</w:t>
                  </w:r>
                </w:p>
              </w:tc>
              <w:tc>
                <w:tcPr>
                  <w:tcW w:w="2175" w:type="dxa"/>
                  <w:tcBorders>
                    <w:tl2br w:val="nil"/>
                    <w:tr2bl w:val="nil"/>
                  </w:tcBorders>
                  <w:noWrap w:val="0"/>
                  <w:vAlign w:val="center"/>
                </w:tcPr>
                <w:p w14:paraId="06DD1CF9">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《危险废物贮存污染控制标准》（GB18597-2023）</w:t>
                  </w:r>
                </w:p>
              </w:tc>
              <w:tc>
                <w:tcPr>
                  <w:tcW w:w="1285" w:type="dxa"/>
                  <w:tcBorders>
                    <w:tl2br w:val="nil"/>
                    <w:tr2bl w:val="nil"/>
                  </w:tcBorders>
                  <w:noWrap w:val="0"/>
                  <w:vAlign w:val="center"/>
                </w:tcPr>
                <w:p w14:paraId="67AE4133">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14:paraId="7156A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restart"/>
                  <w:tcBorders>
                    <w:tl2br w:val="nil"/>
                    <w:tr2bl w:val="nil"/>
                  </w:tcBorders>
                  <w:noWrap w:val="0"/>
                  <w:vAlign w:val="center"/>
                </w:tcPr>
                <w:p w14:paraId="187EE721">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其他</w:t>
                  </w:r>
                </w:p>
              </w:tc>
              <w:tc>
                <w:tcPr>
                  <w:tcW w:w="711" w:type="dxa"/>
                  <w:vMerge w:val="restart"/>
                  <w:tcBorders>
                    <w:tl2br w:val="nil"/>
                    <w:tr2bl w:val="nil"/>
                  </w:tcBorders>
                  <w:noWrap w:val="0"/>
                  <w:vAlign w:val="center"/>
                </w:tcPr>
                <w:p w14:paraId="7C660134">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525" w:type="dxa"/>
                  <w:tcBorders>
                    <w:tl2br w:val="nil"/>
                    <w:tr2bl w:val="nil"/>
                  </w:tcBorders>
                  <w:noWrap w:val="0"/>
                  <w:vAlign w:val="center"/>
                </w:tcPr>
                <w:p w14:paraId="74391782">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消防</w:t>
                  </w:r>
                </w:p>
              </w:tc>
              <w:tc>
                <w:tcPr>
                  <w:tcW w:w="2478" w:type="dxa"/>
                  <w:gridSpan w:val="2"/>
                  <w:tcBorders>
                    <w:tl2br w:val="nil"/>
                    <w:tr2bl w:val="nil"/>
                  </w:tcBorders>
                  <w:noWrap w:val="0"/>
                  <w:vAlign w:val="center"/>
                </w:tcPr>
                <w:p w14:paraId="5ADDA67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消防设施</w:t>
                  </w:r>
                </w:p>
              </w:tc>
              <w:tc>
                <w:tcPr>
                  <w:tcW w:w="840" w:type="dxa"/>
                  <w:tcBorders>
                    <w:tl2br w:val="nil"/>
                    <w:tr2bl w:val="nil"/>
                  </w:tcBorders>
                  <w:noWrap w:val="0"/>
                  <w:vAlign w:val="center"/>
                </w:tcPr>
                <w:p w14:paraId="4F82A467">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若干</w:t>
                  </w:r>
                </w:p>
              </w:tc>
              <w:tc>
                <w:tcPr>
                  <w:tcW w:w="2175" w:type="dxa"/>
                  <w:vMerge w:val="restart"/>
                  <w:tcBorders>
                    <w:tl2br w:val="nil"/>
                    <w:tr2bl w:val="nil"/>
                  </w:tcBorders>
                  <w:noWrap w:val="0"/>
                  <w:vAlign w:val="center"/>
                </w:tcPr>
                <w:p w14:paraId="54BD20C7">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满足规范要求</w:t>
                  </w:r>
                </w:p>
              </w:tc>
              <w:tc>
                <w:tcPr>
                  <w:tcW w:w="1285" w:type="dxa"/>
                  <w:vMerge w:val="restart"/>
                  <w:tcBorders>
                    <w:tl2br w:val="nil"/>
                    <w:tr2bl w:val="nil"/>
                  </w:tcBorders>
                  <w:noWrap w:val="0"/>
                  <w:vAlign w:val="center"/>
                </w:tcPr>
                <w:p w14:paraId="5F421D06">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14:paraId="50443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490" w:type="dxa"/>
                  <w:vMerge w:val="continue"/>
                  <w:tcBorders>
                    <w:tl2br w:val="nil"/>
                    <w:tr2bl w:val="nil"/>
                  </w:tcBorders>
                  <w:noWrap w:val="0"/>
                  <w:vAlign w:val="center"/>
                </w:tcPr>
                <w:p w14:paraId="647CF3C1">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711" w:type="dxa"/>
                  <w:vMerge w:val="continue"/>
                  <w:tcBorders>
                    <w:tl2br w:val="nil"/>
                    <w:tr2bl w:val="nil"/>
                  </w:tcBorders>
                  <w:noWrap w:val="0"/>
                  <w:vAlign w:val="center"/>
                </w:tcPr>
                <w:p w14:paraId="64A5839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525" w:type="dxa"/>
                  <w:tcBorders>
                    <w:tl2br w:val="nil"/>
                    <w:tr2bl w:val="nil"/>
                  </w:tcBorders>
                  <w:noWrap w:val="0"/>
                  <w:vAlign w:val="center"/>
                </w:tcPr>
                <w:p w14:paraId="7EE5F669">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职工防护</w:t>
                  </w:r>
                </w:p>
              </w:tc>
              <w:tc>
                <w:tcPr>
                  <w:tcW w:w="2478" w:type="dxa"/>
                  <w:gridSpan w:val="2"/>
                  <w:tcBorders>
                    <w:tl2br w:val="nil"/>
                    <w:tr2bl w:val="nil"/>
                  </w:tcBorders>
                  <w:noWrap w:val="0"/>
                  <w:vAlign w:val="center"/>
                </w:tcPr>
                <w:p w14:paraId="33433A0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职工防护用具</w:t>
                  </w:r>
                </w:p>
              </w:tc>
              <w:tc>
                <w:tcPr>
                  <w:tcW w:w="840" w:type="dxa"/>
                  <w:tcBorders>
                    <w:tl2br w:val="nil"/>
                    <w:tr2bl w:val="nil"/>
                  </w:tcBorders>
                  <w:noWrap w:val="0"/>
                  <w:vAlign w:val="center"/>
                </w:tcPr>
                <w:p w14:paraId="45E0033C">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若干</w:t>
                  </w:r>
                </w:p>
              </w:tc>
              <w:tc>
                <w:tcPr>
                  <w:tcW w:w="2175" w:type="dxa"/>
                  <w:vMerge w:val="continue"/>
                  <w:tcBorders>
                    <w:tl2br w:val="nil"/>
                    <w:tr2bl w:val="nil"/>
                  </w:tcBorders>
                  <w:noWrap w:val="0"/>
                  <w:vAlign w:val="center"/>
                </w:tcPr>
                <w:p w14:paraId="4C719D25">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c>
                <w:tcPr>
                  <w:tcW w:w="1285" w:type="dxa"/>
                  <w:vMerge w:val="continue"/>
                  <w:tcBorders>
                    <w:tl2br w:val="nil"/>
                    <w:tr2bl w:val="nil"/>
                  </w:tcBorders>
                  <w:noWrap w:val="0"/>
                  <w:vAlign w:val="center"/>
                </w:tcPr>
                <w:p w14:paraId="306F575C">
                  <w:pPr>
                    <w:widowControl w:val="0"/>
                    <w:spacing w:line="320" w:lineRule="exact"/>
                    <w:jc w:val="center"/>
                    <w:rPr>
                      <w:rFonts w:hint="default" w:ascii="Times New Roman" w:hAnsi="Times New Roman" w:eastAsia="宋体" w:cs="Times New Roman"/>
                      <w:color w:val="auto"/>
                      <w:kern w:val="0"/>
                      <w:sz w:val="21"/>
                      <w:szCs w:val="21"/>
                      <w:highlight w:val="none"/>
                      <w:lang w:val="en-US" w:eastAsia="zh-CN" w:bidi="ar-SA"/>
                    </w:rPr>
                  </w:pPr>
                </w:p>
              </w:tc>
            </w:tr>
          </w:tbl>
          <w:p w14:paraId="64DFE850">
            <w:pPr>
              <w:widowControl w:val="0"/>
              <w:overflowPunct w:val="0"/>
              <w:autoSpaceDE w:val="0"/>
              <w:autoSpaceDN w:val="0"/>
              <w:adjustRightInd w:val="0"/>
              <w:snapToGrid w:val="0"/>
              <w:spacing w:before="0" w:after="0" w:line="360" w:lineRule="auto"/>
              <w:ind w:right="0" w:firstLine="380" w:firstLineChars="200"/>
              <w:jc w:val="both"/>
              <w:rPr>
                <w:rFonts w:ascii="Times New Roman" w:hAnsi="Times New Roman" w:eastAsia="宋体" w:cs="宋体"/>
                <w:bCs/>
                <w:snapToGrid w:val="0"/>
                <w:color w:val="auto"/>
                <w:spacing w:val="-10"/>
                <w:kern w:val="2"/>
                <w:sz w:val="21"/>
                <w:szCs w:val="21"/>
                <w:highlight w:val="none"/>
                <w:lang w:val="en-US" w:eastAsia="zh-CN" w:bidi="ar-SA"/>
              </w:rPr>
            </w:pPr>
          </w:p>
        </w:tc>
      </w:tr>
    </w:tbl>
    <w:p w14:paraId="1F5777B2">
      <w:pPr>
        <w:rPr>
          <w:rFonts w:hint="eastAsia" w:ascii="Times New Roman" w:hAnsi="Times New Roman" w:eastAsia="宋体" w:cs="宋体"/>
          <w:color w:val="auto"/>
          <w:sz w:val="24"/>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1B8F4D4">
      <w:pPr>
        <w:widowControl w:val="0"/>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color w:val="auto"/>
          <w:kern w:val="44"/>
          <w:sz w:val="28"/>
          <w:szCs w:val="22"/>
          <w:lang w:val="en-US" w:eastAsia="zh-CN" w:bidi="ar-SA"/>
        </w:rPr>
      </w:pPr>
      <w:bookmarkStart w:id="98" w:name="_Toc32613"/>
      <w:bookmarkStart w:id="99" w:name="_Toc24501"/>
      <w:bookmarkStart w:id="100" w:name="_Toc32340"/>
      <w:bookmarkStart w:id="101" w:name="_Toc1901"/>
      <w:bookmarkStart w:id="102" w:name="_Toc21082"/>
      <w:r>
        <w:rPr>
          <w:rFonts w:ascii="Times New Roman" w:hAnsi="Times New Roman" w:eastAsia="宋体" w:cs="宋体"/>
          <w:b/>
          <w:color w:val="auto"/>
          <w:kern w:val="44"/>
          <w:sz w:val="28"/>
          <w:szCs w:val="22"/>
          <w:lang w:val="en-US" w:eastAsia="zh-CN" w:bidi="ar-SA"/>
        </w:rPr>
        <w:t>五、环境保护措施监督检查清单</w:t>
      </w:r>
      <w:bookmarkEnd w:id="98"/>
      <w:bookmarkEnd w:id="99"/>
      <w:bookmarkEnd w:id="100"/>
      <w:bookmarkEnd w:id="101"/>
      <w:bookmarkEnd w:id="102"/>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667"/>
        <w:gridCol w:w="1487"/>
        <w:gridCol w:w="1335"/>
        <w:gridCol w:w="1830"/>
        <w:gridCol w:w="3140"/>
      </w:tblGrid>
      <w:tr w14:paraId="502E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4E2AF381">
            <w:pPr>
              <w:widowControl w:val="0"/>
              <w:overflowPunct w:val="0"/>
              <w:autoSpaceDE w:val="0"/>
              <w:autoSpaceDN w:val="0"/>
              <w:bidi w:val="0"/>
              <w:adjustRightInd w:val="0"/>
              <w:snapToGrid w:val="0"/>
              <w:spacing w:before="0" w:after="0" w:line="400" w:lineRule="exact"/>
              <w:ind w:left="0" w:right="0" w:firstLine="0" w:firstLineChars="0"/>
              <w:jc w:val="right"/>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mc:AlternateContent>
                <mc:Choice Requires="wps">
                  <w:drawing>
                    <wp:anchor distT="0" distB="0" distL="114300" distR="114300" simplePos="0" relativeHeight="251664384" behindDoc="1" locked="0" layoutInCell="1" allowOverlap="1">
                      <wp:simplePos x="0" y="0"/>
                      <wp:positionH relativeFrom="page">
                        <wp:posOffset>-13970</wp:posOffset>
                      </wp:positionH>
                      <wp:positionV relativeFrom="paragraph">
                        <wp:posOffset>-12065</wp:posOffset>
                      </wp:positionV>
                      <wp:extent cx="827405" cy="523240"/>
                      <wp:effectExtent l="2540" t="3810" r="8255" b="6350"/>
                      <wp:wrapNone/>
                      <wp:docPr id="33" name="直线 93"/>
                      <wp:cNvGraphicFramePr/>
                      <a:graphic xmlns:a="http://schemas.openxmlformats.org/drawingml/2006/main">
                        <a:graphicData uri="http://schemas.microsoft.com/office/word/2010/wordprocessingShape">
                          <wps:wsp>
                            <wps:cNvCnPr/>
                            <wps:spPr>
                              <a:xfrm>
                                <a:off x="0" y="0"/>
                                <a:ext cx="827405" cy="52324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1.1pt;margin-top:-0.95pt;height:41.2pt;width:65.15pt;mso-position-horizontal-relative:page;z-index:-251652096;mso-width-relative:page;mso-height-relative:page;" filled="f" stroked="t" coordsize="21600,21600" o:gfxdata="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mY6arVAAAACAEAAA8AAAAAAAAAAQAgAAAAIgAAAGRycy9kb3ducmV2LnhtbFBLAQIUABQAAAAI&#10;AIdO4kDxuPbK8AEAAOEDAAAOAAAAAAAAAAEAIAAAACQBAABkcnMvZTJvRG9jLnhtbFBLBQYAAAAA&#10;BgAGAFkBAACGBQAAAAA=&#10;">
                      <v:fill on="f" focussize="0,0"/>
                      <v:stroke weight="0.5pt" color="#000000" joinstyle="round"/>
                      <v:imagedata o:title=""/>
                      <o:lock v:ext="edit" aspectratio="f"/>
                    </v:line>
                  </w:pict>
                </mc:Fallback>
              </mc:AlternateContent>
            </w:r>
            <w:r>
              <w:rPr>
                <w:rFonts w:hint="eastAsia" w:ascii="Times New Roman" w:hAnsi="Times New Roman" w:eastAsia="宋体" w:cs="宋体"/>
                <w:color w:val="auto"/>
                <w:sz w:val="21"/>
                <w:szCs w:val="22"/>
                <w:lang w:val="en-US" w:eastAsia="zh-CN" w:bidi="ar-SA"/>
              </w:rPr>
              <w:t>内容</w:t>
            </w:r>
          </w:p>
          <w:p w14:paraId="384ACF5A">
            <w:pPr>
              <w:widowControl w:val="0"/>
              <w:overflowPunct w:val="0"/>
              <w:autoSpaceDE w:val="0"/>
              <w:autoSpaceDN w:val="0"/>
              <w:bidi w:val="0"/>
              <w:adjustRightInd w:val="0"/>
              <w:snapToGrid w:val="0"/>
              <w:spacing w:before="0" w:after="0" w:line="400" w:lineRule="exact"/>
              <w:ind w:left="0" w:right="0" w:firstLine="0" w:firstLineChars="0"/>
              <w:jc w:val="left"/>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要素</w:t>
            </w:r>
          </w:p>
        </w:tc>
        <w:tc>
          <w:tcPr>
            <w:tcW w:w="1487" w:type="dxa"/>
            <w:vAlign w:val="center"/>
          </w:tcPr>
          <w:p w14:paraId="5DA892E0">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排放口(编号、名称)/污染源</w:t>
            </w:r>
          </w:p>
        </w:tc>
        <w:tc>
          <w:tcPr>
            <w:tcW w:w="1335" w:type="dxa"/>
            <w:vAlign w:val="center"/>
          </w:tcPr>
          <w:p w14:paraId="18215A87">
            <w:pPr>
              <w:widowControl w:val="0"/>
              <w:overflowPunct w:val="0"/>
              <w:autoSpaceDE w:val="0"/>
              <w:autoSpaceDN w:val="0"/>
              <w:bidi w:val="0"/>
              <w:adjustRightInd w:val="0"/>
              <w:snapToGrid w:val="0"/>
              <w:spacing w:before="0" w:after="0" w:line="400" w:lineRule="exact"/>
              <w:ind w:left="0" w:right="0"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污染物</w:t>
            </w:r>
          </w:p>
          <w:p w14:paraId="1636BC0F">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项目</w:t>
            </w:r>
          </w:p>
        </w:tc>
        <w:tc>
          <w:tcPr>
            <w:tcW w:w="1830" w:type="dxa"/>
            <w:vAlign w:val="center"/>
          </w:tcPr>
          <w:p w14:paraId="7CD999B4">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环境保护措施</w:t>
            </w:r>
          </w:p>
        </w:tc>
        <w:tc>
          <w:tcPr>
            <w:tcW w:w="3140" w:type="dxa"/>
            <w:vAlign w:val="center"/>
          </w:tcPr>
          <w:p w14:paraId="3A83BDCA">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执行标准</w:t>
            </w:r>
          </w:p>
        </w:tc>
      </w:tr>
      <w:tr w14:paraId="4614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612" w:type="dxa"/>
            <w:vMerge w:val="restart"/>
            <w:vAlign w:val="center"/>
          </w:tcPr>
          <w:p w14:paraId="7943B920">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大气环境</w:t>
            </w:r>
          </w:p>
        </w:tc>
        <w:tc>
          <w:tcPr>
            <w:tcW w:w="667" w:type="dxa"/>
            <w:vAlign w:val="center"/>
          </w:tcPr>
          <w:p w14:paraId="7940449B">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cs="宋体"/>
                <w:color w:val="auto"/>
                <w:sz w:val="21"/>
                <w:szCs w:val="22"/>
                <w:lang w:val="en-US" w:eastAsia="zh-CN" w:bidi="ar-SA"/>
              </w:rPr>
              <w:t>有组织</w:t>
            </w:r>
          </w:p>
        </w:tc>
        <w:tc>
          <w:tcPr>
            <w:tcW w:w="1487" w:type="dxa"/>
            <w:vMerge w:val="restart"/>
            <w:vAlign w:val="center"/>
          </w:tcPr>
          <w:p w14:paraId="67915213">
            <w:pPr>
              <w:widowControl w:val="0"/>
              <w:autoSpaceDE w:val="0"/>
              <w:autoSpaceDN w:val="0"/>
              <w:spacing w:line="240" w:lineRule="auto"/>
              <w:ind w:left="0" w:leftChars="0" w:firstLine="0" w:firstLineChars="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DA00</w:t>
            </w:r>
            <w:r>
              <w:rPr>
                <w:rFonts w:hint="eastAsia" w:ascii="Times New Roman" w:hAnsi="Times New Roman" w:cs="Times New Roman"/>
                <w:color w:val="auto"/>
                <w:kern w:val="2"/>
                <w:sz w:val="21"/>
                <w:szCs w:val="21"/>
                <w:lang w:val="en-US" w:eastAsia="zh-CN" w:bidi="ar-SA"/>
              </w:rPr>
              <w:t>1</w:t>
            </w:r>
          </w:p>
          <w:p w14:paraId="068DB944">
            <w:pPr>
              <w:widowControl w:val="0"/>
              <w:autoSpaceDE w:val="0"/>
              <w:autoSpaceDN w:val="0"/>
              <w:spacing w:line="240" w:lineRule="auto"/>
              <w:ind w:left="0" w:leftChars="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Times New Roman"/>
                <w:color w:val="auto"/>
                <w:kern w:val="2"/>
                <w:sz w:val="21"/>
                <w:szCs w:val="21"/>
                <w:lang w:val="en-US" w:eastAsia="zh-CN" w:bidi="ar-SA"/>
              </w:rPr>
              <w:t>（生产车间排放口）</w:t>
            </w:r>
          </w:p>
        </w:tc>
        <w:tc>
          <w:tcPr>
            <w:tcW w:w="1335" w:type="dxa"/>
            <w:vAlign w:val="center"/>
          </w:tcPr>
          <w:p w14:paraId="4F098951">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cs="宋体"/>
                <w:color w:val="auto"/>
                <w:sz w:val="21"/>
                <w:szCs w:val="22"/>
                <w:lang w:val="en-US" w:eastAsia="zh-CN" w:bidi="ar-SA"/>
              </w:rPr>
              <w:t>颗粒物</w:t>
            </w:r>
          </w:p>
        </w:tc>
        <w:tc>
          <w:tcPr>
            <w:tcW w:w="1830" w:type="dxa"/>
            <w:vMerge w:val="restart"/>
            <w:vAlign w:val="center"/>
          </w:tcPr>
          <w:p w14:paraId="535FD6D1">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6台</w:t>
            </w:r>
            <w:r>
              <w:rPr>
                <w:rFonts w:hint="eastAsia" w:ascii="Times New Roman" w:hAnsi="Times New Roman" w:eastAsia="宋体" w:cs="宋体"/>
                <w:color w:val="auto"/>
                <w:sz w:val="21"/>
                <w:szCs w:val="22"/>
                <w:lang w:val="en-US" w:eastAsia="zh-CN" w:bidi="ar-SA"/>
              </w:rPr>
              <w:t>集气罩+</w:t>
            </w:r>
            <w:r>
              <w:rPr>
                <w:rFonts w:hint="eastAsia" w:cs="宋体"/>
                <w:color w:val="auto"/>
                <w:sz w:val="21"/>
                <w:szCs w:val="22"/>
                <w:lang w:val="en-US" w:eastAsia="zh-CN" w:bidi="ar-SA"/>
              </w:rPr>
              <w:t>2套布袋除尘器</w:t>
            </w:r>
            <w:r>
              <w:rPr>
                <w:rFonts w:hint="eastAsia" w:ascii="Times New Roman" w:hAnsi="Times New Roman" w:eastAsia="宋体" w:cs="宋体"/>
                <w:color w:val="auto"/>
                <w:sz w:val="21"/>
                <w:szCs w:val="22"/>
                <w:lang w:val="en-US" w:eastAsia="zh-CN" w:bidi="ar-SA"/>
              </w:rPr>
              <w:t>+</w:t>
            </w:r>
            <w:r>
              <w:rPr>
                <w:rFonts w:hint="eastAsia" w:cs="宋体"/>
                <w:color w:val="auto"/>
                <w:sz w:val="21"/>
                <w:szCs w:val="22"/>
                <w:lang w:val="en-US" w:eastAsia="zh-CN" w:bidi="ar-SA"/>
              </w:rPr>
              <w:t>1座15</w:t>
            </w:r>
            <w:r>
              <w:rPr>
                <w:rFonts w:hint="eastAsia" w:ascii="Times New Roman" w:hAnsi="Times New Roman" w:cs="宋体"/>
                <w:color w:val="auto"/>
                <w:sz w:val="21"/>
                <w:szCs w:val="22"/>
                <w:lang w:val="en-US" w:eastAsia="zh-CN" w:bidi="ar-SA"/>
              </w:rPr>
              <w:t>m</w:t>
            </w:r>
            <w:r>
              <w:rPr>
                <w:rFonts w:hint="eastAsia" w:ascii="Times New Roman" w:hAnsi="Times New Roman" w:eastAsia="宋体" w:cs="宋体"/>
                <w:color w:val="auto"/>
                <w:sz w:val="21"/>
                <w:szCs w:val="22"/>
                <w:lang w:val="en-US" w:eastAsia="zh-CN" w:bidi="ar-SA"/>
              </w:rPr>
              <w:t>排气筒</w:t>
            </w:r>
          </w:p>
        </w:tc>
        <w:tc>
          <w:tcPr>
            <w:tcW w:w="3140" w:type="dxa"/>
            <w:vMerge w:val="restart"/>
            <w:vAlign w:val="center"/>
          </w:tcPr>
          <w:p w14:paraId="1ED564F0">
            <w:pPr>
              <w:overflowPunct w:val="0"/>
              <w:autoSpaceDE w:val="0"/>
              <w:autoSpaceDN w:val="0"/>
              <w:bidi w:val="0"/>
              <w:adjustRightInd w:val="0"/>
              <w:snapToGrid w:val="0"/>
              <w:spacing w:before="0" w:after="0" w:line="500" w:lineRule="exact"/>
              <w:ind w:left="0" w:leftChars="0" w:right="0" w:rightChars="0" w:firstLine="0" w:firstLineChars="0"/>
              <w:jc w:val="center"/>
              <w:rPr>
                <w:rFonts w:hint="eastAsia" w:ascii="Times New Roman" w:hAnsi="Times New Roman" w:eastAsia="宋体" w:cs="宋体"/>
                <w:color w:val="auto"/>
                <w:sz w:val="21"/>
                <w:szCs w:val="21"/>
                <w:lang w:val="zh-CN" w:eastAsia="zh-CN"/>
              </w:rPr>
            </w:pPr>
            <w:r>
              <w:rPr>
                <w:rFonts w:hint="eastAsia" w:ascii="Times New Roman" w:hAnsi="Times New Roman" w:eastAsia="宋体" w:cs="宋体"/>
                <w:color w:val="auto"/>
                <w:sz w:val="21"/>
                <w:szCs w:val="21"/>
                <w:lang w:val="zh-CN" w:eastAsia="zh-CN"/>
              </w:rPr>
              <w:t>《水泥工业大气污染物排放标准》(GB 4915-2013 ）表2 大气污染物特别排放限值</w:t>
            </w:r>
          </w:p>
        </w:tc>
      </w:tr>
      <w:tr w14:paraId="0B80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12" w:type="dxa"/>
            <w:vMerge w:val="continue"/>
            <w:vAlign w:val="center"/>
          </w:tcPr>
          <w:p w14:paraId="52109327">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667" w:type="dxa"/>
            <w:vMerge w:val="restart"/>
            <w:vAlign w:val="center"/>
          </w:tcPr>
          <w:p w14:paraId="22E870F9">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无组织</w:t>
            </w:r>
          </w:p>
        </w:tc>
        <w:tc>
          <w:tcPr>
            <w:tcW w:w="1487" w:type="dxa"/>
            <w:vMerge w:val="restart"/>
            <w:vAlign w:val="center"/>
          </w:tcPr>
          <w:p w14:paraId="76A151D5">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cs="宋体"/>
                <w:color w:val="auto"/>
                <w:sz w:val="21"/>
                <w:szCs w:val="22"/>
                <w:lang w:val="en-US" w:eastAsia="zh-CN" w:bidi="ar-SA"/>
              </w:rPr>
              <w:t>厂界</w:t>
            </w:r>
          </w:p>
        </w:tc>
        <w:tc>
          <w:tcPr>
            <w:tcW w:w="1335" w:type="dxa"/>
            <w:vMerge w:val="restart"/>
            <w:vAlign w:val="center"/>
          </w:tcPr>
          <w:p w14:paraId="32E7E33D">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cs="宋体"/>
                <w:color w:val="auto"/>
                <w:sz w:val="21"/>
                <w:szCs w:val="22"/>
                <w:lang w:val="en-US" w:eastAsia="zh-CN" w:bidi="ar-SA"/>
              </w:rPr>
            </w:pPr>
            <w:r>
              <w:rPr>
                <w:rFonts w:hint="eastAsia" w:ascii="Times New Roman" w:hAnsi="Times New Roman" w:cs="宋体"/>
                <w:color w:val="auto"/>
                <w:sz w:val="21"/>
                <w:szCs w:val="22"/>
                <w:lang w:val="en-US" w:eastAsia="zh-CN" w:bidi="ar-SA"/>
              </w:rPr>
              <w:t>颗粒物</w:t>
            </w:r>
          </w:p>
        </w:tc>
        <w:tc>
          <w:tcPr>
            <w:tcW w:w="1830" w:type="dxa"/>
            <w:vAlign w:val="center"/>
          </w:tcPr>
          <w:p w14:paraId="383AE9A9">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筒仓仓顶设置布袋除尘器、车间封闭</w:t>
            </w:r>
          </w:p>
        </w:tc>
        <w:tc>
          <w:tcPr>
            <w:tcW w:w="3140" w:type="dxa"/>
            <w:vMerge w:val="restart"/>
            <w:vAlign w:val="center"/>
          </w:tcPr>
          <w:p w14:paraId="30818959">
            <w:pPr>
              <w:overflowPunct w:val="0"/>
              <w:autoSpaceDE w:val="0"/>
              <w:autoSpaceDN w:val="0"/>
              <w:bidi w:val="0"/>
              <w:adjustRightInd w:val="0"/>
              <w:snapToGrid w:val="0"/>
              <w:spacing w:before="0" w:after="0" w:line="5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《水泥工业大气污染物排放标准》(GB 4915-2013 ）表3 大气污染物无组织排放限值</w:t>
            </w:r>
          </w:p>
        </w:tc>
      </w:tr>
      <w:tr w14:paraId="73CC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612" w:type="dxa"/>
            <w:vMerge w:val="continue"/>
            <w:vAlign w:val="center"/>
          </w:tcPr>
          <w:p w14:paraId="4ABBA6E5">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667" w:type="dxa"/>
            <w:vMerge w:val="continue"/>
            <w:vAlign w:val="center"/>
          </w:tcPr>
          <w:p w14:paraId="741C70AA">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487" w:type="dxa"/>
            <w:vMerge w:val="continue"/>
            <w:vAlign w:val="center"/>
          </w:tcPr>
          <w:p w14:paraId="652A7087">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p>
        </w:tc>
        <w:tc>
          <w:tcPr>
            <w:tcW w:w="1335" w:type="dxa"/>
            <w:vMerge w:val="continue"/>
            <w:vAlign w:val="center"/>
          </w:tcPr>
          <w:p w14:paraId="73963AE5">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cs="宋体"/>
                <w:color w:val="auto"/>
                <w:sz w:val="21"/>
                <w:szCs w:val="22"/>
                <w:lang w:val="en-US" w:eastAsia="zh-CN" w:bidi="ar-SA"/>
              </w:rPr>
            </w:pPr>
          </w:p>
        </w:tc>
        <w:tc>
          <w:tcPr>
            <w:tcW w:w="1830" w:type="dxa"/>
            <w:vMerge w:val="restart"/>
            <w:vAlign w:val="center"/>
          </w:tcPr>
          <w:p w14:paraId="149FE050">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加强车辆管控、篷布覆盖、加强封闭式作业</w:t>
            </w:r>
          </w:p>
        </w:tc>
        <w:tc>
          <w:tcPr>
            <w:tcW w:w="3140" w:type="dxa"/>
            <w:vMerge w:val="continue"/>
            <w:vAlign w:val="center"/>
          </w:tcPr>
          <w:p w14:paraId="0EF50762">
            <w:pPr>
              <w:overflowPunct w:val="0"/>
              <w:autoSpaceDE w:val="0"/>
              <w:autoSpaceDN w:val="0"/>
              <w:bidi w:val="0"/>
              <w:adjustRightInd w:val="0"/>
              <w:snapToGrid w:val="0"/>
              <w:spacing w:before="0" w:after="0" w:line="5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p>
        </w:tc>
      </w:tr>
      <w:tr w14:paraId="5717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restart"/>
            <w:vAlign w:val="center"/>
          </w:tcPr>
          <w:p w14:paraId="6D998423">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水环境</w:t>
            </w:r>
          </w:p>
        </w:tc>
        <w:tc>
          <w:tcPr>
            <w:tcW w:w="1487" w:type="dxa"/>
            <w:vMerge w:val="restart"/>
            <w:vAlign w:val="center"/>
          </w:tcPr>
          <w:p w14:paraId="3A0DD133">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生活污水</w:t>
            </w:r>
          </w:p>
        </w:tc>
        <w:tc>
          <w:tcPr>
            <w:tcW w:w="1335" w:type="dxa"/>
            <w:vAlign w:val="center"/>
          </w:tcPr>
          <w:p w14:paraId="5A7B6E52">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cs="宋体"/>
                <w:color w:val="auto"/>
                <w:sz w:val="21"/>
                <w:szCs w:val="22"/>
                <w:lang w:val="en-US" w:eastAsia="zh-CN" w:bidi="ar-SA"/>
              </w:rPr>
              <w:t>pH</w:t>
            </w:r>
          </w:p>
        </w:tc>
        <w:tc>
          <w:tcPr>
            <w:tcW w:w="1830" w:type="dxa"/>
            <w:vMerge w:val="restart"/>
            <w:vAlign w:val="center"/>
          </w:tcPr>
          <w:p w14:paraId="47501B83">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排入园区管网</w:t>
            </w:r>
          </w:p>
        </w:tc>
        <w:tc>
          <w:tcPr>
            <w:tcW w:w="3140" w:type="dxa"/>
            <w:vMerge w:val="restart"/>
            <w:vAlign w:val="center"/>
          </w:tcPr>
          <w:p w14:paraId="3721E367">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Times New Roman"/>
                <w:b w:val="0"/>
                <w:bCs w:val="0"/>
                <w:color w:val="auto"/>
                <w:sz w:val="21"/>
                <w:szCs w:val="21"/>
                <w:lang w:val="en-US" w:eastAsia="zh-CN"/>
              </w:rPr>
              <w:t>《污水综合排放标准》（GB8978-1996）表4 第二类污染物最高允许排放浓度三级标准</w:t>
            </w:r>
          </w:p>
        </w:tc>
      </w:tr>
      <w:tr w14:paraId="7D17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14:paraId="3C26268B">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487" w:type="dxa"/>
            <w:vMerge w:val="continue"/>
            <w:vAlign w:val="center"/>
          </w:tcPr>
          <w:p w14:paraId="27F42E04">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335" w:type="dxa"/>
            <w:vAlign w:val="center"/>
          </w:tcPr>
          <w:p w14:paraId="5F7BBBC5">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COD</w:t>
            </w:r>
            <w:r>
              <w:rPr>
                <w:rFonts w:hint="eastAsia" w:ascii="Times New Roman" w:hAnsi="Times New Roman" w:eastAsia="宋体" w:cs="宋体"/>
                <w:color w:val="auto"/>
                <w:sz w:val="21"/>
                <w:szCs w:val="22"/>
                <w:lang w:val="en-US" w:eastAsia="zh-CN" w:bidi="ar-SA"/>
              </w:rPr>
              <w:t>cr</w:t>
            </w:r>
          </w:p>
        </w:tc>
        <w:tc>
          <w:tcPr>
            <w:tcW w:w="1830" w:type="dxa"/>
            <w:vMerge w:val="continue"/>
            <w:vAlign w:val="center"/>
          </w:tcPr>
          <w:p w14:paraId="7775D15B">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3140" w:type="dxa"/>
            <w:vMerge w:val="continue"/>
            <w:vAlign w:val="center"/>
          </w:tcPr>
          <w:p w14:paraId="46A6146F">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305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14:paraId="314EC309">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487" w:type="dxa"/>
            <w:vMerge w:val="continue"/>
            <w:vAlign w:val="center"/>
          </w:tcPr>
          <w:p w14:paraId="7A53F055">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335" w:type="dxa"/>
            <w:vAlign w:val="center"/>
          </w:tcPr>
          <w:p w14:paraId="36C856A5">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SS</w:t>
            </w:r>
          </w:p>
        </w:tc>
        <w:tc>
          <w:tcPr>
            <w:tcW w:w="1830" w:type="dxa"/>
            <w:vMerge w:val="continue"/>
            <w:vAlign w:val="center"/>
          </w:tcPr>
          <w:p w14:paraId="6429598E">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3140" w:type="dxa"/>
            <w:vMerge w:val="continue"/>
            <w:vAlign w:val="center"/>
          </w:tcPr>
          <w:p w14:paraId="52B5930B">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0D6E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14:paraId="61F57851">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487" w:type="dxa"/>
            <w:vMerge w:val="continue"/>
            <w:vAlign w:val="center"/>
          </w:tcPr>
          <w:p w14:paraId="2FD0B60D">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335" w:type="dxa"/>
            <w:vAlign w:val="center"/>
          </w:tcPr>
          <w:p w14:paraId="6EA7D176">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NH</w:t>
            </w:r>
            <w:r>
              <w:rPr>
                <w:rFonts w:ascii="Times New Roman" w:hAnsi="Times New Roman" w:eastAsia="宋体" w:cs="宋体"/>
                <w:color w:val="auto"/>
                <w:sz w:val="21"/>
                <w:szCs w:val="22"/>
                <w:vertAlign w:val="subscript"/>
                <w:lang w:val="en-US" w:eastAsia="zh-CN" w:bidi="ar-SA"/>
              </w:rPr>
              <w:t>3</w:t>
            </w:r>
            <w:r>
              <w:rPr>
                <w:rFonts w:ascii="Times New Roman" w:hAnsi="Times New Roman" w:eastAsia="宋体" w:cs="宋体"/>
                <w:color w:val="auto"/>
                <w:sz w:val="21"/>
                <w:szCs w:val="22"/>
                <w:lang w:val="en-US" w:eastAsia="zh-CN" w:bidi="ar-SA"/>
              </w:rPr>
              <w:t>-N</w:t>
            </w:r>
          </w:p>
        </w:tc>
        <w:tc>
          <w:tcPr>
            <w:tcW w:w="1830" w:type="dxa"/>
            <w:vMerge w:val="continue"/>
            <w:vAlign w:val="center"/>
          </w:tcPr>
          <w:p w14:paraId="746F975E">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3140" w:type="dxa"/>
            <w:vMerge w:val="continue"/>
            <w:vAlign w:val="center"/>
          </w:tcPr>
          <w:p w14:paraId="3E4B499E">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58FF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14:paraId="2D3027D8">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487" w:type="dxa"/>
            <w:vMerge w:val="continue"/>
            <w:vAlign w:val="center"/>
          </w:tcPr>
          <w:p w14:paraId="681487AA">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1335" w:type="dxa"/>
            <w:vAlign w:val="center"/>
          </w:tcPr>
          <w:p w14:paraId="418F7CFB">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BOD</w:t>
            </w:r>
            <w:r>
              <w:rPr>
                <w:rFonts w:hint="eastAsia" w:ascii="Times New Roman" w:hAnsi="Times New Roman" w:eastAsia="宋体" w:cs="宋体"/>
                <w:color w:val="auto"/>
                <w:sz w:val="21"/>
                <w:szCs w:val="22"/>
                <w:vertAlign w:val="subscript"/>
                <w:lang w:val="en-US" w:eastAsia="zh-CN" w:bidi="ar-SA"/>
              </w:rPr>
              <w:t>5</w:t>
            </w:r>
          </w:p>
        </w:tc>
        <w:tc>
          <w:tcPr>
            <w:tcW w:w="1830" w:type="dxa"/>
            <w:vMerge w:val="continue"/>
            <w:vAlign w:val="center"/>
          </w:tcPr>
          <w:p w14:paraId="7870A378">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c>
          <w:tcPr>
            <w:tcW w:w="3140" w:type="dxa"/>
            <w:vMerge w:val="continue"/>
            <w:vAlign w:val="center"/>
          </w:tcPr>
          <w:p w14:paraId="22D802A1">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74B4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restart"/>
            <w:vAlign w:val="center"/>
          </w:tcPr>
          <w:p w14:paraId="5FE3CB23">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固废</w:t>
            </w:r>
          </w:p>
        </w:tc>
        <w:tc>
          <w:tcPr>
            <w:tcW w:w="1487" w:type="dxa"/>
            <w:vAlign w:val="center"/>
          </w:tcPr>
          <w:p w14:paraId="7A14DC16">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生活区</w:t>
            </w:r>
          </w:p>
        </w:tc>
        <w:tc>
          <w:tcPr>
            <w:tcW w:w="1335" w:type="dxa"/>
            <w:vAlign w:val="center"/>
          </w:tcPr>
          <w:p w14:paraId="669BFF16">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生活垃圾</w:t>
            </w:r>
          </w:p>
        </w:tc>
        <w:tc>
          <w:tcPr>
            <w:tcW w:w="1830" w:type="dxa"/>
            <w:vAlign w:val="center"/>
          </w:tcPr>
          <w:p w14:paraId="60C8997D">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集中收集，委托环卫部门清运</w:t>
            </w:r>
          </w:p>
        </w:tc>
        <w:tc>
          <w:tcPr>
            <w:tcW w:w="3140" w:type="dxa"/>
            <w:vMerge w:val="restart"/>
            <w:vAlign w:val="center"/>
          </w:tcPr>
          <w:p w14:paraId="77457D19">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《一般工业固体废物贮存和填埋场污染控制标准》（GB18599-2020）</w:t>
            </w:r>
          </w:p>
        </w:tc>
      </w:tr>
      <w:tr w14:paraId="1C57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14:paraId="4B562C44">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14E2135D">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宋体"/>
                <w:color w:val="auto"/>
                <w:sz w:val="21"/>
                <w:szCs w:val="22"/>
                <w:lang w:val="en-US" w:eastAsia="zh-CN" w:bidi="ar-SA"/>
              </w:rPr>
            </w:pPr>
            <w:r>
              <w:rPr>
                <w:rFonts w:hint="eastAsia" w:cs="Times New Roman"/>
                <w:color w:val="auto"/>
                <w:kern w:val="0"/>
                <w:sz w:val="21"/>
                <w:szCs w:val="21"/>
                <w:highlight w:val="none"/>
                <w:lang w:val="en-US" w:eastAsia="zh-CN" w:bidi="ar"/>
              </w:rPr>
              <w:t>除尘灰</w:t>
            </w:r>
          </w:p>
        </w:tc>
        <w:tc>
          <w:tcPr>
            <w:tcW w:w="1335" w:type="dxa"/>
            <w:vMerge w:val="restart"/>
            <w:vAlign w:val="center"/>
          </w:tcPr>
          <w:p w14:paraId="22C28078">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宋体"/>
                <w:color w:val="auto"/>
                <w:sz w:val="21"/>
                <w:szCs w:val="22"/>
                <w:lang w:val="en-US" w:eastAsia="zh-CN" w:bidi="ar-SA"/>
              </w:rPr>
            </w:pPr>
            <w:r>
              <w:rPr>
                <w:rFonts w:hint="eastAsia" w:ascii="Times New Roman" w:hAnsi="Times New Roman" w:cs="宋体"/>
                <w:color w:val="auto"/>
                <w:sz w:val="21"/>
                <w:szCs w:val="22"/>
                <w:lang w:val="en-US" w:eastAsia="zh-CN" w:bidi="ar-SA"/>
              </w:rPr>
              <w:t>一般固废</w:t>
            </w:r>
          </w:p>
        </w:tc>
        <w:tc>
          <w:tcPr>
            <w:tcW w:w="1830" w:type="dxa"/>
            <w:vAlign w:val="center"/>
          </w:tcPr>
          <w:p w14:paraId="23A87FB4">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cs="宋体"/>
                <w:color w:val="auto"/>
                <w:sz w:val="21"/>
                <w:szCs w:val="22"/>
                <w:lang w:val="en-US" w:eastAsia="zh-CN" w:bidi="ar-SA"/>
              </w:rPr>
              <w:t>回用于生产</w:t>
            </w:r>
          </w:p>
        </w:tc>
        <w:tc>
          <w:tcPr>
            <w:tcW w:w="3140" w:type="dxa"/>
            <w:vMerge w:val="continue"/>
            <w:vAlign w:val="center"/>
          </w:tcPr>
          <w:p w14:paraId="6BF89B07">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7261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279" w:type="dxa"/>
            <w:gridSpan w:val="2"/>
            <w:vMerge w:val="continue"/>
            <w:vAlign w:val="center"/>
          </w:tcPr>
          <w:p w14:paraId="7C97CDBF">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3E558E53">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宋体"/>
                <w:color w:val="auto"/>
                <w:sz w:val="21"/>
                <w:szCs w:val="22"/>
                <w:lang w:val="en-US" w:eastAsia="zh-CN" w:bidi="ar-SA"/>
              </w:rPr>
            </w:pPr>
            <w:r>
              <w:rPr>
                <w:rFonts w:hint="eastAsia" w:cs="宋体"/>
                <w:color w:val="auto"/>
                <w:sz w:val="21"/>
                <w:szCs w:val="22"/>
                <w:lang w:val="en-US" w:eastAsia="zh-CN" w:bidi="ar-SA"/>
              </w:rPr>
              <w:t>废包装袋</w:t>
            </w:r>
          </w:p>
        </w:tc>
        <w:tc>
          <w:tcPr>
            <w:tcW w:w="1335" w:type="dxa"/>
            <w:vMerge w:val="continue"/>
            <w:vAlign w:val="center"/>
          </w:tcPr>
          <w:p w14:paraId="3A8F4368">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宋体"/>
                <w:color w:val="auto"/>
                <w:sz w:val="21"/>
                <w:szCs w:val="22"/>
                <w:lang w:val="en-US" w:eastAsia="zh-CN" w:bidi="ar-SA"/>
              </w:rPr>
            </w:pPr>
          </w:p>
        </w:tc>
        <w:tc>
          <w:tcPr>
            <w:tcW w:w="1830" w:type="dxa"/>
            <w:vAlign w:val="center"/>
          </w:tcPr>
          <w:p w14:paraId="280AEE5F">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外售综合利用</w:t>
            </w:r>
          </w:p>
        </w:tc>
        <w:tc>
          <w:tcPr>
            <w:tcW w:w="3140" w:type="dxa"/>
            <w:vMerge w:val="continue"/>
            <w:vAlign w:val="center"/>
          </w:tcPr>
          <w:p w14:paraId="3B911CAE">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7829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Merge w:val="continue"/>
            <w:vAlign w:val="center"/>
          </w:tcPr>
          <w:p w14:paraId="0C6A73CD">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73C98C62">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宋体"/>
                <w:color w:val="auto"/>
                <w:sz w:val="21"/>
                <w:szCs w:val="22"/>
                <w:lang w:val="en-US" w:eastAsia="zh-CN" w:bidi="ar-SA"/>
              </w:rPr>
            </w:pPr>
            <w:r>
              <w:rPr>
                <w:rFonts w:hint="eastAsia" w:cs="Times New Roman"/>
                <w:color w:val="auto"/>
                <w:kern w:val="0"/>
                <w:sz w:val="21"/>
                <w:szCs w:val="21"/>
                <w:highlight w:val="none"/>
                <w:lang w:val="en-US" w:eastAsia="zh-CN" w:bidi="ar"/>
              </w:rPr>
              <w:t>废布袋</w:t>
            </w:r>
          </w:p>
        </w:tc>
        <w:tc>
          <w:tcPr>
            <w:tcW w:w="1335" w:type="dxa"/>
            <w:vMerge w:val="continue"/>
            <w:vAlign w:val="center"/>
          </w:tcPr>
          <w:p w14:paraId="6396DA79">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宋体"/>
                <w:b/>
                <w:bCs/>
                <w:color w:val="auto"/>
                <w:sz w:val="21"/>
                <w:szCs w:val="22"/>
                <w:lang w:val="en-US" w:eastAsia="zh-CN" w:bidi="ar-SA"/>
              </w:rPr>
            </w:pPr>
          </w:p>
        </w:tc>
        <w:tc>
          <w:tcPr>
            <w:tcW w:w="1830" w:type="dxa"/>
            <w:vAlign w:val="center"/>
          </w:tcPr>
          <w:p w14:paraId="68569643">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cs="宋体"/>
                <w:color w:val="auto"/>
                <w:sz w:val="21"/>
                <w:szCs w:val="22"/>
                <w:lang w:val="en-US" w:eastAsia="zh-CN" w:bidi="ar-SA"/>
              </w:rPr>
            </w:pPr>
            <w:r>
              <w:rPr>
                <w:rFonts w:hint="eastAsia" w:ascii="Times New Roman" w:hAnsi="Times New Roman" w:cs="宋体"/>
                <w:color w:val="auto"/>
                <w:sz w:val="21"/>
                <w:szCs w:val="22"/>
                <w:lang w:val="en-US" w:eastAsia="zh-CN" w:bidi="ar-SA"/>
              </w:rPr>
              <w:t>原厂回收</w:t>
            </w:r>
          </w:p>
        </w:tc>
        <w:tc>
          <w:tcPr>
            <w:tcW w:w="3140" w:type="dxa"/>
            <w:vMerge w:val="continue"/>
            <w:vAlign w:val="center"/>
          </w:tcPr>
          <w:p w14:paraId="5D962A84">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492A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79" w:type="dxa"/>
            <w:gridSpan w:val="2"/>
            <w:vMerge w:val="continue"/>
            <w:vAlign w:val="center"/>
          </w:tcPr>
          <w:p w14:paraId="485BCD08">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77D3946F">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废机油</w:t>
            </w:r>
          </w:p>
        </w:tc>
        <w:tc>
          <w:tcPr>
            <w:tcW w:w="1335" w:type="dxa"/>
            <w:vAlign w:val="center"/>
          </w:tcPr>
          <w:p w14:paraId="70655F95">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危险废物</w:t>
            </w:r>
          </w:p>
        </w:tc>
        <w:tc>
          <w:tcPr>
            <w:tcW w:w="1830" w:type="dxa"/>
            <w:vAlign w:val="center"/>
          </w:tcPr>
          <w:p w14:paraId="4561FDE2">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暂存危险废物暂存间，委托有资质单位定期处置</w:t>
            </w:r>
          </w:p>
        </w:tc>
        <w:tc>
          <w:tcPr>
            <w:tcW w:w="3140" w:type="dxa"/>
            <w:vAlign w:val="center"/>
          </w:tcPr>
          <w:p w14:paraId="1F38BAD8">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《危险废物贮存污染控制标准》（GB18597-2023）</w:t>
            </w:r>
          </w:p>
        </w:tc>
      </w:tr>
      <w:tr w14:paraId="3F38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640ABE2B">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噪声</w:t>
            </w:r>
          </w:p>
        </w:tc>
        <w:tc>
          <w:tcPr>
            <w:tcW w:w="1487" w:type="dxa"/>
            <w:vAlign w:val="center"/>
          </w:tcPr>
          <w:p w14:paraId="3EB0C28A">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Hans" w:bidi="ar-SA"/>
              </w:rPr>
              <w:t>生产车间</w:t>
            </w:r>
          </w:p>
        </w:tc>
        <w:tc>
          <w:tcPr>
            <w:tcW w:w="1335" w:type="dxa"/>
            <w:vAlign w:val="center"/>
          </w:tcPr>
          <w:p w14:paraId="2CB72AD8">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cs="宋体"/>
                <w:color w:val="auto"/>
                <w:sz w:val="21"/>
                <w:szCs w:val="22"/>
                <w:lang w:val="en-US" w:eastAsia="zh-CN" w:bidi="ar-SA"/>
              </w:rPr>
              <w:t>设备运营噪声</w:t>
            </w:r>
          </w:p>
        </w:tc>
        <w:tc>
          <w:tcPr>
            <w:tcW w:w="1830" w:type="dxa"/>
            <w:vAlign w:val="center"/>
          </w:tcPr>
          <w:p w14:paraId="581AF9AE">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选用具有减震、降噪、隔声、消声设计的设备</w:t>
            </w:r>
          </w:p>
        </w:tc>
        <w:tc>
          <w:tcPr>
            <w:tcW w:w="3140" w:type="dxa"/>
            <w:vAlign w:val="center"/>
          </w:tcPr>
          <w:p w14:paraId="6D675340">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《工业企业厂界环境噪声排放标准》（GB12348-2008）中的</w:t>
            </w:r>
            <w:r>
              <w:rPr>
                <w:rFonts w:hint="eastAsia" w:cs="宋体"/>
                <w:color w:val="auto"/>
                <w:sz w:val="21"/>
                <w:szCs w:val="22"/>
                <w:lang w:val="en-US" w:eastAsia="zh-CN" w:bidi="ar-SA"/>
              </w:rPr>
              <w:t>3</w:t>
            </w:r>
            <w:r>
              <w:rPr>
                <w:rFonts w:hint="eastAsia" w:ascii="Times New Roman" w:hAnsi="Times New Roman" w:eastAsia="宋体" w:cs="宋体"/>
                <w:color w:val="auto"/>
                <w:sz w:val="21"/>
                <w:szCs w:val="22"/>
                <w:lang w:val="en-US" w:eastAsia="zh-CN" w:bidi="ar-SA"/>
              </w:rPr>
              <w:t>类标准</w:t>
            </w:r>
          </w:p>
        </w:tc>
      </w:tr>
      <w:tr w14:paraId="6018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2A214434">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电磁辐射</w:t>
            </w:r>
          </w:p>
        </w:tc>
        <w:tc>
          <w:tcPr>
            <w:tcW w:w="7792" w:type="dxa"/>
            <w:gridSpan w:val="4"/>
            <w:vAlign w:val="center"/>
          </w:tcPr>
          <w:p w14:paraId="75F196F2">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left"/>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highlight w:val="none"/>
                <w:lang w:val="en-US" w:eastAsia="zh-CN"/>
              </w:rPr>
              <w:t>-</w:t>
            </w:r>
          </w:p>
        </w:tc>
      </w:tr>
      <w:tr w14:paraId="1D62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48CF0B49">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土壤及地下水污染防治措施</w:t>
            </w:r>
          </w:p>
        </w:tc>
        <w:tc>
          <w:tcPr>
            <w:tcW w:w="7792" w:type="dxa"/>
            <w:gridSpan w:val="4"/>
            <w:vAlign w:val="center"/>
          </w:tcPr>
          <w:p w14:paraId="1FAC3070">
            <w:pPr>
              <w:keepNext w:val="0"/>
              <w:keepLines w:val="0"/>
              <w:pageBreakBefore w:val="0"/>
              <w:widowControl w:val="0"/>
              <w:kinsoku/>
              <w:wordWrap/>
              <w:overflowPunct/>
              <w:topLinePunct w:val="0"/>
              <w:autoSpaceDE/>
              <w:autoSpaceDN/>
              <w:bidi w:val="0"/>
              <w:adjustRightInd w:val="0"/>
              <w:snapToGrid w:val="0"/>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（1）防渗措施：</w:t>
            </w:r>
            <w:r>
              <w:rPr>
                <w:rFonts w:hint="eastAsia" w:ascii="Times New Roman" w:hAnsi="Times New Roman" w:eastAsia="宋体" w:cs="宋体"/>
                <w:color w:val="auto"/>
                <w:sz w:val="21"/>
                <w:szCs w:val="21"/>
                <w:highlight w:val="none"/>
                <w:lang w:val="en-US" w:eastAsia="zh-CN"/>
              </w:rPr>
              <w:t>采取分区防渗，其中</w:t>
            </w:r>
            <w:r>
              <w:rPr>
                <w:rFonts w:hint="eastAsia" w:cs="宋体"/>
                <w:color w:val="auto"/>
                <w:sz w:val="21"/>
                <w:szCs w:val="21"/>
                <w:highlight w:val="none"/>
                <w:lang w:val="en-US" w:eastAsia="zh-CN"/>
              </w:rPr>
              <w:t>危废库</w:t>
            </w:r>
            <w:r>
              <w:rPr>
                <w:rFonts w:hint="default" w:ascii="Times New Roman" w:hAnsi="Times New Roman" w:eastAsia="宋体" w:cs="宋体"/>
                <w:color w:val="auto"/>
                <w:sz w:val="21"/>
                <w:szCs w:val="21"/>
                <w:highlight w:val="none"/>
                <w:lang w:val="en-US" w:eastAsia="zh-CN"/>
              </w:rPr>
              <w:t>设置重点防渗</w:t>
            </w:r>
            <w:r>
              <w:rPr>
                <w:rFonts w:hint="eastAsia" w:ascii="Times New Roman" w:hAnsi="Times New Roman" w:eastAsia="宋体" w:cs="宋体"/>
                <w:color w:val="auto"/>
                <w:sz w:val="21"/>
                <w:szCs w:val="21"/>
                <w:highlight w:val="none"/>
                <w:lang w:val="en-US" w:eastAsia="zh-CN"/>
              </w:rPr>
              <w:t>。</w:t>
            </w:r>
          </w:p>
          <w:p w14:paraId="4D0216B4">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highlight w:val="none"/>
                <w:lang w:val="en-US" w:eastAsia="zh-CN"/>
              </w:rPr>
              <w:t>（</w:t>
            </w:r>
            <w:r>
              <w:rPr>
                <w:rFonts w:hint="eastAsia" w:ascii="Times New Roman" w:hAnsi="Times New Roman" w:cs="宋体"/>
                <w:color w:val="auto"/>
                <w:sz w:val="21"/>
                <w:szCs w:val="21"/>
                <w:highlight w:val="none"/>
                <w:lang w:val="en-US" w:eastAsia="zh-CN"/>
              </w:rPr>
              <w:t>2</w:t>
            </w:r>
            <w:r>
              <w:rPr>
                <w:rFonts w:hint="default" w:ascii="Times New Roman" w:hAnsi="Times New Roman" w:eastAsia="宋体" w:cs="宋体"/>
                <w:color w:val="auto"/>
                <w:sz w:val="21"/>
                <w:szCs w:val="21"/>
                <w:highlight w:val="none"/>
                <w:lang w:val="en-US" w:eastAsia="zh-CN"/>
              </w:rPr>
              <w:t>）加强日常巡检，及时发现隐患。</w:t>
            </w:r>
          </w:p>
        </w:tc>
      </w:tr>
      <w:tr w14:paraId="5042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2D8A0AA0">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生态保护措施</w:t>
            </w:r>
          </w:p>
        </w:tc>
        <w:tc>
          <w:tcPr>
            <w:tcW w:w="7792" w:type="dxa"/>
            <w:gridSpan w:val="4"/>
            <w:vAlign w:val="center"/>
          </w:tcPr>
          <w:p w14:paraId="6E9DBC04">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highlight w:val="none"/>
                <w:lang w:val="en-US" w:eastAsia="zh-CN"/>
              </w:rPr>
              <w:t>本项目建设完成后会进行相应的绿化措施。</w:t>
            </w:r>
          </w:p>
        </w:tc>
      </w:tr>
      <w:tr w14:paraId="3DBC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5173FDA5">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环境风险防范措施</w:t>
            </w:r>
          </w:p>
        </w:tc>
        <w:tc>
          <w:tcPr>
            <w:tcW w:w="7792" w:type="dxa"/>
            <w:gridSpan w:val="4"/>
            <w:vAlign w:val="center"/>
          </w:tcPr>
          <w:p w14:paraId="29279ACB">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w:t>
            </w:r>
            <w:r>
              <w:rPr>
                <w:rFonts w:hint="default" w:ascii="Times New Roman" w:hAnsi="Times New Roman" w:eastAsia="宋体" w:cs="宋体"/>
                <w:color w:val="auto"/>
                <w:sz w:val="21"/>
                <w:szCs w:val="21"/>
                <w:highlight w:val="none"/>
                <w:lang w:val="en-US" w:eastAsia="zh-CN"/>
              </w:rPr>
              <w:t>严格按照规章制度标准设计建设。</w:t>
            </w:r>
          </w:p>
          <w:p w14:paraId="67D452D4">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（2）厂区采取分区防渗措施，</w:t>
            </w:r>
            <w:r>
              <w:rPr>
                <w:rFonts w:hint="default" w:ascii="Times New Roman" w:hAnsi="Times New Roman" w:eastAsia="宋体" w:cs="宋体"/>
                <w:color w:val="auto"/>
                <w:sz w:val="21"/>
                <w:szCs w:val="21"/>
                <w:highlight w:val="none"/>
                <w:lang w:val="en-US" w:eastAsia="zh-CN"/>
              </w:rPr>
              <w:t>地面全部采用耐腐蚀防渗硬化地面。</w:t>
            </w:r>
          </w:p>
          <w:p w14:paraId="3ABC5EF4">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w:t>
            </w:r>
            <w:r>
              <w:rPr>
                <w:rFonts w:hint="default" w:ascii="Times New Roman" w:hAnsi="Times New Roman" w:eastAsia="宋体" w:cs="宋体"/>
                <w:color w:val="auto"/>
                <w:sz w:val="21"/>
                <w:szCs w:val="21"/>
                <w:highlight w:val="none"/>
                <w:lang w:val="en-US" w:eastAsia="zh-CN"/>
              </w:rPr>
              <w:t>设置防爆、防雷、防静电接地装置；设有通风换气设施。</w:t>
            </w:r>
          </w:p>
          <w:p w14:paraId="10C3D8B4">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w:t>
            </w:r>
            <w:r>
              <w:rPr>
                <w:rFonts w:hint="default" w:ascii="Times New Roman" w:hAnsi="Times New Roman" w:eastAsia="宋体" w:cs="宋体"/>
                <w:color w:val="auto"/>
                <w:sz w:val="21"/>
                <w:szCs w:val="21"/>
                <w:highlight w:val="none"/>
                <w:lang w:val="en-US" w:eastAsia="zh-CN"/>
              </w:rPr>
              <w:t>建立严格的</w:t>
            </w:r>
            <w:r>
              <w:rPr>
                <w:rFonts w:hint="eastAsia" w:ascii="Times New Roman" w:hAnsi="Times New Roman" w:eastAsia="宋体" w:cs="宋体"/>
                <w:color w:val="auto"/>
                <w:sz w:val="21"/>
                <w:szCs w:val="21"/>
                <w:highlight w:val="none"/>
                <w:lang w:val="en-US" w:eastAsia="zh-CN"/>
              </w:rPr>
              <w:t>管理</w:t>
            </w:r>
            <w:r>
              <w:rPr>
                <w:rFonts w:hint="default" w:ascii="Times New Roman" w:hAnsi="Times New Roman" w:eastAsia="宋体" w:cs="宋体"/>
                <w:color w:val="auto"/>
                <w:sz w:val="21"/>
                <w:szCs w:val="21"/>
                <w:highlight w:val="none"/>
                <w:lang w:val="en-US" w:eastAsia="zh-CN"/>
              </w:rPr>
              <w:t>制度</w:t>
            </w:r>
            <w:r>
              <w:rPr>
                <w:rFonts w:hint="eastAsia" w:ascii="Times New Roman" w:hAnsi="Times New Roman" w:eastAsia="宋体" w:cs="宋体"/>
                <w:color w:val="auto"/>
                <w:sz w:val="21"/>
                <w:szCs w:val="21"/>
                <w:highlight w:val="none"/>
                <w:lang w:val="en-US" w:eastAsia="zh-CN"/>
              </w:rPr>
              <w:t>和修编应急预案，并开展应急演练</w:t>
            </w:r>
            <w:r>
              <w:rPr>
                <w:rFonts w:hint="default" w:ascii="Times New Roman" w:hAnsi="Times New Roman" w:eastAsia="宋体" w:cs="宋体"/>
                <w:color w:val="auto"/>
                <w:sz w:val="21"/>
                <w:szCs w:val="21"/>
                <w:highlight w:val="none"/>
                <w:lang w:val="en-US" w:eastAsia="zh-CN"/>
              </w:rPr>
              <w:t>。</w:t>
            </w:r>
          </w:p>
          <w:p w14:paraId="1F5F4774">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left"/>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highlight w:val="none"/>
                <w:lang w:val="en-US" w:eastAsia="zh-CN"/>
              </w:rPr>
              <w:t>（5）</w:t>
            </w:r>
            <w:r>
              <w:rPr>
                <w:rFonts w:hint="default" w:ascii="Times New Roman" w:hAnsi="Times New Roman" w:eastAsia="宋体" w:cs="宋体"/>
                <w:color w:val="auto"/>
                <w:sz w:val="21"/>
                <w:szCs w:val="21"/>
                <w:highlight w:val="none"/>
                <w:lang w:val="en-US" w:eastAsia="zh-CN"/>
              </w:rPr>
              <w:t>应配备足量泄漏、火灾、爆炸事故的应急物资和医药应急药品等</w:t>
            </w:r>
            <w:r>
              <w:rPr>
                <w:rFonts w:hint="eastAsia" w:ascii="Times New Roman" w:hAnsi="Times New Roman" w:eastAsia="宋体" w:cs="宋体"/>
                <w:color w:val="auto"/>
                <w:sz w:val="21"/>
                <w:szCs w:val="21"/>
                <w:highlight w:val="none"/>
                <w:lang w:val="en-US" w:eastAsia="zh-CN"/>
              </w:rPr>
              <w:t>。</w:t>
            </w:r>
          </w:p>
        </w:tc>
      </w:tr>
      <w:tr w14:paraId="0D8D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1915ED41">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其他环境管理要求</w:t>
            </w:r>
          </w:p>
        </w:tc>
        <w:tc>
          <w:tcPr>
            <w:tcW w:w="7792" w:type="dxa"/>
            <w:gridSpan w:val="4"/>
            <w:vAlign w:val="center"/>
          </w:tcPr>
          <w:p w14:paraId="6A477651">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一、</w:t>
            </w:r>
            <w:r>
              <w:rPr>
                <w:rFonts w:hint="eastAsia" w:ascii="Times New Roman" w:hAnsi="Times New Roman" w:eastAsia="宋体" w:cs="宋体"/>
                <w:color w:val="auto"/>
                <w:sz w:val="21"/>
                <w:szCs w:val="21"/>
              </w:rPr>
              <w:t>工程环保投资概算</w:t>
            </w:r>
          </w:p>
          <w:p w14:paraId="402C968F">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highlight w:val="none"/>
              </w:rPr>
              <w:t>本项目总投资</w:t>
            </w:r>
            <w:r>
              <w:rPr>
                <w:rFonts w:hint="eastAsia" w:cs="Times New Roman"/>
                <w:color w:val="auto"/>
                <w:sz w:val="21"/>
                <w:szCs w:val="21"/>
                <w:highlight w:val="none"/>
                <w:lang w:val="en-US" w:eastAsia="zh-CN" w:bidi="ar-SA"/>
              </w:rPr>
              <w:t>1200</w:t>
            </w:r>
            <w:r>
              <w:rPr>
                <w:rFonts w:hint="eastAsia" w:ascii="Times New Roman" w:hAnsi="Times New Roman" w:eastAsia="宋体" w:cs="宋体"/>
                <w:color w:val="auto"/>
                <w:sz w:val="21"/>
                <w:szCs w:val="21"/>
                <w:highlight w:val="none"/>
              </w:rPr>
              <w:t>万</w:t>
            </w:r>
            <w:r>
              <w:rPr>
                <w:rFonts w:hint="eastAsia" w:ascii="Times New Roman" w:hAnsi="Times New Roman" w:cs="宋体"/>
                <w:color w:val="auto"/>
                <w:sz w:val="21"/>
                <w:szCs w:val="21"/>
                <w:highlight w:val="none"/>
                <w:lang w:val="en-US" w:eastAsia="zh-CN"/>
              </w:rPr>
              <w:t>元</w:t>
            </w:r>
            <w:r>
              <w:rPr>
                <w:rFonts w:hint="eastAsia"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rPr>
              <w:t>其中环保投资</w:t>
            </w:r>
            <w:r>
              <w:rPr>
                <w:rFonts w:hint="eastAsia" w:cs="宋体"/>
                <w:color w:val="auto"/>
                <w:sz w:val="21"/>
                <w:szCs w:val="21"/>
                <w:lang w:val="en-US" w:eastAsia="zh-CN"/>
              </w:rPr>
              <w:t>25.5</w:t>
            </w:r>
            <w:r>
              <w:rPr>
                <w:rFonts w:hint="eastAsia" w:ascii="Times New Roman" w:hAnsi="Times New Roman" w:cs="宋体"/>
                <w:color w:val="auto"/>
                <w:sz w:val="21"/>
                <w:szCs w:val="21"/>
                <w:lang w:val="en-US" w:eastAsia="zh-CN"/>
              </w:rPr>
              <w:t>万</w:t>
            </w:r>
            <w:r>
              <w:rPr>
                <w:rFonts w:hint="eastAsia" w:ascii="Times New Roman" w:hAnsi="Times New Roman" w:eastAsia="宋体" w:cs="宋体"/>
                <w:color w:val="auto"/>
                <w:sz w:val="21"/>
                <w:szCs w:val="21"/>
              </w:rPr>
              <w:t>元，占总投资额的</w:t>
            </w:r>
            <w:r>
              <w:rPr>
                <w:rFonts w:hint="eastAsia" w:cs="宋体"/>
                <w:color w:val="auto"/>
                <w:sz w:val="21"/>
                <w:szCs w:val="21"/>
                <w:lang w:val="en-US" w:eastAsia="zh-CN"/>
              </w:rPr>
              <w:t>2.13</w:t>
            </w:r>
            <w:r>
              <w:rPr>
                <w:rFonts w:hint="eastAsia" w:ascii="Times New Roman" w:hAnsi="Times New Roman" w:eastAsia="宋体" w:cs="宋体"/>
                <w:color w:val="auto"/>
                <w:sz w:val="21"/>
                <w:szCs w:val="21"/>
              </w:rPr>
              <w:t>%。详见表</w:t>
            </w:r>
            <w:r>
              <w:rPr>
                <w:rFonts w:hint="eastAsia" w:ascii="Times New Roman" w:hAnsi="Times New Roman" w:eastAsia="宋体" w:cs="宋体"/>
                <w:color w:val="auto"/>
                <w:sz w:val="21"/>
                <w:szCs w:val="21"/>
                <w:lang w:val="en-US" w:eastAsia="zh-CN"/>
              </w:rPr>
              <w:t>5.1-1</w:t>
            </w:r>
            <w:r>
              <w:rPr>
                <w:rFonts w:hint="eastAsia" w:ascii="Times New Roman" w:hAnsi="Times New Roman" w:eastAsia="宋体" w:cs="宋体"/>
                <w:color w:val="auto"/>
                <w:sz w:val="21"/>
                <w:szCs w:val="21"/>
              </w:rPr>
              <w:t>。</w:t>
            </w:r>
          </w:p>
          <w:p w14:paraId="1F61C527">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b/>
                <w:color w:val="auto"/>
                <w:sz w:val="24"/>
                <w:szCs w:val="24"/>
                <w:lang w:val="en-US" w:eastAsia="zh-CN" w:bidi="ar-SA"/>
              </w:rPr>
            </w:pPr>
            <w:r>
              <w:rPr>
                <w:rFonts w:hint="eastAsia" w:ascii="Times New Roman" w:hAnsi="Times New Roman" w:eastAsia="宋体" w:cs="宋体"/>
                <w:b/>
                <w:color w:val="auto"/>
                <w:sz w:val="21"/>
                <w:szCs w:val="21"/>
                <w:lang w:val="en-US" w:eastAsia="zh-CN" w:bidi="ar-SA"/>
              </w:rPr>
              <w:t>表5.1-1环保投资概算一览表</w:t>
            </w:r>
          </w:p>
          <w:tbl>
            <w:tblPr>
              <w:tblStyle w:val="1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175"/>
              <w:gridCol w:w="1244"/>
              <w:gridCol w:w="3358"/>
              <w:gridCol w:w="1766"/>
            </w:tblGrid>
            <w:tr w14:paraId="06522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4" w:hRule="atLeast"/>
                <w:tblHeader/>
                <w:jc w:val="center"/>
              </w:trPr>
              <w:tc>
                <w:tcPr>
                  <w:tcW w:w="779" w:type="pct"/>
                  <w:tcBorders>
                    <w:tl2br w:val="nil"/>
                    <w:tr2bl w:val="nil"/>
                  </w:tcBorders>
                  <w:noWrap w:val="0"/>
                  <w:vAlign w:val="center"/>
                </w:tcPr>
                <w:p w14:paraId="583E08B4">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项  目</w:t>
                  </w:r>
                </w:p>
              </w:tc>
              <w:tc>
                <w:tcPr>
                  <w:tcW w:w="825" w:type="pct"/>
                  <w:tcBorders>
                    <w:tl2br w:val="nil"/>
                    <w:tr2bl w:val="nil"/>
                  </w:tcBorders>
                  <w:noWrap w:val="0"/>
                  <w:vAlign w:val="center"/>
                </w:tcPr>
                <w:p w14:paraId="4E3B5BE4">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污染源</w:t>
                  </w:r>
                </w:p>
              </w:tc>
              <w:tc>
                <w:tcPr>
                  <w:tcW w:w="2224" w:type="pct"/>
                  <w:tcBorders>
                    <w:tl2br w:val="nil"/>
                    <w:tr2bl w:val="nil"/>
                  </w:tcBorders>
                  <w:noWrap w:val="0"/>
                  <w:vAlign w:val="center"/>
                </w:tcPr>
                <w:p w14:paraId="333FBC0D">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内容</w:t>
                  </w:r>
                </w:p>
              </w:tc>
              <w:tc>
                <w:tcPr>
                  <w:tcW w:w="1170" w:type="pct"/>
                  <w:tcBorders>
                    <w:tl2br w:val="nil"/>
                    <w:tr2bl w:val="nil"/>
                  </w:tcBorders>
                  <w:noWrap w:val="0"/>
                  <w:vAlign w:val="center"/>
                </w:tcPr>
                <w:p w14:paraId="420EBA00">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投资（万元）</w:t>
                  </w:r>
                </w:p>
              </w:tc>
            </w:tr>
            <w:tr w14:paraId="0CC33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3" w:hRule="atLeast"/>
                <w:jc w:val="center"/>
              </w:trPr>
              <w:tc>
                <w:tcPr>
                  <w:tcW w:w="779" w:type="pct"/>
                  <w:vMerge w:val="restart"/>
                  <w:tcBorders>
                    <w:tl2br w:val="nil"/>
                    <w:tr2bl w:val="nil"/>
                  </w:tcBorders>
                  <w:noWrap w:val="0"/>
                  <w:vAlign w:val="center"/>
                </w:tcPr>
                <w:p w14:paraId="677C9183">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废气处理</w:t>
                  </w:r>
                </w:p>
              </w:tc>
              <w:tc>
                <w:tcPr>
                  <w:tcW w:w="825" w:type="pct"/>
                  <w:vMerge w:val="restart"/>
                  <w:tcBorders>
                    <w:tl2br w:val="nil"/>
                    <w:tr2bl w:val="nil"/>
                  </w:tcBorders>
                  <w:noWrap w:val="0"/>
                  <w:vAlign w:val="center"/>
                </w:tcPr>
                <w:p w14:paraId="14B77F0C">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有组织废气</w:t>
                  </w:r>
                </w:p>
              </w:tc>
              <w:tc>
                <w:tcPr>
                  <w:tcW w:w="2224" w:type="pct"/>
                  <w:tcBorders>
                    <w:tl2br w:val="nil"/>
                    <w:tr2bl w:val="nil"/>
                  </w:tcBorders>
                  <w:noWrap w:val="0"/>
                  <w:vAlign w:val="center"/>
                </w:tcPr>
                <w:p w14:paraId="75714131">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6台</w:t>
                  </w:r>
                  <w:r>
                    <w:rPr>
                      <w:rFonts w:hint="eastAsia" w:ascii="Times New Roman" w:hAnsi="Times New Roman" w:eastAsia="宋体" w:cs="宋体"/>
                      <w:color w:val="auto"/>
                      <w:sz w:val="21"/>
                      <w:szCs w:val="21"/>
                      <w:highlight w:val="none"/>
                      <w:lang w:val="en-US" w:eastAsia="zh-CN"/>
                    </w:rPr>
                    <w:t>集气罩</w:t>
                  </w:r>
                </w:p>
              </w:tc>
              <w:tc>
                <w:tcPr>
                  <w:tcW w:w="1170" w:type="pct"/>
                  <w:tcBorders>
                    <w:tl2br w:val="nil"/>
                    <w:tr2bl w:val="nil"/>
                  </w:tcBorders>
                  <w:noWrap w:val="0"/>
                  <w:vAlign w:val="center"/>
                </w:tcPr>
                <w:p w14:paraId="000079C7">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1</w:t>
                  </w:r>
                </w:p>
              </w:tc>
            </w:tr>
            <w:tr w14:paraId="12E7E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5" w:hRule="atLeast"/>
                <w:jc w:val="center"/>
              </w:trPr>
              <w:tc>
                <w:tcPr>
                  <w:tcW w:w="779" w:type="pct"/>
                  <w:vMerge w:val="continue"/>
                  <w:tcBorders>
                    <w:tl2br w:val="nil"/>
                    <w:tr2bl w:val="nil"/>
                  </w:tcBorders>
                  <w:noWrap w:val="0"/>
                  <w:vAlign w:val="center"/>
                </w:tcPr>
                <w:p w14:paraId="089F9B3C">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825" w:type="pct"/>
                  <w:vMerge w:val="continue"/>
                  <w:tcBorders>
                    <w:tl2br w:val="nil"/>
                    <w:tr2bl w:val="nil"/>
                  </w:tcBorders>
                  <w:noWrap w:val="0"/>
                  <w:vAlign w:val="center"/>
                </w:tcPr>
                <w:p w14:paraId="312137DB">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cs="宋体"/>
                      <w:color w:val="auto"/>
                      <w:sz w:val="21"/>
                      <w:szCs w:val="21"/>
                      <w:highlight w:val="none"/>
                      <w:lang w:val="en-US" w:eastAsia="zh-CN"/>
                    </w:rPr>
                  </w:pPr>
                </w:p>
              </w:tc>
              <w:tc>
                <w:tcPr>
                  <w:tcW w:w="2224" w:type="pct"/>
                  <w:tcBorders>
                    <w:tl2br w:val="nil"/>
                    <w:tr2bl w:val="nil"/>
                  </w:tcBorders>
                  <w:noWrap w:val="0"/>
                  <w:vAlign w:val="center"/>
                </w:tcPr>
                <w:p w14:paraId="2EA80694">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2台布袋除尘器</w:t>
                  </w:r>
                </w:p>
              </w:tc>
              <w:tc>
                <w:tcPr>
                  <w:tcW w:w="1170" w:type="pct"/>
                  <w:tcBorders>
                    <w:tl2br w:val="nil"/>
                    <w:tr2bl w:val="nil"/>
                  </w:tcBorders>
                  <w:noWrap w:val="0"/>
                  <w:vAlign w:val="center"/>
                </w:tcPr>
                <w:p w14:paraId="3CBDE34B">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4</w:t>
                  </w:r>
                </w:p>
              </w:tc>
            </w:tr>
            <w:tr w14:paraId="2A718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779" w:type="pct"/>
                  <w:vMerge w:val="continue"/>
                  <w:tcBorders>
                    <w:tl2br w:val="nil"/>
                    <w:tr2bl w:val="nil"/>
                  </w:tcBorders>
                  <w:noWrap w:val="0"/>
                  <w:vAlign w:val="center"/>
                </w:tcPr>
                <w:p w14:paraId="3A80D9EB">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825" w:type="pct"/>
                  <w:vMerge w:val="continue"/>
                  <w:tcBorders>
                    <w:tl2br w:val="nil"/>
                    <w:tr2bl w:val="nil"/>
                  </w:tcBorders>
                  <w:noWrap w:val="0"/>
                  <w:vAlign w:val="center"/>
                </w:tcPr>
                <w:p w14:paraId="3AD1664E">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cs="宋体"/>
                      <w:color w:val="auto"/>
                      <w:sz w:val="21"/>
                      <w:szCs w:val="21"/>
                      <w:highlight w:val="none"/>
                      <w:lang w:val="en-US" w:eastAsia="zh-CN"/>
                    </w:rPr>
                  </w:pPr>
                </w:p>
              </w:tc>
              <w:tc>
                <w:tcPr>
                  <w:tcW w:w="2224" w:type="pct"/>
                  <w:tcBorders>
                    <w:tl2br w:val="nil"/>
                    <w:tr2bl w:val="nil"/>
                  </w:tcBorders>
                  <w:noWrap w:val="0"/>
                  <w:vAlign w:val="center"/>
                </w:tcPr>
                <w:p w14:paraId="5E4605FE">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1座15m排气筒</w:t>
                  </w:r>
                </w:p>
              </w:tc>
              <w:tc>
                <w:tcPr>
                  <w:tcW w:w="1170" w:type="pct"/>
                  <w:tcBorders>
                    <w:tl2br w:val="nil"/>
                    <w:tr2bl w:val="nil"/>
                  </w:tcBorders>
                  <w:noWrap w:val="0"/>
                  <w:vAlign w:val="center"/>
                </w:tcPr>
                <w:p w14:paraId="1D4510AD">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2</w:t>
                  </w:r>
                </w:p>
              </w:tc>
            </w:tr>
            <w:tr w14:paraId="18328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4" w:hRule="atLeast"/>
                <w:jc w:val="center"/>
              </w:trPr>
              <w:tc>
                <w:tcPr>
                  <w:tcW w:w="779" w:type="pct"/>
                  <w:vMerge w:val="continue"/>
                  <w:tcBorders>
                    <w:tl2br w:val="nil"/>
                    <w:tr2bl w:val="nil"/>
                  </w:tcBorders>
                  <w:noWrap w:val="0"/>
                  <w:vAlign w:val="center"/>
                </w:tcPr>
                <w:p w14:paraId="55E4C2F0">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825" w:type="pct"/>
                  <w:vMerge w:val="restart"/>
                  <w:tcBorders>
                    <w:tl2br w:val="nil"/>
                    <w:tr2bl w:val="nil"/>
                  </w:tcBorders>
                  <w:noWrap w:val="0"/>
                  <w:vAlign w:val="center"/>
                </w:tcPr>
                <w:p w14:paraId="60165A99">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无组织废气</w:t>
                  </w:r>
                </w:p>
              </w:tc>
              <w:tc>
                <w:tcPr>
                  <w:tcW w:w="2224" w:type="pct"/>
                  <w:tcBorders>
                    <w:tl2br w:val="nil"/>
                    <w:tr2bl w:val="nil"/>
                  </w:tcBorders>
                  <w:noWrap w:val="0"/>
                  <w:vAlign w:val="center"/>
                </w:tcPr>
                <w:p w14:paraId="2638520A">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9台筒仓仓顶设置除尘器</w:t>
                  </w:r>
                </w:p>
              </w:tc>
              <w:tc>
                <w:tcPr>
                  <w:tcW w:w="1170" w:type="pct"/>
                  <w:tcBorders>
                    <w:tl2br w:val="nil"/>
                    <w:tr2bl w:val="nil"/>
                  </w:tcBorders>
                  <w:noWrap w:val="0"/>
                  <w:vAlign w:val="center"/>
                </w:tcPr>
                <w:p w14:paraId="5E3FE96C">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4.5</w:t>
                  </w:r>
                </w:p>
              </w:tc>
            </w:tr>
            <w:tr w14:paraId="63F95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4" w:hRule="atLeast"/>
                <w:jc w:val="center"/>
              </w:trPr>
              <w:tc>
                <w:tcPr>
                  <w:tcW w:w="779" w:type="pct"/>
                  <w:vMerge w:val="continue"/>
                  <w:tcBorders>
                    <w:tl2br w:val="nil"/>
                    <w:tr2bl w:val="nil"/>
                  </w:tcBorders>
                  <w:noWrap w:val="0"/>
                  <w:vAlign w:val="center"/>
                </w:tcPr>
                <w:p w14:paraId="37492935">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825" w:type="pct"/>
                  <w:vMerge w:val="continue"/>
                  <w:tcBorders>
                    <w:tl2br w:val="nil"/>
                    <w:tr2bl w:val="nil"/>
                  </w:tcBorders>
                  <w:noWrap w:val="0"/>
                  <w:vAlign w:val="center"/>
                </w:tcPr>
                <w:p w14:paraId="1518376B">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2224" w:type="pct"/>
                  <w:tcBorders>
                    <w:tl2br w:val="nil"/>
                    <w:tr2bl w:val="nil"/>
                  </w:tcBorders>
                  <w:noWrap w:val="0"/>
                  <w:vAlign w:val="center"/>
                </w:tcPr>
                <w:p w14:paraId="61F205CC">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车间封闭</w:t>
                  </w:r>
                </w:p>
              </w:tc>
              <w:tc>
                <w:tcPr>
                  <w:tcW w:w="1170" w:type="pct"/>
                  <w:tcBorders>
                    <w:tl2br w:val="nil"/>
                    <w:tr2bl w:val="nil"/>
                  </w:tcBorders>
                  <w:noWrap w:val="0"/>
                  <w:vAlign w:val="center"/>
                </w:tcPr>
                <w:p w14:paraId="2FD47D19">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w:t>
                  </w:r>
                </w:p>
              </w:tc>
            </w:tr>
            <w:tr w14:paraId="734CF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79" w:type="pct"/>
                  <w:tcBorders>
                    <w:tl2br w:val="nil"/>
                    <w:tr2bl w:val="nil"/>
                  </w:tcBorders>
                  <w:noWrap w:val="0"/>
                  <w:vAlign w:val="center"/>
                </w:tcPr>
                <w:p w14:paraId="20C021AE">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废水处理</w:t>
                  </w:r>
                </w:p>
              </w:tc>
              <w:tc>
                <w:tcPr>
                  <w:tcW w:w="825" w:type="pct"/>
                  <w:tcBorders>
                    <w:tl2br w:val="nil"/>
                    <w:tr2bl w:val="nil"/>
                  </w:tcBorders>
                  <w:noWrap w:val="0"/>
                  <w:vAlign w:val="center"/>
                </w:tcPr>
                <w:p w14:paraId="4D43D98C">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地下水</w:t>
                  </w:r>
                </w:p>
              </w:tc>
              <w:tc>
                <w:tcPr>
                  <w:tcW w:w="2224" w:type="pct"/>
                  <w:tcBorders>
                    <w:tl2br w:val="nil"/>
                    <w:tr2bl w:val="nil"/>
                  </w:tcBorders>
                  <w:noWrap w:val="0"/>
                  <w:vAlign w:val="center"/>
                </w:tcPr>
                <w:p w14:paraId="26CC7C17">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地面防渗</w:t>
                  </w:r>
                </w:p>
              </w:tc>
              <w:tc>
                <w:tcPr>
                  <w:tcW w:w="1170" w:type="pct"/>
                  <w:tcBorders>
                    <w:tl2br w:val="nil"/>
                    <w:tr2bl w:val="nil"/>
                  </w:tcBorders>
                  <w:noWrap w:val="0"/>
                  <w:vAlign w:val="center"/>
                </w:tcPr>
                <w:p w14:paraId="0DD4F7F1">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w:t>
                  </w:r>
                </w:p>
              </w:tc>
            </w:tr>
            <w:tr w14:paraId="0A15F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779" w:type="pct"/>
                  <w:tcBorders>
                    <w:tl2br w:val="nil"/>
                    <w:tr2bl w:val="nil"/>
                  </w:tcBorders>
                  <w:noWrap w:val="0"/>
                  <w:vAlign w:val="center"/>
                </w:tcPr>
                <w:p w14:paraId="3456746A">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固废</w:t>
                  </w:r>
                  <w:r>
                    <w:rPr>
                      <w:rFonts w:hint="eastAsia" w:ascii="Times New Roman" w:hAnsi="Times New Roman" w:eastAsia="宋体" w:cs="宋体"/>
                      <w:color w:val="auto"/>
                      <w:sz w:val="21"/>
                      <w:szCs w:val="21"/>
                      <w:highlight w:val="none"/>
                      <w:lang w:val="en-US" w:eastAsia="zh-CN"/>
                    </w:rPr>
                    <w:t>治理</w:t>
                  </w:r>
                </w:p>
              </w:tc>
              <w:tc>
                <w:tcPr>
                  <w:tcW w:w="825" w:type="pct"/>
                  <w:tcBorders>
                    <w:tl2br w:val="nil"/>
                    <w:tr2bl w:val="nil"/>
                  </w:tcBorders>
                  <w:noWrap w:val="0"/>
                  <w:vAlign w:val="center"/>
                </w:tcPr>
                <w:p w14:paraId="18E96140">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危险废物</w:t>
                  </w:r>
                </w:p>
              </w:tc>
              <w:tc>
                <w:tcPr>
                  <w:tcW w:w="2224" w:type="pct"/>
                  <w:tcBorders>
                    <w:tl2br w:val="nil"/>
                    <w:tr2bl w:val="nil"/>
                  </w:tcBorders>
                  <w:noWrap w:val="0"/>
                  <w:vAlign w:val="center"/>
                </w:tcPr>
                <w:p w14:paraId="646D5321">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危废库</w:t>
                  </w:r>
                </w:p>
              </w:tc>
              <w:tc>
                <w:tcPr>
                  <w:tcW w:w="1170" w:type="pct"/>
                  <w:tcBorders>
                    <w:tl2br w:val="nil"/>
                    <w:tr2bl w:val="nil"/>
                  </w:tcBorders>
                  <w:noWrap w:val="0"/>
                  <w:vAlign w:val="center"/>
                </w:tcPr>
                <w:p w14:paraId="6112822C">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w:t>
                  </w:r>
                </w:p>
              </w:tc>
            </w:tr>
            <w:tr w14:paraId="6A070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779" w:type="pct"/>
                  <w:tcBorders>
                    <w:tl2br w:val="nil"/>
                    <w:tr2bl w:val="nil"/>
                  </w:tcBorders>
                  <w:noWrap w:val="0"/>
                  <w:vAlign w:val="center"/>
                </w:tcPr>
                <w:p w14:paraId="2DE32D83">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噪声治理</w:t>
                  </w:r>
                </w:p>
              </w:tc>
              <w:tc>
                <w:tcPr>
                  <w:tcW w:w="825" w:type="pct"/>
                  <w:tcBorders>
                    <w:tl2br w:val="nil"/>
                    <w:tr2bl w:val="nil"/>
                  </w:tcBorders>
                  <w:noWrap w:val="0"/>
                  <w:vAlign w:val="center"/>
                </w:tcPr>
                <w:p w14:paraId="78AAFE43">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机械噪声</w:t>
                  </w:r>
                </w:p>
              </w:tc>
              <w:tc>
                <w:tcPr>
                  <w:tcW w:w="2224" w:type="pct"/>
                  <w:tcBorders>
                    <w:tl2br w:val="nil"/>
                    <w:tr2bl w:val="nil"/>
                  </w:tcBorders>
                  <w:noWrap w:val="0"/>
                  <w:vAlign w:val="center"/>
                </w:tcPr>
                <w:p w14:paraId="16D7F2FE">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隔声降噪、绿化措施</w:t>
                  </w:r>
                </w:p>
              </w:tc>
              <w:tc>
                <w:tcPr>
                  <w:tcW w:w="1170" w:type="pct"/>
                  <w:tcBorders>
                    <w:tl2br w:val="nil"/>
                    <w:tr2bl w:val="nil"/>
                  </w:tcBorders>
                  <w:noWrap w:val="0"/>
                  <w:vAlign w:val="center"/>
                </w:tcPr>
                <w:p w14:paraId="142F595F">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w:t>
                  </w:r>
                </w:p>
              </w:tc>
            </w:tr>
            <w:tr w14:paraId="37C4F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1604" w:type="pct"/>
                  <w:gridSpan w:val="2"/>
                  <w:tcBorders>
                    <w:tl2br w:val="nil"/>
                    <w:tr2bl w:val="nil"/>
                  </w:tcBorders>
                  <w:noWrap w:val="0"/>
                  <w:vAlign w:val="center"/>
                </w:tcPr>
                <w:p w14:paraId="5551C02D">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环境风险</w:t>
                  </w:r>
                </w:p>
              </w:tc>
              <w:tc>
                <w:tcPr>
                  <w:tcW w:w="2224" w:type="pct"/>
                  <w:tcBorders>
                    <w:tl2br w:val="nil"/>
                    <w:tr2bl w:val="nil"/>
                  </w:tcBorders>
                  <w:noWrap w:val="0"/>
                  <w:vAlign w:val="center"/>
                </w:tcPr>
                <w:p w14:paraId="185E75A8">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环境风险防范及应急措施</w:t>
                  </w:r>
                </w:p>
              </w:tc>
              <w:tc>
                <w:tcPr>
                  <w:tcW w:w="1170" w:type="pct"/>
                  <w:tcBorders>
                    <w:tl2br w:val="nil"/>
                    <w:tr2bl w:val="nil"/>
                  </w:tcBorders>
                  <w:noWrap w:val="0"/>
                  <w:vAlign w:val="center"/>
                </w:tcPr>
                <w:p w14:paraId="360CCE9F">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w:t>
                  </w:r>
                </w:p>
              </w:tc>
            </w:tr>
            <w:tr w14:paraId="4F008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7" w:hRule="atLeast"/>
                <w:jc w:val="center"/>
              </w:trPr>
              <w:tc>
                <w:tcPr>
                  <w:tcW w:w="1604" w:type="pct"/>
                  <w:gridSpan w:val="2"/>
                  <w:tcBorders>
                    <w:tl2br w:val="nil"/>
                    <w:tr2bl w:val="nil"/>
                  </w:tcBorders>
                  <w:noWrap w:val="0"/>
                  <w:vAlign w:val="center"/>
                </w:tcPr>
                <w:p w14:paraId="27D2C62B">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其他</w:t>
                  </w:r>
                </w:p>
              </w:tc>
              <w:tc>
                <w:tcPr>
                  <w:tcW w:w="2224" w:type="pct"/>
                  <w:tcBorders>
                    <w:tl2br w:val="nil"/>
                    <w:tr2bl w:val="nil"/>
                  </w:tcBorders>
                  <w:noWrap w:val="0"/>
                  <w:vAlign w:val="center"/>
                </w:tcPr>
                <w:p w14:paraId="1E914736">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厂区绿化、施工期污染防治措施、环境管理与监控、消防系统、排污口规范化</w:t>
                  </w:r>
                </w:p>
              </w:tc>
              <w:tc>
                <w:tcPr>
                  <w:tcW w:w="1170" w:type="pct"/>
                  <w:tcBorders>
                    <w:tl2br w:val="nil"/>
                    <w:tr2bl w:val="nil"/>
                  </w:tcBorders>
                  <w:noWrap w:val="0"/>
                  <w:vAlign w:val="center"/>
                </w:tcPr>
                <w:p w14:paraId="3E6BE0F1">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5</w:t>
                  </w:r>
                </w:p>
              </w:tc>
            </w:tr>
            <w:tr w14:paraId="12E92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17" w:hRule="atLeast"/>
                <w:jc w:val="center"/>
              </w:trPr>
              <w:tc>
                <w:tcPr>
                  <w:tcW w:w="3829" w:type="pct"/>
                  <w:gridSpan w:val="3"/>
                  <w:tcBorders>
                    <w:tl2br w:val="nil"/>
                    <w:tr2bl w:val="nil"/>
                  </w:tcBorders>
                  <w:noWrap w:val="0"/>
                  <w:vAlign w:val="center"/>
                </w:tcPr>
                <w:p w14:paraId="1B03C994">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合  计</w:t>
                  </w:r>
                </w:p>
              </w:tc>
              <w:tc>
                <w:tcPr>
                  <w:tcW w:w="1170" w:type="pct"/>
                  <w:tcBorders>
                    <w:tl2br w:val="nil"/>
                    <w:tr2bl w:val="nil"/>
                  </w:tcBorders>
                  <w:noWrap w:val="0"/>
                  <w:vAlign w:val="center"/>
                </w:tcPr>
                <w:p w14:paraId="342BBB9E">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25.5</w:t>
                  </w:r>
                </w:p>
              </w:tc>
            </w:tr>
          </w:tbl>
          <w:p w14:paraId="46328C5F">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二、环境管理要求</w:t>
            </w:r>
          </w:p>
          <w:p w14:paraId="33FB028F">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为了落实各项污染防治措施，应当根据实际特点，制定各种类型的环保制度。</w:t>
            </w:r>
          </w:p>
          <w:p w14:paraId="77E909A3">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（1）环保设施的建设、运行及维护费用保障制度</w:t>
            </w:r>
          </w:p>
          <w:p w14:paraId="33E60BA3">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在项目的建设、运行、维护的过程中，要设立专项的环保资金，所有环保</w:t>
            </w:r>
            <w:r>
              <w:rPr>
                <w:rFonts w:hint="eastAsia" w:cs="宋体"/>
                <w:color w:val="auto"/>
                <w:sz w:val="21"/>
                <w:szCs w:val="21"/>
                <w:lang w:val="en-US" w:eastAsia="zh-CN"/>
              </w:rPr>
              <w:t>投资</w:t>
            </w:r>
            <w:r>
              <w:rPr>
                <w:rFonts w:hint="default" w:ascii="Times New Roman" w:hAnsi="Times New Roman" w:eastAsia="宋体" w:cs="宋体"/>
                <w:color w:val="auto"/>
                <w:sz w:val="21"/>
                <w:szCs w:val="21"/>
                <w:lang w:val="en-US" w:eastAsia="zh-CN"/>
              </w:rPr>
              <w:t>支出该专项资金投入，并定时、定量对该环保资金进行补充，以保证环保设施的正常建设、运行和维护。</w:t>
            </w:r>
          </w:p>
          <w:p w14:paraId="30F61A94">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（2）排污定期报告制度</w:t>
            </w:r>
          </w:p>
          <w:p w14:paraId="6CBB5AA2">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要定期向当地环保部门报告污染治理设施运行情况、污染物排放情况以及污染事故、污染纠纷等情况。</w:t>
            </w:r>
          </w:p>
          <w:p w14:paraId="3063A9CA">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（3）污染</w:t>
            </w:r>
            <w:r>
              <w:rPr>
                <w:rFonts w:hint="eastAsia" w:cs="宋体"/>
                <w:color w:val="auto"/>
                <w:sz w:val="21"/>
                <w:szCs w:val="21"/>
                <w:lang w:val="en-US" w:eastAsia="zh-CN"/>
              </w:rPr>
              <w:t>治理</w:t>
            </w:r>
            <w:r>
              <w:rPr>
                <w:rFonts w:hint="default" w:ascii="Times New Roman" w:hAnsi="Times New Roman" w:eastAsia="宋体" w:cs="宋体"/>
                <w:color w:val="auto"/>
                <w:sz w:val="21"/>
                <w:szCs w:val="21"/>
                <w:lang w:val="en-US" w:eastAsia="zh-CN"/>
              </w:rPr>
              <w:t>设施的管理制度</w:t>
            </w:r>
          </w:p>
          <w:p w14:paraId="3CF143CA">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对污染治理设施的管理必须与生产经营活动一起纳入企业的日常管理中，要建立岗位责任制，制定操作规程，建立环境管理</w:t>
            </w:r>
            <w:r>
              <w:rPr>
                <w:rFonts w:hint="eastAsia" w:ascii="Times New Roman" w:hAnsi="Times New Roman" w:cs="宋体"/>
                <w:color w:val="auto"/>
                <w:sz w:val="21"/>
                <w:szCs w:val="21"/>
                <w:lang w:val="en-US" w:eastAsia="zh-CN"/>
              </w:rPr>
              <w:t>台账</w:t>
            </w:r>
            <w:r>
              <w:rPr>
                <w:rFonts w:hint="default" w:ascii="Times New Roman" w:hAnsi="Times New Roman" w:eastAsia="宋体" w:cs="宋体"/>
                <w:color w:val="auto"/>
                <w:sz w:val="21"/>
                <w:szCs w:val="21"/>
                <w:lang w:val="en-US" w:eastAsia="zh-CN"/>
              </w:rPr>
              <w:t>。</w:t>
            </w:r>
          </w:p>
          <w:p w14:paraId="057BD679">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（4）奖惩制度</w:t>
            </w:r>
          </w:p>
          <w:p w14:paraId="68000147">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企业应设置环境保护奖惩制度，对爱护环保设施，节能降耗、改善环境者实行奖励；对不按环保要求管理，造成环保设施损坏、环境污染和资源、能源浪费者予以处罚。</w:t>
            </w:r>
          </w:p>
          <w:p w14:paraId="4AF59D4D">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（5）规范排污口</w:t>
            </w:r>
          </w:p>
          <w:p w14:paraId="01186362">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本项目应按《环境保护图形标志—排放口（源）》（GB15562.1-1995）规定的图形，在各气、水、声排污口（源）挂牌标识，做到各排污口（源）的环保标志明显，便于企业管理和公众监督。</w:t>
            </w:r>
          </w:p>
          <w:p w14:paraId="315DE714">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列入总量控制污染物的排污口为管理的重点，排污口应便于采样与计量监测，便于日常现场监督检查。排污口位置必须合理确定，按环监</w:t>
            </w:r>
            <w:r>
              <w:rPr>
                <w:rFonts w:hint="eastAsia" w:cs="宋体"/>
                <w:color w:val="auto"/>
                <w:sz w:val="21"/>
                <w:szCs w:val="21"/>
                <w:lang w:val="en-US" w:eastAsia="zh-CN"/>
              </w:rPr>
              <w:t>〔1996〕470号</w:t>
            </w:r>
            <w:r>
              <w:rPr>
                <w:rFonts w:hint="eastAsia" w:ascii="Times New Roman" w:hAnsi="Times New Roman" w:eastAsia="宋体" w:cs="宋体"/>
                <w:color w:val="auto"/>
                <w:sz w:val="21"/>
                <w:szCs w:val="21"/>
                <w:lang w:val="en-US" w:eastAsia="zh-CN"/>
              </w:rPr>
              <w:t>文件要求进行规范化管理。</w:t>
            </w:r>
          </w:p>
          <w:p w14:paraId="4A3CD099">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污染物排放口的环保图形标志牌应设置在靠近采样点的醒目位置处，标志牌设置高度为其上缘距地面约2m。</w:t>
            </w:r>
          </w:p>
          <w:p w14:paraId="2EF7C0C1">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cs="宋体"/>
                <w:color w:val="auto"/>
                <w:sz w:val="21"/>
                <w:szCs w:val="21"/>
                <w:lang w:val="en-US" w:eastAsia="zh-CN"/>
              </w:rPr>
            </w:pPr>
            <w:r>
              <w:rPr>
                <w:rFonts w:hint="eastAsia" w:ascii="Times New Roman" w:hAnsi="Times New Roman" w:eastAsia="宋体" w:cs="宋体"/>
                <w:color w:val="auto"/>
                <w:sz w:val="21"/>
                <w:szCs w:val="21"/>
                <w:lang w:val="en-US" w:eastAsia="zh-CN"/>
              </w:rPr>
              <w:t>一般排污单位的污染物排放口或固体废物贮存处置场地可以根据情况设置立式或平面固定式标志牌。一般污染物排放口或固体废物贮存堆放场地设置提示性环境保护图形标志牌</w:t>
            </w:r>
            <w:r>
              <w:rPr>
                <w:rFonts w:hint="eastAsia" w:ascii="Times New Roman" w:hAnsi="Times New Roman" w:cs="宋体"/>
                <w:color w:val="auto"/>
                <w:sz w:val="21"/>
                <w:szCs w:val="21"/>
                <w:lang w:val="en-US" w:eastAsia="zh-CN"/>
              </w:rPr>
              <w:t>。</w:t>
            </w:r>
          </w:p>
          <w:p w14:paraId="7258E2B0">
            <w:pPr>
              <w:widowControl w:val="0"/>
              <w:overflowPunct w:val="0"/>
              <w:autoSpaceDE w:val="0"/>
              <w:autoSpaceDN w:val="0"/>
              <w:adjustRightInd w:val="0"/>
              <w:snapToGrid w:val="0"/>
              <w:spacing w:before="0" w:after="0" w:line="360" w:lineRule="exact"/>
              <w:ind w:right="0"/>
              <w:jc w:val="both"/>
              <w:rPr>
                <w:rFonts w:hint="default" w:ascii="Times New Roman" w:hAnsi="Times New Roman" w:eastAsia="宋体" w:cs="宋体"/>
                <w:snapToGrid w:val="0"/>
                <w:color w:val="auto"/>
                <w:sz w:val="24"/>
                <w:szCs w:val="21"/>
                <w:lang w:val="en-US" w:eastAsia="zh-CN" w:bidi="ar-SA"/>
              </w:rPr>
            </w:pPr>
          </w:p>
        </w:tc>
      </w:tr>
    </w:tbl>
    <w:p w14:paraId="6481CCB0">
      <w:pPr>
        <w:rPr>
          <w:rFonts w:hint="default"/>
          <w:color w:val="auto"/>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776800F">
      <w:pPr>
        <w:widowControl w:val="0"/>
        <w:overflowPunct w:val="0"/>
        <w:autoSpaceDE w:val="0"/>
        <w:autoSpaceDN w:val="0"/>
        <w:bidi w:val="0"/>
        <w:adjustRightInd w:val="0"/>
        <w:snapToGrid w:val="0"/>
        <w:spacing w:before="0" w:after="0" w:line="560" w:lineRule="exact"/>
        <w:ind w:left="0" w:right="0" w:firstLine="0" w:firstLineChars="0"/>
        <w:jc w:val="center"/>
        <w:outlineLvl w:val="0"/>
        <w:rPr>
          <w:rFonts w:hint="eastAsia" w:ascii="Times New Roman" w:hAnsi="Times New Roman" w:eastAsia="宋体" w:cs="宋体"/>
          <w:b/>
          <w:color w:val="auto"/>
          <w:kern w:val="44"/>
          <w:sz w:val="28"/>
          <w:szCs w:val="22"/>
          <w:lang w:val="en-US" w:eastAsia="zh-CN" w:bidi="ar-SA"/>
        </w:rPr>
      </w:pPr>
      <w:bookmarkStart w:id="103" w:name="_Toc16460"/>
      <w:bookmarkStart w:id="104" w:name="_Toc16560"/>
      <w:bookmarkStart w:id="105" w:name="_Toc2787"/>
      <w:bookmarkStart w:id="106" w:name="_Toc29259"/>
      <w:bookmarkStart w:id="107" w:name="_Toc14416"/>
      <w:bookmarkStart w:id="108" w:name="_Toc24715"/>
      <w:bookmarkStart w:id="109" w:name="_Toc3035"/>
      <w:bookmarkStart w:id="110" w:name="_Toc31367"/>
      <w:r>
        <w:rPr>
          <w:rFonts w:hint="eastAsia" w:ascii="Times New Roman" w:hAnsi="Times New Roman" w:eastAsia="宋体" w:cs="宋体"/>
          <w:b/>
          <w:color w:val="auto"/>
          <w:kern w:val="44"/>
          <w:sz w:val="28"/>
          <w:szCs w:val="22"/>
          <w:lang w:val="en-US" w:eastAsia="zh-CN" w:bidi="ar-SA"/>
        </w:rPr>
        <w:t>六、结论</w:t>
      </w:r>
      <w:bookmarkEnd w:id="103"/>
      <w:bookmarkEnd w:id="104"/>
      <w:bookmarkEnd w:id="105"/>
      <w:bookmarkEnd w:id="106"/>
      <w:bookmarkEnd w:id="107"/>
      <w:bookmarkEnd w:id="108"/>
      <w:bookmarkEnd w:id="109"/>
      <w:bookmarkEnd w:id="110"/>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1511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14:paraId="6AA002FB">
            <w:pPr>
              <w:widowControl w:val="0"/>
              <w:overflowPunct w:val="0"/>
              <w:autoSpaceDE w:val="0"/>
              <w:autoSpaceDN w:val="0"/>
              <w:bidi w:val="0"/>
              <w:adjustRightInd w:val="0"/>
              <w:snapToGrid w:val="0"/>
              <w:spacing w:before="0" w:after="0" w:line="560" w:lineRule="exact"/>
              <w:ind w:left="0" w:right="0" w:firstLine="562" w:firstLineChars="200"/>
              <w:jc w:val="left"/>
              <w:outlineLvl w:val="1"/>
              <w:rPr>
                <w:rFonts w:ascii="Times New Roman" w:hAnsi="Times New Roman" w:eastAsia="宋体" w:cs="黑体"/>
                <w:b/>
                <w:color w:val="auto"/>
                <w:sz w:val="28"/>
                <w:szCs w:val="30"/>
                <w:lang w:val="en-US" w:eastAsia="zh-CN" w:bidi="ar-SA"/>
              </w:rPr>
            </w:pPr>
            <w:r>
              <w:rPr>
                <w:rFonts w:ascii="Times New Roman" w:hAnsi="Times New Roman" w:eastAsia="宋体" w:cs="黑体"/>
                <w:b/>
                <w:color w:val="auto"/>
                <w:sz w:val="28"/>
                <w:szCs w:val="30"/>
                <w:lang w:val="en-US" w:eastAsia="zh-CN" w:bidi="ar-SA"/>
              </w:rPr>
              <w:t>6</w:t>
            </w:r>
            <w:r>
              <w:rPr>
                <w:rFonts w:hint="eastAsia" w:ascii="Times New Roman" w:hAnsi="Times New Roman" w:eastAsia="宋体" w:cs="黑体"/>
                <w:b/>
                <w:color w:val="auto"/>
                <w:sz w:val="28"/>
                <w:szCs w:val="30"/>
                <w:lang w:val="en-US" w:eastAsia="zh-Hans" w:bidi="ar-SA"/>
              </w:rPr>
              <w:t>.</w:t>
            </w:r>
            <w:r>
              <w:rPr>
                <w:rFonts w:hint="default" w:ascii="Times New Roman" w:hAnsi="Times New Roman" w:eastAsia="宋体" w:cs="黑体"/>
                <w:b/>
                <w:color w:val="auto"/>
                <w:sz w:val="28"/>
                <w:szCs w:val="30"/>
                <w:lang w:val="en-US" w:eastAsia="zh-Hans" w:bidi="ar-SA"/>
              </w:rPr>
              <w:t>1</w:t>
            </w:r>
            <w:r>
              <w:rPr>
                <w:rFonts w:ascii="Times New Roman" w:hAnsi="Times New Roman" w:eastAsia="宋体" w:cs="黑体"/>
                <w:b/>
                <w:color w:val="auto"/>
                <w:sz w:val="28"/>
                <w:szCs w:val="30"/>
                <w:lang w:val="en-US" w:eastAsia="zh-CN" w:bidi="ar-SA"/>
              </w:rPr>
              <w:t>结论</w:t>
            </w:r>
          </w:p>
          <w:p w14:paraId="46BC7B63">
            <w:pPr>
              <w:overflowPunct w:val="0"/>
              <w:autoSpaceDE w:val="0"/>
              <w:autoSpaceDN w:val="0"/>
              <w:bidi w:val="0"/>
              <w:adjustRightInd w:val="0"/>
              <w:snapToGrid w:val="0"/>
              <w:spacing w:before="0" w:after="0" w:line="500" w:lineRule="exact"/>
              <w:ind w:left="0" w:right="0" w:firstLine="480" w:firstLineChars="200"/>
              <w:jc w:val="left"/>
              <w:rPr>
                <w:rFonts w:ascii="Times New Roman" w:hAnsi="Times New Roman" w:eastAsia="宋体" w:cs="宋体"/>
                <w:color w:val="auto"/>
              </w:rPr>
            </w:pPr>
            <w:r>
              <w:rPr>
                <w:rFonts w:hint="eastAsia" w:ascii="Times New Roman" w:hAnsi="Times New Roman" w:eastAsia="宋体" w:cs="宋体"/>
                <w:color w:val="auto"/>
                <w:lang w:val="en-US" w:eastAsia="zh-CN"/>
              </w:rPr>
              <w:t>综上所述，本项目具有较明显的社会经济效益，项目所在地环境质量较好，项目对周围环境的污染程度较轻，本项目所产生的废气、废水、噪声、固废在采取相应的治理措施后，可满足相应的国家排放标准。通过对本项目环境影响评价，只要在本项目的建设中认真执行环保“三同时”，具体落实本环评中提出的各污染防治措施，从环保角度看，本项目的建设是可行的。</w:t>
            </w:r>
          </w:p>
          <w:p w14:paraId="423F095B">
            <w:pPr>
              <w:widowControl w:val="0"/>
              <w:overflowPunct w:val="0"/>
              <w:autoSpaceDE w:val="0"/>
              <w:autoSpaceDN w:val="0"/>
              <w:bidi w:val="0"/>
              <w:adjustRightInd w:val="0"/>
              <w:snapToGrid w:val="0"/>
              <w:spacing w:before="0" w:after="0" w:line="560" w:lineRule="exact"/>
              <w:ind w:left="0" w:right="0" w:firstLine="562" w:firstLineChars="200"/>
              <w:jc w:val="left"/>
              <w:outlineLvl w:val="1"/>
              <w:rPr>
                <w:rFonts w:ascii="Times New Roman" w:hAnsi="Times New Roman" w:eastAsia="宋体" w:cs="黑体"/>
                <w:b/>
                <w:color w:val="auto"/>
                <w:sz w:val="28"/>
                <w:szCs w:val="30"/>
                <w:lang w:val="en-US" w:eastAsia="zh-CN" w:bidi="ar-SA"/>
              </w:rPr>
            </w:pPr>
            <w:r>
              <w:rPr>
                <w:rFonts w:ascii="Times New Roman" w:hAnsi="Times New Roman" w:eastAsia="宋体" w:cs="黑体"/>
                <w:b/>
                <w:color w:val="auto"/>
                <w:sz w:val="28"/>
                <w:szCs w:val="30"/>
                <w:lang w:val="en-US" w:eastAsia="zh-CN" w:bidi="ar-SA"/>
              </w:rPr>
              <w:t>6</w:t>
            </w:r>
            <w:r>
              <w:rPr>
                <w:rFonts w:hint="eastAsia" w:ascii="Times New Roman" w:hAnsi="Times New Roman" w:eastAsia="宋体" w:cs="黑体"/>
                <w:b/>
                <w:color w:val="auto"/>
                <w:sz w:val="28"/>
                <w:szCs w:val="30"/>
                <w:lang w:val="en-US" w:eastAsia="zh-Hans" w:bidi="ar-SA"/>
              </w:rPr>
              <w:t>.</w:t>
            </w:r>
            <w:r>
              <w:rPr>
                <w:rFonts w:hint="default" w:ascii="Times New Roman" w:hAnsi="Times New Roman" w:eastAsia="宋体" w:cs="黑体"/>
                <w:b/>
                <w:color w:val="auto"/>
                <w:sz w:val="28"/>
                <w:szCs w:val="30"/>
                <w:lang w:val="en-US" w:eastAsia="zh-Hans" w:bidi="ar-SA"/>
              </w:rPr>
              <w:t>2</w:t>
            </w:r>
            <w:r>
              <w:rPr>
                <w:rFonts w:ascii="Times New Roman" w:hAnsi="Times New Roman" w:eastAsia="宋体" w:cs="黑体"/>
                <w:b/>
                <w:color w:val="auto"/>
                <w:sz w:val="28"/>
                <w:szCs w:val="30"/>
                <w:lang w:val="en-US" w:eastAsia="zh-CN" w:bidi="ar-SA"/>
              </w:rPr>
              <w:t>建议</w:t>
            </w:r>
          </w:p>
          <w:p w14:paraId="6C14350E">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right="0" w:firstLine="480" w:firstLineChars="200"/>
              <w:jc w:val="both"/>
              <w:textAlignment w:val="auto"/>
              <w:rPr>
                <w:rFonts w:ascii="Times New Roman" w:hAnsi="Times New Roman" w:eastAsia="宋体" w:cs="宋体"/>
                <w:color w:val="auto"/>
              </w:rPr>
            </w:pPr>
            <w:r>
              <w:rPr>
                <w:rFonts w:hint="eastAsia" w:ascii="Times New Roman" w:hAnsi="Times New Roman" w:eastAsia="宋体" w:cs="宋体"/>
                <w:color w:val="auto"/>
              </w:rPr>
              <w:t>加强管理，建立各种健全的生产环保规章制度，严格在岗人员操作管理，与此同时，加强设备、管道、各项治污措施的定期检修和维护工作。</w:t>
            </w:r>
          </w:p>
          <w:p w14:paraId="02855328">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254AADFF">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037B9043">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0107BB1A">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20097345">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27102914">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6B8F3D6D">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1D55D460">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ECE2689">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EA5A517">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3DCE3235">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4BFCCB3E">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0519CE45">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CDC29FC">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369F178">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p w14:paraId="504869E4">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p w14:paraId="179FB032">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p w14:paraId="3103F818">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tc>
      </w:tr>
    </w:tbl>
    <w:p w14:paraId="21D52211">
      <w:pPr>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7C82E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firstLine="640" w:firstLineChars="200"/>
        <w:jc w:val="left"/>
        <w:textAlignment w:val="auto"/>
        <w:outlineLvl w:val="0"/>
        <w:rPr>
          <w:rFonts w:ascii="Times New Roman" w:hAnsi="Times New Roman" w:eastAsia="黑体" w:cs="Times New Roman"/>
          <w:snapToGrid w:val="0"/>
          <w:color w:val="auto"/>
          <w:kern w:val="0"/>
          <w:sz w:val="32"/>
          <w:szCs w:val="32"/>
          <w:highlight w:val="none"/>
          <w:lang w:val="en-US" w:eastAsia="zh-CN" w:bidi="ar-SA"/>
        </w:rPr>
      </w:pPr>
      <w:bookmarkStart w:id="111" w:name="_Toc10718"/>
      <w:bookmarkStart w:id="112" w:name="_Toc18074"/>
      <w:bookmarkStart w:id="113" w:name="_Toc31582"/>
      <w:bookmarkStart w:id="114" w:name="_Toc12926"/>
      <w:bookmarkStart w:id="115" w:name="_Toc3929"/>
      <w:bookmarkStart w:id="116" w:name="_Toc6309"/>
      <w:r>
        <w:rPr>
          <w:rFonts w:hint="eastAsia" w:ascii="Times New Roman" w:hAnsi="Times New Roman" w:eastAsia="黑体" w:cs="Times New Roman"/>
          <w:snapToGrid w:val="0"/>
          <w:color w:val="auto"/>
          <w:kern w:val="0"/>
          <w:sz w:val="32"/>
          <w:szCs w:val="32"/>
          <w:highlight w:val="none"/>
          <w:lang w:val="en-US" w:eastAsia="zh-CN" w:bidi="ar-SA"/>
        </w:rPr>
        <w:t>附表</w:t>
      </w:r>
      <w:bookmarkEnd w:id="111"/>
      <w:bookmarkEnd w:id="112"/>
      <w:bookmarkEnd w:id="113"/>
      <w:bookmarkEnd w:id="114"/>
      <w:bookmarkEnd w:id="115"/>
      <w:bookmarkEnd w:id="116"/>
    </w:p>
    <w:p w14:paraId="43B60C87">
      <w:pPr>
        <w:overflowPunct w:val="0"/>
        <w:autoSpaceDE w:val="0"/>
        <w:autoSpaceDN w:val="0"/>
        <w:bidi w:val="0"/>
        <w:adjustRightInd w:val="0"/>
        <w:snapToGrid w:val="0"/>
        <w:spacing w:before="0" w:after="0" w:line="500" w:lineRule="exact"/>
        <w:ind w:left="0" w:right="0" w:firstLine="562" w:firstLineChars="200"/>
        <w:jc w:val="center"/>
        <w:outlineLvl w:val="0"/>
        <w:rPr>
          <w:rFonts w:hint="eastAsia" w:ascii="Times New Roman" w:hAnsi="Times New Roman" w:eastAsia="宋体" w:cs="宋体"/>
          <w:b/>
          <w:bCs/>
          <w:color w:val="auto"/>
          <w:sz w:val="28"/>
          <w:szCs w:val="28"/>
          <w:lang w:val="en-US" w:eastAsia="zh-CN"/>
        </w:rPr>
      </w:pPr>
      <w:bookmarkStart w:id="117" w:name="_Toc15838"/>
      <w:bookmarkStart w:id="118" w:name="_Toc28588"/>
      <w:bookmarkStart w:id="119" w:name="_Toc11485"/>
      <w:bookmarkStart w:id="120" w:name="_Toc14946"/>
      <w:bookmarkStart w:id="121" w:name="_Toc32240"/>
      <w:bookmarkStart w:id="122" w:name="_Toc31124"/>
      <w:r>
        <w:rPr>
          <w:rFonts w:hint="eastAsia" w:ascii="Times New Roman" w:hAnsi="Times New Roman" w:eastAsia="宋体" w:cs="宋体"/>
          <w:b/>
          <w:bCs/>
          <w:color w:val="auto"/>
          <w:sz w:val="28"/>
          <w:szCs w:val="28"/>
          <w:lang w:val="en-US" w:eastAsia="zh-CN"/>
        </w:rPr>
        <w:t>建设项目污染物排放量汇总表</w:t>
      </w:r>
      <w:bookmarkEnd w:id="117"/>
      <w:bookmarkEnd w:id="118"/>
      <w:bookmarkEnd w:id="119"/>
      <w:bookmarkEnd w:id="120"/>
      <w:bookmarkEnd w:id="121"/>
      <w:bookmarkEnd w:id="122"/>
    </w:p>
    <w:tbl>
      <w:tblPr>
        <w:tblStyle w:val="1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984"/>
        <w:gridCol w:w="1701"/>
        <w:gridCol w:w="1276"/>
        <w:gridCol w:w="1701"/>
        <w:gridCol w:w="1559"/>
        <w:gridCol w:w="1761"/>
        <w:gridCol w:w="1616"/>
        <w:gridCol w:w="1169"/>
      </w:tblGrid>
      <w:tr w14:paraId="0AE28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21" w:type="dxa"/>
            <w:tcBorders>
              <w:tl2br w:val="single" w:color="auto" w:sz="4" w:space="0"/>
            </w:tcBorders>
            <w:noWrap w:val="0"/>
            <w:tcMar>
              <w:left w:w="28" w:type="dxa"/>
              <w:right w:w="28" w:type="dxa"/>
            </w:tcMar>
            <w:vAlign w:val="center"/>
          </w:tcPr>
          <w:p w14:paraId="17B103B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right="0" w:firstLine="396" w:firstLineChars="200"/>
              <w:jc w:val="right"/>
              <w:textAlignment w:val="auto"/>
              <w:rPr>
                <w:rFonts w:hint="eastAsia" w:ascii="Times New Roman" w:hAnsi="Times New Roman" w:eastAsia="黑体" w:cs="宋体"/>
                <w:snapToGrid w:val="0"/>
                <w:color w:val="auto"/>
                <w:spacing w:val="-6"/>
                <w:kern w:val="21"/>
                <w:sz w:val="21"/>
                <w:szCs w:val="21"/>
                <w:highlight w:val="none"/>
                <w:lang w:val="en-US" w:eastAsia="zh-CN" w:bidi="ar-SA"/>
              </w:rPr>
            </w:pPr>
            <w:r>
              <w:rPr>
                <w:rFonts w:hint="eastAsia" w:ascii="Times New Roman" w:hAnsi="Times New Roman" w:eastAsia="黑体" w:cs="宋体"/>
                <w:snapToGrid w:val="0"/>
                <w:color w:val="auto"/>
                <w:spacing w:val="-6"/>
                <w:kern w:val="21"/>
                <w:sz w:val="21"/>
                <w:szCs w:val="21"/>
                <w:highlight w:val="none"/>
                <w:lang w:val="en-US" w:eastAsia="zh-CN" w:bidi="ar-SA"/>
              </w:rPr>
              <w:t>项目</w:t>
            </w:r>
          </w:p>
          <w:p w14:paraId="4F77556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left"/>
              <w:textAlignment w:val="auto"/>
              <w:rPr>
                <w:rFonts w:hint="eastAsia" w:ascii="Times New Roman" w:hAnsi="Times New Roman" w:eastAsia="黑体" w:cs="宋体"/>
                <w:snapToGrid w:val="0"/>
                <w:color w:val="auto"/>
                <w:spacing w:val="-6"/>
                <w:kern w:val="21"/>
                <w:sz w:val="21"/>
                <w:szCs w:val="21"/>
                <w:highlight w:val="none"/>
                <w:lang w:val="en-US" w:eastAsia="zh-CN" w:bidi="ar-SA"/>
              </w:rPr>
            </w:pPr>
            <w:r>
              <w:rPr>
                <w:rFonts w:hint="eastAsia" w:ascii="Times New Roman" w:hAnsi="Times New Roman" w:eastAsia="黑体" w:cs="宋体"/>
                <w:snapToGrid w:val="0"/>
                <w:color w:val="auto"/>
                <w:spacing w:val="-6"/>
                <w:kern w:val="21"/>
                <w:sz w:val="21"/>
                <w:szCs w:val="21"/>
                <w:highlight w:val="none"/>
                <w:lang w:val="en-US" w:eastAsia="zh-CN" w:bidi="ar-SA"/>
              </w:rPr>
              <w:t>分类</w:t>
            </w:r>
          </w:p>
        </w:tc>
        <w:tc>
          <w:tcPr>
            <w:tcW w:w="1984" w:type="dxa"/>
            <w:noWrap w:val="0"/>
            <w:tcMar>
              <w:left w:w="28" w:type="dxa"/>
              <w:right w:w="28" w:type="dxa"/>
            </w:tcMar>
            <w:vAlign w:val="center"/>
          </w:tcPr>
          <w:p w14:paraId="3EA3DD5A">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宋体"/>
                <w:snapToGrid w:val="0"/>
                <w:color w:val="auto"/>
                <w:spacing w:val="-6"/>
                <w:kern w:val="21"/>
                <w:sz w:val="21"/>
                <w:szCs w:val="21"/>
                <w:highlight w:val="none"/>
                <w:lang w:val="en-US" w:eastAsia="zh-CN" w:bidi="ar-SA"/>
              </w:rPr>
            </w:pPr>
            <w:r>
              <w:rPr>
                <w:rFonts w:hint="eastAsia" w:ascii="Times New Roman" w:hAnsi="Times New Roman" w:eastAsia="黑体" w:cs="宋体"/>
                <w:snapToGrid w:val="0"/>
                <w:color w:val="auto"/>
                <w:spacing w:val="-6"/>
                <w:kern w:val="21"/>
                <w:sz w:val="21"/>
                <w:szCs w:val="21"/>
                <w:highlight w:val="none"/>
                <w:lang w:val="en-US" w:eastAsia="zh-CN" w:bidi="ar-SA"/>
              </w:rPr>
              <w:t>污染物名称</w:t>
            </w:r>
          </w:p>
        </w:tc>
        <w:tc>
          <w:tcPr>
            <w:tcW w:w="1701" w:type="dxa"/>
            <w:noWrap w:val="0"/>
            <w:tcMar>
              <w:left w:w="28" w:type="dxa"/>
              <w:right w:w="28" w:type="dxa"/>
            </w:tcMar>
            <w:vAlign w:val="center"/>
          </w:tcPr>
          <w:p w14:paraId="7FCD03E8">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现有工程</w:t>
            </w:r>
          </w:p>
          <w:p w14:paraId="4B3A03A2">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排放量（固</w:t>
            </w:r>
            <w:r>
              <w:rPr>
                <w:rFonts w:hint="eastAsia" w:ascii="Times New Roman" w:hAnsi="Times New Roman" w:eastAsia="黑体" w:cs="Times New Roman"/>
                <w:snapToGrid w:val="0"/>
                <w:color w:val="auto"/>
                <w:spacing w:val="-6"/>
                <w:kern w:val="21"/>
                <w:sz w:val="21"/>
                <w:szCs w:val="21"/>
                <w:highlight w:val="none"/>
                <w:lang w:val="en-US" w:eastAsia="zh-CN" w:bidi="ar-SA"/>
              </w:rPr>
              <w:t>体</w:t>
            </w:r>
            <w:r>
              <w:rPr>
                <w:rFonts w:ascii="Times New Roman" w:hAnsi="Times New Roman" w:eastAsia="黑体" w:cs="Times New Roman"/>
                <w:snapToGrid w:val="0"/>
                <w:color w:val="auto"/>
                <w:spacing w:val="-6"/>
                <w:kern w:val="21"/>
                <w:sz w:val="21"/>
                <w:szCs w:val="21"/>
                <w:highlight w:val="none"/>
                <w:lang w:val="en-US" w:eastAsia="zh-CN" w:bidi="ar-SA"/>
              </w:rPr>
              <w:t>废</w:t>
            </w:r>
            <w:r>
              <w:rPr>
                <w:rFonts w:hint="eastAsia" w:ascii="Times New Roman" w:hAnsi="Times New Roman" w:eastAsia="黑体" w:cs="Times New Roman"/>
                <w:snapToGrid w:val="0"/>
                <w:color w:val="auto"/>
                <w:spacing w:val="-6"/>
                <w:kern w:val="21"/>
                <w:sz w:val="21"/>
                <w:szCs w:val="21"/>
                <w:highlight w:val="none"/>
                <w:lang w:val="en-US" w:eastAsia="zh-CN" w:bidi="ar-SA"/>
              </w:rPr>
              <w:t>物</w:t>
            </w:r>
            <w:r>
              <w:rPr>
                <w:rFonts w:ascii="Times New Roman" w:hAnsi="Times New Roman" w:eastAsia="黑体" w:cs="Times New Roman"/>
                <w:snapToGrid w:val="0"/>
                <w:color w:val="auto"/>
                <w:spacing w:val="-6"/>
                <w:kern w:val="21"/>
                <w:sz w:val="21"/>
                <w:szCs w:val="21"/>
                <w:highlight w:val="none"/>
                <w:lang w:val="en-US" w:eastAsia="zh-CN" w:bidi="ar-SA"/>
              </w:rPr>
              <w:t>产生量）</w:t>
            </w:r>
            <w:r>
              <w:rPr>
                <w:rFonts w:ascii="Times New Roman" w:hAnsi="Times New Roman" w:eastAsia="黑体" w:cs="Times New Roman"/>
                <w:snapToGrid w:val="0"/>
                <w:color w:val="auto"/>
                <w:spacing w:val="-6"/>
                <w:kern w:val="21"/>
                <w:sz w:val="21"/>
                <w:szCs w:val="21"/>
                <w:highlight w:val="none"/>
                <w:lang w:val="en-US" w:eastAsia="zh-CN" w:bidi="ar-SA"/>
              </w:rPr>
              <w:fldChar w:fldCharType="begin"/>
            </w:r>
            <w:r>
              <w:rPr>
                <w:rFonts w:ascii="Times New Roman" w:hAnsi="Times New Roman" w:eastAsia="黑体" w:cs="Times New Roman"/>
                <w:snapToGrid w:val="0"/>
                <w:color w:val="auto"/>
                <w:spacing w:val="-6"/>
                <w:kern w:val="21"/>
                <w:sz w:val="21"/>
                <w:szCs w:val="21"/>
                <w:highlight w:val="none"/>
                <w:lang w:val="en-US" w:eastAsia="zh-CN" w:bidi="ar-SA"/>
              </w:rPr>
              <w:instrText xml:space="preserve"> = 1 \* GB3 \* MERGEFORMAT </w:instrText>
            </w:r>
            <w:r>
              <w:rPr>
                <w:rFonts w:ascii="Times New Roman" w:hAnsi="Times New Roman" w:eastAsia="黑体" w:cs="Times New Roman"/>
                <w:snapToGrid w:val="0"/>
                <w:color w:val="auto"/>
                <w:spacing w:val="-6"/>
                <w:kern w:val="21"/>
                <w:sz w:val="21"/>
                <w:szCs w:val="21"/>
                <w:highlight w:val="none"/>
                <w:lang w:val="en-US" w:eastAsia="zh-CN" w:bidi="ar-SA"/>
              </w:rPr>
              <w:fldChar w:fldCharType="separate"/>
            </w:r>
            <w:r>
              <w:rPr>
                <w:rFonts w:hint="eastAsia" w:ascii="Times New Roman" w:hAnsi="Times New Roman" w:eastAsia="黑体" w:cs="宋体"/>
                <w:color w:val="auto"/>
                <w:kern w:val="2"/>
                <w:sz w:val="21"/>
                <w:szCs w:val="21"/>
                <w:highlight w:val="none"/>
                <w:lang w:val="en-US" w:eastAsia="zh-CN" w:bidi="ar-SA"/>
              </w:rPr>
              <w:t>①</w:t>
            </w:r>
            <w:r>
              <w:rPr>
                <w:rFonts w:ascii="Times New Roman" w:hAnsi="Times New Roman" w:eastAsia="黑体" w:cs="Times New Roman"/>
                <w:snapToGrid w:val="0"/>
                <w:color w:val="auto"/>
                <w:spacing w:val="-6"/>
                <w:kern w:val="21"/>
                <w:sz w:val="21"/>
                <w:szCs w:val="21"/>
                <w:highlight w:val="none"/>
                <w:lang w:val="en-US" w:eastAsia="zh-CN" w:bidi="ar-SA"/>
              </w:rPr>
              <w:fldChar w:fldCharType="end"/>
            </w:r>
          </w:p>
        </w:tc>
        <w:tc>
          <w:tcPr>
            <w:tcW w:w="1276" w:type="dxa"/>
            <w:noWrap w:val="0"/>
            <w:tcMar>
              <w:left w:w="28" w:type="dxa"/>
              <w:right w:w="28" w:type="dxa"/>
            </w:tcMar>
            <w:vAlign w:val="center"/>
          </w:tcPr>
          <w:p w14:paraId="5FB395B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现有工程</w:t>
            </w:r>
          </w:p>
          <w:p w14:paraId="37CBCE0F">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许可排放量</w:t>
            </w:r>
          </w:p>
          <w:p w14:paraId="2CB9F18F">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right="0" w:firstLine="396" w:firstLineChars="20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fldChar w:fldCharType="begin"/>
            </w:r>
            <w:r>
              <w:rPr>
                <w:rFonts w:ascii="Times New Roman" w:hAnsi="Times New Roman" w:eastAsia="黑体" w:cs="Times New Roman"/>
                <w:snapToGrid w:val="0"/>
                <w:color w:val="auto"/>
                <w:spacing w:val="-6"/>
                <w:kern w:val="21"/>
                <w:sz w:val="21"/>
                <w:szCs w:val="21"/>
                <w:highlight w:val="none"/>
                <w:lang w:val="en-US" w:eastAsia="zh-CN" w:bidi="ar-SA"/>
              </w:rPr>
              <w:instrText xml:space="preserve"> = 2 \* GB3 \* MERGEFORMAT </w:instrText>
            </w:r>
            <w:r>
              <w:rPr>
                <w:rFonts w:ascii="Times New Roman" w:hAnsi="Times New Roman" w:eastAsia="黑体" w:cs="Times New Roman"/>
                <w:snapToGrid w:val="0"/>
                <w:color w:val="auto"/>
                <w:spacing w:val="-6"/>
                <w:kern w:val="21"/>
                <w:sz w:val="21"/>
                <w:szCs w:val="21"/>
                <w:highlight w:val="none"/>
                <w:lang w:val="en-US" w:eastAsia="zh-CN" w:bidi="ar-SA"/>
              </w:rPr>
              <w:fldChar w:fldCharType="separate"/>
            </w:r>
            <w:r>
              <w:rPr>
                <w:rFonts w:hint="eastAsia" w:ascii="Times New Roman" w:hAnsi="Times New Roman" w:eastAsia="黑体" w:cs="宋体"/>
                <w:snapToGrid w:val="0"/>
                <w:color w:val="auto"/>
                <w:spacing w:val="-6"/>
                <w:kern w:val="21"/>
                <w:sz w:val="21"/>
                <w:szCs w:val="21"/>
                <w:highlight w:val="none"/>
                <w:lang w:val="en-US" w:eastAsia="zh-CN" w:bidi="ar-SA"/>
              </w:rPr>
              <w:t>②</w:t>
            </w:r>
            <w:r>
              <w:rPr>
                <w:rFonts w:ascii="Times New Roman" w:hAnsi="Times New Roman" w:eastAsia="黑体" w:cs="Times New Roman"/>
                <w:snapToGrid w:val="0"/>
                <w:color w:val="auto"/>
                <w:spacing w:val="-6"/>
                <w:kern w:val="21"/>
                <w:sz w:val="21"/>
                <w:szCs w:val="21"/>
                <w:highlight w:val="none"/>
                <w:lang w:val="en-US" w:eastAsia="zh-CN" w:bidi="ar-SA"/>
              </w:rPr>
              <w:fldChar w:fldCharType="end"/>
            </w:r>
          </w:p>
        </w:tc>
        <w:tc>
          <w:tcPr>
            <w:tcW w:w="1701" w:type="dxa"/>
            <w:noWrap w:val="0"/>
            <w:tcMar>
              <w:left w:w="28" w:type="dxa"/>
              <w:right w:w="28" w:type="dxa"/>
            </w:tcMar>
            <w:vAlign w:val="center"/>
          </w:tcPr>
          <w:p w14:paraId="7244F96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在建工程</w:t>
            </w:r>
          </w:p>
          <w:p w14:paraId="7A3B80DE">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排放量（固</w:t>
            </w:r>
            <w:r>
              <w:rPr>
                <w:rFonts w:hint="eastAsia" w:ascii="Times New Roman" w:hAnsi="Times New Roman" w:eastAsia="黑体" w:cs="Times New Roman"/>
                <w:snapToGrid w:val="0"/>
                <w:color w:val="auto"/>
                <w:spacing w:val="-6"/>
                <w:kern w:val="21"/>
                <w:sz w:val="21"/>
                <w:szCs w:val="21"/>
                <w:highlight w:val="none"/>
                <w:lang w:val="en-US" w:eastAsia="zh-CN" w:bidi="ar-SA"/>
              </w:rPr>
              <w:t>体</w:t>
            </w:r>
            <w:r>
              <w:rPr>
                <w:rFonts w:ascii="Times New Roman" w:hAnsi="Times New Roman" w:eastAsia="黑体" w:cs="Times New Roman"/>
                <w:snapToGrid w:val="0"/>
                <w:color w:val="auto"/>
                <w:spacing w:val="-6"/>
                <w:kern w:val="21"/>
                <w:sz w:val="21"/>
                <w:szCs w:val="21"/>
                <w:highlight w:val="none"/>
                <w:lang w:val="en-US" w:eastAsia="zh-CN" w:bidi="ar-SA"/>
              </w:rPr>
              <w:t>废</w:t>
            </w:r>
            <w:r>
              <w:rPr>
                <w:rFonts w:hint="eastAsia" w:ascii="Times New Roman" w:hAnsi="Times New Roman" w:eastAsia="黑体" w:cs="Times New Roman"/>
                <w:snapToGrid w:val="0"/>
                <w:color w:val="auto"/>
                <w:spacing w:val="-6"/>
                <w:kern w:val="21"/>
                <w:sz w:val="21"/>
                <w:szCs w:val="21"/>
                <w:highlight w:val="none"/>
                <w:lang w:val="en-US" w:eastAsia="zh-CN" w:bidi="ar-SA"/>
              </w:rPr>
              <w:t>物</w:t>
            </w:r>
            <w:r>
              <w:rPr>
                <w:rFonts w:ascii="Times New Roman" w:hAnsi="Times New Roman" w:eastAsia="黑体" w:cs="Times New Roman"/>
                <w:snapToGrid w:val="0"/>
                <w:color w:val="auto"/>
                <w:spacing w:val="-6"/>
                <w:kern w:val="21"/>
                <w:sz w:val="21"/>
                <w:szCs w:val="21"/>
                <w:highlight w:val="none"/>
                <w:lang w:val="en-US" w:eastAsia="zh-CN" w:bidi="ar-SA"/>
              </w:rPr>
              <w:t>产生量）</w:t>
            </w:r>
            <w:r>
              <w:rPr>
                <w:rFonts w:ascii="Times New Roman" w:hAnsi="Times New Roman" w:eastAsia="黑体" w:cs="Times New Roman"/>
                <w:snapToGrid w:val="0"/>
                <w:color w:val="auto"/>
                <w:spacing w:val="-6"/>
                <w:kern w:val="21"/>
                <w:sz w:val="21"/>
                <w:szCs w:val="21"/>
                <w:highlight w:val="none"/>
                <w:lang w:val="en-US" w:eastAsia="zh-CN" w:bidi="ar-SA"/>
              </w:rPr>
              <w:fldChar w:fldCharType="begin"/>
            </w:r>
            <w:r>
              <w:rPr>
                <w:rFonts w:ascii="Times New Roman" w:hAnsi="Times New Roman" w:eastAsia="黑体" w:cs="Times New Roman"/>
                <w:snapToGrid w:val="0"/>
                <w:color w:val="auto"/>
                <w:spacing w:val="-6"/>
                <w:kern w:val="21"/>
                <w:sz w:val="21"/>
                <w:szCs w:val="21"/>
                <w:highlight w:val="none"/>
                <w:lang w:val="en-US" w:eastAsia="zh-CN" w:bidi="ar-SA"/>
              </w:rPr>
              <w:instrText xml:space="preserve"> = 3 \* GB3 \* MERGEFORMAT </w:instrText>
            </w:r>
            <w:r>
              <w:rPr>
                <w:rFonts w:ascii="Times New Roman" w:hAnsi="Times New Roman" w:eastAsia="黑体" w:cs="Times New Roman"/>
                <w:snapToGrid w:val="0"/>
                <w:color w:val="auto"/>
                <w:spacing w:val="-6"/>
                <w:kern w:val="21"/>
                <w:sz w:val="21"/>
                <w:szCs w:val="21"/>
                <w:highlight w:val="none"/>
                <w:lang w:val="en-US" w:eastAsia="zh-CN" w:bidi="ar-SA"/>
              </w:rPr>
              <w:fldChar w:fldCharType="separate"/>
            </w:r>
            <w:r>
              <w:rPr>
                <w:rFonts w:hint="eastAsia" w:ascii="Times New Roman" w:hAnsi="Times New Roman" w:eastAsia="黑体" w:cs="宋体"/>
                <w:color w:val="auto"/>
                <w:kern w:val="2"/>
                <w:sz w:val="21"/>
                <w:szCs w:val="21"/>
                <w:highlight w:val="none"/>
                <w:lang w:val="en-US" w:eastAsia="zh-CN" w:bidi="ar-SA"/>
              </w:rPr>
              <w:t>③</w:t>
            </w:r>
            <w:r>
              <w:rPr>
                <w:rFonts w:ascii="Times New Roman" w:hAnsi="Times New Roman" w:eastAsia="黑体" w:cs="Times New Roman"/>
                <w:snapToGrid w:val="0"/>
                <w:color w:val="auto"/>
                <w:spacing w:val="-6"/>
                <w:kern w:val="21"/>
                <w:sz w:val="21"/>
                <w:szCs w:val="21"/>
                <w:highlight w:val="none"/>
                <w:lang w:val="en-US" w:eastAsia="zh-CN" w:bidi="ar-SA"/>
              </w:rPr>
              <w:fldChar w:fldCharType="end"/>
            </w:r>
          </w:p>
        </w:tc>
        <w:tc>
          <w:tcPr>
            <w:tcW w:w="1559" w:type="dxa"/>
            <w:noWrap w:val="0"/>
            <w:tcMar>
              <w:left w:w="28" w:type="dxa"/>
              <w:right w:w="28" w:type="dxa"/>
            </w:tcMar>
            <w:vAlign w:val="center"/>
          </w:tcPr>
          <w:p w14:paraId="1FCF2E8A">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本项目</w:t>
            </w:r>
          </w:p>
          <w:p w14:paraId="3820C09F">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排放量（固</w:t>
            </w:r>
            <w:r>
              <w:rPr>
                <w:rFonts w:hint="eastAsia" w:ascii="Times New Roman" w:hAnsi="Times New Roman" w:eastAsia="黑体" w:cs="Times New Roman"/>
                <w:snapToGrid w:val="0"/>
                <w:color w:val="auto"/>
                <w:spacing w:val="-6"/>
                <w:kern w:val="21"/>
                <w:sz w:val="21"/>
                <w:szCs w:val="21"/>
                <w:highlight w:val="none"/>
                <w:lang w:val="en-US" w:eastAsia="zh-CN" w:bidi="ar-SA"/>
              </w:rPr>
              <w:t>体</w:t>
            </w:r>
            <w:r>
              <w:rPr>
                <w:rFonts w:ascii="Times New Roman" w:hAnsi="Times New Roman" w:eastAsia="黑体" w:cs="Times New Roman"/>
                <w:snapToGrid w:val="0"/>
                <w:color w:val="auto"/>
                <w:spacing w:val="-6"/>
                <w:kern w:val="21"/>
                <w:sz w:val="21"/>
                <w:szCs w:val="21"/>
                <w:highlight w:val="none"/>
                <w:lang w:val="en-US" w:eastAsia="zh-CN" w:bidi="ar-SA"/>
              </w:rPr>
              <w:t>废</w:t>
            </w:r>
            <w:r>
              <w:rPr>
                <w:rFonts w:hint="eastAsia" w:ascii="Times New Roman" w:hAnsi="Times New Roman" w:eastAsia="黑体" w:cs="Times New Roman"/>
                <w:snapToGrid w:val="0"/>
                <w:color w:val="auto"/>
                <w:spacing w:val="-6"/>
                <w:kern w:val="21"/>
                <w:sz w:val="21"/>
                <w:szCs w:val="21"/>
                <w:highlight w:val="none"/>
                <w:lang w:val="en-US" w:eastAsia="zh-CN" w:bidi="ar-SA"/>
              </w:rPr>
              <w:t>物</w:t>
            </w:r>
            <w:r>
              <w:rPr>
                <w:rFonts w:ascii="Times New Roman" w:hAnsi="Times New Roman" w:eastAsia="黑体" w:cs="Times New Roman"/>
                <w:snapToGrid w:val="0"/>
                <w:color w:val="auto"/>
                <w:spacing w:val="-6"/>
                <w:kern w:val="21"/>
                <w:sz w:val="21"/>
                <w:szCs w:val="21"/>
                <w:highlight w:val="none"/>
                <w:lang w:val="en-US" w:eastAsia="zh-CN" w:bidi="ar-SA"/>
              </w:rPr>
              <w:t>产生量）</w:t>
            </w:r>
            <w:r>
              <w:rPr>
                <w:rFonts w:ascii="Times New Roman" w:hAnsi="Times New Roman" w:eastAsia="黑体" w:cs="Times New Roman"/>
                <w:snapToGrid w:val="0"/>
                <w:color w:val="auto"/>
                <w:spacing w:val="-6"/>
                <w:kern w:val="21"/>
                <w:sz w:val="21"/>
                <w:szCs w:val="21"/>
                <w:highlight w:val="none"/>
                <w:lang w:val="en-US" w:eastAsia="zh-CN" w:bidi="ar-SA"/>
              </w:rPr>
              <w:fldChar w:fldCharType="begin"/>
            </w:r>
            <w:r>
              <w:rPr>
                <w:rFonts w:ascii="Times New Roman" w:hAnsi="Times New Roman" w:eastAsia="黑体" w:cs="Times New Roman"/>
                <w:snapToGrid w:val="0"/>
                <w:color w:val="auto"/>
                <w:spacing w:val="-6"/>
                <w:kern w:val="21"/>
                <w:sz w:val="21"/>
                <w:szCs w:val="21"/>
                <w:highlight w:val="none"/>
                <w:lang w:val="en-US" w:eastAsia="zh-CN" w:bidi="ar-SA"/>
              </w:rPr>
              <w:instrText xml:space="preserve"> = 4 \* GB3 \* MERGEFORMAT </w:instrText>
            </w:r>
            <w:r>
              <w:rPr>
                <w:rFonts w:ascii="Times New Roman" w:hAnsi="Times New Roman" w:eastAsia="黑体" w:cs="Times New Roman"/>
                <w:snapToGrid w:val="0"/>
                <w:color w:val="auto"/>
                <w:spacing w:val="-6"/>
                <w:kern w:val="21"/>
                <w:sz w:val="21"/>
                <w:szCs w:val="21"/>
                <w:highlight w:val="none"/>
                <w:lang w:val="en-US" w:eastAsia="zh-CN" w:bidi="ar-SA"/>
              </w:rPr>
              <w:fldChar w:fldCharType="separate"/>
            </w:r>
            <w:r>
              <w:rPr>
                <w:rFonts w:hint="eastAsia" w:ascii="Times New Roman" w:hAnsi="Times New Roman" w:eastAsia="黑体" w:cs="宋体"/>
                <w:color w:val="auto"/>
                <w:kern w:val="2"/>
                <w:sz w:val="21"/>
                <w:szCs w:val="21"/>
                <w:highlight w:val="none"/>
                <w:lang w:val="en-US" w:eastAsia="zh-CN" w:bidi="ar-SA"/>
              </w:rPr>
              <w:t>④</w:t>
            </w:r>
            <w:r>
              <w:rPr>
                <w:rFonts w:ascii="Times New Roman" w:hAnsi="Times New Roman" w:eastAsia="黑体" w:cs="Times New Roman"/>
                <w:snapToGrid w:val="0"/>
                <w:color w:val="auto"/>
                <w:spacing w:val="-6"/>
                <w:kern w:val="21"/>
                <w:sz w:val="21"/>
                <w:szCs w:val="21"/>
                <w:highlight w:val="none"/>
                <w:lang w:val="en-US" w:eastAsia="zh-CN" w:bidi="ar-SA"/>
              </w:rPr>
              <w:fldChar w:fldCharType="end"/>
            </w:r>
          </w:p>
        </w:tc>
        <w:tc>
          <w:tcPr>
            <w:tcW w:w="1761" w:type="dxa"/>
            <w:noWrap w:val="0"/>
            <w:tcMar>
              <w:left w:w="28" w:type="dxa"/>
              <w:right w:w="28" w:type="dxa"/>
            </w:tcMar>
            <w:vAlign w:val="center"/>
          </w:tcPr>
          <w:p w14:paraId="31FDE995">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16"/>
                <w:kern w:val="21"/>
                <w:sz w:val="21"/>
                <w:szCs w:val="21"/>
                <w:highlight w:val="none"/>
                <w:lang w:val="en-US" w:eastAsia="zh-CN" w:bidi="ar-SA"/>
              </w:rPr>
            </w:pPr>
            <w:r>
              <w:rPr>
                <w:rFonts w:ascii="Times New Roman" w:hAnsi="Times New Roman" w:eastAsia="黑体" w:cs="Times New Roman"/>
                <w:snapToGrid w:val="0"/>
                <w:color w:val="auto"/>
                <w:spacing w:val="-16"/>
                <w:kern w:val="21"/>
                <w:sz w:val="21"/>
                <w:szCs w:val="21"/>
                <w:highlight w:val="none"/>
                <w:lang w:val="en-US" w:eastAsia="zh-CN" w:bidi="ar-SA"/>
              </w:rPr>
              <w:t>以新带老削减量</w:t>
            </w:r>
          </w:p>
          <w:p w14:paraId="7FAA7983">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16"/>
                <w:kern w:val="21"/>
                <w:sz w:val="21"/>
                <w:szCs w:val="21"/>
                <w:highlight w:val="none"/>
                <w:lang w:val="en-US" w:eastAsia="zh-CN" w:bidi="ar-SA"/>
              </w:rPr>
            </w:pPr>
            <w:r>
              <w:rPr>
                <w:rFonts w:ascii="Times New Roman" w:hAnsi="Times New Roman" w:eastAsia="黑体" w:cs="Times New Roman"/>
                <w:snapToGrid w:val="0"/>
                <w:color w:val="auto"/>
                <w:spacing w:val="-16"/>
                <w:kern w:val="21"/>
                <w:sz w:val="21"/>
                <w:szCs w:val="21"/>
                <w:highlight w:val="none"/>
                <w:lang w:val="en-US" w:eastAsia="zh-CN" w:bidi="ar-SA"/>
              </w:rPr>
              <w:t>（新建项目不填）</w:t>
            </w:r>
            <w:r>
              <w:rPr>
                <w:rFonts w:ascii="Times New Roman" w:hAnsi="Times New Roman" w:eastAsia="黑体" w:cs="Times New Roman"/>
                <w:snapToGrid w:val="0"/>
                <w:color w:val="auto"/>
                <w:spacing w:val="-16"/>
                <w:kern w:val="21"/>
                <w:sz w:val="21"/>
                <w:szCs w:val="21"/>
                <w:highlight w:val="none"/>
                <w:lang w:val="en-US" w:eastAsia="zh-CN" w:bidi="ar-SA"/>
              </w:rPr>
              <w:fldChar w:fldCharType="begin"/>
            </w:r>
            <w:r>
              <w:rPr>
                <w:rFonts w:ascii="Times New Roman" w:hAnsi="Times New Roman" w:eastAsia="黑体" w:cs="Times New Roman"/>
                <w:snapToGrid w:val="0"/>
                <w:color w:val="auto"/>
                <w:spacing w:val="-16"/>
                <w:kern w:val="21"/>
                <w:sz w:val="21"/>
                <w:szCs w:val="21"/>
                <w:highlight w:val="none"/>
                <w:lang w:val="en-US" w:eastAsia="zh-CN" w:bidi="ar-SA"/>
              </w:rPr>
              <w:instrText xml:space="preserve"> = 5 \* GB3 \* MERGEFORMAT </w:instrText>
            </w:r>
            <w:r>
              <w:rPr>
                <w:rFonts w:ascii="Times New Roman" w:hAnsi="Times New Roman" w:eastAsia="黑体" w:cs="Times New Roman"/>
                <w:snapToGrid w:val="0"/>
                <w:color w:val="auto"/>
                <w:spacing w:val="-16"/>
                <w:kern w:val="21"/>
                <w:sz w:val="21"/>
                <w:szCs w:val="21"/>
                <w:highlight w:val="none"/>
                <w:lang w:val="en-US" w:eastAsia="zh-CN" w:bidi="ar-SA"/>
              </w:rPr>
              <w:fldChar w:fldCharType="separate"/>
            </w:r>
            <w:r>
              <w:rPr>
                <w:rFonts w:hint="eastAsia" w:ascii="Times New Roman" w:hAnsi="Times New Roman" w:eastAsia="黑体" w:cs="宋体"/>
                <w:color w:val="auto"/>
                <w:kern w:val="2"/>
                <w:sz w:val="21"/>
                <w:szCs w:val="21"/>
                <w:highlight w:val="none"/>
                <w:lang w:val="en-US" w:eastAsia="zh-CN" w:bidi="ar-SA"/>
              </w:rPr>
              <w:t>⑤</w:t>
            </w:r>
            <w:r>
              <w:rPr>
                <w:rFonts w:ascii="Times New Roman" w:hAnsi="Times New Roman" w:eastAsia="黑体" w:cs="Times New Roman"/>
                <w:snapToGrid w:val="0"/>
                <w:color w:val="auto"/>
                <w:spacing w:val="-16"/>
                <w:kern w:val="21"/>
                <w:sz w:val="21"/>
                <w:szCs w:val="21"/>
                <w:highlight w:val="none"/>
                <w:lang w:val="en-US" w:eastAsia="zh-CN" w:bidi="ar-SA"/>
              </w:rPr>
              <w:fldChar w:fldCharType="end"/>
            </w:r>
          </w:p>
        </w:tc>
        <w:tc>
          <w:tcPr>
            <w:tcW w:w="1616" w:type="dxa"/>
            <w:noWrap w:val="0"/>
            <w:tcMar>
              <w:left w:w="28" w:type="dxa"/>
              <w:right w:w="28" w:type="dxa"/>
            </w:tcMar>
            <w:vAlign w:val="center"/>
          </w:tcPr>
          <w:p w14:paraId="5A01563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16"/>
                <w:kern w:val="21"/>
                <w:sz w:val="21"/>
                <w:szCs w:val="21"/>
                <w:highlight w:val="none"/>
                <w:lang w:val="en-US" w:eastAsia="zh-CN" w:bidi="ar-SA"/>
              </w:rPr>
            </w:pPr>
            <w:r>
              <w:rPr>
                <w:rFonts w:ascii="Times New Roman" w:hAnsi="Times New Roman" w:eastAsia="黑体" w:cs="Times New Roman"/>
                <w:snapToGrid w:val="0"/>
                <w:color w:val="auto"/>
                <w:spacing w:val="-16"/>
                <w:kern w:val="21"/>
                <w:sz w:val="21"/>
                <w:szCs w:val="21"/>
                <w:highlight w:val="none"/>
                <w:lang w:val="en-US" w:eastAsia="zh-CN" w:bidi="ar-SA"/>
              </w:rPr>
              <w:t>本项目建成后</w:t>
            </w:r>
          </w:p>
          <w:p w14:paraId="41E526D9">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16"/>
                <w:kern w:val="21"/>
                <w:sz w:val="21"/>
                <w:szCs w:val="21"/>
                <w:highlight w:val="none"/>
                <w:lang w:val="en-US" w:eastAsia="zh-CN" w:bidi="ar-SA"/>
              </w:rPr>
            </w:pPr>
            <w:r>
              <w:rPr>
                <w:rFonts w:hint="eastAsia" w:ascii="Times New Roman" w:hAnsi="Times New Roman" w:eastAsia="黑体" w:cs="Times New Roman"/>
                <w:snapToGrid w:val="0"/>
                <w:color w:val="auto"/>
                <w:spacing w:val="-16"/>
                <w:kern w:val="21"/>
                <w:sz w:val="21"/>
                <w:szCs w:val="21"/>
                <w:highlight w:val="none"/>
                <w:lang w:val="en-US" w:eastAsia="zh-CN" w:bidi="ar-SA"/>
              </w:rPr>
              <w:t>全厂</w:t>
            </w:r>
            <w:r>
              <w:rPr>
                <w:rFonts w:ascii="Times New Roman" w:hAnsi="Times New Roman" w:eastAsia="黑体" w:cs="Times New Roman"/>
                <w:snapToGrid w:val="0"/>
                <w:color w:val="auto"/>
                <w:spacing w:val="-16"/>
                <w:kern w:val="21"/>
                <w:sz w:val="21"/>
                <w:szCs w:val="21"/>
                <w:highlight w:val="none"/>
                <w:lang w:val="en-US" w:eastAsia="zh-CN" w:bidi="ar-SA"/>
              </w:rPr>
              <w:t>排放量（固</w:t>
            </w:r>
            <w:r>
              <w:rPr>
                <w:rFonts w:hint="eastAsia" w:ascii="Times New Roman" w:hAnsi="Times New Roman" w:eastAsia="黑体" w:cs="Times New Roman"/>
                <w:snapToGrid w:val="0"/>
                <w:color w:val="auto"/>
                <w:spacing w:val="-16"/>
                <w:kern w:val="21"/>
                <w:sz w:val="21"/>
                <w:szCs w:val="21"/>
                <w:highlight w:val="none"/>
                <w:lang w:val="en-US" w:eastAsia="zh-CN" w:bidi="ar-SA"/>
              </w:rPr>
              <w:t>体</w:t>
            </w:r>
            <w:r>
              <w:rPr>
                <w:rFonts w:ascii="Times New Roman" w:hAnsi="Times New Roman" w:eastAsia="黑体" w:cs="Times New Roman"/>
                <w:snapToGrid w:val="0"/>
                <w:color w:val="auto"/>
                <w:spacing w:val="-16"/>
                <w:kern w:val="21"/>
                <w:sz w:val="21"/>
                <w:szCs w:val="21"/>
                <w:highlight w:val="none"/>
                <w:lang w:val="en-US" w:eastAsia="zh-CN" w:bidi="ar-SA"/>
              </w:rPr>
              <w:t>废</w:t>
            </w:r>
            <w:r>
              <w:rPr>
                <w:rFonts w:hint="eastAsia" w:ascii="Times New Roman" w:hAnsi="Times New Roman" w:eastAsia="黑体" w:cs="Times New Roman"/>
                <w:snapToGrid w:val="0"/>
                <w:color w:val="auto"/>
                <w:spacing w:val="-16"/>
                <w:kern w:val="21"/>
                <w:sz w:val="21"/>
                <w:szCs w:val="21"/>
                <w:highlight w:val="none"/>
                <w:lang w:val="en-US" w:eastAsia="zh-CN" w:bidi="ar-SA"/>
              </w:rPr>
              <w:t>物</w:t>
            </w:r>
            <w:r>
              <w:rPr>
                <w:rFonts w:ascii="Times New Roman" w:hAnsi="Times New Roman" w:eastAsia="黑体" w:cs="Times New Roman"/>
                <w:snapToGrid w:val="0"/>
                <w:color w:val="auto"/>
                <w:spacing w:val="-16"/>
                <w:kern w:val="21"/>
                <w:sz w:val="21"/>
                <w:szCs w:val="21"/>
                <w:highlight w:val="none"/>
                <w:lang w:val="en-US" w:eastAsia="zh-CN" w:bidi="ar-SA"/>
              </w:rPr>
              <w:t>产生量）</w:t>
            </w:r>
            <w:r>
              <w:rPr>
                <w:rFonts w:ascii="Times New Roman" w:hAnsi="Times New Roman" w:eastAsia="黑体" w:cs="Times New Roman"/>
                <w:snapToGrid w:val="0"/>
                <w:color w:val="auto"/>
                <w:spacing w:val="-16"/>
                <w:kern w:val="21"/>
                <w:sz w:val="21"/>
                <w:szCs w:val="21"/>
                <w:highlight w:val="none"/>
                <w:lang w:val="en-US" w:eastAsia="zh-CN" w:bidi="ar-SA"/>
              </w:rPr>
              <w:fldChar w:fldCharType="begin"/>
            </w:r>
            <w:r>
              <w:rPr>
                <w:rFonts w:ascii="Times New Roman" w:hAnsi="Times New Roman" w:eastAsia="黑体" w:cs="Times New Roman"/>
                <w:snapToGrid w:val="0"/>
                <w:color w:val="auto"/>
                <w:spacing w:val="-16"/>
                <w:kern w:val="21"/>
                <w:sz w:val="21"/>
                <w:szCs w:val="21"/>
                <w:highlight w:val="none"/>
                <w:lang w:val="en-US" w:eastAsia="zh-CN" w:bidi="ar-SA"/>
              </w:rPr>
              <w:instrText xml:space="preserve"> = 6 \* GB3 \* MERGEFORMAT </w:instrText>
            </w:r>
            <w:r>
              <w:rPr>
                <w:rFonts w:ascii="Times New Roman" w:hAnsi="Times New Roman" w:eastAsia="黑体" w:cs="Times New Roman"/>
                <w:snapToGrid w:val="0"/>
                <w:color w:val="auto"/>
                <w:spacing w:val="-16"/>
                <w:kern w:val="21"/>
                <w:sz w:val="21"/>
                <w:szCs w:val="21"/>
                <w:highlight w:val="none"/>
                <w:lang w:val="en-US" w:eastAsia="zh-CN" w:bidi="ar-SA"/>
              </w:rPr>
              <w:fldChar w:fldCharType="separate"/>
            </w:r>
            <w:r>
              <w:rPr>
                <w:rFonts w:hint="eastAsia" w:ascii="Times New Roman" w:hAnsi="Times New Roman" w:eastAsia="黑体" w:cs="宋体"/>
                <w:color w:val="auto"/>
                <w:kern w:val="2"/>
                <w:sz w:val="21"/>
                <w:szCs w:val="21"/>
                <w:highlight w:val="none"/>
                <w:lang w:val="en-US" w:eastAsia="zh-CN" w:bidi="ar-SA"/>
              </w:rPr>
              <w:t>⑥</w:t>
            </w:r>
            <w:r>
              <w:rPr>
                <w:rFonts w:ascii="Times New Roman" w:hAnsi="Times New Roman" w:eastAsia="黑体" w:cs="Times New Roman"/>
                <w:snapToGrid w:val="0"/>
                <w:color w:val="auto"/>
                <w:spacing w:val="-16"/>
                <w:kern w:val="21"/>
                <w:sz w:val="21"/>
                <w:szCs w:val="21"/>
                <w:highlight w:val="none"/>
                <w:lang w:val="en-US" w:eastAsia="zh-CN" w:bidi="ar-SA"/>
              </w:rPr>
              <w:fldChar w:fldCharType="end"/>
            </w:r>
          </w:p>
        </w:tc>
        <w:tc>
          <w:tcPr>
            <w:tcW w:w="1169" w:type="dxa"/>
            <w:noWrap w:val="0"/>
            <w:tcMar>
              <w:left w:w="28" w:type="dxa"/>
              <w:right w:w="28" w:type="dxa"/>
            </w:tcMar>
            <w:vAlign w:val="center"/>
          </w:tcPr>
          <w:p w14:paraId="654FE32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t>变化量</w:t>
            </w:r>
          </w:p>
          <w:p w14:paraId="7EC3D6A3">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21"/>
                <w:szCs w:val="21"/>
                <w:highlight w:val="none"/>
                <w:lang w:val="en-US" w:eastAsia="zh-CN" w:bidi="ar-SA"/>
              </w:rPr>
            </w:pPr>
            <w:r>
              <w:rPr>
                <w:rFonts w:ascii="Times New Roman" w:hAnsi="Times New Roman" w:eastAsia="黑体" w:cs="Times New Roman"/>
                <w:snapToGrid w:val="0"/>
                <w:color w:val="auto"/>
                <w:spacing w:val="-6"/>
                <w:kern w:val="21"/>
                <w:sz w:val="21"/>
                <w:szCs w:val="21"/>
                <w:highlight w:val="none"/>
                <w:lang w:val="en-US" w:eastAsia="zh-CN" w:bidi="ar-SA"/>
              </w:rPr>
              <w:fldChar w:fldCharType="begin"/>
            </w:r>
            <w:r>
              <w:rPr>
                <w:rFonts w:ascii="Times New Roman" w:hAnsi="Times New Roman" w:eastAsia="黑体" w:cs="Times New Roman"/>
                <w:snapToGrid w:val="0"/>
                <w:color w:val="auto"/>
                <w:spacing w:val="-6"/>
                <w:kern w:val="21"/>
                <w:sz w:val="21"/>
                <w:szCs w:val="21"/>
                <w:highlight w:val="none"/>
                <w:lang w:val="en-US" w:eastAsia="zh-CN" w:bidi="ar-SA"/>
              </w:rPr>
              <w:instrText xml:space="preserve"> = 7 \* GB3 \* MERGEFORMAT </w:instrText>
            </w:r>
            <w:r>
              <w:rPr>
                <w:rFonts w:ascii="Times New Roman" w:hAnsi="Times New Roman" w:eastAsia="黑体" w:cs="Times New Roman"/>
                <w:snapToGrid w:val="0"/>
                <w:color w:val="auto"/>
                <w:spacing w:val="-6"/>
                <w:kern w:val="21"/>
                <w:sz w:val="21"/>
                <w:szCs w:val="21"/>
                <w:highlight w:val="none"/>
                <w:lang w:val="en-US" w:eastAsia="zh-CN" w:bidi="ar-SA"/>
              </w:rPr>
              <w:fldChar w:fldCharType="separate"/>
            </w:r>
            <w:r>
              <w:rPr>
                <w:rFonts w:hint="eastAsia" w:ascii="Times New Roman" w:hAnsi="Times New Roman" w:eastAsia="黑体" w:cs="宋体"/>
                <w:color w:val="auto"/>
                <w:kern w:val="2"/>
                <w:sz w:val="21"/>
                <w:szCs w:val="21"/>
                <w:highlight w:val="none"/>
                <w:lang w:val="en-US" w:eastAsia="zh-CN" w:bidi="ar-SA"/>
              </w:rPr>
              <w:t>⑦</w:t>
            </w:r>
            <w:r>
              <w:rPr>
                <w:rFonts w:ascii="Times New Roman" w:hAnsi="Times New Roman" w:eastAsia="黑体" w:cs="Times New Roman"/>
                <w:snapToGrid w:val="0"/>
                <w:color w:val="auto"/>
                <w:spacing w:val="-6"/>
                <w:kern w:val="21"/>
                <w:sz w:val="21"/>
                <w:szCs w:val="21"/>
                <w:highlight w:val="none"/>
                <w:lang w:val="en-US" w:eastAsia="zh-CN" w:bidi="ar-SA"/>
              </w:rPr>
              <w:fldChar w:fldCharType="end"/>
            </w:r>
          </w:p>
        </w:tc>
      </w:tr>
      <w:tr w14:paraId="27602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noWrap w:val="0"/>
            <w:vAlign w:val="center"/>
          </w:tcPr>
          <w:p w14:paraId="5870A804">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21"/>
                <w:szCs w:val="21"/>
                <w:highlight w:val="none"/>
                <w:lang w:val="en-US" w:eastAsia="zh-CN" w:bidi="ar-SA"/>
              </w:rPr>
            </w:pPr>
          </w:p>
        </w:tc>
        <w:tc>
          <w:tcPr>
            <w:tcW w:w="1984" w:type="dxa"/>
            <w:noWrap w:val="0"/>
            <w:vAlign w:val="center"/>
          </w:tcPr>
          <w:p w14:paraId="4C4CE8DE">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Style w:val="26"/>
                <w:rFonts w:hint="default" w:ascii="Times New Roman" w:hAnsi="Times New Roman"/>
                <w:color w:val="auto"/>
                <w:kern w:val="2"/>
                <w:lang w:val="en-US" w:eastAsia="zh-CN" w:bidi="ar"/>
              </w:rPr>
            </w:pPr>
            <w:r>
              <w:rPr>
                <w:rStyle w:val="26"/>
                <w:rFonts w:hint="eastAsia"/>
                <w:color w:val="auto"/>
                <w:kern w:val="2"/>
                <w:lang w:val="en-US" w:eastAsia="zh-CN" w:bidi="ar"/>
              </w:rPr>
              <w:t>颗粒物</w:t>
            </w:r>
            <w:r>
              <w:rPr>
                <w:rStyle w:val="26"/>
                <w:color w:val="auto"/>
                <w:kern w:val="2"/>
                <w:lang w:val="en-US" w:eastAsia="zh-CN" w:bidi="ar"/>
              </w:rPr>
              <w:t>（</w:t>
            </w:r>
            <w:r>
              <w:rPr>
                <w:rFonts w:hint="default" w:ascii="Times New Roman" w:hAnsi="Times New Roman" w:eastAsia="宋体" w:cs="Times New Roman"/>
                <w:color w:val="auto"/>
                <w:kern w:val="2"/>
                <w:sz w:val="21"/>
                <w:szCs w:val="21"/>
                <w:u w:val="none"/>
                <w:lang w:val="en-US" w:eastAsia="zh-CN" w:bidi="ar"/>
              </w:rPr>
              <w:t>t/a</w:t>
            </w:r>
            <w:r>
              <w:rPr>
                <w:rStyle w:val="26"/>
                <w:color w:val="auto"/>
                <w:kern w:val="2"/>
                <w:lang w:val="en-US" w:eastAsia="zh-CN" w:bidi="ar"/>
              </w:rPr>
              <w:t>）</w:t>
            </w:r>
          </w:p>
        </w:tc>
        <w:tc>
          <w:tcPr>
            <w:tcW w:w="1701" w:type="dxa"/>
            <w:noWrap w:val="0"/>
            <w:vAlign w:val="center"/>
          </w:tcPr>
          <w:p w14:paraId="5BD7488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276" w:type="dxa"/>
            <w:noWrap w:val="0"/>
            <w:vAlign w:val="center"/>
          </w:tcPr>
          <w:p w14:paraId="57652CC1">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3489246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559" w:type="dxa"/>
            <w:noWrap w:val="0"/>
            <w:vAlign w:val="center"/>
          </w:tcPr>
          <w:p w14:paraId="11CB853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0.254</w:t>
            </w:r>
          </w:p>
        </w:tc>
        <w:tc>
          <w:tcPr>
            <w:tcW w:w="1761" w:type="dxa"/>
            <w:shd w:val="clear" w:color="auto" w:fill="auto"/>
            <w:noWrap w:val="0"/>
            <w:vAlign w:val="center"/>
          </w:tcPr>
          <w:p w14:paraId="26DD67E0">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616" w:type="dxa"/>
            <w:shd w:val="clear" w:color="auto" w:fill="auto"/>
            <w:noWrap w:val="0"/>
            <w:vAlign w:val="center"/>
          </w:tcPr>
          <w:p w14:paraId="5DE227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0.254</w:t>
            </w:r>
          </w:p>
        </w:tc>
        <w:tc>
          <w:tcPr>
            <w:tcW w:w="1169" w:type="dxa"/>
            <w:shd w:val="clear" w:color="auto" w:fill="auto"/>
            <w:noWrap w:val="0"/>
            <w:vAlign w:val="center"/>
          </w:tcPr>
          <w:p w14:paraId="7A57DA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lang w:val="en-US" w:eastAsia="zh-CN"/>
              </w:rPr>
              <w:t>+</w:t>
            </w:r>
            <w:r>
              <w:rPr>
                <w:rFonts w:hint="eastAsia" w:cs="Times New Roman"/>
                <w:i w:val="0"/>
                <w:iCs w:val="0"/>
                <w:color w:val="auto"/>
                <w:kern w:val="0"/>
                <w:sz w:val="21"/>
                <w:szCs w:val="21"/>
                <w:u w:val="none"/>
                <w:lang w:val="en-US" w:eastAsia="zh-CN" w:bidi="ar"/>
              </w:rPr>
              <w:t>0.254</w:t>
            </w:r>
          </w:p>
        </w:tc>
      </w:tr>
      <w:tr w14:paraId="100D73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restart"/>
            <w:noWrap w:val="0"/>
            <w:vAlign w:val="center"/>
          </w:tcPr>
          <w:p w14:paraId="31522A43">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废水</w:t>
            </w:r>
          </w:p>
        </w:tc>
        <w:tc>
          <w:tcPr>
            <w:tcW w:w="1984" w:type="dxa"/>
            <w:noWrap w:val="0"/>
            <w:vAlign w:val="center"/>
          </w:tcPr>
          <w:p w14:paraId="4B5838AA">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宋体"/>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COD</w:t>
            </w:r>
            <w:r>
              <w:rPr>
                <w:rStyle w:val="26"/>
                <w:color w:val="auto"/>
                <w:kern w:val="2"/>
                <w:lang w:val="en-US" w:eastAsia="zh-CN" w:bidi="ar"/>
              </w:rPr>
              <w:t>（</w:t>
            </w:r>
            <w:r>
              <w:rPr>
                <w:rFonts w:hint="default" w:ascii="Times New Roman" w:hAnsi="Times New Roman" w:eastAsia="宋体" w:cs="Times New Roman"/>
                <w:color w:val="auto"/>
                <w:kern w:val="2"/>
                <w:sz w:val="21"/>
                <w:szCs w:val="21"/>
                <w:u w:val="none"/>
                <w:lang w:val="en-US" w:eastAsia="zh-CN" w:bidi="ar"/>
              </w:rPr>
              <w:t>t/a</w:t>
            </w:r>
            <w:r>
              <w:rPr>
                <w:rStyle w:val="26"/>
                <w:color w:val="auto"/>
                <w:kern w:val="2"/>
                <w:lang w:val="en-US" w:eastAsia="zh-CN" w:bidi="ar"/>
              </w:rPr>
              <w:t>）</w:t>
            </w:r>
          </w:p>
        </w:tc>
        <w:tc>
          <w:tcPr>
            <w:tcW w:w="1701" w:type="dxa"/>
            <w:noWrap w:val="0"/>
            <w:vAlign w:val="center"/>
          </w:tcPr>
          <w:p w14:paraId="52193771">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276" w:type="dxa"/>
            <w:noWrap w:val="0"/>
            <w:vAlign w:val="center"/>
          </w:tcPr>
          <w:p w14:paraId="39534567">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1025E3C9">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286D032B">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0.192</w:t>
            </w:r>
          </w:p>
        </w:tc>
        <w:tc>
          <w:tcPr>
            <w:tcW w:w="1761" w:type="dxa"/>
            <w:noWrap w:val="0"/>
            <w:vAlign w:val="center"/>
          </w:tcPr>
          <w:p w14:paraId="66E2F3F1">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616" w:type="dxa"/>
            <w:noWrap w:val="0"/>
            <w:vAlign w:val="center"/>
          </w:tcPr>
          <w:p w14:paraId="59DFA41D">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0.192</w:t>
            </w:r>
          </w:p>
        </w:tc>
        <w:tc>
          <w:tcPr>
            <w:tcW w:w="1169" w:type="dxa"/>
            <w:noWrap w:val="0"/>
            <w:vAlign w:val="center"/>
          </w:tcPr>
          <w:p w14:paraId="749F4AD5">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color w:val="auto"/>
                <w:kern w:val="2"/>
                <w:sz w:val="21"/>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0.192</w:t>
            </w:r>
          </w:p>
        </w:tc>
      </w:tr>
      <w:tr w14:paraId="171E2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14:paraId="37DEA830">
            <w:pPr>
              <w:widowControl w:val="0"/>
              <w:overflowPunct w:val="0"/>
              <w:autoSpaceDE w:val="0"/>
              <w:autoSpaceDN w:val="0"/>
              <w:adjustRightInd w:val="0"/>
              <w:snapToGrid w:val="0"/>
              <w:spacing w:before="0" w:beforeLines="0" w:after="0" w:afterLines="0" w:line="240" w:lineRule="auto"/>
              <w:ind w:left="0" w:right="0" w:firstLine="420" w:firstLineChars="200"/>
              <w:jc w:val="center"/>
              <w:rPr>
                <w:rFonts w:hint="eastAsia" w:ascii="Times New Roman" w:hAnsi="Times New Roman" w:eastAsia="宋体" w:cs="宋体"/>
                <w:snapToGrid w:val="0"/>
                <w:color w:val="auto"/>
                <w:kern w:val="21"/>
                <w:sz w:val="21"/>
                <w:szCs w:val="21"/>
                <w:highlight w:val="none"/>
                <w:lang w:val="en-US" w:eastAsia="zh-CN" w:bidi="ar-SA"/>
              </w:rPr>
            </w:pPr>
          </w:p>
        </w:tc>
        <w:tc>
          <w:tcPr>
            <w:tcW w:w="1984" w:type="dxa"/>
            <w:noWrap w:val="0"/>
            <w:vAlign w:val="center"/>
          </w:tcPr>
          <w:p w14:paraId="7A60E2A6">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宋体"/>
                <w:snapToGrid w:val="0"/>
                <w:color w:val="auto"/>
                <w:kern w:val="21"/>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氨氮（</w:t>
            </w:r>
            <w:r>
              <w:rPr>
                <w:rFonts w:hint="default" w:ascii="Times New Roman" w:hAnsi="Times New Roman" w:eastAsia="宋体" w:cs="Times New Roman"/>
                <w:color w:val="auto"/>
                <w:kern w:val="2"/>
                <w:sz w:val="21"/>
                <w:szCs w:val="21"/>
                <w:u w:val="none"/>
                <w:lang w:val="en-US" w:eastAsia="zh-CN" w:bidi="ar"/>
              </w:rPr>
              <w:t>t/a</w:t>
            </w:r>
            <w:r>
              <w:rPr>
                <w:rStyle w:val="26"/>
                <w:color w:val="auto"/>
                <w:kern w:val="2"/>
                <w:lang w:val="en-US" w:eastAsia="zh-CN" w:bidi="ar"/>
              </w:rPr>
              <w:t>）</w:t>
            </w:r>
          </w:p>
        </w:tc>
        <w:tc>
          <w:tcPr>
            <w:tcW w:w="1701" w:type="dxa"/>
            <w:noWrap w:val="0"/>
            <w:vAlign w:val="center"/>
          </w:tcPr>
          <w:p w14:paraId="0B35D966">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276" w:type="dxa"/>
            <w:noWrap w:val="0"/>
            <w:vAlign w:val="center"/>
          </w:tcPr>
          <w:p w14:paraId="4D15121E">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39DE19D5">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559" w:type="dxa"/>
            <w:noWrap w:val="0"/>
            <w:vAlign w:val="center"/>
          </w:tcPr>
          <w:p w14:paraId="62EE763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0.01152</w:t>
            </w:r>
          </w:p>
        </w:tc>
        <w:tc>
          <w:tcPr>
            <w:tcW w:w="1761" w:type="dxa"/>
            <w:noWrap w:val="0"/>
            <w:vAlign w:val="center"/>
          </w:tcPr>
          <w:p w14:paraId="6F4CB692">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616" w:type="dxa"/>
            <w:noWrap w:val="0"/>
            <w:vAlign w:val="center"/>
          </w:tcPr>
          <w:p w14:paraId="6027C6F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0.01152</w:t>
            </w:r>
          </w:p>
        </w:tc>
        <w:tc>
          <w:tcPr>
            <w:tcW w:w="1169" w:type="dxa"/>
            <w:noWrap w:val="0"/>
            <w:vAlign w:val="center"/>
          </w:tcPr>
          <w:p w14:paraId="47E22A12">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color w:val="auto"/>
                <w:kern w:val="2"/>
                <w:sz w:val="21"/>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0.01152</w:t>
            </w:r>
          </w:p>
        </w:tc>
      </w:tr>
      <w:tr w14:paraId="70A29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1" w:type="dxa"/>
            <w:vMerge w:val="continue"/>
            <w:noWrap w:val="0"/>
            <w:vAlign w:val="center"/>
          </w:tcPr>
          <w:p w14:paraId="23DFE09C">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21"/>
                <w:szCs w:val="21"/>
                <w:highlight w:val="none"/>
                <w:lang w:val="en-US" w:eastAsia="zh-CN" w:bidi="ar-SA"/>
              </w:rPr>
            </w:pPr>
          </w:p>
        </w:tc>
        <w:tc>
          <w:tcPr>
            <w:tcW w:w="1984" w:type="dxa"/>
            <w:noWrap w:val="0"/>
            <w:vAlign w:val="center"/>
          </w:tcPr>
          <w:p w14:paraId="220367C2">
            <w:pPr>
              <w:pStyle w:val="23"/>
              <w:bidi w:val="0"/>
              <w:rPr>
                <w:rFonts w:hint="eastAsia" w:cs="宋体"/>
                <w:snapToGrid w:val="0"/>
                <w:color w:val="auto"/>
                <w:kern w:val="21"/>
                <w:sz w:val="21"/>
                <w:szCs w:val="21"/>
                <w:highlight w:val="none"/>
                <w:lang w:val="en-US" w:eastAsia="zh-CN"/>
              </w:rPr>
            </w:pPr>
            <w:r>
              <w:rPr>
                <w:rFonts w:hint="eastAsia"/>
                <w:color w:val="auto"/>
                <w:lang w:val="en-US" w:eastAsia="zh-CN"/>
              </w:rPr>
              <w:t>废包装袋</w:t>
            </w:r>
            <w:r>
              <w:rPr>
                <w:rFonts w:hint="eastAsia" w:ascii="Times New Roman" w:hAnsi="Times New Roman" w:eastAsia="宋体" w:cs="宋体"/>
                <w:snapToGrid w:val="0"/>
                <w:color w:val="auto"/>
                <w:kern w:val="21"/>
                <w:sz w:val="21"/>
                <w:szCs w:val="21"/>
                <w:highlight w:val="none"/>
                <w:lang w:val="en-US" w:eastAsia="zh-CN" w:bidi="ar-SA"/>
              </w:rPr>
              <w:t>（t/a）</w:t>
            </w:r>
          </w:p>
        </w:tc>
        <w:tc>
          <w:tcPr>
            <w:tcW w:w="1701" w:type="dxa"/>
            <w:noWrap w:val="0"/>
            <w:vAlign w:val="center"/>
          </w:tcPr>
          <w:p w14:paraId="5CAA650D">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276" w:type="dxa"/>
            <w:noWrap w:val="0"/>
            <w:vAlign w:val="center"/>
          </w:tcPr>
          <w:p w14:paraId="58FA83A8">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66954700">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0FDEFBE6">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w:t>
            </w:r>
          </w:p>
        </w:tc>
        <w:tc>
          <w:tcPr>
            <w:tcW w:w="1761" w:type="dxa"/>
            <w:noWrap w:val="0"/>
            <w:vAlign w:val="center"/>
          </w:tcPr>
          <w:p w14:paraId="4ACB966C">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616" w:type="dxa"/>
            <w:noWrap w:val="0"/>
            <w:vAlign w:val="center"/>
          </w:tcPr>
          <w:p w14:paraId="2D0058FC">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w:t>
            </w:r>
          </w:p>
        </w:tc>
        <w:tc>
          <w:tcPr>
            <w:tcW w:w="1169" w:type="dxa"/>
            <w:noWrap w:val="0"/>
            <w:vAlign w:val="center"/>
          </w:tcPr>
          <w:p w14:paraId="109D1BF2">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lang w:val="en-US" w:eastAsia="zh-CN"/>
              </w:rPr>
              <w:t>+</w:t>
            </w:r>
            <w:r>
              <w:rPr>
                <w:rFonts w:hint="eastAsia" w:cs="Times New Roman"/>
                <w:color w:val="auto"/>
                <w:kern w:val="0"/>
                <w:sz w:val="21"/>
                <w:szCs w:val="21"/>
                <w:highlight w:val="none"/>
                <w:lang w:val="en-US" w:eastAsia="zh-CN" w:bidi="ar"/>
              </w:rPr>
              <w:t>2</w:t>
            </w:r>
          </w:p>
        </w:tc>
      </w:tr>
      <w:tr w14:paraId="3B9EB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1" w:type="dxa"/>
            <w:vMerge w:val="continue"/>
            <w:noWrap w:val="0"/>
            <w:vAlign w:val="center"/>
          </w:tcPr>
          <w:p w14:paraId="757C8020">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21"/>
                <w:szCs w:val="21"/>
                <w:highlight w:val="none"/>
                <w:lang w:val="en-US" w:eastAsia="zh-CN" w:bidi="ar-SA"/>
              </w:rPr>
            </w:pPr>
          </w:p>
        </w:tc>
        <w:tc>
          <w:tcPr>
            <w:tcW w:w="1984" w:type="dxa"/>
            <w:noWrap w:val="0"/>
            <w:vAlign w:val="center"/>
          </w:tcPr>
          <w:p w14:paraId="22F55B4B">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废机油（t/a）</w:t>
            </w:r>
          </w:p>
        </w:tc>
        <w:tc>
          <w:tcPr>
            <w:tcW w:w="1701" w:type="dxa"/>
            <w:noWrap w:val="0"/>
            <w:vAlign w:val="center"/>
          </w:tcPr>
          <w:p w14:paraId="341C4D7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w:t>
            </w:r>
          </w:p>
        </w:tc>
        <w:tc>
          <w:tcPr>
            <w:tcW w:w="1276" w:type="dxa"/>
            <w:noWrap w:val="0"/>
            <w:vAlign w:val="center"/>
          </w:tcPr>
          <w:p w14:paraId="31AE5C39">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5B515EA0">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w:t>
            </w:r>
          </w:p>
        </w:tc>
        <w:tc>
          <w:tcPr>
            <w:tcW w:w="1559" w:type="dxa"/>
            <w:noWrap w:val="0"/>
            <w:vAlign w:val="center"/>
          </w:tcPr>
          <w:p w14:paraId="677F5116">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1761" w:type="dxa"/>
            <w:noWrap w:val="0"/>
            <w:vAlign w:val="center"/>
          </w:tcPr>
          <w:p w14:paraId="23C9EAF0">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p>
        </w:tc>
        <w:tc>
          <w:tcPr>
            <w:tcW w:w="1616" w:type="dxa"/>
            <w:noWrap w:val="0"/>
            <w:vAlign w:val="center"/>
          </w:tcPr>
          <w:p w14:paraId="5E33828B">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1169" w:type="dxa"/>
            <w:noWrap w:val="0"/>
            <w:vAlign w:val="center"/>
          </w:tcPr>
          <w:p w14:paraId="2075797D">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rPr>
              <w:t>+</w:t>
            </w:r>
            <w:r>
              <w:rPr>
                <w:rFonts w:hint="eastAsia" w:cs="Times New Roman"/>
                <w:color w:val="auto"/>
                <w:kern w:val="2"/>
                <w:sz w:val="21"/>
                <w:szCs w:val="21"/>
                <w:lang w:val="en-US" w:eastAsia="zh-CN" w:bidi="ar-SA"/>
              </w:rPr>
              <w:t>0.1</w:t>
            </w:r>
          </w:p>
        </w:tc>
      </w:tr>
    </w:tbl>
    <w:p w14:paraId="6B0A1BDC">
      <w:pPr>
        <w:widowControl w:val="0"/>
        <w:spacing w:line="360" w:lineRule="exact"/>
        <w:jc w:val="center"/>
        <w:rPr>
          <w:rFonts w:hint="eastAsia" w:ascii="Times New Roman" w:hAnsi="Times New Roman" w:eastAsia="宋体" w:cs="宋体"/>
          <w:snapToGrid w:val="0"/>
          <w:color w:val="auto"/>
          <w:sz w:val="24"/>
          <w:szCs w:val="22"/>
          <w:lang w:val="en-US" w:eastAsia="zh-CN" w:bidi="ar-SA"/>
        </w:rPr>
      </w:pPr>
    </w:p>
    <w:p w14:paraId="67B5EB97">
      <w:pPr>
        <w:widowControl w:val="0"/>
        <w:autoSpaceDE w:val="0"/>
        <w:autoSpaceDN w:val="0"/>
        <w:adjustRightInd w:val="0"/>
        <w:spacing w:line="320" w:lineRule="exact"/>
        <w:jc w:val="both"/>
        <w:rPr>
          <w:rFonts w:ascii="宋体" w:hAnsi="Times New Roman" w:eastAsia="宋体" w:cs="宋体"/>
          <w:color w:val="auto"/>
          <w:kern w:val="2"/>
          <w:sz w:val="24"/>
          <w:szCs w:val="24"/>
          <w:lang w:val="en-US" w:eastAsia="zh-CN" w:bidi="ar-SA"/>
        </w:rPr>
      </w:pPr>
    </w:p>
    <w:p w14:paraId="42B0F9DB">
      <w:pPr>
        <w:rPr>
          <w:color w:val="auto"/>
        </w:rPr>
        <w:sectPr>
          <w:headerReference r:id="rId10" w:type="default"/>
          <w:footerReference r:id="rId11"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FE67249">
      <w:pPr>
        <w:spacing w:line="255" w:lineRule="auto"/>
        <w:rPr>
          <w:rFonts w:ascii="Arial"/>
          <w:sz w:val="21"/>
        </w:rPr>
      </w:pPr>
    </w:p>
    <w:p w14:paraId="193DF221">
      <w:pPr>
        <w:spacing w:line="256" w:lineRule="auto"/>
        <w:rPr>
          <w:rFonts w:ascii="Arial"/>
          <w:sz w:val="21"/>
        </w:rPr>
      </w:pPr>
    </w:p>
    <w:p w14:paraId="694C51E4">
      <w:pPr>
        <w:spacing w:line="256" w:lineRule="auto"/>
        <w:rPr>
          <w:rFonts w:ascii="Arial"/>
          <w:sz w:val="21"/>
        </w:rPr>
      </w:pPr>
    </w:p>
    <w:p w14:paraId="34F5CB0A">
      <w:pPr>
        <w:spacing w:line="256" w:lineRule="auto"/>
        <w:rPr>
          <w:rFonts w:ascii="Arial"/>
          <w:sz w:val="21"/>
        </w:rPr>
      </w:pPr>
    </w:p>
    <w:p w14:paraId="1D653352">
      <w:pPr>
        <w:spacing w:line="256" w:lineRule="auto"/>
        <w:rPr>
          <w:rFonts w:ascii="Arial"/>
          <w:sz w:val="21"/>
        </w:rPr>
      </w:pPr>
    </w:p>
    <w:p w14:paraId="3FEA13BA">
      <w:pPr>
        <w:spacing w:line="256" w:lineRule="auto"/>
        <w:rPr>
          <w:rFonts w:ascii="Arial"/>
          <w:sz w:val="21"/>
        </w:rPr>
      </w:pPr>
    </w:p>
    <w:p w14:paraId="5E6F926C">
      <w:pPr>
        <w:spacing w:line="10992" w:lineRule="exact"/>
        <w:ind w:firstLine="640"/>
      </w:pPr>
      <w:r>
        <mc:AlternateContent>
          <mc:Choice Requires="wps">
            <w:drawing>
              <wp:anchor distT="0" distB="0" distL="0" distR="0" simplePos="0" relativeHeight="251670528" behindDoc="0" locked="0" layoutInCell="1" allowOverlap="1">
                <wp:simplePos x="0" y="0"/>
                <wp:positionH relativeFrom="column">
                  <wp:posOffset>-467995</wp:posOffset>
                </wp:positionH>
                <wp:positionV relativeFrom="paragraph">
                  <wp:posOffset>3360420</wp:posOffset>
                </wp:positionV>
                <wp:extent cx="1520825" cy="208280"/>
                <wp:effectExtent l="656590" t="0" r="0" b="0"/>
                <wp:wrapNone/>
                <wp:docPr id="3" name="TextBox 2"/>
                <wp:cNvGraphicFramePr/>
                <a:graphic xmlns:a="http://schemas.openxmlformats.org/drawingml/2006/main">
                  <a:graphicData uri="http://schemas.microsoft.com/office/word/2010/wordprocessingShape">
                    <wps:wsp>
                      <wps:cNvSpPr txBox="1"/>
                      <wps:spPr>
                        <a:xfrm rot="5400000">
                          <a:off x="-468323" y="3361004"/>
                          <a:ext cx="1520825"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D28D33">
                            <w:pPr>
                              <w:spacing w:before="59" w:line="229" w:lineRule="auto"/>
                              <w:jc w:val="right"/>
                              <w:outlineLvl w:val="0"/>
                              <w:rPr>
                                <w:rFonts w:ascii="宋体" w:hAnsi="宋体" w:eastAsia="宋体" w:cs="宋体"/>
                                <w:sz w:val="20"/>
                                <w:szCs w:val="20"/>
                              </w:rPr>
                            </w:pPr>
                            <w:r>
                              <w:rPr>
                                <w:rFonts w:ascii="宋体" w:hAnsi="宋体" w:eastAsia="宋体" w:cs="宋体"/>
                                <w:b/>
                                <w:bCs/>
                                <w:spacing w:val="3"/>
                                <w:sz w:val="20"/>
                                <w:szCs w:val="20"/>
                              </w:rPr>
                              <w:t>图</w:t>
                            </w:r>
                            <w:r>
                              <w:rPr>
                                <w:rFonts w:ascii="宋体" w:hAnsi="宋体" w:eastAsia="宋体" w:cs="宋体"/>
                                <w:spacing w:val="-34"/>
                                <w:sz w:val="20"/>
                                <w:szCs w:val="20"/>
                              </w:rPr>
                              <w:t xml:space="preserve"> </w:t>
                            </w:r>
                            <w:r>
                              <w:rPr>
                                <w:rFonts w:ascii="Times New Roman" w:hAnsi="Times New Roman" w:eastAsia="Times New Roman" w:cs="Times New Roman"/>
                                <w:b/>
                                <w:bCs/>
                                <w:spacing w:val="3"/>
                                <w:sz w:val="20"/>
                                <w:szCs w:val="20"/>
                              </w:rPr>
                              <w:t>1.1-1</w:t>
                            </w:r>
                            <w:r>
                              <w:rPr>
                                <w:rFonts w:ascii="Times New Roman" w:hAnsi="Times New Roman" w:eastAsia="Times New Roman" w:cs="Times New Roman"/>
                                <w:b/>
                                <w:bCs/>
                                <w:spacing w:val="8"/>
                                <w:sz w:val="20"/>
                                <w:szCs w:val="20"/>
                              </w:rPr>
                              <w:t xml:space="preserve">    </w:t>
                            </w:r>
                            <w:r>
                              <w:rPr>
                                <w:rFonts w:ascii="宋体" w:hAnsi="宋体" w:eastAsia="宋体" w:cs="宋体"/>
                                <w:b/>
                                <w:bCs/>
                                <w:spacing w:val="3"/>
                                <w:sz w:val="20"/>
                                <w:szCs w:val="20"/>
                              </w:rPr>
                              <w:t>园区功能区划图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 o:spid="_x0000_s1026" o:spt="202" type="#_x0000_t202" style="position:absolute;left:0pt;margin-left:-36.85pt;margin-top:264.6pt;height:16.4pt;width:119.75pt;rotation:5898240f;z-index:251670528;mso-width-relative:page;mso-height-relative:page;" filled="f" stroked="f" coordsize="21600,21600" o:gfxdata="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IDbOJ2QAAAAsBAAAPAAAA&#10;AAAAAAEAIAAAACIAAABkcnMvZG93bnJldi54bWxQSwECFAAUAAAACACHTuJAVTRDJ00CAAChBAAA&#10;DgAAAAAAAAABACAAAAAoAQAAZHJzL2Uyb0RvYy54bWxQSwUGAAAAAAYABgBZAQAA5wUAAAAA&#10;">
                <v:fill on="f" focussize="0,0"/>
                <v:stroke on="f" weight="0pt" miterlimit="0" joinstyle="miter"/>
                <v:imagedata o:title=""/>
                <o:lock v:ext="edit" aspectratio="f"/>
                <v:textbox inset="0mm,0mm,0mm,0mm">
                  <w:txbxContent>
                    <w:p w14:paraId="73D28D33">
                      <w:pPr>
                        <w:spacing w:before="59" w:line="229" w:lineRule="auto"/>
                        <w:jc w:val="right"/>
                        <w:outlineLvl w:val="0"/>
                        <w:rPr>
                          <w:rFonts w:ascii="宋体" w:hAnsi="宋体" w:eastAsia="宋体" w:cs="宋体"/>
                          <w:sz w:val="20"/>
                          <w:szCs w:val="20"/>
                        </w:rPr>
                      </w:pPr>
                      <w:r>
                        <w:rPr>
                          <w:rFonts w:ascii="宋体" w:hAnsi="宋体" w:eastAsia="宋体" w:cs="宋体"/>
                          <w:b/>
                          <w:bCs/>
                          <w:spacing w:val="3"/>
                          <w:sz w:val="20"/>
                          <w:szCs w:val="20"/>
                        </w:rPr>
                        <w:t>图</w:t>
                      </w:r>
                      <w:r>
                        <w:rPr>
                          <w:rFonts w:ascii="宋体" w:hAnsi="宋体" w:eastAsia="宋体" w:cs="宋体"/>
                          <w:spacing w:val="-34"/>
                          <w:sz w:val="20"/>
                          <w:szCs w:val="20"/>
                        </w:rPr>
                        <w:t xml:space="preserve"> </w:t>
                      </w:r>
                      <w:r>
                        <w:rPr>
                          <w:rFonts w:ascii="Times New Roman" w:hAnsi="Times New Roman" w:eastAsia="Times New Roman" w:cs="Times New Roman"/>
                          <w:b/>
                          <w:bCs/>
                          <w:spacing w:val="3"/>
                          <w:sz w:val="20"/>
                          <w:szCs w:val="20"/>
                        </w:rPr>
                        <w:t>1.1-1</w:t>
                      </w:r>
                      <w:r>
                        <w:rPr>
                          <w:rFonts w:ascii="Times New Roman" w:hAnsi="Times New Roman" w:eastAsia="Times New Roman" w:cs="Times New Roman"/>
                          <w:b/>
                          <w:bCs/>
                          <w:spacing w:val="8"/>
                          <w:sz w:val="20"/>
                          <w:szCs w:val="20"/>
                        </w:rPr>
                        <w:t xml:space="preserve">    </w:t>
                      </w:r>
                      <w:r>
                        <w:rPr>
                          <w:rFonts w:ascii="宋体" w:hAnsi="宋体" w:eastAsia="宋体" w:cs="宋体"/>
                          <w:b/>
                          <w:bCs/>
                          <w:spacing w:val="3"/>
                          <w:sz w:val="20"/>
                          <w:szCs w:val="20"/>
                        </w:rPr>
                        <w:t>园区功能区划图</w:t>
                      </w:r>
                    </w:p>
                  </w:txbxContent>
                </v:textbox>
              </v:shape>
            </w:pict>
          </mc:Fallback>
        </mc:AlternateContent>
      </w:r>
      <w:r>
        <mc:AlternateContent>
          <mc:Choice Requires="wps">
            <w:drawing>
              <wp:anchor distT="0" distB="0" distL="0" distR="0" simplePos="0" relativeHeight="251672576" behindDoc="0" locked="0" layoutInCell="1" allowOverlap="1">
                <wp:simplePos x="0" y="0"/>
                <wp:positionH relativeFrom="column">
                  <wp:posOffset>2046605</wp:posOffset>
                </wp:positionH>
                <wp:positionV relativeFrom="paragraph">
                  <wp:posOffset>4420235</wp:posOffset>
                </wp:positionV>
                <wp:extent cx="629285" cy="236855"/>
                <wp:effectExtent l="196215" t="0" r="0" b="0"/>
                <wp:wrapNone/>
                <wp:docPr id="4" name="TextBox 4"/>
                <wp:cNvGraphicFramePr/>
                <a:graphic xmlns:a="http://schemas.openxmlformats.org/drawingml/2006/main">
                  <a:graphicData uri="http://schemas.microsoft.com/office/word/2010/wordprocessingShape">
                    <wps:wsp>
                      <wps:cNvSpPr txBox="1"/>
                      <wps:spPr>
                        <a:xfrm rot="5400000">
                          <a:off x="2046684" y="4420508"/>
                          <a:ext cx="629284"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C98F4DF">
                            <w:pPr>
                              <w:spacing w:before="66" w:line="220" w:lineRule="auto"/>
                              <w:jc w:val="right"/>
                              <w:outlineLvl w:val="0"/>
                              <w:rPr>
                                <w:rFonts w:ascii="宋体" w:hAnsi="宋体" w:eastAsia="宋体" w:cs="宋体"/>
                                <w:sz w:val="24"/>
                                <w:szCs w:val="24"/>
                              </w:rPr>
                            </w:pPr>
                            <w:r>
                              <w:rPr>
                                <w:rFonts w:ascii="宋体" w:hAnsi="宋体" w:eastAsia="宋体" w:cs="宋体"/>
                                <w:b/>
                                <w:bCs/>
                                <w:color w:val="FF0000"/>
                                <w:spacing w:val="-19"/>
                                <w:sz w:val="24"/>
                                <w:szCs w:val="24"/>
                              </w:rPr>
                              <w:t>建设项</w:t>
                            </w:r>
                            <w:r>
                              <w:rPr>
                                <w:rFonts w:ascii="宋体" w:hAnsi="宋体" w:eastAsia="宋体" w:cs="宋体"/>
                                <w:color w:val="FF0000"/>
                                <w:spacing w:val="-65"/>
                                <w:sz w:val="24"/>
                                <w:szCs w:val="24"/>
                              </w:rPr>
                              <w:t xml:space="preserve"> </w:t>
                            </w:r>
                            <w:r>
                              <w:rPr>
                                <w:rFonts w:ascii="宋体" w:hAnsi="宋体" w:eastAsia="宋体" w:cs="宋体"/>
                                <w:b/>
                                <w:bCs/>
                                <w:color w:val="FF0000"/>
                                <w:spacing w:val="-19"/>
                                <w:sz w:val="24"/>
                                <w:szCs w:val="24"/>
                              </w:rPr>
                              <w:t>目</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161.15pt;margin-top:348.05pt;height:18.65pt;width:49.55pt;rotation:5898240f;z-index:251672576;mso-width-relative:page;mso-height-relative:page;" filled="f" stroked="f" coordsize="21600,21600" o:gfxdata="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cbLQP2QAAAAsBAAAPAAAA&#10;AAAAAAEAIAAAACIAAABkcnMvZG93bnJldi54bWxQSwECFAAUAAAACACHTuJA1lnPsU0CAACgBAAA&#10;DgAAAAAAAAABACAAAAAoAQAAZHJzL2Uyb0RvYy54bWxQSwUGAAAAAAYABgBZAQAA5wUAAAAA&#10;">
                <v:fill on="f" focussize="0,0"/>
                <v:stroke on="f" weight="0pt" miterlimit="0" joinstyle="miter"/>
                <v:imagedata o:title=""/>
                <o:lock v:ext="edit" aspectratio="f"/>
                <v:textbox inset="0mm,0mm,0mm,0mm">
                  <w:txbxContent>
                    <w:p w14:paraId="3C98F4DF">
                      <w:pPr>
                        <w:spacing w:before="66" w:line="220" w:lineRule="auto"/>
                        <w:jc w:val="right"/>
                        <w:outlineLvl w:val="0"/>
                        <w:rPr>
                          <w:rFonts w:ascii="宋体" w:hAnsi="宋体" w:eastAsia="宋体" w:cs="宋体"/>
                          <w:sz w:val="24"/>
                          <w:szCs w:val="24"/>
                        </w:rPr>
                      </w:pPr>
                      <w:r>
                        <w:rPr>
                          <w:rFonts w:ascii="宋体" w:hAnsi="宋体" w:eastAsia="宋体" w:cs="宋体"/>
                          <w:b/>
                          <w:bCs/>
                          <w:color w:val="FF0000"/>
                          <w:spacing w:val="-19"/>
                          <w:sz w:val="24"/>
                          <w:szCs w:val="24"/>
                        </w:rPr>
                        <w:t>建设项</w:t>
                      </w:r>
                      <w:r>
                        <w:rPr>
                          <w:rFonts w:ascii="宋体" w:hAnsi="宋体" w:eastAsia="宋体" w:cs="宋体"/>
                          <w:color w:val="FF0000"/>
                          <w:spacing w:val="-65"/>
                          <w:sz w:val="24"/>
                          <w:szCs w:val="24"/>
                        </w:rPr>
                        <w:t xml:space="preserve"> </w:t>
                      </w:r>
                      <w:r>
                        <w:rPr>
                          <w:rFonts w:ascii="宋体" w:hAnsi="宋体" w:eastAsia="宋体" w:cs="宋体"/>
                          <w:b/>
                          <w:bCs/>
                          <w:color w:val="FF0000"/>
                          <w:spacing w:val="-19"/>
                          <w:sz w:val="24"/>
                          <w:szCs w:val="24"/>
                        </w:rPr>
                        <w:t>目</w:t>
                      </w:r>
                    </w:p>
                  </w:txbxContent>
                </v:textbox>
              </v:shape>
            </w:pict>
          </mc:Fallback>
        </mc:AlternateContent>
      </w:r>
      <w:r>
        <w:drawing>
          <wp:anchor distT="0" distB="0" distL="0" distR="0" simplePos="0" relativeHeight="251671552" behindDoc="0" locked="0" layoutInCell="1" allowOverlap="1">
            <wp:simplePos x="0" y="0"/>
            <wp:positionH relativeFrom="column">
              <wp:posOffset>3980180</wp:posOffset>
            </wp:positionH>
            <wp:positionV relativeFrom="paragraph">
              <wp:posOffset>4732020</wp:posOffset>
            </wp:positionV>
            <wp:extent cx="786130" cy="626110"/>
            <wp:effectExtent l="0" t="0" r="4445" b="254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2"/>
                    <a:stretch>
                      <a:fillRect/>
                    </a:stretch>
                  </pic:blipFill>
                  <pic:spPr>
                    <a:xfrm>
                      <a:off x="0" y="0"/>
                      <a:ext cx="786384" cy="626364"/>
                    </a:xfrm>
                    <a:prstGeom prst="rect">
                      <a:avLst/>
                    </a:prstGeom>
                  </pic:spPr>
                </pic:pic>
              </a:graphicData>
            </a:graphic>
          </wp:anchor>
        </w:drawing>
      </w:r>
      <w:r>
        <w:rPr>
          <w:position w:val="-219"/>
        </w:rPr>
        <w:drawing>
          <wp:inline distT="0" distB="0" distL="0" distR="0">
            <wp:extent cx="4923790" cy="6979285"/>
            <wp:effectExtent l="0" t="0" r="635" b="2540"/>
            <wp:docPr id="17" name="IM 8"/>
            <wp:cNvGraphicFramePr/>
            <a:graphic xmlns:a="http://schemas.openxmlformats.org/drawingml/2006/main">
              <a:graphicData uri="http://schemas.openxmlformats.org/drawingml/2006/picture">
                <pic:pic xmlns:pic="http://schemas.openxmlformats.org/drawingml/2006/picture">
                  <pic:nvPicPr>
                    <pic:cNvPr id="17" name="IM 8"/>
                    <pic:cNvPicPr/>
                  </pic:nvPicPr>
                  <pic:blipFill>
                    <a:blip r:embed="rId43"/>
                    <a:stretch>
                      <a:fillRect/>
                    </a:stretch>
                  </pic:blipFill>
                  <pic:spPr>
                    <a:xfrm>
                      <a:off x="0" y="0"/>
                      <a:ext cx="4924044" cy="6979919"/>
                    </a:xfrm>
                    <a:prstGeom prst="rect">
                      <a:avLst/>
                    </a:prstGeom>
                  </pic:spPr>
                </pic:pic>
              </a:graphicData>
            </a:graphic>
          </wp:inline>
        </w:drawing>
      </w:r>
    </w:p>
    <w:p w14:paraId="3D0D643C">
      <w:pPr>
        <w:spacing w:line="10992" w:lineRule="exact"/>
        <w:sectPr>
          <w:pgSz w:w="11906" w:h="16839"/>
          <w:pgMar w:top="1431" w:right="1725" w:bottom="0" w:left="1785" w:header="0" w:footer="0" w:gutter="0"/>
          <w:cols w:space="720" w:num="1"/>
        </w:sectPr>
      </w:pPr>
    </w:p>
    <w:p w14:paraId="61A406D2">
      <w:pPr>
        <w:pStyle w:val="7"/>
        <w:spacing w:line="241" w:lineRule="auto"/>
      </w:pPr>
    </w:p>
    <w:p w14:paraId="2F36FE6C">
      <w:pPr>
        <w:pStyle w:val="7"/>
        <w:spacing w:line="241" w:lineRule="auto"/>
      </w:pPr>
    </w:p>
    <w:p w14:paraId="765EC051">
      <w:pPr>
        <w:pStyle w:val="7"/>
        <w:spacing w:line="241" w:lineRule="auto"/>
      </w:pPr>
    </w:p>
    <w:p w14:paraId="088ABF95">
      <w:pPr>
        <w:pStyle w:val="7"/>
        <w:spacing w:line="241" w:lineRule="auto"/>
      </w:pPr>
    </w:p>
    <w:p w14:paraId="4F84F699">
      <w:pPr>
        <w:pStyle w:val="7"/>
        <w:spacing w:line="241" w:lineRule="auto"/>
      </w:pPr>
    </w:p>
    <w:p w14:paraId="2F0434A2">
      <w:pPr>
        <w:pStyle w:val="7"/>
        <w:spacing w:line="241" w:lineRule="auto"/>
      </w:pPr>
      <w:r>
        <w:drawing>
          <wp:anchor distT="0" distB="0" distL="0" distR="0" simplePos="0" relativeHeight="251673600" behindDoc="1" locked="0" layoutInCell="1" allowOverlap="1">
            <wp:simplePos x="0" y="0"/>
            <wp:positionH relativeFrom="column">
              <wp:posOffset>0</wp:posOffset>
            </wp:positionH>
            <wp:positionV relativeFrom="paragraph">
              <wp:posOffset>124460</wp:posOffset>
            </wp:positionV>
            <wp:extent cx="5344795" cy="6670675"/>
            <wp:effectExtent l="0" t="0" r="8255" b="6350"/>
            <wp:wrapNone/>
            <wp:docPr id="18" name="IM 10"/>
            <wp:cNvGraphicFramePr/>
            <a:graphic xmlns:a="http://schemas.openxmlformats.org/drawingml/2006/main">
              <a:graphicData uri="http://schemas.openxmlformats.org/drawingml/2006/picture">
                <pic:pic xmlns:pic="http://schemas.openxmlformats.org/drawingml/2006/picture">
                  <pic:nvPicPr>
                    <pic:cNvPr id="18" name="IM 10"/>
                    <pic:cNvPicPr/>
                  </pic:nvPicPr>
                  <pic:blipFill>
                    <a:blip r:embed="rId44"/>
                    <a:stretch>
                      <a:fillRect/>
                    </a:stretch>
                  </pic:blipFill>
                  <pic:spPr>
                    <a:xfrm>
                      <a:off x="0" y="0"/>
                      <a:ext cx="5344667" cy="6670547"/>
                    </a:xfrm>
                    <a:prstGeom prst="rect">
                      <a:avLst/>
                    </a:prstGeom>
                  </pic:spPr>
                </pic:pic>
              </a:graphicData>
            </a:graphic>
          </wp:anchor>
        </w:drawing>
      </w:r>
    </w:p>
    <w:p w14:paraId="2F4F4BEB">
      <w:pPr>
        <w:pStyle w:val="7"/>
        <w:spacing w:line="241" w:lineRule="auto"/>
      </w:pPr>
    </w:p>
    <w:p w14:paraId="067AC46F">
      <w:pPr>
        <w:pStyle w:val="7"/>
        <w:spacing w:line="242" w:lineRule="auto"/>
      </w:pPr>
    </w:p>
    <w:p w14:paraId="1A6F1180">
      <w:pPr>
        <w:pStyle w:val="7"/>
        <w:spacing w:line="242" w:lineRule="auto"/>
      </w:pPr>
    </w:p>
    <w:p w14:paraId="7F54AA4C">
      <w:pPr>
        <w:pStyle w:val="7"/>
        <w:spacing w:line="242" w:lineRule="auto"/>
      </w:pPr>
    </w:p>
    <w:p w14:paraId="7F111CE3">
      <w:pPr>
        <w:pStyle w:val="7"/>
        <w:spacing w:line="242" w:lineRule="auto"/>
      </w:pPr>
    </w:p>
    <w:p w14:paraId="58D4BED9">
      <w:pPr>
        <w:pStyle w:val="7"/>
        <w:spacing w:line="242" w:lineRule="auto"/>
      </w:pPr>
    </w:p>
    <w:p w14:paraId="1069F5A5">
      <w:pPr>
        <w:pStyle w:val="7"/>
        <w:spacing w:line="242" w:lineRule="auto"/>
      </w:pPr>
    </w:p>
    <w:p w14:paraId="6AE9CA82">
      <w:pPr>
        <w:pStyle w:val="7"/>
        <w:spacing w:line="242" w:lineRule="auto"/>
      </w:pPr>
    </w:p>
    <w:p w14:paraId="0B8863B5">
      <w:pPr>
        <w:pStyle w:val="7"/>
        <w:spacing w:line="242" w:lineRule="auto"/>
      </w:pPr>
    </w:p>
    <w:p w14:paraId="732A04B3">
      <w:pPr>
        <w:pStyle w:val="7"/>
        <w:spacing w:line="242" w:lineRule="auto"/>
      </w:pPr>
    </w:p>
    <w:p w14:paraId="79C95918">
      <w:pPr>
        <w:pStyle w:val="7"/>
        <w:spacing w:line="242" w:lineRule="auto"/>
      </w:pPr>
    </w:p>
    <w:p w14:paraId="5B08AABB">
      <w:pPr>
        <w:pStyle w:val="7"/>
        <w:spacing w:line="242" w:lineRule="auto"/>
      </w:pPr>
    </w:p>
    <w:p w14:paraId="6FB922BE">
      <w:pPr>
        <w:pStyle w:val="7"/>
        <w:spacing w:line="242" w:lineRule="auto"/>
      </w:pPr>
    </w:p>
    <w:p w14:paraId="351191AD">
      <w:pPr>
        <w:pStyle w:val="7"/>
        <w:spacing w:line="242" w:lineRule="auto"/>
      </w:pPr>
    </w:p>
    <w:p w14:paraId="694662C9">
      <w:pPr>
        <w:pStyle w:val="7"/>
        <w:spacing w:line="242" w:lineRule="auto"/>
      </w:pPr>
    </w:p>
    <w:p w14:paraId="1D06BA84">
      <w:pPr>
        <w:pStyle w:val="7"/>
        <w:spacing w:line="242" w:lineRule="auto"/>
      </w:pPr>
    </w:p>
    <w:p w14:paraId="6AA68C8D">
      <w:pPr>
        <w:pStyle w:val="7"/>
        <w:spacing w:line="242" w:lineRule="auto"/>
      </w:pPr>
    </w:p>
    <w:p w14:paraId="25769BC6">
      <w:pPr>
        <w:pStyle w:val="7"/>
        <w:spacing w:line="242" w:lineRule="auto"/>
      </w:pPr>
    </w:p>
    <w:p w14:paraId="263A7C6D">
      <w:pPr>
        <w:pStyle w:val="7"/>
        <w:spacing w:line="242" w:lineRule="auto"/>
      </w:pPr>
    </w:p>
    <w:p w14:paraId="133A5E3E">
      <w:pPr>
        <w:pStyle w:val="7"/>
        <w:spacing w:line="242" w:lineRule="auto"/>
      </w:pPr>
    </w:p>
    <w:p w14:paraId="689909D9">
      <w:pPr>
        <w:pStyle w:val="7"/>
        <w:spacing w:line="242" w:lineRule="auto"/>
      </w:pPr>
    </w:p>
    <w:p w14:paraId="33057D81">
      <w:pPr>
        <w:pStyle w:val="7"/>
        <w:spacing w:line="242" w:lineRule="auto"/>
      </w:pPr>
    </w:p>
    <w:p w14:paraId="1C5F36AA">
      <w:pPr>
        <w:pStyle w:val="7"/>
        <w:spacing w:line="242" w:lineRule="auto"/>
      </w:pPr>
    </w:p>
    <w:p w14:paraId="6E765D08">
      <w:pPr>
        <w:pStyle w:val="7"/>
        <w:spacing w:line="242" w:lineRule="auto"/>
      </w:pPr>
    </w:p>
    <w:p w14:paraId="28C8931B">
      <w:pPr>
        <w:pStyle w:val="7"/>
        <w:spacing w:line="242" w:lineRule="auto"/>
      </w:pPr>
    </w:p>
    <w:p w14:paraId="268CF012">
      <w:pPr>
        <w:pStyle w:val="7"/>
        <w:spacing w:line="242" w:lineRule="auto"/>
      </w:pPr>
    </w:p>
    <w:p w14:paraId="7A5876B8">
      <w:pPr>
        <w:spacing w:line="1064" w:lineRule="exact"/>
        <w:ind w:firstLine="5293"/>
      </w:pPr>
      <w:r>
        <mc:AlternateContent>
          <mc:Choice Requires="wps">
            <w:drawing>
              <wp:anchor distT="0" distB="0" distL="114300" distR="114300" simplePos="0" relativeHeight="251674624" behindDoc="1" locked="0" layoutInCell="1" allowOverlap="1">
                <wp:simplePos x="0" y="0"/>
                <wp:positionH relativeFrom="column">
                  <wp:posOffset>3154045</wp:posOffset>
                </wp:positionH>
                <wp:positionV relativeFrom="paragraph">
                  <wp:posOffset>579120</wp:posOffset>
                </wp:positionV>
                <wp:extent cx="222250" cy="22987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22250" cy="229870"/>
                        </a:xfrm>
                        <a:prstGeom prst="rect">
                          <a:avLst/>
                        </a:prstGeom>
                        <a:noFill/>
                        <a:ln>
                          <a:noFill/>
                        </a:ln>
                      </wps:spPr>
                      <wps:txbx>
                        <w:txbxContent>
                          <w:p w14:paraId="6145DAE3">
                            <w:pPr>
                              <w:spacing w:before="20" w:line="321"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wps:txbx>
                      <wps:bodyPr lIns="0" tIns="0" rIns="0" bIns="0" upright="1"/>
                    </wps:wsp>
                  </a:graphicData>
                </a:graphic>
              </wp:anchor>
            </w:drawing>
          </mc:Choice>
          <mc:Fallback>
            <w:pict>
              <v:shape id="_x0000_s1026" o:spid="_x0000_s1026" o:spt="202" type="#_x0000_t202" style="position:absolute;left:0pt;margin-left:248.35pt;margin-top:45.6pt;height:18.1pt;width:17.5pt;z-index:-251641856;mso-width-relative:page;mso-height-relative:page;" filled="f" stroked="f" coordsize="21600,21600" o:gfxdata="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OXUXdkAAAAKAQAADwAAAAAAAAABACAAAAAiAAAAZHJzL2Rvd25yZXYueG1sUEsB&#10;AhQAFAAAAAgAh07iQLCBK7G7AQAAcwMAAA4AAAAAAAAAAQAgAAAAKAEAAGRycy9lMm9Eb2MueG1s&#10;UEsFBgAAAAAGAAYAWQEAAFUFAAAAAA==&#10;">
                <v:fill on="f" focussize="0,0"/>
                <v:stroke on="f"/>
                <v:imagedata o:title=""/>
                <o:lock v:ext="edit" aspectratio="f"/>
                <v:textbox inset="0mm,0mm,0mm,0mm">
                  <w:txbxContent>
                    <w:p w14:paraId="6145DAE3">
                      <w:pPr>
                        <w:spacing w:before="20" w:line="321"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v:textbox>
              </v:shape>
            </w:pict>
          </mc:Fallback>
        </mc:AlternateContent>
      </w:r>
      <w:r>
        <w:drawing>
          <wp:anchor distT="0" distB="0" distL="0" distR="0" simplePos="0" relativeHeight="251675648" behindDoc="1" locked="0" layoutInCell="1" allowOverlap="1">
            <wp:simplePos x="0" y="0"/>
            <wp:positionH relativeFrom="column">
              <wp:posOffset>3148330</wp:posOffset>
            </wp:positionH>
            <wp:positionV relativeFrom="paragraph">
              <wp:posOffset>568960</wp:posOffset>
            </wp:positionV>
            <wp:extent cx="233045" cy="245110"/>
            <wp:effectExtent l="0" t="0" r="5080" b="2540"/>
            <wp:wrapNone/>
            <wp:docPr id="19" name="IM 12"/>
            <wp:cNvGraphicFramePr/>
            <a:graphic xmlns:a="http://schemas.openxmlformats.org/drawingml/2006/main">
              <a:graphicData uri="http://schemas.openxmlformats.org/drawingml/2006/picture">
                <pic:pic xmlns:pic="http://schemas.openxmlformats.org/drawingml/2006/picture">
                  <pic:nvPicPr>
                    <pic:cNvPr id="19" name="IM 12"/>
                    <pic:cNvPicPr/>
                  </pic:nvPicPr>
                  <pic:blipFill>
                    <a:blip r:embed="rId45"/>
                    <a:stretch>
                      <a:fillRect/>
                    </a:stretch>
                  </pic:blipFill>
                  <pic:spPr>
                    <a:xfrm>
                      <a:off x="0" y="0"/>
                      <a:ext cx="233197" cy="244955"/>
                    </a:xfrm>
                    <a:prstGeom prst="rect">
                      <a:avLst/>
                    </a:prstGeom>
                  </pic:spPr>
                </pic:pic>
              </a:graphicData>
            </a:graphic>
          </wp:anchor>
        </w:drawing>
      </w:r>
      <w:r>
        <w:rPr>
          <w:position w:val="-21"/>
        </w:rPr>
        <mc:AlternateContent>
          <mc:Choice Requires="wpg">
            <w:drawing>
              <wp:inline distT="0" distB="0" distL="114300" distR="114300">
                <wp:extent cx="1368425" cy="675640"/>
                <wp:effectExtent l="12700" t="3175" r="19050" b="16510"/>
                <wp:docPr id="69" name="组合 69"/>
                <wp:cNvGraphicFramePr/>
                <a:graphic xmlns:a="http://schemas.openxmlformats.org/drawingml/2006/main">
                  <a:graphicData uri="http://schemas.microsoft.com/office/word/2010/wordprocessingGroup">
                    <wpg:wgp>
                      <wpg:cNvGrpSpPr/>
                      <wpg:grpSpPr>
                        <a:xfrm>
                          <a:off x="0" y="0"/>
                          <a:ext cx="1368425" cy="675640"/>
                          <a:chOff x="0" y="0"/>
                          <a:chExt cx="2155" cy="1064"/>
                        </a:xfrm>
                      </wpg:grpSpPr>
                      <pic:pic xmlns:pic="http://schemas.openxmlformats.org/drawingml/2006/picture">
                        <pic:nvPicPr>
                          <pic:cNvPr id="65" name="图片 4"/>
                          <pic:cNvPicPr>
                            <a:picLocks noChangeAspect="1"/>
                          </pic:cNvPicPr>
                        </pic:nvPicPr>
                        <pic:blipFill>
                          <a:blip r:embed="rId46"/>
                          <a:stretch>
                            <a:fillRect/>
                          </a:stretch>
                        </pic:blipFill>
                        <pic:spPr>
                          <a:xfrm>
                            <a:off x="0" y="0"/>
                            <a:ext cx="2155" cy="1064"/>
                          </a:xfrm>
                          <a:prstGeom prst="rect">
                            <a:avLst/>
                          </a:prstGeom>
                          <a:noFill/>
                          <a:ln>
                            <a:noFill/>
                          </a:ln>
                        </pic:spPr>
                      </pic:pic>
                      <wps:wsp>
                        <wps:cNvPr id="67" name="文本框 67"/>
                        <wps:cNvSpPr txBox="1"/>
                        <wps:spPr>
                          <a:xfrm>
                            <a:off x="-20" y="-20"/>
                            <a:ext cx="2195" cy="1104"/>
                          </a:xfrm>
                          <a:prstGeom prst="rect">
                            <a:avLst/>
                          </a:prstGeom>
                          <a:noFill/>
                          <a:ln>
                            <a:noFill/>
                          </a:ln>
                        </wps:spPr>
                        <wps:txbx>
                          <w:txbxContent>
                            <w:p w14:paraId="016F166C">
                              <w:pPr>
                                <w:spacing w:before="197"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wps:txbx>
                        <wps:bodyPr lIns="0" tIns="0" rIns="0" bIns="0" upright="1"/>
                      </wps:wsp>
                    </wpg:wgp>
                  </a:graphicData>
                </a:graphic>
              </wp:inline>
            </w:drawing>
          </mc:Choice>
          <mc:Fallback>
            <w:pict>
              <v:group id="_x0000_s1026" o:spid="_x0000_s1026" o:spt="203" style="height:53.2pt;width:107.75pt;" coordsize="2155,1064" o:gfxdata="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">
                <o:lock v:ext="edit" aspectratio="f"/>
                <v:shape id="图片 4" o:spid="_x0000_s1026" o:spt="75" type="#_x0000_t75" style="position:absolute;left:0;top:0;height:1064;width:2155;" filled="f" o:preferrelative="t" stroked="f" coordsize="21600,21600" o:gfxdata="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J4wLsAAADb&#10;AAAADwAAAAAAAAABACAAAAAiAAAAZHJzL2Rvd25yZXYueG1sUEsBAhQAFAAAAAgAh07iQDMvBZ47&#10;AAAAOQAAABAAAAAAAAAAAQAgAAAACgEAAGRycy9zaGFwZXhtbC54bWxQSwUGAAAAAAYABgBbAQAA&#10;tAMAAAAA&#10;">
                  <v:fill on="f" focussize="0,0"/>
                  <v:stroke on="f"/>
                  <v:imagedata r:id="rId46" o:title=""/>
                  <o:lock v:ext="edit" aspectratio="t"/>
                </v:shape>
                <v:shape id="_x0000_s1026" o:spid="_x0000_s1026" o:spt="202" type="#_x0000_t202" style="position:absolute;left:-20;top:-20;height:1104;width:2195;"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6F166C">
                        <w:pPr>
                          <w:spacing w:before="197"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v:textbox>
                </v:shape>
                <w10:wrap type="none"/>
                <w10:anchorlock/>
              </v:group>
            </w:pict>
          </mc:Fallback>
        </mc:AlternateContent>
      </w:r>
    </w:p>
    <w:p w14:paraId="427E9C77">
      <w:pPr>
        <w:pStyle w:val="7"/>
        <w:spacing w:line="243" w:lineRule="auto"/>
      </w:pPr>
    </w:p>
    <w:p w14:paraId="1CFC11CD">
      <w:pPr>
        <w:pStyle w:val="7"/>
        <w:spacing w:line="243" w:lineRule="auto"/>
      </w:pPr>
    </w:p>
    <w:p w14:paraId="2D3C7EEC">
      <w:pPr>
        <w:pStyle w:val="7"/>
        <w:spacing w:line="244" w:lineRule="auto"/>
      </w:pPr>
    </w:p>
    <w:p w14:paraId="4EB638BD">
      <w:pPr>
        <w:pStyle w:val="7"/>
        <w:spacing w:line="244" w:lineRule="auto"/>
      </w:pPr>
    </w:p>
    <w:p w14:paraId="5969DC91">
      <w:pPr>
        <w:pStyle w:val="7"/>
        <w:spacing w:line="244" w:lineRule="auto"/>
      </w:pPr>
    </w:p>
    <w:p w14:paraId="2BFAE6EC">
      <w:pPr>
        <w:spacing w:before="78" w:line="218" w:lineRule="auto"/>
        <w:ind w:left="2380"/>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28"/>
          <w:sz w:val="24"/>
          <w:szCs w:val="24"/>
        </w:rPr>
        <w:t xml:space="preserve"> </w:t>
      </w:r>
      <w:r>
        <w:rPr>
          <w:rFonts w:ascii="Times New Roman" w:hAnsi="Times New Roman" w:eastAsia="Times New Roman" w:cs="Times New Roman"/>
          <w:b/>
          <w:bCs/>
          <w:spacing w:val="-4"/>
          <w:sz w:val="24"/>
          <w:szCs w:val="24"/>
        </w:rPr>
        <w:t xml:space="preserve">1.1-2    </w:t>
      </w:r>
      <w:r>
        <w:rPr>
          <w:rFonts w:ascii="宋体" w:hAnsi="宋体" w:eastAsia="宋体" w:cs="宋体"/>
          <w:b/>
          <w:bCs/>
          <w:spacing w:val="-4"/>
          <w:sz w:val="24"/>
          <w:szCs w:val="24"/>
        </w:rPr>
        <w:t>阜西工业园园区功能区划图</w:t>
      </w:r>
    </w:p>
    <w:p w14:paraId="49736468">
      <w:pPr>
        <w:spacing w:line="218" w:lineRule="auto"/>
        <w:rPr>
          <w:rFonts w:ascii="宋体" w:hAnsi="宋体" w:eastAsia="宋体" w:cs="宋体"/>
          <w:sz w:val="24"/>
          <w:szCs w:val="24"/>
        </w:rPr>
        <w:sectPr>
          <w:headerReference r:id="rId12" w:type="default"/>
          <w:pgSz w:w="11906" w:h="16839"/>
          <w:pgMar w:top="400" w:right="1785" w:bottom="0" w:left="1639" w:header="0" w:footer="0" w:gutter="0"/>
          <w:cols w:space="720" w:num="1"/>
        </w:sectPr>
      </w:pPr>
    </w:p>
    <w:p w14:paraId="41142337">
      <w:pPr>
        <w:pStyle w:val="7"/>
        <w:spacing w:line="247" w:lineRule="auto"/>
      </w:pPr>
    </w:p>
    <w:p w14:paraId="339C8E15">
      <w:pPr>
        <w:pStyle w:val="7"/>
        <w:spacing w:line="247" w:lineRule="auto"/>
      </w:pPr>
    </w:p>
    <w:p w14:paraId="21C444C5">
      <w:pPr>
        <w:pStyle w:val="7"/>
        <w:spacing w:line="247" w:lineRule="auto"/>
      </w:pPr>
    </w:p>
    <w:p w14:paraId="6B83D09C">
      <w:pPr>
        <w:pStyle w:val="7"/>
        <w:spacing w:line="248" w:lineRule="auto"/>
      </w:pPr>
    </w:p>
    <w:p w14:paraId="2093839E">
      <w:pPr>
        <w:pStyle w:val="7"/>
        <w:spacing w:line="248" w:lineRule="auto"/>
      </w:pPr>
    </w:p>
    <w:p w14:paraId="37955C9B">
      <w:pPr>
        <w:pStyle w:val="7"/>
        <w:spacing w:line="248" w:lineRule="auto"/>
      </w:pPr>
    </w:p>
    <w:p w14:paraId="24F5D235">
      <w:pPr>
        <w:spacing w:line="1064" w:lineRule="exact"/>
        <w:ind w:firstLine="7133"/>
      </w:pPr>
      <w:r>
        <w:rPr>
          <w:position w:val="-21"/>
        </w:rPr>
        <mc:AlternateContent>
          <mc:Choice Requires="wpg">
            <w:drawing>
              <wp:inline distT="0" distB="0" distL="114300" distR="114300">
                <wp:extent cx="1368425" cy="675640"/>
                <wp:effectExtent l="12700" t="3175" r="19050" b="16510"/>
                <wp:docPr id="75" name="组合 75"/>
                <wp:cNvGraphicFramePr/>
                <a:graphic xmlns:a="http://schemas.openxmlformats.org/drawingml/2006/main">
                  <a:graphicData uri="http://schemas.microsoft.com/office/word/2010/wordprocessingGroup">
                    <wpg:wgp>
                      <wpg:cNvGrpSpPr/>
                      <wpg:grpSpPr>
                        <a:xfrm>
                          <a:off x="0" y="0"/>
                          <a:ext cx="1368425" cy="675640"/>
                          <a:chOff x="0" y="0"/>
                          <a:chExt cx="2155" cy="1064"/>
                        </a:xfrm>
                      </wpg:grpSpPr>
                      <pic:pic xmlns:pic="http://schemas.openxmlformats.org/drawingml/2006/picture">
                        <pic:nvPicPr>
                          <pic:cNvPr id="71" name="图片 7"/>
                          <pic:cNvPicPr>
                            <a:picLocks noChangeAspect="1"/>
                          </pic:cNvPicPr>
                        </pic:nvPicPr>
                        <pic:blipFill>
                          <a:blip r:embed="rId47"/>
                          <a:stretch>
                            <a:fillRect/>
                          </a:stretch>
                        </pic:blipFill>
                        <pic:spPr>
                          <a:xfrm>
                            <a:off x="0" y="0"/>
                            <a:ext cx="2155" cy="1064"/>
                          </a:xfrm>
                          <a:prstGeom prst="rect">
                            <a:avLst/>
                          </a:prstGeom>
                          <a:noFill/>
                          <a:ln>
                            <a:noFill/>
                          </a:ln>
                        </pic:spPr>
                      </pic:pic>
                      <wps:wsp>
                        <wps:cNvPr id="73" name="文本框 73"/>
                        <wps:cNvSpPr txBox="1"/>
                        <wps:spPr>
                          <a:xfrm>
                            <a:off x="-20" y="-20"/>
                            <a:ext cx="2195" cy="1104"/>
                          </a:xfrm>
                          <a:prstGeom prst="rect">
                            <a:avLst/>
                          </a:prstGeom>
                          <a:noFill/>
                          <a:ln>
                            <a:noFill/>
                          </a:ln>
                        </wps:spPr>
                        <wps:txbx>
                          <w:txbxContent>
                            <w:p w14:paraId="7F0A0065">
                              <w:pPr>
                                <w:spacing w:before="197"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wps:txbx>
                        <wps:bodyPr lIns="0" tIns="0" rIns="0" bIns="0" upright="1"/>
                      </wps:wsp>
                    </wpg:wgp>
                  </a:graphicData>
                </a:graphic>
              </wp:inline>
            </w:drawing>
          </mc:Choice>
          <mc:Fallback>
            <w:pict>
              <v:group id="_x0000_s1026" o:spid="_x0000_s1026" o:spt="203" style="height:53.2pt;width:107.75pt;" coordsize="2155,1064" o:gfxdata="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">
                <o:lock v:ext="edit" aspectratio="f"/>
                <v:shape id="图片 7" o:spid="_x0000_s1026" o:spt="75" type="#_x0000_t75" style="position:absolute;left:0;top:0;height:1064;width:2155;" filled="f" o:preferrelative="t" stroked="f" coordsize="21600,21600" o:gfxdata="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mH28AAAA&#10;2wAAAA8AAAAAAAAAAQAgAAAAIgAAAGRycy9kb3ducmV2LnhtbFBLAQIUABQAAAAIAIdO4kAzLwWe&#10;OwAAADkAAAAQAAAAAAAAAAEAIAAAAAsBAABkcnMvc2hhcGV4bWwueG1sUEsFBgAAAAAGAAYAWwEA&#10;ALUDAAAAAA==&#10;">
                  <v:fill on="f" focussize="0,0"/>
                  <v:stroke on="f"/>
                  <v:imagedata r:id="rId47" o:title=""/>
                  <o:lock v:ext="edit" aspectratio="t"/>
                </v:shape>
                <v:shape id="_x0000_s1026" o:spid="_x0000_s1026" o:spt="202" type="#_x0000_t202" style="position:absolute;left:-20;top:-20;height:1104;width:2195;"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0A0065">
                        <w:pPr>
                          <w:spacing w:before="197"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v:textbox>
                </v:shape>
                <w10:wrap type="none"/>
                <w10:anchorlock/>
              </v:group>
            </w:pict>
          </mc:Fallback>
        </mc:AlternateContent>
      </w:r>
    </w:p>
    <w:p w14:paraId="6CCB81C9">
      <w:pPr>
        <w:pStyle w:val="7"/>
        <w:spacing w:line="252" w:lineRule="auto"/>
      </w:pPr>
    </w:p>
    <w:p w14:paraId="2C92F734">
      <w:pPr>
        <w:pStyle w:val="7"/>
        <w:spacing w:line="252" w:lineRule="auto"/>
      </w:pPr>
    </w:p>
    <w:p w14:paraId="22986E2E">
      <w:pPr>
        <w:pStyle w:val="7"/>
        <w:spacing w:line="252" w:lineRule="auto"/>
      </w:pPr>
    </w:p>
    <w:p w14:paraId="55852816">
      <w:pPr>
        <w:pStyle w:val="7"/>
        <w:spacing w:line="252" w:lineRule="auto"/>
      </w:pPr>
    </w:p>
    <w:p w14:paraId="069C18DC">
      <w:pPr>
        <w:pStyle w:val="7"/>
        <w:spacing w:line="252" w:lineRule="auto"/>
      </w:pPr>
    </w:p>
    <w:p w14:paraId="2F886298">
      <w:pPr>
        <w:pStyle w:val="7"/>
        <w:spacing w:line="252" w:lineRule="auto"/>
      </w:pPr>
    </w:p>
    <w:p w14:paraId="7FA515C0">
      <w:pPr>
        <w:pStyle w:val="7"/>
        <w:spacing w:line="252" w:lineRule="auto"/>
      </w:pPr>
    </w:p>
    <w:p w14:paraId="5BD96E86">
      <w:pPr>
        <w:pStyle w:val="7"/>
        <w:spacing w:line="252" w:lineRule="auto"/>
      </w:pPr>
    </w:p>
    <w:p w14:paraId="77D822B9">
      <w:pPr>
        <w:pStyle w:val="7"/>
        <w:spacing w:line="252" w:lineRule="auto"/>
      </w:pPr>
    </w:p>
    <w:p w14:paraId="00594BD2">
      <w:pPr>
        <w:pStyle w:val="7"/>
        <w:spacing w:line="252" w:lineRule="auto"/>
      </w:pPr>
    </w:p>
    <w:p w14:paraId="179FB509">
      <w:pPr>
        <w:pStyle w:val="7"/>
        <w:spacing w:line="252" w:lineRule="auto"/>
      </w:pPr>
    </w:p>
    <w:p w14:paraId="5016B71F">
      <w:pPr>
        <w:pStyle w:val="7"/>
        <w:spacing w:line="252" w:lineRule="auto"/>
      </w:pPr>
    </w:p>
    <w:p w14:paraId="293711F0">
      <w:pPr>
        <w:pStyle w:val="7"/>
        <w:spacing w:line="252" w:lineRule="auto"/>
      </w:pPr>
    </w:p>
    <w:p w14:paraId="2AB1CDB1">
      <w:pPr>
        <w:spacing w:before="69" w:line="88" w:lineRule="exact"/>
        <w:ind w:left="6660"/>
        <w:rPr>
          <w:rFonts w:ascii="Times New Roman" w:hAnsi="Times New Roman" w:eastAsia="Times New Roman" w:cs="Times New Roman"/>
          <w:sz w:val="24"/>
          <w:szCs w:val="24"/>
        </w:rPr>
      </w:pPr>
      <w:r>
        <w:drawing>
          <wp:anchor distT="0" distB="0" distL="0" distR="0" simplePos="0" relativeHeight="251676672" behindDoc="1" locked="0" layoutInCell="1" allowOverlap="1">
            <wp:simplePos x="0" y="0"/>
            <wp:positionH relativeFrom="column">
              <wp:posOffset>0</wp:posOffset>
            </wp:positionH>
            <wp:positionV relativeFrom="paragraph">
              <wp:posOffset>-3845560</wp:posOffset>
            </wp:positionV>
            <wp:extent cx="8549640" cy="5259070"/>
            <wp:effectExtent l="0" t="0" r="3810" b="8255"/>
            <wp:wrapNone/>
            <wp:docPr id="20" name="IM 14"/>
            <wp:cNvGraphicFramePr/>
            <a:graphic xmlns:a="http://schemas.openxmlformats.org/drawingml/2006/main">
              <a:graphicData uri="http://schemas.openxmlformats.org/drawingml/2006/picture">
                <pic:pic xmlns:pic="http://schemas.openxmlformats.org/drawingml/2006/picture">
                  <pic:nvPicPr>
                    <pic:cNvPr id="20" name="IM 14"/>
                    <pic:cNvPicPr/>
                  </pic:nvPicPr>
                  <pic:blipFill>
                    <a:blip r:embed="rId48"/>
                    <a:stretch>
                      <a:fillRect/>
                    </a:stretch>
                  </pic:blipFill>
                  <pic:spPr>
                    <a:xfrm>
                      <a:off x="0" y="0"/>
                      <a:ext cx="8549640" cy="5259323"/>
                    </a:xfrm>
                    <a:prstGeom prst="rect">
                      <a:avLst/>
                    </a:prstGeom>
                  </pic:spPr>
                </pic:pic>
              </a:graphicData>
            </a:graphic>
          </wp:anchor>
        </w:drawing>
      </w:r>
      <w:r>
        <w:rPr>
          <w:rFonts w:ascii="Times New Roman" w:hAnsi="Times New Roman" w:eastAsia="Times New Roman" w:cs="Times New Roman"/>
          <w:b/>
          <w:bCs/>
          <w:spacing w:val="-6"/>
          <w:position w:val="1"/>
          <w:sz w:val="24"/>
          <w:szCs w:val="24"/>
        </w:rPr>
        <w:t>..</w:t>
      </w:r>
    </w:p>
    <w:p w14:paraId="7C7B44A7">
      <w:pPr>
        <w:pStyle w:val="7"/>
        <w:spacing w:line="268" w:lineRule="auto"/>
      </w:pPr>
    </w:p>
    <w:p w14:paraId="37C2D6C6">
      <w:pPr>
        <w:pStyle w:val="7"/>
        <w:spacing w:line="268" w:lineRule="auto"/>
      </w:pPr>
    </w:p>
    <w:p w14:paraId="16C4AC6A">
      <w:pPr>
        <w:pStyle w:val="7"/>
        <w:spacing w:line="268" w:lineRule="auto"/>
      </w:pPr>
    </w:p>
    <w:p w14:paraId="68972045">
      <w:pPr>
        <w:pStyle w:val="7"/>
        <w:spacing w:line="268" w:lineRule="auto"/>
      </w:pPr>
    </w:p>
    <w:p w14:paraId="42F5B902">
      <w:pPr>
        <w:pStyle w:val="7"/>
        <w:spacing w:line="268" w:lineRule="auto"/>
      </w:pPr>
    </w:p>
    <w:p w14:paraId="2ADF91D1">
      <w:pPr>
        <w:pStyle w:val="7"/>
        <w:spacing w:line="269" w:lineRule="auto"/>
      </w:pPr>
    </w:p>
    <w:p w14:paraId="2EE269FA">
      <w:pPr>
        <w:pStyle w:val="7"/>
        <w:spacing w:line="269" w:lineRule="auto"/>
      </w:pPr>
    </w:p>
    <w:p w14:paraId="3B1447A4">
      <w:pPr>
        <w:pStyle w:val="7"/>
        <w:spacing w:line="269" w:lineRule="auto"/>
      </w:pPr>
    </w:p>
    <w:p w14:paraId="2BCC7658">
      <w:pPr>
        <w:spacing w:before="78" w:line="219" w:lineRule="auto"/>
        <w:ind w:left="5197"/>
        <w:outlineLvl w:val="0"/>
        <w:rPr>
          <w:rFonts w:ascii="宋体" w:hAnsi="宋体" w:eastAsia="宋体" w:cs="宋体"/>
          <w:sz w:val="24"/>
          <w:szCs w:val="24"/>
        </w:rPr>
      </w:pPr>
      <w:r>
        <w:rPr>
          <w:rFonts w:ascii="宋体" w:hAnsi="宋体" w:eastAsia="宋体" w:cs="宋体"/>
          <w:b/>
          <w:bCs/>
          <w:spacing w:val="-8"/>
          <w:sz w:val="24"/>
          <w:szCs w:val="24"/>
        </w:rPr>
        <w:t>图</w:t>
      </w:r>
      <w:r>
        <w:rPr>
          <w:rFonts w:ascii="宋体" w:hAnsi="宋体" w:eastAsia="宋体" w:cs="宋体"/>
          <w:spacing w:val="-39"/>
          <w:sz w:val="24"/>
          <w:szCs w:val="24"/>
        </w:rPr>
        <w:t xml:space="preserve"> </w:t>
      </w:r>
      <w:r>
        <w:rPr>
          <w:rFonts w:ascii="Times New Roman" w:hAnsi="Times New Roman" w:eastAsia="Times New Roman" w:cs="Times New Roman"/>
          <w:b/>
          <w:bCs/>
          <w:spacing w:val="-8"/>
          <w:sz w:val="24"/>
          <w:szCs w:val="24"/>
        </w:rPr>
        <w:t>1.3-1</w:t>
      </w:r>
      <w:r>
        <w:rPr>
          <w:rFonts w:ascii="Times New Roman" w:hAnsi="Times New Roman" w:eastAsia="Times New Roman" w:cs="Times New Roman"/>
          <w:b/>
          <w:bCs/>
          <w:spacing w:val="24"/>
          <w:sz w:val="24"/>
          <w:szCs w:val="24"/>
        </w:rPr>
        <w:t xml:space="preserve">  </w:t>
      </w:r>
      <w:r>
        <w:rPr>
          <w:rFonts w:ascii="宋体" w:hAnsi="宋体" w:eastAsia="宋体" w:cs="宋体"/>
          <w:b/>
          <w:bCs/>
          <w:spacing w:val="-8"/>
          <w:sz w:val="24"/>
          <w:szCs w:val="24"/>
        </w:rPr>
        <w:t>自治区环境管控单元</w:t>
      </w:r>
    </w:p>
    <w:p w14:paraId="2DC8C69B">
      <w:pPr>
        <w:spacing w:line="219" w:lineRule="auto"/>
        <w:rPr>
          <w:rFonts w:ascii="宋体" w:hAnsi="宋体" w:eastAsia="宋体" w:cs="宋体"/>
          <w:sz w:val="24"/>
          <w:szCs w:val="24"/>
        </w:rPr>
        <w:sectPr>
          <w:headerReference r:id="rId13" w:type="default"/>
          <w:pgSz w:w="16839" w:h="11906"/>
          <w:pgMar w:top="400" w:right="1665" w:bottom="0" w:left="1708" w:header="0" w:footer="0" w:gutter="0"/>
          <w:cols w:space="720" w:num="1"/>
        </w:sectPr>
      </w:pPr>
    </w:p>
    <w:p w14:paraId="572AA544">
      <w:pPr>
        <w:pStyle w:val="7"/>
        <w:spacing w:line="265" w:lineRule="auto"/>
      </w:pPr>
    </w:p>
    <w:p w14:paraId="30A7D61F">
      <w:pPr>
        <w:pStyle w:val="7"/>
        <w:spacing w:line="265" w:lineRule="auto"/>
      </w:pPr>
    </w:p>
    <w:p w14:paraId="43424DD7">
      <w:pPr>
        <w:pStyle w:val="7"/>
        <w:spacing w:line="265" w:lineRule="auto"/>
      </w:pPr>
    </w:p>
    <w:p w14:paraId="67B0849A">
      <w:pPr>
        <w:pStyle w:val="7"/>
        <w:spacing w:line="265" w:lineRule="auto"/>
      </w:pPr>
    </w:p>
    <w:p w14:paraId="1911DA6F">
      <w:pPr>
        <w:spacing w:line="11369" w:lineRule="exact"/>
      </w:pPr>
      <w:r>
        <mc:AlternateContent>
          <mc:Choice Requires="wps">
            <w:drawing>
              <wp:anchor distT="0" distB="0" distL="0" distR="0" simplePos="0" relativeHeight="251679744" behindDoc="0" locked="0" layoutInCell="1" allowOverlap="1">
                <wp:simplePos x="0" y="0"/>
                <wp:positionH relativeFrom="column">
                  <wp:posOffset>2030095</wp:posOffset>
                </wp:positionH>
                <wp:positionV relativeFrom="paragraph">
                  <wp:posOffset>3690620</wp:posOffset>
                </wp:positionV>
                <wp:extent cx="629285" cy="236855"/>
                <wp:effectExtent l="196215" t="0" r="0" b="0"/>
                <wp:wrapNone/>
                <wp:docPr id="21" name="TextBox 16"/>
                <wp:cNvGraphicFramePr/>
                <a:graphic xmlns:a="http://schemas.openxmlformats.org/drawingml/2006/main">
                  <a:graphicData uri="http://schemas.microsoft.com/office/word/2010/wordprocessingShape">
                    <wps:wsp>
                      <wps:cNvSpPr txBox="1"/>
                      <wps:spPr>
                        <a:xfrm rot="16200000">
                          <a:off x="2030250" y="3690774"/>
                          <a:ext cx="629284"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E8FA73">
                            <w:pPr>
                              <w:spacing w:before="66" w:line="220" w:lineRule="auto"/>
                              <w:jc w:val="right"/>
                              <w:outlineLvl w:val="0"/>
                              <w:rPr>
                                <w:rFonts w:ascii="宋体" w:hAnsi="宋体" w:eastAsia="宋体" w:cs="宋体"/>
                                <w:sz w:val="24"/>
                                <w:szCs w:val="24"/>
                              </w:rPr>
                            </w:pPr>
                            <w:r>
                              <w:rPr>
                                <w:rFonts w:ascii="宋体" w:hAnsi="宋体" w:eastAsia="宋体" w:cs="宋体"/>
                                <w:b/>
                                <w:bCs/>
                                <w:color w:val="FF0000"/>
                                <w:spacing w:val="-19"/>
                                <w:sz w:val="24"/>
                                <w:szCs w:val="24"/>
                              </w:rPr>
                              <w:t>建设项</w:t>
                            </w:r>
                            <w:r>
                              <w:rPr>
                                <w:rFonts w:ascii="宋体" w:hAnsi="宋体" w:eastAsia="宋体" w:cs="宋体"/>
                                <w:color w:val="FF0000"/>
                                <w:spacing w:val="-65"/>
                                <w:sz w:val="24"/>
                                <w:szCs w:val="24"/>
                              </w:rPr>
                              <w:t xml:space="preserve"> </w:t>
                            </w:r>
                            <w:r>
                              <w:rPr>
                                <w:rFonts w:ascii="宋体" w:hAnsi="宋体" w:eastAsia="宋体" w:cs="宋体"/>
                                <w:b/>
                                <w:bCs/>
                                <w:color w:val="FF0000"/>
                                <w:spacing w:val="-19"/>
                                <w:sz w:val="24"/>
                                <w:szCs w:val="24"/>
                              </w:rPr>
                              <w:t>目</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159.85pt;margin-top:290.6pt;height:18.65pt;width:49.55pt;rotation:-5898240f;z-index:251679744;mso-width-relative:page;mso-height-relative:page;" filled="f" stroked="f" coordsize="21600,21600" o:gfxdata="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c2yFNoAAAAL&#10;AQAADwAAAAAAAAABACAAAAAiAAAAZHJzL2Rvd25yZXYueG1sUEsBAhQAFAAAAAgAh07iQJkAWQ9T&#10;AgAAowQAAA4AAAAAAAAAAQAgAAAAKQEAAGRycy9lMm9Eb2MueG1sUEsFBgAAAAAGAAYAWQEAAO4F&#10;AAAAAA==&#10;">
                <v:fill on="f" focussize="0,0"/>
                <v:stroke on="f" weight="0pt" miterlimit="0" joinstyle="miter"/>
                <v:imagedata o:title=""/>
                <o:lock v:ext="edit" aspectratio="f"/>
                <v:textbox inset="0mm,0mm,0mm,0mm">
                  <w:txbxContent>
                    <w:p w14:paraId="23E8FA73">
                      <w:pPr>
                        <w:spacing w:before="66" w:line="220" w:lineRule="auto"/>
                        <w:jc w:val="right"/>
                        <w:outlineLvl w:val="0"/>
                        <w:rPr>
                          <w:rFonts w:ascii="宋体" w:hAnsi="宋体" w:eastAsia="宋体" w:cs="宋体"/>
                          <w:sz w:val="24"/>
                          <w:szCs w:val="24"/>
                        </w:rPr>
                      </w:pPr>
                      <w:r>
                        <w:rPr>
                          <w:rFonts w:ascii="宋体" w:hAnsi="宋体" w:eastAsia="宋体" w:cs="宋体"/>
                          <w:b/>
                          <w:bCs/>
                          <w:color w:val="FF0000"/>
                          <w:spacing w:val="-19"/>
                          <w:sz w:val="24"/>
                          <w:szCs w:val="24"/>
                        </w:rPr>
                        <w:t>建设项</w:t>
                      </w:r>
                      <w:r>
                        <w:rPr>
                          <w:rFonts w:ascii="宋体" w:hAnsi="宋体" w:eastAsia="宋体" w:cs="宋体"/>
                          <w:color w:val="FF0000"/>
                          <w:spacing w:val="-65"/>
                          <w:sz w:val="24"/>
                          <w:szCs w:val="24"/>
                        </w:rPr>
                        <w:t xml:space="preserve"> </w:t>
                      </w:r>
                      <w:r>
                        <w:rPr>
                          <w:rFonts w:ascii="宋体" w:hAnsi="宋体" w:eastAsia="宋体" w:cs="宋体"/>
                          <w:b/>
                          <w:bCs/>
                          <w:color w:val="FF0000"/>
                          <w:spacing w:val="-19"/>
                          <w:sz w:val="24"/>
                          <w:szCs w:val="24"/>
                        </w:rPr>
                        <w:t>目</w:t>
                      </w:r>
                    </w:p>
                  </w:txbxContent>
                </v:textbox>
              </v:shape>
            </w:pict>
          </mc:Fallback>
        </mc:AlternateContent>
      </w:r>
      <w:r>
        <mc:AlternateContent>
          <mc:Choice Requires="wps">
            <w:drawing>
              <wp:anchor distT="0" distB="0" distL="0" distR="0" simplePos="0" relativeHeight="251677696" behindDoc="0" locked="0" layoutInCell="1" allowOverlap="1">
                <wp:simplePos x="0" y="0"/>
                <wp:positionH relativeFrom="column">
                  <wp:posOffset>4345305</wp:posOffset>
                </wp:positionH>
                <wp:positionV relativeFrom="paragraph">
                  <wp:posOffset>3476625</wp:posOffset>
                </wp:positionV>
                <wp:extent cx="1734820" cy="236855"/>
                <wp:effectExtent l="749300" t="0" r="0" b="0"/>
                <wp:wrapNone/>
                <wp:docPr id="22" name="TextBox 18"/>
                <wp:cNvGraphicFramePr/>
                <a:graphic xmlns:a="http://schemas.openxmlformats.org/drawingml/2006/main">
                  <a:graphicData uri="http://schemas.microsoft.com/office/word/2010/wordprocessingShape">
                    <wps:wsp>
                      <wps:cNvSpPr txBox="1"/>
                      <wps:spPr>
                        <a:xfrm rot="16200000">
                          <a:off x="4345653" y="3476947"/>
                          <a:ext cx="1734820"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3603B6F">
                            <w:pPr>
                              <w:spacing w:before="66" w:line="220" w:lineRule="auto"/>
                              <w:jc w:val="right"/>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 xml:space="preserve">1.3-2    </w:t>
                            </w:r>
                            <w:r>
                              <w:rPr>
                                <w:rFonts w:ascii="宋体" w:hAnsi="宋体" w:eastAsia="宋体" w:cs="宋体"/>
                                <w:b/>
                                <w:bCs/>
                                <w:spacing w:val="-4"/>
                                <w:sz w:val="24"/>
                                <w:szCs w:val="24"/>
                              </w:rPr>
                              <w:t>环境单元分区图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342.15pt;margin-top:273.75pt;height:18.65pt;width:136.6pt;rotation:-5898240f;z-index:251677696;mso-width-relative:page;mso-height-relative:page;" filled="f" stroked="f" coordsize="21600,21600" o:gfxdata="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1Xb2QAAAAsB&#10;AAAPAAAAAAAAAAEAIAAAACIAAABkcnMvZG93bnJldi54bWxQSwECFAAUAAAACACHTuJA0J/RXVMC&#10;AACkBAAADgAAAAAAAAABACAAAAAoAQAAZHJzL2Uyb0RvYy54bWxQSwUGAAAAAAYABgBZAQAA7QUA&#10;AAAA&#10;">
                <v:fill on="f" focussize="0,0"/>
                <v:stroke on="f" weight="0pt" miterlimit="0" joinstyle="miter"/>
                <v:imagedata o:title=""/>
                <o:lock v:ext="edit" aspectratio="f"/>
                <v:textbox inset="0mm,0mm,0mm,0mm">
                  <w:txbxContent>
                    <w:p w14:paraId="13603B6F">
                      <w:pPr>
                        <w:spacing w:before="66" w:line="220" w:lineRule="auto"/>
                        <w:jc w:val="right"/>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 xml:space="preserve">1.3-2    </w:t>
                      </w:r>
                      <w:r>
                        <w:rPr>
                          <w:rFonts w:ascii="宋体" w:hAnsi="宋体" w:eastAsia="宋体" w:cs="宋体"/>
                          <w:b/>
                          <w:bCs/>
                          <w:spacing w:val="-4"/>
                          <w:sz w:val="24"/>
                          <w:szCs w:val="24"/>
                        </w:rPr>
                        <w:t>环境单元分区图</w:t>
                      </w:r>
                    </w:p>
                  </w:txbxContent>
                </v:textbox>
              </v:shape>
            </w:pict>
          </mc:Fallback>
        </mc:AlternateContent>
      </w:r>
      <w:r>
        <w:drawing>
          <wp:anchor distT="0" distB="0" distL="0" distR="0" simplePos="0" relativeHeight="251678720" behindDoc="0" locked="0" layoutInCell="1" allowOverlap="1">
            <wp:simplePos x="0" y="0"/>
            <wp:positionH relativeFrom="column">
              <wp:posOffset>2155190</wp:posOffset>
            </wp:positionH>
            <wp:positionV relativeFrom="paragraph">
              <wp:posOffset>3362325</wp:posOffset>
            </wp:positionV>
            <wp:extent cx="814070" cy="1581150"/>
            <wp:effectExtent l="0" t="0" r="5080" b="0"/>
            <wp:wrapNone/>
            <wp:docPr id="23" name="IM 20"/>
            <wp:cNvGraphicFramePr/>
            <a:graphic xmlns:a="http://schemas.openxmlformats.org/drawingml/2006/main">
              <a:graphicData uri="http://schemas.openxmlformats.org/drawingml/2006/picture">
                <pic:pic xmlns:pic="http://schemas.openxmlformats.org/drawingml/2006/picture">
                  <pic:nvPicPr>
                    <pic:cNvPr id="23" name="IM 20"/>
                    <pic:cNvPicPr/>
                  </pic:nvPicPr>
                  <pic:blipFill>
                    <a:blip r:embed="rId49"/>
                    <a:stretch>
                      <a:fillRect/>
                    </a:stretch>
                  </pic:blipFill>
                  <pic:spPr>
                    <a:xfrm>
                      <a:off x="0" y="0"/>
                      <a:ext cx="813815" cy="1580908"/>
                    </a:xfrm>
                    <a:prstGeom prst="rect">
                      <a:avLst/>
                    </a:prstGeom>
                  </pic:spPr>
                </pic:pic>
              </a:graphicData>
            </a:graphic>
          </wp:anchor>
        </w:drawing>
      </w:r>
      <w:r>
        <w:drawing>
          <wp:anchor distT="0" distB="0" distL="0" distR="0" simplePos="0" relativeHeight="251680768" behindDoc="0" locked="0" layoutInCell="1" allowOverlap="1">
            <wp:simplePos x="0" y="0"/>
            <wp:positionH relativeFrom="column">
              <wp:posOffset>572770</wp:posOffset>
            </wp:positionH>
            <wp:positionV relativeFrom="paragraph">
              <wp:posOffset>233680</wp:posOffset>
            </wp:positionV>
            <wp:extent cx="1031875" cy="925195"/>
            <wp:effectExtent l="0" t="0" r="6350" b="8255"/>
            <wp:wrapNone/>
            <wp:docPr id="24" name="IM 22"/>
            <wp:cNvGraphicFramePr/>
            <a:graphic xmlns:a="http://schemas.openxmlformats.org/drawingml/2006/main">
              <a:graphicData uri="http://schemas.openxmlformats.org/drawingml/2006/picture">
                <pic:pic xmlns:pic="http://schemas.openxmlformats.org/drawingml/2006/picture">
                  <pic:nvPicPr>
                    <pic:cNvPr id="24" name="IM 22"/>
                    <pic:cNvPicPr/>
                  </pic:nvPicPr>
                  <pic:blipFill>
                    <a:blip r:embed="rId50"/>
                    <a:stretch>
                      <a:fillRect/>
                    </a:stretch>
                  </pic:blipFill>
                  <pic:spPr>
                    <a:xfrm>
                      <a:off x="0" y="0"/>
                      <a:ext cx="1031747" cy="925068"/>
                    </a:xfrm>
                    <a:prstGeom prst="rect">
                      <a:avLst/>
                    </a:prstGeom>
                  </pic:spPr>
                </pic:pic>
              </a:graphicData>
            </a:graphic>
          </wp:anchor>
        </w:drawing>
      </w:r>
      <w:r>
        <w:rPr>
          <w:position w:val="-227"/>
        </w:rPr>
        <w:drawing>
          <wp:inline distT="0" distB="0" distL="0" distR="0">
            <wp:extent cx="5079365" cy="7218680"/>
            <wp:effectExtent l="0" t="0" r="6985" b="1270"/>
            <wp:docPr id="25" name="IM 24"/>
            <wp:cNvGraphicFramePr/>
            <a:graphic xmlns:a="http://schemas.openxmlformats.org/drawingml/2006/main">
              <a:graphicData uri="http://schemas.openxmlformats.org/drawingml/2006/picture">
                <pic:pic xmlns:pic="http://schemas.openxmlformats.org/drawingml/2006/picture">
                  <pic:nvPicPr>
                    <pic:cNvPr id="25" name="IM 24"/>
                    <pic:cNvPicPr/>
                  </pic:nvPicPr>
                  <pic:blipFill>
                    <a:blip r:embed="rId51"/>
                    <a:stretch>
                      <a:fillRect/>
                    </a:stretch>
                  </pic:blipFill>
                  <pic:spPr>
                    <a:xfrm>
                      <a:off x="0" y="0"/>
                      <a:ext cx="5079491" cy="7219188"/>
                    </a:xfrm>
                    <a:prstGeom prst="rect">
                      <a:avLst/>
                    </a:prstGeom>
                  </pic:spPr>
                </pic:pic>
              </a:graphicData>
            </a:graphic>
          </wp:inline>
        </w:drawing>
      </w:r>
    </w:p>
    <w:p w14:paraId="4ACF12DB">
      <w:pPr>
        <w:spacing w:line="11369" w:lineRule="exact"/>
        <w:sectPr>
          <w:pgSz w:w="11906" w:h="16839"/>
          <w:pgMar w:top="400" w:right="1785" w:bottom="0" w:left="1427" w:header="0" w:footer="0" w:gutter="0"/>
          <w:cols w:space="720" w:num="1"/>
        </w:sectPr>
      </w:pPr>
    </w:p>
    <w:p w14:paraId="7BF70F29">
      <w:pPr>
        <w:pStyle w:val="7"/>
        <w:spacing w:line="256" w:lineRule="auto"/>
      </w:pPr>
    </w:p>
    <w:p w14:paraId="1EA0AED4">
      <w:pPr>
        <w:pStyle w:val="7"/>
        <w:spacing w:line="256" w:lineRule="auto"/>
      </w:pPr>
    </w:p>
    <w:p w14:paraId="6D8D7B76">
      <w:pPr>
        <w:pStyle w:val="7"/>
        <w:spacing w:line="256" w:lineRule="auto"/>
      </w:pPr>
    </w:p>
    <w:p w14:paraId="36FFA06E">
      <w:pPr>
        <w:pStyle w:val="7"/>
        <w:spacing w:line="256" w:lineRule="auto"/>
      </w:pPr>
      <w:r>
        <w:drawing>
          <wp:anchor distT="0" distB="0" distL="0" distR="0" simplePos="0" relativeHeight="251681792" behindDoc="1" locked="0" layoutInCell="1" allowOverlap="1">
            <wp:simplePos x="0" y="0"/>
            <wp:positionH relativeFrom="column">
              <wp:posOffset>55245</wp:posOffset>
            </wp:positionH>
            <wp:positionV relativeFrom="paragraph">
              <wp:posOffset>109220</wp:posOffset>
            </wp:positionV>
            <wp:extent cx="7368540" cy="4862830"/>
            <wp:effectExtent l="0" t="0" r="3810" b="4445"/>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2"/>
                    <a:stretch>
                      <a:fillRect/>
                    </a:stretch>
                  </pic:blipFill>
                  <pic:spPr>
                    <a:xfrm>
                      <a:off x="0" y="0"/>
                      <a:ext cx="7368540" cy="4863083"/>
                    </a:xfrm>
                    <a:prstGeom prst="rect">
                      <a:avLst/>
                    </a:prstGeom>
                  </pic:spPr>
                </pic:pic>
              </a:graphicData>
            </a:graphic>
          </wp:anchor>
        </w:drawing>
      </w:r>
    </w:p>
    <w:p w14:paraId="77D2BE6E">
      <w:pPr>
        <w:pStyle w:val="7"/>
        <w:spacing w:line="256" w:lineRule="auto"/>
      </w:pPr>
    </w:p>
    <w:p w14:paraId="5F9F39E4">
      <w:pPr>
        <w:pStyle w:val="7"/>
        <w:spacing w:line="256" w:lineRule="auto"/>
      </w:pPr>
    </w:p>
    <w:p w14:paraId="1021D1A8">
      <w:pPr>
        <w:pStyle w:val="7"/>
        <w:spacing w:line="256" w:lineRule="auto"/>
      </w:pPr>
    </w:p>
    <w:p w14:paraId="7EFB6D9C">
      <w:pPr>
        <w:pStyle w:val="7"/>
        <w:spacing w:line="256" w:lineRule="auto"/>
      </w:pPr>
    </w:p>
    <w:p w14:paraId="7C390B61">
      <w:pPr>
        <w:pStyle w:val="7"/>
        <w:spacing w:line="256" w:lineRule="auto"/>
      </w:pPr>
    </w:p>
    <w:p w14:paraId="571ADBF5">
      <w:pPr>
        <w:pStyle w:val="7"/>
        <w:spacing w:line="256" w:lineRule="auto"/>
      </w:pPr>
    </w:p>
    <w:p w14:paraId="2CBCA12D">
      <w:pPr>
        <w:pStyle w:val="7"/>
        <w:spacing w:line="257" w:lineRule="auto"/>
      </w:pPr>
    </w:p>
    <w:p w14:paraId="1B78F15B">
      <w:pPr>
        <w:spacing w:line="1064" w:lineRule="exact"/>
        <w:ind w:firstLine="6266"/>
      </w:pPr>
      <w:r>
        <mc:AlternateContent>
          <mc:Choice Requires="wps">
            <w:drawing>
              <wp:anchor distT="0" distB="0" distL="114300" distR="114300" simplePos="0" relativeHeight="251682816" behindDoc="1" locked="0" layoutInCell="1" allowOverlap="1">
                <wp:simplePos x="0" y="0"/>
                <wp:positionH relativeFrom="column">
                  <wp:posOffset>3771900</wp:posOffset>
                </wp:positionH>
                <wp:positionV relativeFrom="paragraph">
                  <wp:posOffset>577850</wp:posOffset>
                </wp:positionV>
                <wp:extent cx="222250" cy="23177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222250" cy="231775"/>
                        </a:xfrm>
                        <a:prstGeom prst="rect">
                          <a:avLst/>
                        </a:prstGeom>
                        <a:noFill/>
                        <a:ln>
                          <a:noFill/>
                        </a:ln>
                      </wps:spPr>
                      <wps:txbx>
                        <w:txbxContent>
                          <w:p w14:paraId="3322C38A">
                            <w:pPr>
                              <w:spacing w:before="20" w:line="324"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wps:txbx>
                      <wps:bodyPr lIns="0" tIns="0" rIns="0" bIns="0" upright="1"/>
                    </wps:wsp>
                  </a:graphicData>
                </a:graphic>
              </wp:anchor>
            </w:drawing>
          </mc:Choice>
          <mc:Fallback>
            <w:pict>
              <v:shape id="_x0000_s1026" o:spid="_x0000_s1026" o:spt="202" type="#_x0000_t202" style="position:absolute;left:0pt;margin-left:297pt;margin-top:45.5pt;height:18.25pt;width:17.5pt;z-index:-251633664;mso-width-relative:page;mso-height-relative:page;" filled="f" stroked="f" coordsize="21600,21600" o:gfxdata="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2vGMvYAAAACgEAAA8AAAAAAAAAAQAgAAAAIgAAAGRycy9kb3ducmV2LnhtbFBLAQIU&#10;ABQAAAAIAIdO4kC4ouLsugEAAHMDAAAOAAAAAAAAAAEAIAAAACcBAABkcnMvZTJvRG9jLnhtbFBL&#10;BQYAAAAABgAGAFkBAABTBQAAAAA=&#10;">
                <v:fill on="f" focussize="0,0"/>
                <v:stroke on="f"/>
                <v:imagedata o:title=""/>
                <o:lock v:ext="edit" aspectratio="f"/>
                <v:textbox inset="0mm,0mm,0mm,0mm">
                  <w:txbxContent>
                    <w:p w14:paraId="3322C38A">
                      <w:pPr>
                        <w:spacing w:before="20" w:line="324"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v:textbox>
              </v:shape>
            </w:pict>
          </mc:Fallback>
        </mc:AlternateContent>
      </w:r>
      <w:r>
        <w:drawing>
          <wp:anchor distT="0" distB="0" distL="0" distR="0" simplePos="0" relativeHeight="251683840" behindDoc="1" locked="0" layoutInCell="1" allowOverlap="1">
            <wp:simplePos x="0" y="0"/>
            <wp:positionH relativeFrom="column">
              <wp:posOffset>3766185</wp:posOffset>
            </wp:positionH>
            <wp:positionV relativeFrom="paragraph">
              <wp:posOffset>568960</wp:posOffset>
            </wp:positionV>
            <wp:extent cx="233045" cy="245110"/>
            <wp:effectExtent l="0" t="0" r="5080" b="254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3"/>
                    <a:stretch>
                      <a:fillRect/>
                    </a:stretch>
                  </pic:blipFill>
                  <pic:spPr>
                    <a:xfrm>
                      <a:off x="0" y="0"/>
                      <a:ext cx="233197" cy="244970"/>
                    </a:xfrm>
                    <a:prstGeom prst="rect">
                      <a:avLst/>
                    </a:prstGeom>
                  </pic:spPr>
                </pic:pic>
              </a:graphicData>
            </a:graphic>
          </wp:anchor>
        </w:drawing>
      </w:r>
      <w:r>
        <w:rPr>
          <w:position w:val="-21"/>
        </w:rPr>
        <mc:AlternateContent>
          <mc:Choice Requires="wpg">
            <w:drawing>
              <wp:inline distT="0" distB="0" distL="114300" distR="114300">
                <wp:extent cx="1368425" cy="675640"/>
                <wp:effectExtent l="12700" t="3175" r="19050" b="16510"/>
                <wp:docPr id="87" name="组合 87"/>
                <wp:cNvGraphicFramePr/>
                <a:graphic xmlns:a="http://schemas.openxmlformats.org/drawingml/2006/main">
                  <a:graphicData uri="http://schemas.microsoft.com/office/word/2010/wordprocessingGroup">
                    <wpg:wgp>
                      <wpg:cNvGrpSpPr/>
                      <wpg:grpSpPr>
                        <a:xfrm>
                          <a:off x="0" y="0"/>
                          <a:ext cx="1368425" cy="675640"/>
                          <a:chOff x="0" y="0"/>
                          <a:chExt cx="2155" cy="1064"/>
                        </a:xfrm>
                      </wpg:grpSpPr>
                      <pic:pic xmlns:pic="http://schemas.openxmlformats.org/drawingml/2006/picture">
                        <pic:nvPicPr>
                          <pic:cNvPr id="83" name="图片 11"/>
                          <pic:cNvPicPr>
                            <a:picLocks noChangeAspect="1"/>
                          </pic:cNvPicPr>
                        </pic:nvPicPr>
                        <pic:blipFill>
                          <a:blip r:embed="rId54"/>
                          <a:stretch>
                            <a:fillRect/>
                          </a:stretch>
                        </pic:blipFill>
                        <pic:spPr>
                          <a:xfrm>
                            <a:off x="0" y="0"/>
                            <a:ext cx="2155" cy="1064"/>
                          </a:xfrm>
                          <a:prstGeom prst="rect">
                            <a:avLst/>
                          </a:prstGeom>
                          <a:noFill/>
                          <a:ln>
                            <a:noFill/>
                          </a:ln>
                        </pic:spPr>
                      </pic:pic>
                      <wps:wsp>
                        <wps:cNvPr id="85" name="文本框 85"/>
                        <wps:cNvSpPr txBox="1"/>
                        <wps:spPr>
                          <a:xfrm>
                            <a:off x="-20" y="-20"/>
                            <a:ext cx="2195" cy="1104"/>
                          </a:xfrm>
                          <a:prstGeom prst="rect">
                            <a:avLst/>
                          </a:prstGeom>
                          <a:noFill/>
                          <a:ln>
                            <a:noFill/>
                          </a:ln>
                        </wps:spPr>
                        <wps:txbx>
                          <w:txbxContent>
                            <w:p w14:paraId="7F331384">
                              <w:pPr>
                                <w:spacing w:before="188"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wps:txbx>
                        <wps:bodyPr lIns="0" tIns="0" rIns="0" bIns="0" upright="1"/>
                      </wps:wsp>
                    </wpg:wgp>
                  </a:graphicData>
                </a:graphic>
              </wp:inline>
            </w:drawing>
          </mc:Choice>
          <mc:Fallback>
            <w:pict>
              <v:group id="_x0000_s1026" o:spid="_x0000_s1026" o:spt="203" style="height:53.2pt;width:107.75pt;" coordsize="2155,1064" o:gfxdata="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">
                <o:lock v:ext="edit" aspectratio="f"/>
                <v:shape id="图片 11" o:spid="_x0000_s1026" o:spt="75" type="#_x0000_t75" style="position:absolute;left:0;top:0;height:1064;width:2155;" filled="f" o:preferrelative="t" stroked="f" coordsize="21600,21600" o:gfxdata="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DO7W&#10;wAAAANsAAAAPAAAAAAAAAAEAIAAAACIAAABkcnMvZG93bnJldi54bWxQSwECFAAUAAAACACHTuJA&#10;My8FnjsAAAA5AAAAEAAAAAAAAAABACAAAAAPAQAAZHJzL3NoYXBleG1sLnhtbFBLBQYAAAAABgAG&#10;AFsBAAC5AwAAAAA=&#10;">
                  <v:fill on="f" focussize="0,0"/>
                  <v:stroke on="f"/>
                  <v:imagedata r:id="rId54" o:title=""/>
                  <o:lock v:ext="edit" aspectratio="t"/>
                </v:shape>
                <v:shape id="_x0000_s1026" o:spid="_x0000_s1026" o:spt="202" type="#_x0000_t202" style="position:absolute;left:-20;top:-20;height:1104;width:2195;"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F331384">
                        <w:pPr>
                          <w:spacing w:before="188"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v:textbox>
                </v:shape>
                <w10:wrap type="none"/>
                <w10:anchorlock/>
              </v:group>
            </w:pict>
          </mc:Fallback>
        </mc:AlternateContent>
      </w:r>
    </w:p>
    <w:p w14:paraId="55098D21">
      <w:pPr>
        <w:pStyle w:val="7"/>
        <w:spacing w:line="255" w:lineRule="auto"/>
      </w:pPr>
    </w:p>
    <w:p w14:paraId="48307C55">
      <w:pPr>
        <w:spacing w:line="1829" w:lineRule="exact"/>
        <w:ind w:firstLine="9786"/>
      </w:pPr>
      <w:r>
        <w:rPr>
          <w:position w:val="-36"/>
        </w:rPr>
        <w:drawing>
          <wp:inline distT="0" distB="0" distL="0" distR="0">
            <wp:extent cx="924560" cy="1160780"/>
            <wp:effectExtent l="0" t="0" r="8890" b="1270"/>
            <wp:docPr id="27" name="IM 30"/>
            <wp:cNvGraphicFramePr/>
            <a:graphic xmlns:a="http://schemas.openxmlformats.org/drawingml/2006/main">
              <a:graphicData uri="http://schemas.openxmlformats.org/drawingml/2006/picture">
                <pic:pic xmlns:pic="http://schemas.openxmlformats.org/drawingml/2006/picture">
                  <pic:nvPicPr>
                    <pic:cNvPr id="27" name="IM 30"/>
                    <pic:cNvPicPr/>
                  </pic:nvPicPr>
                  <pic:blipFill>
                    <a:blip r:embed="rId55"/>
                    <a:stretch>
                      <a:fillRect/>
                    </a:stretch>
                  </pic:blipFill>
                  <pic:spPr>
                    <a:xfrm>
                      <a:off x="0" y="0"/>
                      <a:ext cx="925068" cy="1161288"/>
                    </a:xfrm>
                    <a:prstGeom prst="rect">
                      <a:avLst/>
                    </a:prstGeom>
                  </pic:spPr>
                </pic:pic>
              </a:graphicData>
            </a:graphic>
          </wp:inline>
        </w:drawing>
      </w:r>
    </w:p>
    <w:p w14:paraId="623A01D0">
      <w:pPr>
        <w:pStyle w:val="7"/>
        <w:spacing w:line="241" w:lineRule="auto"/>
      </w:pPr>
    </w:p>
    <w:p w14:paraId="1749AEFA">
      <w:pPr>
        <w:pStyle w:val="7"/>
        <w:spacing w:line="241" w:lineRule="auto"/>
      </w:pPr>
    </w:p>
    <w:p w14:paraId="39EE3573">
      <w:pPr>
        <w:pStyle w:val="7"/>
        <w:spacing w:line="241" w:lineRule="auto"/>
      </w:pPr>
    </w:p>
    <w:p w14:paraId="614C00CA">
      <w:pPr>
        <w:pStyle w:val="7"/>
        <w:spacing w:line="241" w:lineRule="auto"/>
      </w:pPr>
    </w:p>
    <w:p w14:paraId="6DB7BC09">
      <w:pPr>
        <w:pStyle w:val="7"/>
        <w:spacing w:line="241" w:lineRule="auto"/>
      </w:pPr>
    </w:p>
    <w:p w14:paraId="3F8875D8">
      <w:pPr>
        <w:pStyle w:val="7"/>
        <w:spacing w:line="242" w:lineRule="auto"/>
      </w:pPr>
    </w:p>
    <w:p w14:paraId="6802BA52">
      <w:pPr>
        <w:pStyle w:val="7"/>
        <w:spacing w:line="242" w:lineRule="auto"/>
      </w:pPr>
    </w:p>
    <w:p w14:paraId="24FB2669">
      <w:pPr>
        <w:pStyle w:val="7"/>
        <w:spacing w:line="242" w:lineRule="auto"/>
      </w:pPr>
    </w:p>
    <w:p w14:paraId="7709EAC0">
      <w:pPr>
        <w:spacing w:before="78" w:line="220" w:lineRule="auto"/>
        <w:ind w:left="4563"/>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 xml:space="preserve">1.3-3    </w:t>
      </w:r>
      <w:r>
        <w:rPr>
          <w:rFonts w:ascii="宋体" w:hAnsi="宋体" w:eastAsia="宋体" w:cs="宋体"/>
          <w:b/>
          <w:bCs/>
          <w:spacing w:val="-4"/>
          <w:sz w:val="24"/>
          <w:szCs w:val="24"/>
        </w:rPr>
        <w:t>七大片区范围图</w:t>
      </w:r>
    </w:p>
    <w:p w14:paraId="4DBECDAD">
      <w:pPr>
        <w:spacing w:line="220" w:lineRule="auto"/>
        <w:rPr>
          <w:rFonts w:ascii="宋体" w:hAnsi="宋体" w:eastAsia="宋体" w:cs="宋体"/>
          <w:sz w:val="24"/>
          <w:szCs w:val="24"/>
        </w:rPr>
        <w:sectPr>
          <w:pgSz w:w="16839" w:h="11906"/>
          <w:pgMar w:top="400" w:right="2525" w:bottom="0" w:left="2525" w:header="0" w:footer="0" w:gutter="0"/>
          <w:cols w:space="720" w:num="1"/>
        </w:sectPr>
      </w:pPr>
    </w:p>
    <w:p w14:paraId="42EC4182">
      <w:pPr>
        <w:pStyle w:val="7"/>
        <w:spacing w:line="247" w:lineRule="auto"/>
      </w:pPr>
    </w:p>
    <w:p w14:paraId="12187619">
      <w:pPr>
        <w:pStyle w:val="7"/>
        <w:spacing w:line="247" w:lineRule="auto"/>
      </w:pPr>
    </w:p>
    <w:p w14:paraId="4891EE06">
      <w:pPr>
        <w:pStyle w:val="7"/>
        <w:spacing w:line="247" w:lineRule="auto"/>
      </w:pPr>
    </w:p>
    <w:p w14:paraId="6D0ECB61">
      <w:pPr>
        <w:pStyle w:val="7"/>
        <w:spacing w:line="247" w:lineRule="auto"/>
      </w:pPr>
      <w:r>
        <w:drawing>
          <wp:anchor distT="0" distB="0" distL="0" distR="0" simplePos="0" relativeHeight="251684864" behindDoc="1" locked="0" layoutInCell="1" allowOverlap="1">
            <wp:simplePos x="0" y="0"/>
            <wp:positionH relativeFrom="column">
              <wp:posOffset>11430</wp:posOffset>
            </wp:positionH>
            <wp:positionV relativeFrom="paragraph">
              <wp:posOffset>92075</wp:posOffset>
            </wp:positionV>
            <wp:extent cx="5269865" cy="7940040"/>
            <wp:effectExtent l="0" t="0" r="6985" b="3810"/>
            <wp:wrapNone/>
            <wp:docPr id="29" name="IM 32"/>
            <wp:cNvGraphicFramePr/>
            <a:graphic xmlns:a="http://schemas.openxmlformats.org/drawingml/2006/main">
              <a:graphicData uri="http://schemas.openxmlformats.org/drawingml/2006/picture">
                <pic:pic xmlns:pic="http://schemas.openxmlformats.org/drawingml/2006/picture">
                  <pic:nvPicPr>
                    <pic:cNvPr id="29" name="IM 32"/>
                    <pic:cNvPicPr/>
                  </pic:nvPicPr>
                  <pic:blipFill>
                    <a:blip r:embed="rId56"/>
                    <a:stretch>
                      <a:fillRect/>
                    </a:stretch>
                  </pic:blipFill>
                  <pic:spPr>
                    <a:xfrm>
                      <a:off x="0" y="0"/>
                      <a:ext cx="5269991" cy="7940040"/>
                    </a:xfrm>
                    <a:prstGeom prst="rect">
                      <a:avLst/>
                    </a:prstGeom>
                  </pic:spPr>
                </pic:pic>
              </a:graphicData>
            </a:graphic>
          </wp:anchor>
        </w:drawing>
      </w:r>
    </w:p>
    <w:p w14:paraId="02BF3B65">
      <w:pPr>
        <w:spacing w:line="1829" w:lineRule="exact"/>
        <w:ind w:firstLine="6460"/>
      </w:pPr>
      <w:r>
        <w:rPr>
          <w:position w:val="-36"/>
        </w:rPr>
        <w:drawing>
          <wp:inline distT="0" distB="0" distL="0" distR="0">
            <wp:extent cx="924560" cy="1160780"/>
            <wp:effectExtent l="0" t="0" r="8890" b="1270"/>
            <wp:docPr id="37" name="IM 34"/>
            <wp:cNvGraphicFramePr/>
            <a:graphic xmlns:a="http://schemas.openxmlformats.org/drawingml/2006/main">
              <a:graphicData uri="http://schemas.openxmlformats.org/drawingml/2006/picture">
                <pic:pic xmlns:pic="http://schemas.openxmlformats.org/drawingml/2006/picture">
                  <pic:nvPicPr>
                    <pic:cNvPr id="37" name="IM 34"/>
                    <pic:cNvPicPr/>
                  </pic:nvPicPr>
                  <pic:blipFill>
                    <a:blip r:embed="rId55"/>
                    <a:stretch>
                      <a:fillRect/>
                    </a:stretch>
                  </pic:blipFill>
                  <pic:spPr>
                    <a:xfrm>
                      <a:off x="0" y="0"/>
                      <a:ext cx="925067" cy="1161288"/>
                    </a:xfrm>
                    <a:prstGeom prst="rect">
                      <a:avLst/>
                    </a:prstGeom>
                  </pic:spPr>
                </pic:pic>
              </a:graphicData>
            </a:graphic>
          </wp:inline>
        </w:drawing>
      </w:r>
    </w:p>
    <w:p w14:paraId="11592BBA">
      <w:pPr>
        <w:pStyle w:val="7"/>
      </w:pPr>
    </w:p>
    <w:p w14:paraId="54C0E522">
      <w:pPr>
        <w:pStyle w:val="7"/>
      </w:pPr>
    </w:p>
    <w:p w14:paraId="7C322C22">
      <w:pPr>
        <w:pStyle w:val="7"/>
      </w:pPr>
    </w:p>
    <w:p w14:paraId="11E63C97">
      <w:pPr>
        <w:pStyle w:val="7"/>
      </w:pPr>
    </w:p>
    <w:p w14:paraId="741C9F81">
      <w:pPr>
        <w:pStyle w:val="7"/>
      </w:pPr>
    </w:p>
    <w:p w14:paraId="29674955">
      <w:pPr>
        <w:pStyle w:val="7"/>
      </w:pPr>
    </w:p>
    <w:p w14:paraId="257D0BDA">
      <w:pPr>
        <w:pStyle w:val="7"/>
      </w:pPr>
    </w:p>
    <w:p w14:paraId="269A6EF4">
      <w:pPr>
        <w:pStyle w:val="7"/>
      </w:pPr>
    </w:p>
    <w:p w14:paraId="38CADBEE">
      <w:pPr>
        <w:pStyle w:val="7"/>
      </w:pPr>
    </w:p>
    <w:p w14:paraId="0D525EFE">
      <w:pPr>
        <w:pStyle w:val="7"/>
      </w:pPr>
    </w:p>
    <w:p w14:paraId="66092705">
      <w:pPr>
        <w:pStyle w:val="7"/>
      </w:pPr>
    </w:p>
    <w:p w14:paraId="5F3C7A43">
      <w:pPr>
        <w:pStyle w:val="7"/>
      </w:pPr>
    </w:p>
    <w:p w14:paraId="57350B3A">
      <w:pPr>
        <w:pStyle w:val="7"/>
      </w:pPr>
    </w:p>
    <w:p w14:paraId="62EC7656">
      <w:pPr>
        <w:pStyle w:val="7"/>
      </w:pPr>
    </w:p>
    <w:p w14:paraId="540224EB">
      <w:pPr>
        <w:pStyle w:val="7"/>
      </w:pPr>
    </w:p>
    <w:p w14:paraId="15B179D5">
      <w:pPr>
        <w:pStyle w:val="7"/>
      </w:pPr>
    </w:p>
    <w:p w14:paraId="1E91B923">
      <w:pPr>
        <w:pStyle w:val="7"/>
      </w:pPr>
    </w:p>
    <w:p w14:paraId="795B10FD">
      <w:pPr>
        <w:pStyle w:val="7"/>
        <w:spacing w:line="241" w:lineRule="auto"/>
      </w:pPr>
    </w:p>
    <w:p w14:paraId="322ECFF0">
      <w:pPr>
        <w:pStyle w:val="7"/>
        <w:spacing w:line="241" w:lineRule="auto"/>
      </w:pPr>
    </w:p>
    <w:p w14:paraId="7D313CD7">
      <w:pPr>
        <w:pStyle w:val="7"/>
        <w:spacing w:line="241" w:lineRule="auto"/>
      </w:pPr>
    </w:p>
    <w:p w14:paraId="58F7ABC6">
      <w:pPr>
        <w:pStyle w:val="7"/>
        <w:spacing w:line="241" w:lineRule="auto"/>
      </w:pPr>
    </w:p>
    <w:p w14:paraId="7174D566">
      <w:pPr>
        <w:pStyle w:val="7"/>
        <w:spacing w:line="241" w:lineRule="auto"/>
      </w:pPr>
    </w:p>
    <w:p w14:paraId="3DC1CA81">
      <w:pPr>
        <w:spacing w:line="1064" w:lineRule="exact"/>
        <w:ind w:firstLine="1330"/>
      </w:pPr>
      <w:r>
        <mc:AlternateContent>
          <mc:Choice Requires="wps">
            <w:drawing>
              <wp:anchor distT="0" distB="0" distL="114300" distR="114300" simplePos="0" relativeHeight="251685888" behindDoc="1" locked="0" layoutInCell="1" allowOverlap="1">
                <wp:simplePos x="0" y="0"/>
                <wp:positionH relativeFrom="column">
                  <wp:posOffset>637540</wp:posOffset>
                </wp:positionH>
                <wp:positionV relativeFrom="paragraph">
                  <wp:posOffset>579120</wp:posOffset>
                </wp:positionV>
                <wp:extent cx="222250" cy="22987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222250" cy="229870"/>
                        </a:xfrm>
                        <a:prstGeom prst="rect">
                          <a:avLst/>
                        </a:prstGeom>
                        <a:noFill/>
                        <a:ln>
                          <a:noFill/>
                        </a:ln>
                      </wps:spPr>
                      <wps:txbx>
                        <w:txbxContent>
                          <w:p w14:paraId="4E4EEEB9">
                            <w:pPr>
                              <w:spacing w:before="20" w:line="321"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wps:txbx>
                      <wps:bodyPr lIns="0" tIns="0" rIns="0" bIns="0" upright="1"/>
                    </wps:wsp>
                  </a:graphicData>
                </a:graphic>
              </wp:anchor>
            </w:drawing>
          </mc:Choice>
          <mc:Fallback>
            <w:pict>
              <v:shape id="_x0000_s1026" o:spid="_x0000_s1026" o:spt="202" type="#_x0000_t202" style="position:absolute;left:0pt;margin-left:50.2pt;margin-top:45.6pt;height:18.1pt;width:17.5pt;z-index:-251630592;mso-width-relative:page;mso-height-relative:page;" filled="f" stroked="f" coordsize="21600,21600" o:gfxdata="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AdGI2AAAAAoBAAAPAAAAAAAAAAEAIAAAACIAAABkcnMvZG93bnJldi54bWxQSwEC&#10;FAAUAAAACACHTuJAe34m2rsBAABzAwAADgAAAAAAAAABACAAAAAnAQAAZHJzL2Uyb0RvYy54bWxQ&#10;SwUGAAAAAAYABgBZAQAAVAUAAAAA&#10;">
                <v:fill on="f" focussize="0,0"/>
                <v:stroke on="f"/>
                <v:imagedata o:title=""/>
                <o:lock v:ext="edit" aspectratio="f"/>
                <v:textbox inset="0mm,0mm,0mm,0mm">
                  <w:txbxContent>
                    <w:p w14:paraId="4E4EEEB9">
                      <w:pPr>
                        <w:spacing w:before="20" w:line="321"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v:textbox>
              </v:shape>
            </w:pict>
          </mc:Fallback>
        </mc:AlternateContent>
      </w:r>
      <w:r>
        <w:drawing>
          <wp:anchor distT="0" distB="0" distL="0" distR="0" simplePos="0" relativeHeight="251686912" behindDoc="1" locked="0" layoutInCell="1" allowOverlap="1">
            <wp:simplePos x="0" y="0"/>
            <wp:positionH relativeFrom="column">
              <wp:posOffset>631825</wp:posOffset>
            </wp:positionH>
            <wp:positionV relativeFrom="paragraph">
              <wp:posOffset>568960</wp:posOffset>
            </wp:positionV>
            <wp:extent cx="233045" cy="245110"/>
            <wp:effectExtent l="0" t="0" r="5080" b="2540"/>
            <wp:wrapNone/>
            <wp:docPr id="38" name="IM 36"/>
            <wp:cNvGraphicFramePr/>
            <a:graphic xmlns:a="http://schemas.openxmlformats.org/drawingml/2006/main">
              <a:graphicData uri="http://schemas.openxmlformats.org/drawingml/2006/picture">
                <pic:pic xmlns:pic="http://schemas.openxmlformats.org/drawingml/2006/picture">
                  <pic:nvPicPr>
                    <pic:cNvPr id="38" name="IM 36"/>
                    <pic:cNvPicPr/>
                  </pic:nvPicPr>
                  <pic:blipFill>
                    <a:blip r:embed="rId57"/>
                    <a:stretch>
                      <a:fillRect/>
                    </a:stretch>
                  </pic:blipFill>
                  <pic:spPr>
                    <a:xfrm>
                      <a:off x="0" y="0"/>
                      <a:ext cx="233197" cy="244970"/>
                    </a:xfrm>
                    <a:prstGeom prst="rect">
                      <a:avLst/>
                    </a:prstGeom>
                  </pic:spPr>
                </pic:pic>
              </a:graphicData>
            </a:graphic>
          </wp:anchor>
        </w:drawing>
      </w:r>
      <w:r>
        <w:rPr>
          <w:position w:val="-21"/>
        </w:rPr>
        <mc:AlternateContent>
          <mc:Choice Requires="wpg">
            <w:drawing>
              <wp:inline distT="0" distB="0" distL="114300" distR="114300">
                <wp:extent cx="1368425" cy="675640"/>
                <wp:effectExtent l="12700" t="3175" r="19050" b="16510"/>
                <wp:docPr id="81" name="组合 81"/>
                <wp:cNvGraphicFramePr/>
                <a:graphic xmlns:a="http://schemas.openxmlformats.org/drawingml/2006/main">
                  <a:graphicData uri="http://schemas.microsoft.com/office/word/2010/wordprocessingGroup">
                    <wpg:wgp>
                      <wpg:cNvGrpSpPr/>
                      <wpg:grpSpPr>
                        <a:xfrm>
                          <a:off x="0" y="0"/>
                          <a:ext cx="1368425" cy="675640"/>
                          <a:chOff x="0" y="0"/>
                          <a:chExt cx="2155" cy="1064"/>
                        </a:xfrm>
                      </wpg:grpSpPr>
                      <pic:pic xmlns:pic="http://schemas.openxmlformats.org/drawingml/2006/picture">
                        <pic:nvPicPr>
                          <pic:cNvPr id="77" name="图片 15"/>
                          <pic:cNvPicPr>
                            <a:picLocks noChangeAspect="1"/>
                          </pic:cNvPicPr>
                        </pic:nvPicPr>
                        <pic:blipFill>
                          <a:blip r:embed="rId58"/>
                          <a:stretch>
                            <a:fillRect/>
                          </a:stretch>
                        </pic:blipFill>
                        <pic:spPr>
                          <a:xfrm>
                            <a:off x="0" y="0"/>
                            <a:ext cx="2155" cy="1064"/>
                          </a:xfrm>
                          <a:prstGeom prst="rect">
                            <a:avLst/>
                          </a:prstGeom>
                          <a:noFill/>
                          <a:ln>
                            <a:noFill/>
                          </a:ln>
                        </pic:spPr>
                      </pic:pic>
                      <wps:wsp>
                        <wps:cNvPr id="79" name="文本框 79"/>
                        <wps:cNvSpPr txBox="1"/>
                        <wps:spPr>
                          <a:xfrm>
                            <a:off x="-20" y="-20"/>
                            <a:ext cx="2195" cy="1104"/>
                          </a:xfrm>
                          <a:prstGeom prst="rect">
                            <a:avLst/>
                          </a:prstGeom>
                          <a:noFill/>
                          <a:ln>
                            <a:noFill/>
                          </a:ln>
                        </wps:spPr>
                        <wps:txbx>
                          <w:txbxContent>
                            <w:p w14:paraId="3C25956D">
                              <w:pPr>
                                <w:spacing w:before="187"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wps:txbx>
                        <wps:bodyPr lIns="0" tIns="0" rIns="0" bIns="0" upright="1"/>
                      </wps:wsp>
                    </wpg:wgp>
                  </a:graphicData>
                </a:graphic>
              </wp:inline>
            </w:drawing>
          </mc:Choice>
          <mc:Fallback>
            <w:pict>
              <v:group id="_x0000_s1026" o:spid="_x0000_s1026" o:spt="203" style="height:53.2pt;width:107.75pt;" coordsize="2155,1064" o:gfxdata="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">
                <o:lock v:ext="edit" aspectratio="f"/>
                <v:shape id="图片 15" o:spid="_x0000_s1026" o:spt="75" type="#_x0000_t75" style="position:absolute;left:0;top:0;height:1064;width:2155;" filled="f" o:preferrelative="t" stroked="f" coordsize="21600,21600" o:gfxdata="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ZJvQAA&#10;ANsAAAAPAAAAAAAAAAEAIAAAACIAAABkcnMvZG93bnJldi54bWxQSwECFAAUAAAACACHTuJAMy8F&#10;njsAAAA5AAAAEAAAAAAAAAABACAAAAAMAQAAZHJzL3NoYXBleG1sLnhtbFBLBQYAAAAABgAGAFsB&#10;AAC2AwAAAAA=&#10;">
                  <v:fill on="f" focussize="0,0"/>
                  <v:stroke on="f"/>
                  <v:imagedata r:id="rId58" o:title=""/>
                  <o:lock v:ext="edit" aspectratio="t"/>
                </v:shape>
                <v:shape id="_x0000_s1026" o:spid="_x0000_s1026" o:spt="202" type="#_x0000_t202" style="position:absolute;left:-20;top:-20;height:1104;width:2195;"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C25956D">
                        <w:pPr>
                          <w:spacing w:before="187"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v:textbox>
                </v:shape>
                <w10:wrap type="none"/>
                <w10:anchorlock/>
              </v:group>
            </w:pict>
          </mc:Fallback>
        </mc:AlternateContent>
      </w:r>
    </w:p>
    <w:p w14:paraId="495DBD56">
      <w:pPr>
        <w:pStyle w:val="7"/>
        <w:spacing w:line="250" w:lineRule="auto"/>
      </w:pPr>
    </w:p>
    <w:p w14:paraId="46F9C8D9">
      <w:pPr>
        <w:pStyle w:val="7"/>
        <w:spacing w:line="250" w:lineRule="auto"/>
      </w:pPr>
    </w:p>
    <w:p w14:paraId="3614D873">
      <w:pPr>
        <w:pStyle w:val="7"/>
        <w:spacing w:line="250" w:lineRule="auto"/>
      </w:pPr>
    </w:p>
    <w:p w14:paraId="27E912D0">
      <w:pPr>
        <w:pStyle w:val="7"/>
        <w:spacing w:line="250" w:lineRule="auto"/>
      </w:pPr>
    </w:p>
    <w:p w14:paraId="2EF90CF8">
      <w:pPr>
        <w:pStyle w:val="7"/>
        <w:spacing w:line="250" w:lineRule="auto"/>
      </w:pPr>
    </w:p>
    <w:p w14:paraId="08E81467">
      <w:pPr>
        <w:pStyle w:val="7"/>
        <w:spacing w:line="251" w:lineRule="auto"/>
      </w:pPr>
    </w:p>
    <w:p w14:paraId="1F6654E5">
      <w:pPr>
        <w:pStyle w:val="7"/>
        <w:spacing w:line="251" w:lineRule="auto"/>
      </w:pPr>
    </w:p>
    <w:p w14:paraId="633E747A">
      <w:pPr>
        <w:pStyle w:val="7"/>
        <w:spacing w:line="251" w:lineRule="auto"/>
      </w:pPr>
    </w:p>
    <w:p w14:paraId="356A262C">
      <w:pPr>
        <w:spacing w:before="78" w:line="218" w:lineRule="auto"/>
        <w:ind w:left="1993"/>
        <w:outlineLvl w:val="0"/>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 xml:space="preserve">1.4-1    </w:t>
      </w:r>
      <w:r>
        <w:rPr>
          <w:rFonts w:ascii="宋体" w:hAnsi="宋体" w:eastAsia="宋体" w:cs="宋体"/>
          <w:b/>
          <w:bCs/>
          <w:spacing w:val="-3"/>
          <w:sz w:val="24"/>
          <w:szCs w:val="24"/>
        </w:rPr>
        <w:t>阜康市国土空间总体</w:t>
      </w:r>
      <w:r>
        <w:rPr>
          <w:rFonts w:ascii="宋体" w:hAnsi="宋体" w:eastAsia="宋体" w:cs="宋体"/>
          <w:b/>
          <w:bCs/>
          <w:spacing w:val="-4"/>
          <w:sz w:val="24"/>
          <w:szCs w:val="24"/>
        </w:rPr>
        <w:t>规划位置图</w:t>
      </w:r>
    </w:p>
    <w:p w14:paraId="14A03CA6">
      <w:pPr>
        <w:spacing w:line="218" w:lineRule="auto"/>
        <w:rPr>
          <w:rFonts w:ascii="宋体" w:hAnsi="宋体" w:eastAsia="宋体" w:cs="宋体"/>
          <w:sz w:val="24"/>
          <w:szCs w:val="24"/>
        </w:rPr>
        <w:sectPr>
          <w:pgSz w:w="11906" w:h="16839"/>
          <w:pgMar w:top="400" w:right="1785" w:bottom="0" w:left="1785" w:header="0" w:footer="0" w:gutter="0"/>
          <w:cols w:space="720" w:num="1"/>
        </w:sectPr>
      </w:pPr>
    </w:p>
    <w:p w14:paraId="05950C13">
      <w:pPr>
        <w:pStyle w:val="7"/>
        <w:spacing w:line="244" w:lineRule="auto"/>
      </w:pPr>
    </w:p>
    <w:p w14:paraId="6B874BD2">
      <w:pPr>
        <w:pStyle w:val="7"/>
        <w:spacing w:line="245" w:lineRule="auto"/>
      </w:pPr>
    </w:p>
    <w:p w14:paraId="732874A7">
      <w:pPr>
        <w:pStyle w:val="7"/>
        <w:spacing w:line="245" w:lineRule="auto"/>
      </w:pPr>
    </w:p>
    <w:p w14:paraId="768C9A80">
      <w:pPr>
        <w:pStyle w:val="7"/>
        <w:spacing w:line="245" w:lineRule="auto"/>
      </w:pPr>
    </w:p>
    <w:p w14:paraId="767510DF">
      <w:pPr>
        <w:pStyle w:val="7"/>
        <w:spacing w:line="245" w:lineRule="auto"/>
      </w:pPr>
      <w:r>
        <w:drawing>
          <wp:anchor distT="0" distB="0" distL="0" distR="0" simplePos="0" relativeHeight="251689984" behindDoc="1" locked="0" layoutInCell="1" allowOverlap="1">
            <wp:simplePos x="0" y="0"/>
            <wp:positionH relativeFrom="column">
              <wp:posOffset>0</wp:posOffset>
            </wp:positionH>
            <wp:positionV relativeFrom="paragraph">
              <wp:posOffset>101600</wp:posOffset>
            </wp:positionV>
            <wp:extent cx="5586730" cy="7958455"/>
            <wp:effectExtent l="0" t="0" r="4445" b="4445"/>
            <wp:wrapNone/>
            <wp:docPr id="40" name="IM 38"/>
            <wp:cNvGraphicFramePr/>
            <a:graphic xmlns:a="http://schemas.openxmlformats.org/drawingml/2006/main">
              <a:graphicData uri="http://schemas.openxmlformats.org/drawingml/2006/picture">
                <pic:pic xmlns:pic="http://schemas.openxmlformats.org/drawingml/2006/picture">
                  <pic:nvPicPr>
                    <pic:cNvPr id="40" name="IM 38"/>
                    <pic:cNvPicPr/>
                  </pic:nvPicPr>
                  <pic:blipFill>
                    <a:blip r:embed="rId59"/>
                    <a:stretch>
                      <a:fillRect/>
                    </a:stretch>
                  </pic:blipFill>
                  <pic:spPr>
                    <a:xfrm>
                      <a:off x="0" y="0"/>
                      <a:ext cx="5586983" cy="7958327"/>
                    </a:xfrm>
                    <a:prstGeom prst="rect">
                      <a:avLst/>
                    </a:prstGeom>
                  </pic:spPr>
                </pic:pic>
              </a:graphicData>
            </a:graphic>
          </wp:anchor>
        </w:drawing>
      </w:r>
    </w:p>
    <w:p w14:paraId="3C020FC9">
      <w:pPr>
        <w:spacing w:line="1829" w:lineRule="exact"/>
        <w:ind w:firstLine="7252"/>
      </w:pPr>
      <w:r>
        <w:rPr>
          <w:position w:val="-36"/>
        </w:rPr>
        <w:drawing>
          <wp:inline distT="0" distB="0" distL="0" distR="0">
            <wp:extent cx="924560" cy="1160780"/>
            <wp:effectExtent l="0" t="0" r="8890" b="1270"/>
            <wp:docPr id="41" name="IM 40"/>
            <wp:cNvGraphicFramePr/>
            <a:graphic xmlns:a="http://schemas.openxmlformats.org/drawingml/2006/main">
              <a:graphicData uri="http://schemas.openxmlformats.org/drawingml/2006/picture">
                <pic:pic xmlns:pic="http://schemas.openxmlformats.org/drawingml/2006/picture">
                  <pic:nvPicPr>
                    <pic:cNvPr id="41" name="IM 40"/>
                    <pic:cNvPicPr/>
                  </pic:nvPicPr>
                  <pic:blipFill>
                    <a:blip r:embed="rId55"/>
                    <a:stretch>
                      <a:fillRect/>
                    </a:stretch>
                  </pic:blipFill>
                  <pic:spPr>
                    <a:xfrm>
                      <a:off x="0" y="0"/>
                      <a:ext cx="925067" cy="1161288"/>
                    </a:xfrm>
                    <a:prstGeom prst="rect">
                      <a:avLst/>
                    </a:prstGeom>
                  </pic:spPr>
                </pic:pic>
              </a:graphicData>
            </a:graphic>
          </wp:inline>
        </w:drawing>
      </w:r>
    </w:p>
    <w:p w14:paraId="11C01FBB">
      <w:pPr>
        <w:pStyle w:val="7"/>
      </w:pPr>
    </w:p>
    <w:p w14:paraId="1D6B4ADF">
      <w:pPr>
        <w:pStyle w:val="7"/>
      </w:pPr>
    </w:p>
    <w:p w14:paraId="0243364B">
      <w:pPr>
        <w:pStyle w:val="7"/>
      </w:pPr>
    </w:p>
    <w:p w14:paraId="5259D622">
      <w:pPr>
        <w:pStyle w:val="7"/>
      </w:pPr>
    </w:p>
    <w:p w14:paraId="7B59492F">
      <w:pPr>
        <w:pStyle w:val="7"/>
      </w:pPr>
    </w:p>
    <w:p w14:paraId="516ACABF">
      <w:pPr>
        <w:pStyle w:val="7"/>
      </w:pPr>
    </w:p>
    <w:p w14:paraId="32BC5DA8">
      <w:pPr>
        <w:pStyle w:val="7"/>
      </w:pPr>
    </w:p>
    <w:p w14:paraId="5D4C776F">
      <w:pPr>
        <w:pStyle w:val="7"/>
      </w:pPr>
    </w:p>
    <w:p w14:paraId="43FF9ED9">
      <w:pPr>
        <w:pStyle w:val="7"/>
      </w:pPr>
    </w:p>
    <w:p w14:paraId="4C01BABF">
      <w:pPr>
        <w:pStyle w:val="7"/>
      </w:pPr>
    </w:p>
    <w:p w14:paraId="2EBB41EC">
      <w:pPr>
        <w:pStyle w:val="7"/>
      </w:pPr>
    </w:p>
    <w:p w14:paraId="019E3E03">
      <w:pPr>
        <w:pStyle w:val="7"/>
      </w:pPr>
    </w:p>
    <w:p w14:paraId="019440CC">
      <w:pPr>
        <w:pStyle w:val="7"/>
      </w:pPr>
    </w:p>
    <w:p w14:paraId="6F04BBFC">
      <w:pPr>
        <w:pStyle w:val="7"/>
      </w:pPr>
    </w:p>
    <w:p w14:paraId="3B947E97">
      <w:pPr>
        <w:pStyle w:val="7"/>
      </w:pPr>
    </w:p>
    <w:p w14:paraId="249353D3">
      <w:pPr>
        <w:pStyle w:val="7"/>
      </w:pPr>
    </w:p>
    <w:p w14:paraId="2C26A1F5">
      <w:pPr>
        <w:pStyle w:val="7"/>
      </w:pPr>
    </w:p>
    <w:p w14:paraId="68060500">
      <w:pPr>
        <w:pStyle w:val="7"/>
      </w:pPr>
    </w:p>
    <w:p w14:paraId="702608CD">
      <w:pPr>
        <w:pStyle w:val="7"/>
      </w:pPr>
    </w:p>
    <w:p w14:paraId="4F9B56F3">
      <w:pPr>
        <w:pStyle w:val="7"/>
      </w:pPr>
    </w:p>
    <w:p w14:paraId="1ABD5E2A">
      <w:pPr>
        <w:pStyle w:val="7"/>
      </w:pPr>
    </w:p>
    <w:p w14:paraId="22F258D2">
      <w:pPr>
        <w:pStyle w:val="7"/>
        <w:spacing w:line="241" w:lineRule="auto"/>
      </w:pPr>
    </w:p>
    <w:p w14:paraId="6FA553D1">
      <w:pPr>
        <w:spacing w:line="1064" w:lineRule="exact"/>
        <w:ind w:firstLine="1537"/>
      </w:pPr>
      <w:r>
        <mc:AlternateContent>
          <mc:Choice Requires="wps">
            <w:drawing>
              <wp:anchor distT="0" distB="0" distL="114300" distR="114300" simplePos="0" relativeHeight="251691008" behindDoc="1" locked="0" layoutInCell="1" allowOverlap="1">
                <wp:simplePos x="0" y="0"/>
                <wp:positionH relativeFrom="column">
                  <wp:posOffset>768985</wp:posOffset>
                </wp:positionH>
                <wp:positionV relativeFrom="paragraph">
                  <wp:posOffset>578485</wp:posOffset>
                </wp:positionV>
                <wp:extent cx="222250" cy="23114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222250" cy="231140"/>
                        </a:xfrm>
                        <a:prstGeom prst="rect">
                          <a:avLst/>
                        </a:prstGeom>
                        <a:noFill/>
                        <a:ln>
                          <a:noFill/>
                        </a:ln>
                      </wps:spPr>
                      <wps:txbx>
                        <w:txbxContent>
                          <w:p w14:paraId="0920799E">
                            <w:pPr>
                              <w:spacing w:before="20" w:line="323"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wps:txbx>
                      <wps:bodyPr lIns="0" tIns="0" rIns="0" bIns="0" upright="1"/>
                    </wps:wsp>
                  </a:graphicData>
                </a:graphic>
              </wp:anchor>
            </w:drawing>
          </mc:Choice>
          <mc:Fallback>
            <w:pict>
              <v:shape id="_x0000_s1026" o:spid="_x0000_s1026" o:spt="202" type="#_x0000_t202" style="position:absolute;left:0pt;margin-left:60.55pt;margin-top:45.55pt;height:18.2pt;width:17.5pt;z-index:-251625472;mso-width-relative:page;mso-height-relative:page;" filled="f" stroked="f" coordsize="21600,21600" o:gfxdata="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YmBzD1gAAAAoBAAAPAAAAAAAAAAEAIAAAACIAAABkcnMvZG93bnJldi54bWxQSwECFAAU&#10;AAAACACHTuJAefjG8LoBAAB1AwAADgAAAAAAAAABACAAAAAlAQAAZHJzL2Uyb0RvYy54bWxQSwUG&#10;AAAAAAYABgBZAQAAUQUAAAAA&#10;">
                <v:fill on="f" focussize="0,0"/>
                <v:stroke on="f"/>
                <v:imagedata o:title=""/>
                <o:lock v:ext="edit" aspectratio="f"/>
                <v:textbox inset="0mm,0mm,0mm,0mm">
                  <w:txbxContent>
                    <w:p w14:paraId="0920799E">
                      <w:pPr>
                        <w:spacing w:before="20" w:line="323"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v:textbox>
              </v:shape>
            </w:pict>
          </mc:Fallback>
        </mc:AlternateContent>
      </w:r>
      <w:r>
        <w:drawing>
          <wp:anchor distT="0" distB="0" distL="0" distR="0" simplePos="0" relativeHeight="251688960" behindDoc="1" locked="0" layoutInCell="1" allowOverlap="1">
            <wp:simplePos x="0" y="0"/>
            <wp:positionH relativeFrom="column">
              <wp:posOffset>871220</wp:posOffset>
            </wp:positionH>
            <wp:positionV relativeFrom="paragraph">
              <wp:posOffset>95250</wp:posOffset>
            </wp:positionV>
            <wp:extent cx="1367790" cy="675640"/>
            <wp:effectExtent l="0" t="0" r="3810" b="635"/>
            <wp:wrapNone/>
            <wp:docPr id="43" name="IM 42"/>
            <wp:cNvGraphicFramePr/>
            <a:graphic xmlns:a="http://schemas.openxmlformats.org/drawingml/2006/main">
              <a:graphicData uri="http://schemas.openxmlformats.org/drawingml/2006/picture">
                <pic:pic xmlns:pic="http://schemas.openxmlformats.org/drawingml/2006/picture">
                  <pic:nvPicPr>
                    <pic:cNvPr id="43" name="IM 42"/>
                    <pic:cNvPicPr/>
                  </pic:nvPicPr>
                  <pic:blipFill>
                    <a:blip r:embed="rId60"/>
                    <a:stretch>
                      <a:fillRect/>
                    </a:stretch>
                  </pic:blipFill>
                  <pic:spPr>
                    <a:xfrm>
                      <a:off x="0" y="0"/>
                      <a:ext cx="1368031" cy="675589"/>
                    </a:xfrm>
                    <a:prstGeom prst="rect">
                      <a:avLst/>
                    </a:prstGeom>
                  </pic:spPr>
                </pic:pic>
              </a:graphicData>
            </a:graphic>
          </wp:anchor>
        </w:drawing>
      </w:r>
      <w:r>
        <w:drawing>
          <wp:anchor distT="0" distB="0" distL="0" distR="0" simplePos="0" relativeHeight="251692032" behindDoc="1" locked="0" layoutInCell="1" allowOverlap="1">
            <wp:simplePos x="0" y="0"/>
            <wp:positionH relativeFrom="column">
              <wp:posOffset>763270</wp:posOffset>
            </wp:positionH>
            <wp:positionV relativeFrom="paragraph">
              <wp:posOffset>568960</wp:posOffset>
            </wp:positionV>
            <wp:extent cx="233045" cy="245110"/>
            <wp:effectExtent l="0" t="0" r="5080" b="254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1"/>
                    <a:stretch>
                      <a:fillRect/>
                    </a:stretch>
                  </pic:blipFill>
                  <pic:spPr>
                    <a:xfrm>
                      <a:off x="0" y="0"/>
                      <a:ext cx="233197" cy="244969"/>
                    </a:xfrm>
                    <a:prstGeom prst="rect">
                      <a:avLst/>
                    </a:prstGeom>
                  </pic:spPr>
                </pic:pic>
              </a:graphicData>
            </a:graphic>
          </wp:anchor>
        </w:drawing>
      </w:r>
      <w:r>
        <w:drawing>
          <wp:anchor distT="0" distB="0" distL="0" distR="0" simplePos="0" relativeHeight="251687936" behindDoc="1" locked="0" layoutInCell="1" allowOverlap="1">
            <wp:simplePos x="0" y="0"/>
            <wp:positionH relativeFrom="column">
              <wp:posOffset>658495</wp:posOffset>
            </wp:positionH>
            <wp:positionV relativeFrom="paragraph">
              <wp:posOffset>664210</wp:posOffset>
            </wp:positionV>
            <wp:extent cx="233045" cy="245110"/>
            <wp:effectExtent l="0" t="0" r="5080" b="254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1"/>
                    <a:stretch>
                      <a:fillRect/>
                    </a:stretch>
                  </pic:blipFill>
                  <pic:spPr>
                    <a:xfrm>
                      <a:off x="0" y="0"/>
                      <a:ext cx="233197" cy="244969"/>
                    </a:xfrm>
                    <a:prstGeom prst="rect">
                      <a:avLst/>
                    </a:prstGeom>
                  </pic:spPr>
                </pic:pic>
              </a:graphicData>
            </a:graphic>
          </wp:anchor>
        </w:drawing>
      </w:r>
      <w:r>
        <w:rPr>
          <w:position w:val="-21"/>
        </w:rPr>
        <mc:AlternateContent>
          <mc:Choice Requires="wpg">
            <w:drawing>
              <wp:inline distT="0" distB="0" distL="114300" distR="114300">
                <wp:extent cx="1368425" cy="675640"/>
                <wp:effectExtent l="12700" t="3175" r="19050" b="16510"/>
                <wp:docPr id="93" name="组合 93"/>
                <wp:cNvGraphicFramePr/>
                <a:graphic xmlns:a="http://schemas.openxmlformats.org/drawingml/2006/main">
                  <a:graphicData uri="http://schemas.microsoft.com/office/word/2010/wordprocessingGroup">
                    <wpg:wgp>
                      <wpg:cNvGrpSpPr/>
                      <wpg:grpSpPr>
                        <a:xfrm>
                          <a:off x="0" y="0"/>
                          <a:ext cx="1368425" cy="675640"/>
                          <a:chOff x="0" y="0"/>
                          <a:chExt cx="2155" cy="1064"/>
                        </a:xfrm>
                      </wpg:grpSpPr>
                      <pic:pic xmlns:pic="http://schemas.openxmlformats.org/drawingml/2006/picture">
                        <pic:nvPicPr>
                          <pic:cNvPr id="89" name="图片 19"/>
                          <pic:cNvPicPr>
                            <a:picLocks noChangeAspect="1"/>
                          </pic:cNvPicPr>
                        </pic:nvPicPr>
                        <pic:blipFill>
                          <a:blip r:embed="rId62"/>
                          <a:stretch>
                            <a:fillRect/>
                          </a:stretch>
                        </pic:blipFill>
                        <pic:spPr>
                          <a:xfrm>
                            <a:off x="0" y="0"/>
                            <a:ext cx="2155" cy="1064"/>
                          </a:xfrm>
                          <a:prstGeom prst="rect">
                            <a:avLst/>
                          </a:prstGeom>
                          <a:noFill/>
                          <a:ln>
                            <a:noFill/>
                          </a:ln>
                        </pic:spPr>
                      </pic:pic>
                      <wps:wsp>
                        <wps:cNvPr id="91" name="文本框 91"/>
                        <wps:cNvSpPr txBox="1"/>
                        <wps:spPr>
                          <a:xfrm>
                            <a:off x="-20" y="-20"/>
                            <a:ext cx="2195" cy="1104"/>
                          </a:xfrm>
                          <a:prstGeom prst="rect">
                            <a:avLst/>
                          </a:prstGeom>
                          <a:noFill/>
                          <a:ln>
                            <a:noFill/>
                          </a:ln>
                        </wps:spPr>
                        <wps:txbx>
                          <w:txbxContent>
                            <w:p w14:paraId="0FCAF427">
                              <w:pPr>
                                <w:spacing w:before="198"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wps:txbx>
                        <wps:bodyPr lIns="0" tIns="0" rIns="0" bIns="0" upright="1"/>
                      </wps:wsp>
                    </wpg:wgp>
                  </a:graphicData>
                </a:graphic>
              </wp:inline>
            </w:drawing>
          </mc:Choice>
          <mc:Fallback>
            <w:pict>
              <v:group id="_x0000_s1026" o:spid="_x0000_s1026" o:spt="203" style="height:53.2pt;width:107.75pt;" coordsize="2155,1064" o:gfxdata="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">
                <o:lock v:ext="edit" aspectratio="f"/>
                <v:shape id="图片 19" o:spid="_x0000_s1026" o:spt="75" type="#_x0000_t75" style="position:absolute;left:0;top:0;height:1064;width:2155;" filled="f" o:preferrelative="t" stroked="f" coordsize="21600,21600" o:gfxdata="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b+g+8AAAA&#10;2wAAAA8AAAAAAAAAAQAgAAAAIgAAAGRycy9kb3ducmV2LnhtbFBLAQIUABQAAAAIAIdO4kAzLwWe&#10;OwAAADkAAAAQAAAAAAAAAAEAIAAAAAsBAABkcnMvc2hhcGV4bWwueG1sUEsFBgAAAAAGAAYAWwEA&#10;ALUDAAAAAA==&#10;">
                  <v:fill on="f" focussize="0,0"/>
                  <v:stroke on="f"/>
                  <v:imagedata r:id="rId62" o:title=""/>
                  <o:lock v:ext="edit" aspectratio="t"/>
                </v:shape>
                <v:shape id="_x0000_s1026" o:spid="_x0000_s1026" o:spt="202" type="#_x0000_t202" style="position:absolute;left:-20;top:-20;height:1104;width:2195;"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FCAF427">
                        <w:pPr>
                          <w:spacing w:before="198" w:line="220" w:lineRule="auto"/>
                          <w:ind w:left="995"/>
                          <w:rPr>
                            <w:rFonts w:ascii="宋体" w:hAnsi="宋体" w:eastAsia="宋体" w:cs="宋体"/>
                            <w:sz w:val="24"/>
                            <w:szCs w:val="24"/>
                          </w:rPr>
                        </w:pPr>
                        <w:r>
                          <w:rPr>
                            <w:rFonts w:ascii="宋体" w:hAnsi="宋体" w:eastAsia="宋体" w:cs="宋体"/>
                            <w:b/>
                            <w:bCs/>
                            <w:color w:val="FF0000"/>
                            <w:spacing w:val="-5"/>
                            <w:sz w:val="24"/>
                            <w:szCs w:val="24"/>
                          </w:rPr>
                          <w:t>建设项目</w:t>
                        </w:r>
                      </w:p>
                    </w:txbxContent>
                  </v:textbox>
                </v:shape>
                <w10:wrap type="none"/>
                <w10:anchorlock/>
              </v:group>
            </w:pict>
          </mc:Fallback>
        </mc:AlternateContent>
      </w:r>
    </w:p>
    <w:p w14:paraId="28D3C6CD">
      <w:pPr>
        <w:pStyle w:val="7"/>
        <w:spacing w:line="241" w:lineRule="auto"/>
      </w:pPr>
    </w:p>
    <w:p w14:paraId="716F78D0">
      <w:pPr>
        <w:pStyle w:val="7"/>
        <w:spacing w:line="241" w:lineRule="auto"/>
      </w:pPr>
    </w:p>
    <w:p w14:paraId="77B6E297">
      <w:pPr>
        <w:pStyle w:val="7"/>
        <w:spacing w:line="241" w:lineRule="auto"/>
      </w:pPr>
    </w:p>
    <w:p w14:paraId="08494E27">
      <w:pPr>
        <w:pStyle w:val="7"/>
        <w:spacing w:line="241" w:lineRule="auto"/>
      </w:pPr>
    </w:p>
    <w:p w14:paraId="167022DF">
      <w:pPr>
        <w:pStyle w:val="7"/>
        <w:spacing w:line="241" w:lineRule="auto"/>
      </w:pPr>
    </w:p>
    <w:p w14:paraId="1D3525ED">
      <w:pPr>
        <w:pStyle w:val="7"/>
        <w:spacing w:line="241" w:lineRule="auto"/>
      </w:pPr>
    </w:p>
    <w:p w14:paraId="16367559">
      <w:pPr>
        <w:pStyle w:val="7"/>
        <w:spacing w:line="241" w:lineRule="auto"/>
      </w:pPr>
    </w:p>
    <w:p w14:paraId="7E5D7453">
      <w:pPr>
        <w:pStyle w:val="7"/>
        <w:spacing w:line="241" w:lineRule="auto"/>
      </w:pPr>
    </w:p>
    <w:p w14:paraId="27B56724">
      <w:pPr>
        <w:spacing w:before="78" w:line="221" w:lineRule="auto"/>
        <w:ind w:left="3246"/>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3"/>
          <w:sz w:val="24"/>
          <w:szCs w:val="24"/>
        </w:rPr>
        <w:t xml:space="preserve"> </w:t>
      </w:r>
      <w:r>
        <w:rPr>
          <w:rFonts w:ascii="Times New Roman" w:hAnsi="Times New Roman" w:eastAsia="Times New Roman" w:cs="Times New Roman"/>
          <w:b/>
          <w:bCs/>
          <w:spacing w:val="-4"/>
          <w:sz w:val="24"/>
          <w:szCs w:val="24"/>
        </w:rPr>
        <w:t xml:space="preserve">2.1-1    </w:t>
      </w:r>
      <w:r>
        <w:rPr>
          <w:rFonts w:ascii="宋体" w:hAnsi="宋体" w:eastAsia="宋体" w:cs="宋体"/>
          <w:b/>
          <w:bCs/>
          <w:spacing w:val="-4"/>
          <w:sz w:val="24"/>
          <w:szCs w:val="24"/>
        </w:rPr>
        <w:t>地理位置图</w:t>
      </w:r>
    </w:p>
    <w:p w14:paraId="157F7BAD">
      <w:pPr>
        <w:spacing w:line="221" w:lineRule="auto"/>
        <w:rPr>
          <w:rFonts w:ascii="宋体" w:hAnsi="宋体" w:eastAsia="宋体" w:cs="宋体"/>
          <w:sz w:val="24"/>
          <w:szCs w:val="24"/>
        </w:rPr>
        <w:sectPr>
          <w:headerReference r:id="rId14" w:type="default"/>
          <w:pgSz w:w="11906" w:h="16839"/>
          <w:pgMar w:top="400" w:right="1492" w:bottom="0" w:left="1615" w:header="0" w:footer="0" w:gutter="0"/>
          <w:cols w:space="720" w:num="1"/>
        </w:sectPr>
      </w:pPr>
    </w:p>
    <w:p w14:paraId="167D2DA6">
      <w:pPr>
        <w:pStyle w:val="7"/>
        <w:spacing w:line="249" w:lineRule="auto"/>
      </w:pPr>
    </w:p>
    <w:p w14:paraId="6FD577A0">
      <w:pPr>
        <w:pStyle w:val="7"/>
        <w:spacing w:line="249" w:lineRule="auto"/>
      </w:pPr>
    </w:p>
    <w:p w14:paraId="4A6C7DEE">
      <w:pPr>
        <w:pStyle w:val="7"/>
        <w:spacing w:line="249" w:lineRule="auto"/>
      </w:pPr>
    </w:p>
    <w:p w14:paraId="3985A927">
      <w:pPr>
        <w:pStyle w:val="7"/>
        <w:spacing w:line="249" w:lineRule="auto"/>
      </w:pPr>
    </w:p>
    <w:p w14:paraId="46912E6E">
      <w:pPr>
        <w:pStyle w:val="7"/>
        <w:spacing w:line="250" w:lineRule="auto"/>
      </w:pPr>
    </w:p>
    <w:p w14:paraId="711CAC5A">
      <w:pPr>
        <w:spacing w:line="11772" w:lineRule="exact"/>
      </w:pPr>
      <w:r>
        <mc:AlternateContent>
          <mc:Choice Requires="wps">
            <w:drawing>
              <wp:anchor distT="0" distB="0" distL="0" distR="0" simplePos="0" relativeHeight="251693056" behindDoc="0" locked="0" layoutInCell="1" allowOverlap="1">
                <wp:simplePos x="0" y="0"/>
                <wp:positionH relativeFrom="column">
                  <wp:posOffset>4572635</wp:posOffset>
                </wp:positionH>
                <wp:positionV relativeFrom="paragraph">
                  <wp:posOffset>3529330</wp:posOffset>
                </wp:positionV>
                <wp:extent cx="1049020" cy="238125"/>
                <wp:effectExtent l="405765" t="0" r="0" b="0"/>
                <wp:wrapNone/>
                <wp:docPr id="47" name="TextBox 48"/>
                <wp:cNvGraphicFramePr/>
                <a:graphic xmlns:a="http://schemas.openxmlformats.org/drawingml/2006/main">
                  <a:graphicData uri="http://schemas.microsoft.com/office/word/2010/wordprocessingShape">
                    <wps:wsp>
                      <wps:cNvSpPr txBox="1"/>
                      <wps:spPr>
                        <a:xfrm rot="16200000">
                          <a:off x="4572727" y="3529712"/>
                          <a:ext cx="1049019"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2B6410">
                            <w:pPr>
                              <w:spacing w:before="66" w:line="221" w:lineRule="auto"/>
                              <w:jc w:val="right"/>
                              <w:outlineLvl w:val="0"/>
                              <w:rPr>
                                <w:rFonts w:ascii="宋体" w:hAnsi="宋体" w:eastAsia="宋体" w:cs="宋体"/>
                                <w:sz w:val="24"/>
                                <w:szCs w:val="24"/>
                              </w:rPr>
                            </w:pPr>
                            <w:r>
                              <w:rPr>
                                <w:rFonts w:ascii="宋体" w:hAnsi="宋体" w:eastAsia="宋体" w:cs="宋体"/>
                                <w:b/>
                                <w:bCs/>
                                <w:spacing w:val="-7"/>
                                <w:sz w:val="24"/>
                                <w:szCs w:val="24"/>
                              </w:rPr>
                              <w:t>图</w:t>
                            </w:r>
                            <w:r>
                              <w:rPr>
                                <w:rFonts w:ascii="宋体" w:hAnsi="宋体" w:eastAsia="宋体" w:cs="宋体"/>
                                <w:spacing w:val="-51"/>
                                <w:sz w:val="24"/>
                                <w:szCs w:val="24"/>
                              </w:rPr>
                              <w:t xml:space="preserve"> </w:t>
                            </w:r>
                            <w:r>
                              <w:rPr>
                                <w:rFonts w:ascii="Times New Roman" w:hAnsi="Times New Roman" w:eastAsia="Times New Roman" w:cs="Times New Roman"/>
                                <w:b/>
                                <w:bCs/>
                                <w:spacing w:val="-7"/>
                                <w:sz w:val="24"/>
                                <w:szCs w:val="24"/>
                              </w:rPr>
                              <w:t>2.1-2</w:t>
                            </w:r>
                            <w:r>
                              <w:rPr>
                                <w:rFonts w:ascii="Times New Roman" w:hAnsi="Times New Roman" w:eastAsia="Times New Roman" w:cs="Times New Roman"/>
                                <w:b/>
                                <w:bCs/>
                                <w:spacing w:val="7"/>
                                <w:sz w:val="24"/>
                                <w:szCs w:val="24"/>
                              </w:rPr>
                              <w:t xml:space="preserve">  </w:t>
                            </w:r>
                            <w:r>
                              <w:rPr>
                                <w:rFonts w:ascii="宋体" w:hAnsi="宋体" w:eastAsia="宋体" w:cs="宋体"/>
                                <w:b/>
                                <w:bCs/>
                                <w:spacing w:val="-7"/>
                                <w:sz w:val="24"/>
                                <w:szCs w:val="24"/>
                              </w:rPr>
                              <w:t>卫星图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360.05pt;margin-top:277.9pt;height:18.75pt;width:82.6pt;rotation:-5898240f;z-index:251693056;mso-width-relative:page;mso-height-relative:page;" filled="f" stroked="f" coordsize="21600,21600" o:gfxdata="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v80sjZAAAACwEA&#10;AA8AAAAAAAAAAQAgAAAAIgAAAGRycy9kb3ducmV2LnhtbFBLAQIUABQAAAAIAIdO4kD6nu5jUgIA&#10;AKQEAAAOAAAAAAAAAAEAIAAAACgBAABkcnMvZTJvRG9jLnhtbFBLBQYAAAAABgAGAFkBAADsBQAA&#10;AAA=&#10;">
                <v:fill on="f" focussize="0,0"/>
                <v:stroke on="f" weight="0pt" miterlimit="0" joinstyle="miter"/>
                <v:imagedata o:title=""/>
                <o:lock v:ext="edit" aspectratio="f"/>
                <v:textbox inset="0mm,0mm,0mm,0mm">
                  <w:txbxContent>
                    <w:p w14:paraId="182B6410">
                      <w:pPr>
                        <w:spacing w:before="66" w:line="221" w:lineRule="auto"/>
                        <w:jc w:val="right"/>
                        <w:outlineLvl w:val="0"/>
                        <w:rPr>
                          <w:rFonts w:ascii="宋体" w:hAnsi="宋体" w:eastAsia="宋体" w:cs="宋体"/>
                          <w:sz w:val="24"/>
                          <w:szCs w:val="24"/>
                        </w:rPr>
                      </w:pPr>
                      <w:r>
                        <w:rPr>
                          <w:rFonts w:ascii="宋体" w:hAnsi="宋体" w:eastAsia="宋体" w:cs="宋体"/>
                          <w:b/>
                          <w:bCs/>
                          <w:spacing w:val="-7"/>
                          <w:sz w:val="24"/>
                          <w:szCs w:val="24"/>
                        </w:rPr>
                        <w:t>图</w:t>
                      </w:r>
                      <w:r>
                        <w:rPr>
                          <w:rFonts w:ascii="宋体" w:hAnsi="宋体" w:eastAsia="宋体" w:cs="宋体"/>
                          <w:spacing w:val="-51"/>
                          <w:sz w:val="24"/>
                          <w:szCs w:val="24"/>
                        </w:rPr>
                        <w:t xml:space="preserve"> </w:t>
                      </w:r>
                      <w:r>
                        <w:rPr>
                          <w:rFonts w:ascii="Times New Roman" w:hAnsi="Times New Roman" w:eastAsia="Times New Roman" w:cs="Times New Roman"/>
                          <w:b/>
                          <w:bCs/>
                          <w:spacing w:val="-7"/>
                          <w:sz w:val="24"/>
                          <w:szCs w:val="24"/>
                        </w:rPr>
                        <w:t>2.1-2</w:t>
                      </w:r>
                      <w:r>
                        <w:rPr>
                          <w:rFonts w:ascii="Times New Roman" w:hAnsi="Times New Roman" w:eastAsia="Times New Roman" w:cs="Times New Roman"/>
                          <w:b/>
                          <w:bCs/>
                          <w:spacing w:val="7"/>
                          <w:sz w:val="24"/>
                          <w:szCs w:val="24"/>
                        </w:rPr>
                        <w:t xml:space="preserve">  </w:t>
                      </w:r>
                      <w:r>
                        <w:rPr>
                          <w:rFonts w:ascii="宋体" w:hAnsi="宋体" w:eastAsia="宋体" w:cs="宋体"/>
                          <w:b/>
                          <w:bCs/>
                          <w:spacing w:val="-7"/>
                          <w:sz w:val="24"/>
                          <w:szCs w:val="24"/>
                        </w:rPr>
                        <w:t>卫星图</w:t>
                      </w:r>
                    </w:p>
                  </w:txbxContent>
                </v:textbox>
              </v:shape>
            </w:pict>
          </mc:Fallback>
        </mc:AlternateContent>
      </w:r>
      <w:r>
        <w:rPr>
          <w:position w:val="-235"/>
        </w:rPr>
        <w:drawing>
          <wp:inline distT="0" distB="0" distL="0" distR="0">
            <wp:extent cx="4911725" cy="7474585"/>
            <wp:effectExtent l="0" t="0" r="3175" b="254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3"/>
                    <a:stretch>
                      <a:fillRect/>
                    </a:stretch>
                  </pic:blipFill>
                  <pic:spPr>
                    <a:xfrm>
                      <a:off x="0" y="0"/>
                      <a:ext cx="4911852" cy="7475219"/>
                    </a:xfrm>
                    <a:prstGeom prst="rect">
                      <a:avLst/>
                    </a:prstGeom>
                  </pic:spPr>
                </pic:pic>
              </a:graphicData>
            </a:graphic>
          </wp:inline>
        </w:drawing>
      </w:r>
    </w:p>
    <w:p w14:paraId="02DA917F">
      <w:pPr>
        <w:spacing w:line="11772" w:lineRule="exact"/>
        <w:sectPr>
          <w:headerReference r:id="rId15" w:type="default"/>
          <w:pgSz w:w="11906" w:h="16839"/>
          <w:pgMar w:top="400" w:right="1785" w:bottom="0" w:left="1303" w:header="0" w:footer="0" w:gutter="0"/>
          <w:cols w:space="720" w:num="1"/>
        </w:sectPr>
      </w:pPr>
    </w:p>
    <w:p w14:paraId="5F2E3003">
      <w:pPr>
        <w:pStyle w:val="7"/>
        <w:spacing w:line="245" w:lineRule="auto"/>
      </w:pPr>
    </w:p>
    <w:p w14:paraId="072EF280">
      <w:pPr>
        <w:pStyle w:val="7"/>
        <w:spacing w:line="245" w:lineRule="auto"/>
      </w:pPr>
    </w:p>
    <w:p w14:paraId="231A7BD9">
      <w:pPr>
        <w:pStyle w:val="7"/>
        <w:spacing w:line="246" w:lineRule="auto"/>
      </w:pPr>
    </w:p>
    <w:p w14:paraId="0E599867">
      <w:pPr>
        <w:pStyle w:val="7"/>
        <w:spacing w:line="246" w:lineRule="auto"/>
      </w:pPr>
      <w:r>
        <w:drawing>
          <wp:anchor distT="0" distB="0" distL="0" distR="0" simplePos="0" relativeHeight="251694080" behindDoc="1" locked="0" layoutInCell="1" allowOverlap="1">
            <wp:simplePos x="0" y="0"/>
            <wp:positionH relativeFrom="column">
              <wp:posOffset>463550</wp:posOffset>
            </wp:positionH>
            <wp:positionV relativeFrom="paragraph">
              <wp:posOffset>30480</wp:posOffset>
            </wp:positionV>
            <wp:extent cx="6719570" cy="4983480"/>
            <wp:effectExtent l="0" t="0" r="5080" b="7620"/>
            <wp:wrapNone/>
            <wp:docPr id="51" name="IM 54"/>
            <wp:cNvGraphicFramePr/>
            <a:graphic xmlns:a="http://schemas.openxmlformats.org/drawingml/2006/main">
              <a:graphicData uri="http://schemas.openxmlformats.org/drawingml/2006/picture">
                <pic:pic xmlns:pic="http://schemas.openxmlformats.org/drawingml/2006/picture">
                  <pic:nvPicPr>
                    <pic:cNvPr id="51" name="IM 54"/>
                    <pic:cNvPicPr/>
                  </pic:nvPicPr>
                  <pic:blipFill>
                    <a:blip r:embed="rId64"/>
                    <a:stretch>
                      <a:fillRect/>
                    </a:stretch>
                  </pic:blipFill>
                  <pic:spPr>
                    <a:xfrm>
                      <a:off x="0" y="0"/>
                      <a:ext cx="6719316" cy="4983479"/>
                    </a:xfrm>
                    <a:prstGeom prst="rect">
                      <a:avLst/>
                    </a:prstGeom>
                  </pic:spPr>
                </pic:pic>
              </a:graphicData>
            </a:graphic>
          </wp:anchor>
        </w:drawing>
      </w:r>
    </w:p>
    <w:p w14:paraId="1F9DDEA9">
      <w:pPr>
        <w:pStyle w:val="7"/>
        <w:spacing w:line="246" w:lineRule="auto"/>
      </w:pPr>
    </w:p>
    <w:p w14:paraId="16D9C76D">
      <w:pPr>
        <w:pStyle w:val="7"/>
        <w:spacing w:line="246" w:lineRule="auto"/>
      </w:pPr>
    </w:p>
    <w:p w14:paraId="76490FD4">
      <w:pPr>
        <w:pStyle w:val="7"/>
        <w:spacing w:line="246" w:lineRule="auto"/>
      </w:pPr>
    </w:p>
    <w:p w14:paraId="5B4D0415">
      <w:pPr>
        <w:spacing w:line="1829" w:lineRule="exact"/>
        <w:ind w:firstLine="9390"/>
      </w:pPr>
      <w:r>
        <w:rPr>
          <w:position w:val="-36"/>
        </w:rPr>
        <w:drawing>
          <wp:inline distT="0" distB="0" distL="0" distR="0">
            <wp:extent cx="924560" cy="1160780"/>
            <wp:effectExtent l="0" t="0" r="8890" b="1270"/>
            <wp:docPr id="49" name="IM 52"/>
            <wp:cNvGraphicFramePr/>
            <a:graphic xmlns:a="http://schemas.openxmlformats.org/drawingml/2006/main">
              <a:graphicData uri="http://schemas.openxmlformats.org/drawingml/2006/picture">
                <pic:pic xmlns:pic="http://schemas.openxmlformats.org/drawingml/2006/picture">
                  <pic:nvPicPr>
                    <pic:cNvPr id="49" name="IM 52"/>
                    <pic:cNvPicPr/>
                  </pic:nvPicPr>
                  <pic:blipFill>
                    <a:blip r:embed="rId55"/>
                    <a:stretch>
                      <a:fillRect/>
                    </a:stretch>
                  </pic:blipFill>
                  <pic:spPr>
                    <a:xfrm>
                      <a:off x="0" y="0"/>
                      <a:ext cx="925068" cy="1161288"/>
                    </a:xfrm>
                    <a:prstGeom prst="rect">
                      <a:avLst/>
                    </a:prstGeom>
                  </pic:spPr>
                </pic:pic>
              </a:graphicData>
            </a:graphic>
          </wp:inline>
        </w:drawing>
      </w:r>
    </w:p>
    <w:p w14:paraId="1E8DB989">
      <w:pPr>
        <w:pStyle w:val="7"/>
        <w:spacing w:line="248" w:lineRule="auto"/>
      </w:pPr>
    </w:p>
    <w:p w14:paraId="4A98C964">
      <w:pPr>
        <w:pStyle w:val="7"/>
        <w:spacing w:line="248" w:lineRule="auto"/>
      </w:pPr>
    </w:p>
    <w:p w14:paraId="46853C83">
      <w:pPr>
        <w:pStyle w:val="7"/>
        <w:spacing w:line="248" w:lineRule="auto"/>
      </w:pPr>
    </w:p>
    <w:p w14:paraId="3655C146">
      <w:pPr>
        <w:pStyle w:val="7"/>
        <w:spacing w:line="249" w:lineRule="auto"/>
      </w:pPr>
    </w:p>
    <w:p w14:paraId="5919B6E3">
      <w:pPr>
        <w:pStyle w:val="7"/>
        <w:spacing w:line="249" w:lineRule="auto"/>
      </w:pPr>
    </w:p>
    <w:p w14:paraId="783938F9">
      <w:pPr>
        <w:spacing w:before="78" w:line="219" w:lineRule="auto"/>
        <w:ind w:left="4320"/>
        <w:outlineLvl w:val="0"/>
        <w:rPr>
          <w:rFonts w:ascii="宋体" w:hAnsi="宋体" w:eastAsia="宋体" w:cs="宋体"/>
          <w:b/>
          <w:bCs/>
          <w:spacing w:val="-4"/>
          <w:sz w:val="24"/>
          <w:szCs w:val="24"/>
        </w:rPr>
      </w:pPr>
    </w:p>
    <w:p w14:paraId="7152E1EF">
      <w:pPr>
        <w:spacing w:before="78" w:line="219" w:lineRule="auto"/>
        <w:ind w:left="4320"/>
        <w:outlineLvl w:val="0"/>
        <w:rPr>
          <w:rFonts w:ascii="宋体" w:hAnsi="宋体" w:eastAsia="宋体" w:cs="宋体"/>
          <w:b/>
          <w:bCs/>
          <w:spacing w:val="-4"/>
          <w:sz w:val="24"/>
          <w:szCs w:val="24"/>
        </w:rPr>
      </w:pPr>
    </w:p>
    <w:p w14:paraId="26CF360B">
      <w:pPr>
        <w:spacing w:before="78" w:line="219" w:lineRule="auto"/>
        <w:ind w:left="4320"/>
        <w:outlineLvl w:val="0"/>
        <w:rPr>
          <w:rFonts w:ascii="宋体" w:hAnsi="宋体" w:eastAsia="宋体" w:cs="宋体"/>
          <w:b/>
          <w:bCs/>
          <w:spacing w:val="-4"/>
          <w:sz w:val="24"/>
          <w:szCs w:val="24"/>
        </w:rPr>
      </w:pPr>
    </w:p>
    <w:p w14:paraId="0BD4607C">
      <w:pPr>
        <w:spacing w:before="78" w:line="219" w:lineRule="auto"/>
        <w:ind w:left="4320"/>
        <w:outlineLvl w:val="0"/>
        <w:rPr>
          <w:rFonts w:ascii="宋体" w:hAnsi="宋体" w:eastAsia="宋体" w:cs="宋体"/>
          <w:b/>
          <w:bCs/>
          <w:spacing w:val="-4"/>
          <w:sz w:val="24"/>
          <w:szCs w:val="24"/>
        </w:rPr>
      </w:pPr>
    </w:p>
    <w:p w14:paraId="59DE7C39">
      <w:pPr>
        <w:spacing w:before="78" w:line="219" w:lineRule="auto"/>
        <w:ind w:left="4320"/>
        <w:outlineLvl w:val="0"/>
        <w:rPr>
          <w:rFonts w:ascii="宋体" w:hAnsi="宋体" w:eastAsia="宋体" w:cs="宋体"/>
          <w:b/>
          <w:bCs/>
          <w:spacing w:val="-4"/>
          <w:sz w:val="24"/>
          <w:szCs w:val="24"/>
        </w:rPr>
      </w:pPr>
    </w:p>
    <w:p w14:paraId="15C92C88">
      <w:pPr>
        <w:spacing w:before="78" w:line="219" w:lineRule="auto"/>
        <w:ind w:left="4320"/>
        <w:outlineLvl w:val="0"/>
        <w:rPr>
          <w:rFonts w:ascii="宋体" w:hAnsi="宋体" w:eastAsia="宋体" w:cs="宋体"/>
          <w:b/>
          <w:bCs/>
          <w:spacing w:val="-4"/>
          <w:sz w:val="24"/>
          <w:szCs w:val="24"/>
        </w:rPr>
      </w:pPr>
    </w:p>
    <w:p w14:paraId="4C9E20BE">
      <w:pPr>
        <w:spacing w:before="78" w:line="219" w:lineRule="auto"/>
        <w:ind w:left="4320"/>
        <w:outlineLvl w:val="0"/>
        <w:rPr>
          <w:rFonts w:ascii="宋体" w:hAnsi="宋体" w:eastAsia="宋体" w:cs="宋体"/>
          <w:b/>
          <w:bCs/>
          <w:spacing w:val="-4"/>
          <w:sz w:val="24"/>
          <w:szCs w:val="24"/>
        </w:rPr>
      </w:pPr>
    </w:p>
    <w:p w14:paraId="2AA5CC44">
      <w:pPr>
        <w:spacing w:before="78" w:line="219" w:lineRule="auto"/>
        <w:ind w:left="4320"/>
        <w:outlineLvl w:val="0"/>
        <w:rPr>
          <w:rFonts w:ascii="宋体" w:hAnsi="宋体" w:eastAsia="宋体" w:cs="宋体"/>
          <w:b/>
          <w:bCs/>
          <w:spacing w:val="-4"/>
          <w:sz w:val="24"/>
          <w:szCs w:val="24"/>
        </w:rPr>
      </w:pPr>
    </w:p>
    <w:p w14:paraId="7C8766D7">
      <w:pPr>
        <w:spacing w:before="78" w:line="219" w:lineRule="auto"/>
        <w:ind w:left="4320"/>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9"/>
          <w:sz w:val="24"/>
          <w:szCs w:val="24"/>
        </w:rPr>
        <w:t xml:space="preserve"> </w:t>
      </w:r>
      <w:r>
        <w:rPr>
          <w:rFonts w:ascii="Times New Roman" w:hAnsi="Times New Roman" w:eastAsia="Times New Roman" w:cs="Times New Roman"/>
          <w:b/>
          <w:bCs/>
          <w:spacing w:val="-4"/>
          <w:sz w:val="24"/>
          <w:szCs w:val="24"/>
        </w:rPr>
        <w:t xml:space="preserve">2.6-1  </w:t>
      </w:r>
      <w:r>
        <w:rPr>
          <w:rFonts w:ascii="宋体" w:hAnsi="宋体" w:eastAsia="宋体" w:cs="宋体"/>
          <w:b/>
          <w:bCs/>
          <w:spacing w:val="-4"/>
          <w:sz w:val="24"/>
          <w:szCs w:val="24"/>
        </w:rPr>
        <w:t>厂区总平布置图（</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w:t>
      </w:r>
    </w:p>
    <w:p w14:paraId="2D01F530">
      <w:pPr>
        <w:spacing w:line="219" w:lineRule="auto"/>
        <w:rPr>
          <w:rFonts w:ascii="宋体" w:hAnsi="宋体" w:eastAsia="宋体" w:cs="宋体"/>
          <w:sz w:val="24"/>
          <w:szCs w:val="24"/>
        </w:rPr>
        <w:sectPr>
          <w:pgSz w:w="16839" w:h="11906"/>
          <w:pgMar w:top="400" w:right="2525" w:bottom="0" w:left="2525" w:header="0" w:footer="0" w:gutter="0"/>
          <w:cols w:space="720" w:num="1"/>
        </w:sectPr>
      </w:pPr>
    </w:p>
    <w:p w14:paraId="4ED0FBCB">
      <w:pPr>
        <w:pStyle w:val="7"/>
        <w:spacing w:line="275" w:lineRule="auto"/>
      </w:pPr>
    </w:p>
    <w:p w14:paraId="00400DC0">
      <w:pPr>
        <w:pStyle w:val="7"/>
        <w:spacing w:line="275" w:lineRule="auto"/>
      </w:pPr>
    </w:p>
    <w:p w14:paraId="5BD9932C">
      <w:pPr>
        <w:pStyle w:val="7"/>
        <w:spacing w:line="276" w:lineRule="auto"/>
      </w:pPr>
    </w:p>
    <w:p w14:paraId="652D1B62">
      <w:pPr>
        <w:spacing w:line="7886" w:lineRule="exact"/>
      </w:pPr>
      <w:r>
        <w:rPr>
          <w:position w:val="-157"/>
        </w:rPr>
        <w:drawing>
          <wp:inline distT="0" distB="0" distL="0" distR="0">
            <wp:extent cx="8856980" cy="5007610"/>
            <wp:effectExtent l="0" t="0" r="1270" b="254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5"/>
                    <a:stretch>
                      <a:fillRect/>
                    </a:stretch>
                  </pic:blipFill>
                  <pic:spPr>
                    <a:xfrm>
                      <a:off x="0" y="0"/>
                      <a:ext cx="8857488" cy="5007863"/>
                    </a:xfrm>
                    <a:prstGeom prst="rect">
                      <a:avLst/>
                    </a:prstGeom>
                  </pic:spPr>
                </pic:pic>
              </a:graphicData>
            </a:graphic>
          </wp:inline>
        </w:drawing>
      </w:r>
    </w:p>
    <w:p w14:paraId="30684880">
      <w:pPr>
        <w:pStyle w:val="7"/>
        <w:spacing w:line="333" w:lineRule="auto"/>
      </w:pPr>
    </w:p>
    <w:p w14:paraId="433EC89E">
      <w:pPr>
        <w:spacing w:before="78" w:line="219" w:lineRule="auto"/>
        <w:ind w:left="5159"/>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9"/>
          <w:sz w:val="24"/>
          <w:szCs w:val="24"/>
        </w:rPr>
        <w:t xml:space="preserve"> </w:t>
      </w:r>
      <w:r>
        <w:rPr>
          <w:rFonts w:ascii="Times New Roman" w:hAnsi="Times New Roman" w:eastAsia="Times New Roman" w:cs="Times New Roman"/>
          <w:b/>
          <w:bCs/>
          <w:spacing w:val="-4"/>
          <w:sz w:val="24"/>
          <w:szCs w:val="24"/>
        </w:rPr>
        <w:t xml:space="preserve">2.6-1  </w:t>
      </w:r>
      <w:r>
        <w:rPr>
          <w:rFonts w:ascii="宋体" w:hAnsi="宋体" w:eastAsia="宋体" w:cs="宋体"/>
          <w:b/>
          <w:bCs/>
          <w:spacing w:val="-4"/>
          <w:sz w:val="24"/>
          <w:szCs w:val="24"/>
        </w:rPr>
        <w:t>厂区总平布置图（</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w:t>
      </w:r>
    </w:p>
    <w:p w14:paraId="76F08799">
      <w:pPr>
        <w:spacing w:line="219" w:lineRule="auto"/>
        <w:rPr>
          <w:rFonts w:ascii="宋体" w:hAnsi="宋体" w:eastAsia="宋体" w:cs="宋体"/>
          <w:sz w:val="24"/>
          <w:szCs w:val="24"/>
        </w:rPr>
        <w:sectPr>
          <w:pgSz w:w="16839" w:h="11906"/>
          <w:pgMar w:top="400" w:right="1202" w:bottom="0" w:left="1687" w:header="0" w:footer="0" w:gutter="0"/>
          <w:cols w:space="720" w:num="1"/>
        </w:sectPr>
      </w:pPr>
    </w:p>
    <w:p w14:paraId="4BC4F5F5">
      <w:pPr>
        <w:pStyle w:val="7"/>
        <w:spacing w:line="279" w:lineRule="auto"/>
      </w:pPr>
    </w:p>
    <w:p w14:paraId="693E4D42">
      <w:pPr>
        <w:pStyle w:val="7"/>
        <w:spacing w:line="279" w:lineRule="auto"/>
      </w:pPr>
    </w:p>
    <w:p w14:paraId="461C80FE">
      <w:pPr>
        <w:pStyle w:val="7"/>
        <w:spacing w:line="279" w:lineRule="auto"/>
      </w:pPr>
    </w:p>
    <w:p w14:paraId="7CDBD4A3">
      <w:pPr>
        <w:pStyle w:val="7"/>
        <w:spacing w:line="280" w:lineRule="auto"/>
      </w:pPr>
    </w:p>
    <w:p w14:paraId="287FB38F">
      <w:pPr>
        <w:pStyle w:val="7"/>
        <w:spacing w:line="280" w:lineRule="auto"/>
      </w:pPr>
    </w:p>
    <w:p w14:paraId="3BD74929">
      <w:pPr>
        <w:pStyle w:val="7"/>
        <w:spacing w:line="280" w:lineRule="auto"/>
      </w:pPr>
    </w:p>
    <w:p w14:paraId="644AA7A8">
      <w:pPr>
        <w:spacing w:line="11160" w:lineRule="exact"/>
        <w:ind w:firstLine="596"/>
      </w:pPr>
      <w:r>
        <mc:AlternateContent>
          <mc:Choice Requires="wps">
            <w:drawing>
              <wp:anchor distT="0" distB="0" distL="0" distR="0" simplePos="0" relativeHeight="251696128" behindDoc="0" locked="0" layoutInCell="1" allowOverlap="1">
                <wp:simplePos x="0" y="0"/>
                <wp:positionH relativeFrom="column">
                  <wp:posOffset>-378460</wp:posOffset>
                </wp:positionH>
                <wp:positionV relativeFrom="paragraph">
                  <wp:posOffset>3911600</wp:posOffset>
                </wp:positionV>
                <wp:extent cx="1353820" cy="236855"/>
                <wp:effectExtent l="558800" t="0" r="0" b="0"/>
                <wp:wrapNone/>
                <wp:docPr id="58" name="TextBox 58"/>
                <wp:cNvGraphicFramePr/>
                <a:graphic xmlns:a="http://schemas.openxmlformats.org/drawingml/2006/main">
                  <a:graphicData uri="http://schemas.microsoft.com/office/word/2010/wordprocessingShape">
                    <wps:wsp>
                      <wps:cNvSpPr txBox="1"/>
                      <wps:spPr>
                        <a:xfrm rot="5400000">
                          <a:off x="-379070" y="3912165"/>
                          <a:ext cx="1353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D9138B">
                            <w:pPr>
                              <w:spacing w:before="66" w:line="220" w:lineRule="auto"/>
                              <w:jc w:val="right"/>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4"/>
                                <w:sz w:val="24"/>
                                <w:szCs w:val="24"/>
                              </w:rPr>
                              <w:t xml:space="preserve">4.6-1  </w:t>
                            </w:r>
                            <w:r>
                              <w:rPr>
                                <w:rFonts w:ascii="宋体" w:hAnsi="宋体" w:eastAsia="宋体" w:cs="宋体"/>
                                <w:b/>
                                <w:bCs/>
                                <w:spacing w:val="-4"/>
                                <w:sz w:val="24"/>
                                <w:szCs w:val="24"/>
                              </w:rPr>
                              <w:t>分区防渗图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29.8pt;margin-top:308pt;height:18.65pt;width:106.6pt;rotation:5898240f;z-index:251696128;mso-width-relative:page;mso-height-relative:page;" filled="f" stroked="f" coordsize="21600,21600" o:gfxdata="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eDMp52AAAAAsBAAAP&#10;AAAAAAAAAAEAIAAAACIAAABkcnMvZG93bnJldi54bWxQSwECFAAUAAAACACHTuJApY4pTVECAACj&#10;BAAADgAAAAAAAAABACAAAAAnAQAAZHJzL2Uyb0RvYy54bWxQSwUGAAAAAAYABgBZAQAA6gUAAAAA&#10;">
                <v:fill on="f" focussize="0,0"/>
                <v:stroke on="f" weight="0pt" miterlimit="0" joinstyle="miter"/>
                <v:imagedata o:title=""/>
                <o:lock v:ext="edit" aspectratio="f"/>
                <v:textbox inset="0mm,0mm,0mm,0mm">
                  <w:txbxContent>
                    <w:p w14:paraId="5BD9138B">
                      <w:pPr>
                        <w:spacing w:before="66" w:line="220" w:lineRule="auto"/>
                        <w:jc w:val="right"/>
                        <w:outlineLvl w:val="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4"/>
                          <w:sz w:val="24"/>
                          <w:szCs w:val="24"/>
                        </w:rPr>
                        <w:t xml:space="preserve">4.6-1  </w:t>
                      </w:r>
                      <w:r>
                        <w:rPr>
                          <w:rFonts w:ascii="宋体" w:hAnsi="宋体" w:eastAsia="宋体" w:cs="宋体"/>
                          <w:b/>
                          <w:bCs/>
                          <w:spacing w:val="-4"/>
                          <w:sz w:val="24"/>
                          <w:szCs w:val="24"/>
                        </w:rPr>
                        <w:t>分区防渗图</w:t>
                      </w:r>
                    </w:p>
                  </w:txbxContent>
                </v:textbox>
              </v:shape>
            </w:pict>
          </mc:Fallback>
        </mc:AlternateContent>
      </w:r>
      <w:r>
        <w:rPr>
          <w:position w:val="-223"/>
        </w:rPr>
        <w:drawing>
          <wp:inline distT="0" distB="0" distL="0" distR="0">
            <wp:extent cx="5263515" cy="7086600"/>
            <wp:effectExtent l="0" t="0" r="381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6"/>
                    <a:stretch>
                      <a:fillRect/>
                    </a:stretch>
                  </pic:blipFill>
                  <pic:spPr>
                    <a:xfrm>
                      <a:off x="0" y="0"/>
                      <a:ext cx="5263896" cy="7086600"/>
                    </a:xfrm>
                    <a:prstGeom prst="rect">
                      <a:avLst/>
                    </a:prstGeom>
                  </pic:spPr>
                </pic:pic>
              </a:graphicData>
            </a:graphic>
          </wp:inline>
        </w:drawing>
      </w:r>
    </w:p>
    <w:p w14:paraId="33AF929A">
      <w:pPr>
        <w:spacing w:line="2032" w:lineRule="exact"/>
        <w:ind w:firstLine="726"/>
      </w:pPr>
      <w:r>
        <w:drawing>
          <wp:anchor distT="0" distB="0" distL="0" distR="0" simplePos="0" relativeHeight="251695104" behindDoc="0" locked="0" layoutInCell="1" allowOverlap="1">
            <wp:simplePos x="0" y="0"/>
            <wp:positionH relativeFrom="column">
              <wp:posOffset>4667250</wp:posOffset>
            </wp:positionH>
            <wp:positionV relativeFrom="paragraph">
              <wp:posOffset>409575</wp:posOffset>
            </wp:positionV>
            <wp:extent cx="1161415" cy="925195"/>
            <wp:effectExtent l="0" t="0" r="635" b="8255"/>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7"/>
                    <a:stretch>
                      <a:fillRect/>
                    </a:stretch>
                  </pic:blipFill>
                  <pic:spPr>
                    <a:xfrm>
                      <a:off x="0" y="0"/>
                      <a:ext cx="1161288" cy="925068"/>
                    </a:xfrm>
                    <a:prstGeom prst="rect">
                      <a:avLst/>
                    </a:prstGeom>
                  </pic:spPr>
                </pic:pic>
              </a:graphicData>
            </a:graphic>
          </wp:anchor>
        </w:drawing>
      </w:r>
      <w:r>
        <w:rPr>
          <w:position w:val="-40"/>
        </w:rPr>
        <w:drawing>
          <wp:inline distT="0" distB="0" distL="0" distR="0">
            <wp:extent cx="1462405" cy="1290320"/>
            <wp:effectExtent l="0" t="0" r="4445" b="5080"/>
            <wp:docPr id="53" name="IM 64"/>
            <wp:cNvGraphicFramePr/>
            <a:graphic xmlns:a="http://schemas.openxmlformats.org/drawingml/2006/main">
              <a:graphicData uri="http://schemas.openxmlformats.org/drawingml/2006/picture">
                <pic:pic xmlns:pic="http://schemas.openxmlformats.org/drawingml/2006/picture">
                  <pic:nvPicPr>
                    <pic:cNvPr id="53" name="IM 64"/>
                    <pic:cNvPicPr/>
                  </pic:nvPicPr>
                  <pic:blipFill>
                    <a:blip r:embed="rId68"/>
                    <a:stretch>
                      <a:fillRect/>
                    </a:stretch>
                  </pic:blipFill>
                  <pic:spPr>
                    <a:xfrm>
                      <a:off x="0" y="0"/>
                      <a:ext cx="1463039" cy="1290827"/>
                    </a:xfrm>
                    <a:prstGeom prst="rect">
                      <a:avLst/>
                    </a:prstGeom>
                  </pic:spPr>
                </pic:pic>
              </a:graphicData>
            </a:graphic>
          </wp:inline>
        </w:drawing>
      </w:r>
    </w:p>
    <w:p w14:paraId="4A14AE14">
      <w:pPr>
        <w:spacing w:line="2032" w:lineRule="exact"/>
        <w:sectPr>
          <w:pgSz w:w="11906" w:h="16839"/>
          <w:pgMar w:top="400" w:right="940" w:bottom="0" w:left="1785" w:header="0" w:footer="0" w:gutter="0"/>
          <w:cols w:space="720" w:num="1"/>
        </w:sectPr>
      </w:pPr>
    </w:p>
    <w:p w14:paraId="713A66D1">
      <w:pPr>
        <w:spacing w:line="16827" w:lineRule="exact"/>
      </w:pPr>
      <w:r>
        <w:rPr>
          <w:position w:val="-336"/>
        </w:rPr>
        <w:drawing>
          <wp:inline distT="0" distB="0" distL="0" distR="0">
            <wp:extent cx="7548880" cy="10685145"/>
            <wp:effectExtent l="0" t="0" r="4445" b="1905"/>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9"/>
                    <a:stretch>
                      <a:fillRect/>
                    </a:stretch>
                  </pic:blipFill>
                  <pic:spPr>
                    <a:xfrm>
                      <a:off x="0" y="0"/>
                      <a:ext cx="7548962" cy="10685298"/>
                    </a:xfrm>
                    <a:prstGeom prst="rect">
                      <a:avLst/>
                    </a:prstGeom>
                  </pic:spPr>
                </pic:pic>
              </a:graphicData>
            </a:graphic>
          </wp:inline>
        </w:drawing>
      </w:r>
    </w:p>
    <w:p w14:paraId="54B7A1E9">
      <w:pPr>
        <w:spacing w:line="16827" w:lineRule="exact"/>
        <w:sectPr>
          <w:footerReference r:id="rId16" w:type="default"/>
          <w:pgSz w:w="11900" w:h="16840"/>
          <w:pgMar w:top="1" w:right="5" w:bottom="1" w:left="5" w:header="0" w:footer="0" w:gutter="0"/>
          <w:cols w:space="720" w:num="1"/>
        </w:sectPr>
      </w:pPr>
    </w:p>
    <w:p w14:paraId="2C62C2CD">
      <w:pPr>
        <w:spacing w:line="16827" w:lineRule="exact"/>
      </w:pPr>
      <w:r>
        <w:rPr>
          <w:position w:val="-336"/>
        </w:rPr>
        <w:drawing>
          <wp:inline distT="0" distB="0" distL="0" distR="0">
            <wp:extent cx="7303770" cy="10685145"/>
            <wp:effectExtent l="0" t="0" r="1905" b="190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70"/>
                    <a:stretch>
                      <a:fillRect/>
                    </a:stretch>
                  </pic:blipFill>
                  <pic:spPr>
                    <a:xfrm>
                      <a:off x="0" y="0"/>
                      <a:ext cx="7303923" cy="10685298"/>
                    </a:xfrm>
                    <a:prstGeom prst="rect">
                      <a:avLst/>
                    </a:prstGeom>
                  </pic:spPr>
                </pic:pic>
              </a:graphicData>
            </a:graphic>
          </wp:inline>
        </w:drawing>
      </w:r>
    </w:p>
    <w:p w14:paraId="400620F1">
      <w:pPr>
        <w:spacing w:line="16827" w:lineRule="exact"/>
        <w:sectPr>
          <w:pgSz w:w="11900" w:h="16840"/>
          <w:pgMar w:top="1" w:right="198" w:bottom="1" w:left="198" w:header="0" w:footer="0" w:gutter="0"/>
          <w:cols w:space="720" w:num="1"/>
        </w:sectPr>
      </w:pPr>
    </w:p>
    <w:p w14:paraId="042DB017">
      <w:pPr>
        <w:spacing w:line="16827" w:lineRule="exact"/>
      </w:pPr>
      <w:r>
        <w:rPr>
          <w:position w:val="-336"/>
        </w:rPr>
        <w:drawing>
          <wp:inline distT="0" distB="0" distL="0" distR="0">
            <wp:extent cx="7210425" cy="10685145"/>
            <wp:effectExtent l="0" t="0" r="0" b="1905"/>
            <wp:docPr id="55" name="IM 70"/>
            <wp:cNvGraphicFramePr/>
            <a:graphic xmlns:a="http://schemas.openxmlformats.org/drawingml/2006/main">
              <a:graphicData uri="http://schemas.openxmlformats.org/drawingml/2006/picture">
                <pic:pic xmlns:pic="http://schemas.openxmlformats.org/drawingml/2006/picture">
                  <pic:nvPicPr>
                    <pic:cNvPr id="55" name="IM 70"/>
                    <pic:cNvPicPr/>
                  </pic:nvPicPr>
                  <pic:blipFill>
                    <a:blip r:embed="rId71"/>
                    <a:stretch>
                      <a:fillRect/>
                    </a:stretch>
                  </pic:blipFill>
                  <pic:spPr>
                    <a:xfrm>
                      <a:off x="0" y="0"/>
                      <a:ext cx="7210741" cy="10685298"/>
                    </a:xfrm>
                    <a:prstGeom prst="rect">
                      <a:avLst/>
                    </a:prstGeom>
                  </pic:spPr>
                </pic:pic>
              </a:graphicData>
            </a:graphic>
          </wp:inline>
        </w:drawing>
      </w:r>
    </w:p>
    <w:p w14:paraId="3E60CA6D">
      <w:pPr>
        <w:spacing w:line="16827" w:lineRule="exact"/>
        <w:sectPr>
          <w:pgSz w:w="11900" w:h="16840"/>
          <w:pgMar w:top="1" w:right="272" w:bottom="1" w:left="272" w:header="0" w:footer="0" w:gutter="0"/>
          <w:cols w:space="720" w:num="1"/>
        </w:sectPr>
      </w:pPr>
    </w:p>
    <w:p w14:paraId="1B41442C">
      <w:pPr>
        <w:spacing w:line="16824" w:lineRule="exact"/>
      </w:pPr>
      <w:r>
        <w:rPr>
          <w:position w:val="-336"/>
        </w:rPr>
        <w:drawing>
          <wp:inline distT="0" distB="0" distL="0" distR="0">
            <wp:extent cx="7557770" cy="10683240"/>
            <wp:effectExtent l="0" t="0" r="5080" b="381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72"/>
                    <a:stretch>
                      <a:fillRect/>
                    </a:stretch>
                  </pic:blipFill>
                  <pic:spPr>
                    <a:xfrm>
                      <a:off x="0" y="0"/>
                      <a:ext cx="7558087" cy="10683710"/>
                    </a:xfrm>
                    <a:prstGeom prst="rect">
                      <a:avLst/>
                    </a:prstGeom>
                  </pic:spPr>
                </pic:pic>
              </a:graphicData>
            </a:graphic>
          </wp:inline>
        </w:drawing>
      </w:r>
    </w:p>
    <w:p w14:paraId="5C397CB4">
      <w:pPr>
        <w:spacing w:line="16824" w:lineRule="exact"/>
        <w:sectPr>
          <w:pgSz w:w="11903" w:h="16838"/>
          <w:pgMar w:top="1" w:right="0" w:bottom="1" w:left="0" w:header="0" w:footer="0" w:gutter="0"/>
          <w:cols w:space="720" w:num="1"/>
        </w:sectPr>
      </w:pPr>
    </w:p>
    <w:p w14:paraId="215FA2A6">
      <w:pPr>
        <w:spacing w:line="16808" w:lineRule="exact"/>
      </w:pPr>
      <w:r>
        <w:rPr>
          <w:position w:val="-336"/>
        </w:rPr>
        <w:drawing>
          <wp:inline distT="0" distB="0" distL="0" distR="0">
            <wp:extent cx="7556500" cy="10673080"/>
            <wp:effectExtent l="0" t="0" r="6350" b="444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3"/>
                    <a:stretch>
                      <a:fillRect/>
                    </a:stretch>
                  </pic:blipFill>
                  <pic:spPr>
                    <a:xfrm>
                      <a:off x="0" y="0"/>
                      <a:ext cx="7556500" cy="10673474"/>
                    </a:xfrm>
                    <a:prstGeom prst="rect">
                      <a:avLst/>
                    </a:prstGeom>
                  </pic:spPr>
                </pic:pic>
              </a:graphicData>
            </a:graphic>
          </wp:inline>
        </w:drawing>
      </w:r>
    </w:p>
    <w:p w14:paraId="44007FEA">
      <w:pPr>
        <w:spacing w:line="16808" w:lineRule="exact"/>
        <w:sectPr>
          <w:pgSz w:w="11907" w:h="16840"/>
          <w:pgMar w:top="19" w:right="6" w:bottom="1" w:left="0" w:header="0" w:footer="0" w:gutter="0"/>
          <w:cols w:space="720" w:num="1"/>
        </w:sectPr>
      </w:pPr>
    </w:p>
    <w:p w14:paraId="22AECDF1">
      <w:pPr>
        <w:spacing w:line="16810" w:lineRule="exact"/>
      </w:pPr>
      <w:r>
        <w:rPr>
          <w:position w:val="-336"/>
        </w:rPr>
        <w:drawing>
          <wp:inline distT="0" distB="0" distL="0" distR="0">
            <wp:extent cx="7556500" cy="10674350"/>
            <wp:effectExtent l="0" t="0" r="6350" b="317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4"/>
                    <a:stretch>
                      <a:fillRect/>
                    </a:stretch>
                  </pic:blipFill>
                  <pic:spPr>
                    <a:xfrm>
                      <a:off x="0" y="0"/>
                      <a:ext cx="7556500" cy="10674350"/>
                    </a:xfrm>
                    <a:prstGeom prst="rect">
                      <a:avLst/>
                    </a:prstGeom>
                  </pic:spPr>
                </pic:pic>
              </a:graphicData>
            </a:graphic>
          </wp:inline>
        </w:drawing>
      </w:r>
    </w:p>
    <w:p w14:paraId="2B4C4FB8">
      <w:pPr>
        <w:spacing w:line="16810" w:lineRule="exact"/>
        <w:sectPr>
          <w:pgSz w:w="11907" w:h="16840"/>
          <w:pgMar w:top="12" w:right="6" w:bottom="7" w:left="0" w:header="0" w:footer="0" w:gutter="0"/>
          <w:cols w:space="720" w:num="1"/>
        </w:sectPr>
      </w:pPr>
    </w:p>
    <w:p w14:paraId="25B7DD18">
      <w:pPr>
        <w:spacing w:line="15838" w:lineRule="exact"/>
      </w:pPr>
      <w:r>
        <w:rPr>
          <w:position w:val="-316"/>
        </w:rPr>
        <w:drawing>
          <wp:inline distT="0" distB="0" distL="0" distR="0">
            <wp:extent cx="6540500" cy="10057130"/>
            <wp:effectExtent l="0" t="0" r="3175" b="127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5"/>
                    <a:stretch>
                      <a:fillRect/>
                    </a:stretch>
                  </pic:blipFill>
                  <pic:spPr>
                    <a:xfrm>
                      <a:off x="0" y="0"/>
                      <a:ext cx="6540500" cy="10057524"/>
                    </a:xfrm>
                    <a:prstGeom prst="rect">
                      <a:avLst/>
                    </a:prstGeom>
                  </pic:spPr>
                </pic:pic>
              </a:graphicData>
            </a:graphic>
          </wp:inline>
        </w:drawing>
      </w:r>
    </w:p>
    <w:p w14:paraId="575ADD68">
      <w:pPr>
        <w:spacing w:before="200"/>
        <w:jc w:val="right"/>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0380"/>
            <wp:effectExtent l="0" t="0" r="6350" b="444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6"/>
                    <a:stretch>
                      <a:fillRect/>
                    </a:stretch>
                  </pic:blipFill>
                  <pic:spPr>
                    <a:xfrm>
                      <a:off x="0" y="0"/>
                      <a:ext cx="508000" cy="500773"/>
                    </a:xfrm>
                    <a:prstGeom prst="rect">
                      <a:avLst/>
                    </a:prstGeom>
                  </pic:spPr>
                </pic:pic>
              </a:graphicData>
            </a:graphic>
          </wp:inline>
        </w:drawing>
      </w:r>
      <w:r>
        <w:rPr>
          <w:rFonts w:ascii="宋体" w:hAnsi="宋体" w:eastAsia="宋体" w:cs="宋体"/>
          <w:spacing w:val="99"/>
          <w:sz w:val="30"/>
          <w:szCs w:val="30"/>
        </w:rPr>
        <w:t xml:space="preserve"> </w:t>
      </w:r>
      <w:r>
        <w:rPr>
          <w:rFonts w:ascii="宋体" w:hAnsi="宋体" w:eastAsia="宋体" w:cs="宋体"/>
          <w:spacing w:val="-6"/>
          <w:sz w:val="30"/>
          <w:szCs w:val="30"/>
        </w:rPr>
        <w:t>由 扫描全能王</w:t>
      </w:r>
      <w:r>
        <w:rPr>
          <w:rFonts w:ascii="宋体" w:hAnsi="宋体" w:eastAsia="宋体" w:cs="宋体"/>
          <w:spacing w:val="16"/>
          <w:sz w:val="30"/>
          <w:szCs w:val="30"/>
        </w:rPr>
        <w:t xml:space="preserve"> </w:t>
      </w:r>
      <w:r>
        <w:rPr>
          <w:rFonts w:ascii="宋体" w:hAnsi="宋体" w:eastAsia="宋体" w:cs="宋体"/>
          <w:spacing w:val="-6"/>
          <w:sz w:val="30"/>
          <w:szCs w:val="30"/>
        </w:rPr>
        <w:t>扫描创建</w:t>
      </w:r>
    </w:p>
    <w:p w14:paraId="5FAA75A6">
      <w:pPr>
        <w:rPr>
          <w:rFonts w:ascii="宋体" w:hAnsi="宋体" w:eastAsia="宋体" w:cs="宋体"/>
          <w:sz w:val="30"/>
          <w:szCs w:val="30"/>
        </w:rPr>
        <w:sectPr>
          <w:pgSz w:w="11900" w:h="16840"/>
          <w:pgMar w:top="1" w:right="300" w:bottom="1" w:left="780" w:header="0" w:footer="0" w:gutter="0"/>
          <w:cols w:space="720" w:num="1"/>
        </w:sectPr>
      </w:pPr>
    </w:p>
    <w:p w14:paraId="4F9642E1">
      <w:pPr>
        <w:spacing w:line="15838" w:lineRule="exact"/>
      </w:pPr>
      <w:r>
        <w:rPr>
          <w:position w:val="-316"/>
        </w:rPr>
        <w:drawing>
          <wp:inline distT="0" distB="0" distL="0" distR="0">
            <wp:extent cx="7200900" cy="10057130"/>
            <wp:effectExtent l="0" t="0" r="0" b="1270"/>
            <wp:docPr id="57" name="IM 84"/>
            <wp:cNvGraphicFramePr/>
            <a:graphic xmlns:a="http://schemas.openxmlformats.org/drawingml/2006/main">
              <a:graphicData uri="http://schemas.openxmlformats.org/drawingml/2006/picture">
                <pic:pic xmlns:pic="http://schemas.openxmlformats.org/drawingml/2006/picture">
                  <pic:nvPicPr>
                    <pic:cNvPr id="57" name="IM 84"/>
                    <pic:cNvPicPr/>
                  </pic:nvPicPr>
                  <pic:blipFill>
                    <a:blip r:embed="rId77"/>
                    <a:stretch>
                      <a:fillRect/>
                    </a:stretch>
                  </pic:blipFill>
                  <pic:spPr>
                    <a:xfrm>
                      <a:off x="0" y="0"/>
                      <a:ext cx="7200900" cy="10057524"/>
                    </a:xfrm>
                    <a:prstGeom prst="rect">
                      <a:avLst/>
                    </a:prstGeom>
                  </pic:spPr>
                </pic:pic>
              </a:graphicData>
            </a:graphic>
          </wp:inline>
        </w:drawing>
      </w:r>
    </w:p>
    <w:p w14:paraId="41272684">
      <w:pPr>
        <w:spacing w:line="15838" w:lineRule="exact"/>
        <w:sectPr>
          <w:footerReference r:id="rId17" w:type="default"/>
          <w:pgSz w:w="11900" w:h="16840"/>
          <w:pgMar w:top="1" w:right="300" w:bottom="800" w:left="260" w:header="0" w:footer="0" w:gutter="0"/>
          <w:cols w:space="720" w:num="1"/>
        </w:sectPr>
      </w:pPr>
    </w:p>
    <w:p w14:paraId="089F1693">
      <w:pPr>
        <w:spacing w:line="15838" w:lineRule="exact"/>
      </w:pPr>
      <w:r>
        <w:rPr>
          <w:position w:val="-316"/>
        </w:rPr>
        <w:drawing>
          <wp:inline distT="0" distB="0" distL="0" distR="0">
            <wp:extent cx="7404100" cy="10057130"/>
            <wp:effectExtent l="0" t="0" r="6350" b="127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8"/>
                    <a:stretch>
                      <a:fillRect/>
                    </a:stretch>
                  </pic:blipFill>
                  <pic:spPr>
                    <a:xfrm>
                      <a:off x="0" y="0"/>
                      <a:ext cx="7404100" cy="10057524"/>
                    </a:xfrm>
                    <a:prstGeom prst="rect">
                      <a:avLst/>
                    </a:prstGeom>
                  </pic:spPr>
                </pic:pic>
              </a:graphicData>
            </a:graphic>
          </wp:inline>
        </w:drawing>
      </w:r>
    </w:p>
    <w:p w14:paraId="21849C75">
      <w:pPr>
        <w:spacing w:line="15838" w:lineRule="exact"/>
        <w:sectPr>
          <w:footerReference r:id="rId18" w:type="default"/>
          <w:pgSz w:w="11900" w:h="16840"/>
          <w:pgMar w:top="1" w:right="140" w:bottom="800" w:left="100" w:header="0" w:footer="0" w:gutter="0"/>
          <w:cols w:space="720" w:num="1"/>
        </w:sectPr>
      </w:pPr>
    </w:p>
    <w:p w14:paraId="54A8A7C2">
      <w:pPr>
        <w:spacing w:line="15838" w:lineRule="exact"/>
      </w:pPr>
      <w:r>
        <w:rPr>
          <w:position w:val="-316"/>
        </w:rPr>
        <w:drawing>
          <wp:inline distT="0" distB="0" distL="0" distR="0">
            <wp:extent cx="7518400" cy="10057130"/>
            <wp:effectExtent l="0" t="0" r="6350" b="127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79"/>
                    <a:stretch>
                      <a:fillRect/>
                    </a:stretch>
                  </pic:blipFill>
                  <pic:spPr>
                    <a:xfrm>
                      <a:off x="0" y="0"/>
                      <a:ext cx="7518400" cy="10057524"/>
                    </a:xfrm>
                    <a:prstGeom prst="rect">
                      <a:avLst/>
                    </a:prstGeom>
                  </pic:spPr>
                </pic:pic>
              </a:graphicData>
            </a:graphic>
          </wp:inline>
        </w:drawing>
      </w:r>
    </w:p>
    <w:p w14:paraId="44D0618A">
      <w:pPr>
        <w:spacing w:line="15838" w:lineRule="exact"/>
        <w:sectPr>
          <w:footerReference r:id="rId19" w:type="default"/>
          <w:pgSz w:w="11900" w:h="16840"/>
          <w:pgMar w:top="1" w:right="40" w:bottom="800" w:left="20" w:header="0" w:footer="0" w:gutter="0"/>
          <w:cols w:space="720" w:num="1"/>
        </w:sectPr>
      </w:pPr>
    </w:p>
    <w:p w14:paraId="4006C6EC">
      <w:pPr>
        <w:spacing w:line="15838" w:lineRule="exact"/>
      </w:pPr>
      <w:r>
        <w:rPr>
          <w:position w:val="-316"/>
        </w:rPr>
        <w:drawing>
          <wp:inline distT="0" distB="0" distL="0" distR="0">
            <wp:extent cx="7213600" cy="10057130"/>
            <wp:effectExtent l="0" t="0" r="6350" b="127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80"/>
                    <a:stretch>
                      <a:fillRect/>
                    </a:stretch>
                  </pic:blipFill>
                  <pic:spPr>
                    <a:xfrm>
                      <a:off x="0" y="0"/>
                      <a:ext cx="7213600" cy="10057524"/>
                    </a:xfrm>
                    <a:prstGeom prst="rect">
                      <a:avLst/>
                    </a:prstGeom>
                  </pic:spPr>
                </pic:pic>
              </a:graphicData>
            </a:graphic>
          </wp:inline>
        </w:drawing>
      </w:r>
    </w:p>
    <w:p w14:paraId="573304B1">
      <w:pPr>
        <w:spacing w:line="15838" w:lineRule="exact"/>
        <w:sectPr>
          <w:footerReference r:id="rId20" w:type="default"/>
          <w:pgSz w:w="11900" w:h="16840"/>
          <w:pgMar w:top="1" w:right="280" w:bottom="800" w:left="260" w:header="0" w:footer="0" w:gutter="0"/>
          <w:cols w:space="720" w:num="1"/>
        </w:sectPr>
      </w:pPr>
    </w:p>
    <w:p w14:paraId="285579A0">
      <w:pPr>
        <w:spacing w:line="15838" w:lineRule="exact"/>
      </w:pPr>
      <w:r>
        <w:rPr>
          <w:position w:val="-316"/>
        </w:rPr>
        <w:drawing>
          <wp:inline distT="0" distB="0" distL="0" distR="0">
            <wp:extent cx="7404100" cy="10057130"/>
            <wp:effectExtent l="0" t="0" r="6350" b="127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81"/>
                    <a:stretch>
                      <a:fillRect/>
                    </a:stretch>
                  </pic:blipFill>
                  <pic:spPr>
                    <a:xfrm>
                      <a:off x="0" y="0"/>
                      <a:ext cx="7404100" cy="10057524"/>
                    </a:xfrm>
                    <a:prstGeom prst="rect">
                      <a:avLst/>
                    </a:prstGeom>
                  </pic:spPr>
                </pic:pic>
              </a:graphicData>
            </a:graphic>
          </wp:inline>
        </w:drawing>
      </w:r>
    </w:p>
    <w:p w14:paraId="56085DAB">
      <w:pPr>
        <w:spacing w:line="15838" w:lineRule="exact"/>
        <w:sectPr>
          <w:footerReference r:id="rId21" w:type="default"/>
          <w:pgSz w:w="11900" w:h="16840"/>
          <w:pgMar w:top="1" w:right="140" w:bottom="800" w:left="100" w:header="0" w:footer="0" w:gutter="0"/>
          <w:cols w:space="720" w:num="1"/>
        </w:sectPr>
      </w:pPr>
    </w:p>
    <w:p w14:paraId="43A60548">
      <w:pPr>
        <w:spacing w:line="15838" w:lineRule="exact"/>
      </w:pPr>
      <w:r>
        <w:rPr>
          <w:position w:val="-316"/>
        </w:rPr>
        <w:drawing>
          <wp:inline distT="0" distB="0" distL="0" distR="0">
            <wp:extent cx="7213600" cy="10057130"/>
            <wp:effectExtent l="0" t="0" r="6350" b="127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82"/>
                    <a:stretch>
                      <a:fillRect/>
                    </a:stretch>
                  </pic:blipFill>
                  <pic:spPr>
                    <a:xfrm>
                      <a:off x="0" y="0"/>
                      <a:ext cx="7213600" cy="10057524"/>
                    </a:xfrm>
                    <a:prstGeom prst="rect">
                      <a:avLst/>
                    </a:prstGeom>
                  </pic:spPr>
                </pic:pic>
              </a:graphicData>
            </a:graphic>
          </wp:inline>
        </w:drawing>
      </w:r>
    </w:p>
    <w:p w14:paraId="5958CFFA">
      <w:pPr>
        <w:spacing w:line="15838" w:lineRule="exact"/>
        <w:sectPr>
          <w:footerReference r:id="rId22" w:type="default"/>
          <w:pgSz w:w="11900" w:h="16840"/>
          <w:pgMar w:top="1" w:right="280" w:bottom="800" w:left="260" w:header="0" w:footer="0" w:gutter="0"/>
          <w:cols w:space="720" w:num="1"/>
        </w:sectPr>
      </w:pPr>
    </w:p>
    <w:p w14:paraId="6F8A73D6">
      <w:pPr>
        <w:spacing w:line="15838" w:lineRule="exact"/>
      </w:pPr>
      <w:r>
        <w:rPr>
          <w:position w:val="-316"/>
        </w:rPr>
        <w:drawing>
          <wp:inline distT="0" distB="0" distL="0" distR="0">
            <wp:extent cx="7416800" cy="10057130"/>
            <wp:effectExtent l="0" t="0" r="3175" b="127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83"/>
                    <a:stretch>
                      <a:fillRect/>
                    </a:stretch>
                  </pic:blipFill>
                  <pic:spPr>
                    <a:xfrm>
                      <a:off x="0" y="0"/>
                      <a:ext cx="7416800" cy="10057524"/>
                    </a:xfrm>
                    <a:prstGeom prst="rect">
                      <a:avLst/>
                    </a:prstGeom>
                  </pic:spPr>
                </pic:pic>
              </a:graphicData>
            </a:graphic>
          </wp:inline>
        </w:drawing>
      </w:r>
    </w:p>
    <w:p w14:paraId="0CC58AB5">
      <w:pPr>
        <w:spacing w:line="15838" w:lineRule="exact"/>
        <w:sectPr>
          <w:footerReference r:id="rId23" w:type="default"/>
          <w:pgSz w:w="11900" w:h="16840"/>
          <w:pgMar w:top="1" w:right="120" w:bottom="800" w:left="100" w:header="0" w:footer="0" w:gutter="0"/>
          <w:cols w:space="720" w:num="1"/>
        </w:sectPr>
      </w:pPr>
    </w:p>
    <w:p w14:paraId="5275D59F">
      <w:pPr>
        <w:spacing w:line="15838" w:lineRule="exact"/>
      </w:pPr>
      <w:r>
        <w:rPr>
          <w:position w:val="-316"/>
        </w:rPr>
        <w:drawing>
          <wp:inline distT="0" distB="0" distL="0" distR="0">
            <wp:extent cx="7543800" cy="10057130"/>
            <wp:effectExtent l="0" t="0" r="0" b="127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84"/>
                    <a:stretch>
                      <a:fillRect/>
                    </a:stretch>
                  </pic:blipFill>
                  <pic:spPr>
                    <a:xfrm>
                      <a:off x="0" y="0"/>
                      <a:ext cx="7543800" cy="10057524"/>
                    </a:xfrm>
                    <a:prstGeom prst="rect">
                      <a:avLst/>
                    </a:prstGeom>
                  </pic:spPr>
                </pic:pic>
              </a:graphicData>
            </a:graphic>
          </wp:inline>
        </w:drawing>
      </w:r>
    </w:p>
    <w:p w14:paraId="4BFF37B2">
      <w:pPr>
        <w:spacing w:line="15838" w:lineRule="exact"/>
        <w:sectPr>
          <w:footerReference r:id="rId24" w:type="default"/>
          <w:pgSz w:w="11900" w:h="16840"/>
          <w:pgMar w:top="1" w:right="20" w:bottom="800" w:left="0" w:header="0" w:footer="0" w:gutter="0"/>
          <w:cols w:space="720" w:num="1"/>
        </w:sectPr>
      </w:pPr>
    </w:p>
    <w:p w14:paraId="67499BB1">
      <w:pPr>
        <w:spacing w:line="15838" w:lineRule="exact"/>
      </w:pPr>
      <w:r>
        <w:rPr>
          <w:position w:val="-316"/>
        </w:rPr>
        <w:drawing>
          <wp:inline distT="0" distB="0" distL="0" distR="0">
            <wp:extent cx="7175500" cy="10057130"/>
            <wp:effectExtent l="0" t="0" r="6350" b="127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85"/>
                    <a:stretch>
                      <a:fillRect/>
                    </a:stretch>
                  </pic:blipFill>
                  <pic:spPr>
                    <a:xfrm>
                      <a:off x="0" y="0"/>
                      <a:ext cx="7175500" cy="10057524"/>
                    </a:xfrm>
                    <a:prstGeom prst="rect">
                      <a:avLst/>
                    </a:prstGeom>
                  </pic:spPr>
                </pic:pic>
              </a:graphicData>
            </a:graphic>
          </wp:inline>
        </w:drawing>
      </w:r>
    </w:p>
    <w:p w14:paraId="7C352237">
      <w:pPr>
        <w:spacing w:line="15838" w:lineRule="exact"/>
        <w:sectPr>
          <w:footerReference r:id="rId25" w:type="default"/>
          <w:pgSz w:w="11900" w:h="16840"/>
          <w:pgMar w:top="1" w:right="300" w:bottom="800" w:left="280" w:header="0" w:footer="0" w:gutter="0"/>
          <w:cols w:space="720" w:num="1"/>
        </w:sectPr>
      </w:pPr>
    </w:p>
    <w:p w14:paraId="1758133C">
      <w:pPr>
        <w:spacing w:line="16818" w:lineRule="exact"/>
      </w:pPr>
      <w:r>
        <w:rPr>
          <w:position w:val="-336"/>
        </w:rPr>
        <w:drawing>
          <wp:inline distT="0" distB="0" distL="0" distR="0">
            <wp:extent cx="7543800" cy="10679430"/>
            <wp:effectExtent l="0" t="0" r="0" b="762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6"/>
                    <a:stretch>
                      <a:fillRect/>
                    </a:stretch>
                  </pic:blipFill>
                  <pic:spPr>
                    <a:xfrm>
                      <a:off x="0" y="0"/>
                      <a:ext cx="7543800" cy="10679824"/>
                    </a:xfrm>
                    <a:prstGeom prst="rect">
                      <a:avLst/>
                    </a:prstGeom>
                  </pic:spPr>
                </pic:pic>
              </a:graphicData>
            </a:graphic>
          </wp:inline>
        </w:drawing>
      </w:r>
    </w:p>
    <w:p w14:paraId="7DEC418D">
      <w:pPr>
        <w:spacing w:line="16818" w:lineRule="exact"/>
        <w:sectPr>
          <w:footerReference r:id="rId26" w:type="default"/>
          <w:pgSz w:w="11900" w:h="18140"/>
          <w:pgMar w:top="1" w:right="20" w:bottom="400" w:left="0" w:header="0" w:footer="0" w:gutter="0"/>
          <w:cols w:space="720" w:num="1"/>
        </w:sectPr>
      </w:pPr>
    </w:p>
    <w:p w14:paraId="1726B6F1">
      <w:pPr>
        <w:spacing w:line="16818" w:lineRule="exact"/>
      </w:pPr>
      <w:r>
        <w:rPr>
          <w:position w:val="-336"/>
        </w:rPr>
        <w:drawing>
          <wp:inline distT="0" distB="0" distL="0" distR="0">
            <wp:extent cx="7543800" cy="10679430"/>
            <wp:effectExtent l="0" t="0" r="0" b="762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87"/>
                    <a:stretch>
                      <a:fillRect/>
                    </a:stretch>
                  </pic:blipFill>
                  <pic:spPr>
                    <a:xfrm>
                      <a:off x="0" y="0"/>
                      <a:ext cx="7543800" cy="10679824"/>
                    </a:xfrm>
                    <a:prstGeom prst="rect">
                      <a:avLst/>
                    </a:prstGeom>
                  </pic:spPr>
                </pic:pic>
              </a:graphicData>
            </a:graphic>
          </wp:inline>
        </w:drawing>
      </w:r>
    </w:p>
    <w:p w14:paraId="6C0F6B9D">
      <w:pPr>
        <w:spacing w:line="16818" w:lineRule="exact"/>
        <w:sectPr>
          <w:pgSz w:w="11900" w:h="18140"/>
          <w:pgMar w:top="1" w:right="20" w:bottom="400" w:left="0" w:header="0" w:footer="0" w:gutter="0"/>
          <w:cols w:space="720" w:num="1"/>
        </w:sectPr>
      </w:pPr>
    </w:p>
    <w:p w14:paraId="5DA3F70A">
      <w:pPr>
        <w:spacing w:line="16818" w:lineRule="exact"/>
      </w:pPr>
      <w:r>
        <w:rPr>
          <w:position w:val="-336"/>
        </w:rPr>
        <w:drawing>
          <wp:inline distT="0" distB="0" distL="0" distR="0">
            <wp:extent cx="7543800" cy="10679430"/>
            <wp:effectExtent l="0" t="0" r="0" b="762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88"/>
                    <a:stretch>
                      <a:fillRect/>
                    </a:stretch>
                  </pic:blipFill>
                  <pic:spPr>
                    <a:xfrm>
                      <a:off x="0" y="0"/>
                      <a:ext cx="7543800" cy="10679824"/>
                    </a:xfrm>
                    <a:prstGeom prst="rect">
                      <a:avLst/>
                    </a:prstGeom>
                  </pic:spPr>
                </pic:pic>
              </a:graphicData>
            </a:graphic>
          </wp:inline>
        </w:drawing>
      </w:r>
    </w:p>
    <w:p w14:paraId="4C664017">
      <w:pPr>
        <w:spacing w:line="16818" w:lineRule="exact"/>
        <w:sectPr>
          <w:pgSz w:w="11900" w:h="18140"/>
          <w:pgMar w:top="1" w:right="20" w:bottom="400" w:left="0" w:header="0" w:footer="0" w:gutter="0"/>
          <w:cols w:space="720" w:num="1"/>
        </w:sectPr>
      </w:pPr>
    </w:p>
    <w:p w14:paraId="2C062D57">
      <w:pPr>
        <w:spacing w:line="16818" w:lineRule="exact"/>
      </w:pPr>
      <w:r>
        <w:rPr>
          <w:position w:val="-336"/>
        </w:rPr>
        <w:drawing>
          <wp:inline distT="0" distB="0" distL="0" distR="0">
            <wp:extent cx="7543800" cy="10679430"/>
            <wp:effectExtent l="0" t="0" r="0" b="762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9"/>
                    <a:stretch>
                      <a:fillRect/>
                    </a:stretch>
                  </pic:blipFill>
                  <pic:spPr>
                    <a:xfrm>
                      <a:off x="0" y="0"/>
                      <a:ext cx="7543800" cy="10679824"/>
                    </a:xfrm>
                    <a:prstGeom prst="rect">
                      <a:avLst/>
                    </a:prstGeom>
                  </pic:spPr>
                </pic:pic>
              </a:graphicData>
            </a:graphic>
          </wp:inline>
        </w:drawing>
      </w:r>
    </w:p>
    <w:p w14:paraId="07869604">
      <w:pPr>
        <w:spacing w:line="16818" w:lineRule="exact"/>
        <w:sectPr>
          <w:pgSz w:w="11900" w:h="18140"/>
          <w:pgMar w:top="1" w:right="20" w:bottom="400" w:left="0" w:header="0" w:footer="0" w:gutter="0"/>
          <w:cols w:space="720" w:num="1"/>
        </w:sectPr>
      </w:pPr>
    </w:p>
    <w:p w14:paraId="2A2684CD">
      <w:pPr>
        <w:spacing w:line="16818" w:lineRule="exact"/>
      </w:pPr>
      <w:r>
        <w:rPr>
          <w:position w:val="-336"/>
        </w:rPr>
        <w:drawing>
          <wp:inline distT="0" distB="0" distL="0" distR="0">
            <wp:extent cx="7543800" cy="10679430"/>
            <wp:effectExtent l="0" t="0" r="0" b="762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90"/>
                    <a:stretch>
                      <a:fillRect/>
                    </a:stretch>
                  </pic:blipFill>
                  <pic:spPr>
                    <a:xfrm>
                      <a:off x="0" y="0"/>
                      <a:ext cx="7543800" cy="10679824"/>
                    </a:xfrm>
                    <a:prstGeom prst="rect">
                      <a:avLst/>
                    </a:prstGeom>
                  </pic:spPr>
                </pic:pic>
              </a:graphicData>
            </a:graphic>
          </wp:inline>
        </w:drawing>
      </w:r>
    </w:p>
    <w:p w14:paraId="30B62277">
      <w:pPr>
        <w:spacing w:line="16818" w:lineRule="exact"/>
        <w:sectPr>
          <w:pgSz w:w="11900" w:h="18140"/>
          <w:pgMar w:top="1" w:right="20" w:bottom="400" w:left="0" w:header="0" w:footer="0" w:gutter="0"/>
          <w:cols w:space="720" w:num="1"/>
        </w:sectPr>
      </w:pPr>
    </w:p>
    <w:p w14:paraId="5536E1E4">
      <w:pPr>
        <w:spacing w:line="16808" w:lineRule="exact"/>
      </w:pPr>
      <w:r>
        <w:rPr>
          <w:position w:val="-336"/>
        </w:rPr>
        <w:drawing>
          <wp:inline distT="0" distB="0" distL="0" distR="0">
            <wp:extent cx="7543800" cy="10673080"/>
            <wp:effectExtent l="0" t="0" r="0" b="4445"/>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91"/>
                    <a:stretch>
                      <a:fillRect/>
                    </a:stretch>
                  </pic:blipFill>
                  <pic:spPr>
                    <a:xfrm>
                      <a:off x="0" y="0"/>
                      <a:ext cx="7543800" cy="10673474"/>
                    </a:xfrm>
                    <a:prstGeom prst="rect">
                      <a:avLst/>
                    </a:prstGeom>
                  </pic:spPr>
                </pic:pic>
              </a:graphicData>
            </a:graphic>
          </wp:inline>
        </w:drawing>
      </w:r>
    </w:p>
    <w:p w14:paraId="1E8F5B40">
      <w:pPr>
        <w:spacing w:line="16808" w:lineRule="exact"/>
        <w:sectPr>
          <w:pgSz w:w="11906" w:h="16838"/>
          <w:pgMar w:top="17" w:right="25" w:bottom="1" w:left="0" w:header="0" w:footer="0" w:gutter="0"/>
          <w:cols w:space="720" w:num="1"/>
        </w:sectPr>
      </w:pPr>
    </w:p>
    <w:p w14:paraId="43C66800">
      <w:pPr>
        <w:spacing w:line="16450" w:lineRule="exact"/>
      </w:pPr>
      <w:r>
        <w:rPr>
          <w:position w:val="-329"/>
        </w:rPr>
        <w:drawing>
          <wp:inline distT="0" distB="0" distL="0" distR="0">
            <wp:extent cx="7556500" cy="10445750"/>
            <wp:effectExtent l="0" t="0" r="6350" b="317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92"/>
                    <a:stretch>
                      <a:fillRect/>
                    </a:stretch>
                  </pic:blipFill>
                  <pic:spPr>
                    <a:xfrm>
                      <a:off x="0" y="0"/>
                      <a:ext cx="7556500" cy="10445750"/>
                    </a:xfrm>
                    <a:prstGeom prst="rect">
                      <a:avLst/>
                    </a:prstGeom>
                  </pic:spPr>
                </pic:pic>
              </a:graphicData>
            </a:graphic>
          </wp:inline>
        </w:drawing>
      </w:r>
    </w:p>
    <w:p w14:paraId="3AFACB46">
      <w:pPr>
        <w:spacing w:line="16450" w:lineRule="exact"/>
        <w:sectPr>
          <w:pgSz w:w="11906" w:h="16838"/>
          <w:pgMar w:top="197" w:right="5" w:bottom="180" w:left="0" w:header="0" w:footer="0" w:gutter="0"/>
          <w:cols w:space="720" w:num="1"/>
        </w:sectPr>
      </w:pPr>
    </w:p>
    <w:p w14:paraId="6BBA23A0">
      <w:pPr>
        <w:spacing w:line="16630" w:lineRule="exact"/>
      </w:pPr>
      <w:r>
        <w:rPr>
          <w:position w:val="-332"/>
        </w:rPr>
        <w:drawing>
          <wp:inline distT="0" distB="0" distL="0" distR="0">
            <wp:extent cx="7556500" cy="10560050"/>
            <wp:effectExtent l="0" t="0" r="6350" b="317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93"/>
                    <a:stretch>
                      <a:fillRect/>
                    </a:stretch>
                  </pic:blipFill>
                  <pic:spPr>
                    <a:xfrm>
                      <a:off x="0" y="0"/>
                      <a:ext cx="7556500" cy="10560050"/>
                    </a:xfrm>
                    <a:prstGeom prst="rect">
                      <a:avLst/>
                    </a:prstGeom>
                  </pic:spPr>
                </pic:pic>
              </a:graphicData>
            </a:graphic>
          </wp:inline>
        </w:drawing>
      </w:r>
    </w:p>
    <w:p w14:paraId="78F9E8C8">
      <w:pPr>
        <w:spacing w:line="16630" w:lineRule="exact"/>
        <w:sectPr>
          <w:pgSz w:w="11906" w:h="16838"/>
          <w:pgMar w:top="117" w:right="5" w:bottom="80" w:left="0" w:header="0" w:footer="0" w:gutter="0"/>
          <w:cols w:space="720" w:num="1"/>
        </w:sectPr>
      </w:pPr>
    </w:p>
    <w:p w14:paraId="3A521958">
      <w:pPr>
        <w:spacing w:line="16770" w:lineRule="exact"/>
      </w:pPr>
      <w:r>
        <w:rPr>
          <w:position w:val="-335"/>
        </w:rPr>
        <w:drawing>
          <wp:inline distT="0" distB="0" distL="0" distR="0">
            <wp:extent cx="7556500" cy="10648950"/>
            <wp:effectExtent l="0" t="0" r="635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94"/>
                    <a:stretch>
                      <a:fillRect/>
                    </a:stretch>
                  </pic:blipFill>
                  <pic:spPr>
                    <a:xfrm>
                      <a:off x="0" y="0"/>
                      <a:ext cx="7556500" cy="10648950"/>
                    </a:xfrm>
                    <a:prstGeom prst="rect">
                      <a:avLst/>
                    </a:prstGeom>
                  </pic:spPr>
                </pic:pic>
              </a:graphicData>
            </a:graphic>
          </wp:inline>
        </w:drawing>
      </w:r>
    </w:p>
    <w:p w14:paraId="30CCE552">
      <w:pPr>
        <w:spacing w:line="16770" w:lineRule="exact"/>
        <w:sectPr>
          <w:pgSz w:w="11906" w:h="16838"/>
          <w:pgMar w:top="37" w:right="5" w:bottom="20" w:left="0" w:header="0" w:footer="0" w:gutter="0"/>
          <w:cols w:space="720" w:num="1"/>
        </w:sectPr>
      </w:pPr>
    </w:p>
    <w:p w14:paraId="66A1E40A">
      <w:pPr>
        <w:spacing w:line="16490" w:lineRule="exact"/>
      </w:pPr>
      <w:r>
        <w:rPr>
          <w:position w:val="-329"/>
        </w:rPr>
        <w:drawing>
          <wp:inline distT="0" distB="0" distL="0" distR="0">
            <wp:extent cx="7556500" cy="10471150"/>
            <wp:effectExtent l="0" t="0" r="6350" b="635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95"/>
                    <a:stretch>
                      <a:fillRect/>
                    </a:stretch>
                  </pic:blipFill>
                  <pic:spPr>
                    <a:xfrm>
                      <a:off x="0" y="0"/>
                      <a:ext cx="7556500" cy="10471150"/>
                    </a:xfrm>
                    <a:prstGeom prst="rect">
                      <a:avLst/>
                    </a:prstGeom>
                  </pic:spPr>
                </pic:pic>
              </a:graphicData>
            </a:graphic>
          </wp:inline>
        </w:drawing>
      </w:r>
    </w:p>
    <w:p w14:paraId="4B27BA38">
      <w:pPr>
        <w:spacing w:line="16490" w:lineRule="exact"/>
        <w:sectPr>
          <w:pgSz w:w="11906" w:h="16838"/>
          <w:pgMar w:top="177" w:right="5" w:bottom="160" w:left="0" w:header="0" w:footer="0" w:gutter="0"/>
          <w:cols w:space="720" w:num="1"/>
        </w:sectPr>
      </w:pPr>
    </w:p>
    <w:p w14:paraId="34586C1F">
      <w:pPr>
        <w:spacing w:line="16690" w:lineRule="exact"/>
      </w:pPr>
      <w:r>
        <w:rPr>
          <w:position w:val="-333"/>
        </w:rPr>
        <w:drawing>
          <wp:inline distT="0" distB="0" distL="0" distR="0">
            <wp:extent cx="7556500" cy="10598150"/>
            <wp:effectExtent l="0" t="0" r="6350" b="317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96"/>
                    <a:stretch>
                      <a:fillRect/>
                    </a:stretch>
                  </pic:blipFill>
                  <pic:spPr>
                    <a:xfrm>
                      <a:off x="0" y="0"/>
                      <a:ext cx="7556500" cy="10598150"/>
                    </a:xfrm>
                    <a:prstGeom prst="rect">
                      <a:avLst/>
                    </a:prstGeom>
                  </pic:spPr>
                </pic:pic>
              </a:graphicData>
            </a:graphic>
          </wp:inline>
        </w:drawing>
      </w:r>
    </w:p>
    <w:p w14:paraId="27D95268">
      <w:pPr>
        <w:spacing w:line="16690" w:lineRule="exact"/>
        <w:sectPr>
          <w:pgSz w:w="11906" w:h="16838"/>
          <w:pgMar w:top="77" w:right="5" w:bottom="60" w:left="0" w:header="0" w:footer="0" w:gutter="0"/>
          <w:cols w:space="720" w:num="1"/>
        </w:sectPr>
      </w:pPr>
    </w:p>
    <w:p w14:paraId="0D7B1A02">
      <w:pPr>
        <w:spacing w:line="11888" w:lineRule="exact"/>
      </w:pPr>
      <w:r>
        <w:rPr>
          <w:position w:val="-237"/>
        </w:rPr>
        <w:drawing>
          <wp:inline distT="0" distB="0" distL="0" distR="0">
            <wp:extent cx="9629140" cy="67659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97"/>
                    <a:srcRect l="-15703" b="-7615"/>
                    <a:stretch>
                      <a:fillRect/>
                    </a:stretch>
                  </pic:blipFill>
                  <pic:spPr>
                    <a:xfrm>
                      <a:off x="0" y="0"/>
                      <a:ext cx="9629140" cy="6765925"/>
                    </a:xfrm>
                    <a:prstGeom prst="rect">
                      <a:avLst/>
                    </a:prstGeom>
                  </pic:spPr>
                </pic:pic>
              </a:graphicData>
            </a:graphic>
          </wp:inline>
        </w:drawing>
      </w:r>
    </w:p>
    <w:p w14:paraId="6BCEEE41">
      <w:pPr>
        <w:spacing w:line="11888" w:lineRule="exact"/>
        <w:sectPr>
          <w:pgSz w:w="16838" w:h="11906"/>
          <w:pgMar w:top="5" w:right="497" w:bottom="1" w:left="460" w:header="0" w:footer="0" w:gutter="0"/>
          <w:cols w:space="720" w:num="1"/>
        </w:sectPr>
      </w:pPr>
    </w:p>
    <w:p w14:paraId="333FEF71">
      <w:pPr>
        <w:pStyle w:val="7"/>
        <w:spacing w:line="278" w:lineRule="auto"/>
      </w:pPr>
    </w:p>
    <w:p w14:paraId="32F268E4">
      <w:pPr>
        <w:pStyle w:val="7"/>
        <w:spacing w:line="278" w:lineRule="auto"/>
      </w:pPr>
    </w:p>
    <w:p w14:paraId="7D508133">
      <w:pPr>
        <w:pStyle w:val="7"/>
        <w:spacing w:line="278" w:lineRule="auto"/>
      </w:pPr>
    </w:p>
    <w:p w14:paraId="49059580">
      <w:pPr>
        <w:pStyle w:val="7"/>
        <w:spacing w:line="279" w:lineRule="auto"/>
      </w:pPr>
    </w:p>
    <w:p w14:paraId="0CA3BB93">
      <w:pPr>
        <w:spacing w:line="12908" w:lineRule="exact"/>
      </w:pPr>
      <w:r>
        <w:rPr>
          <w:position w:val="-258"/>
        </w:rPr>
        <w:drawing>
          <wp:inline distT="0" distB="0" distL="0" distR="0">
            <wp:extent cx="5901690" cy="8195945"/>
            <wp:effectExtent l="0" t="0" r="3810" b="508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98"/>
                    <a:stretch>
                      <a:fillRect/>
                    </a:stretch>
                  </pic:blipFill>
                  <pic:spPr>
                    <a:xfrm>
                      <a:off x="0" y="0"/>
                      <a:ext cx="5901887" cy="8196484"/>
                    </a:xfrm>
                    <a:prstGeom prst="rect">
                      <a:avLst/>
                    </a:prstGeom>
                  </pic:spPr>
                </pic:pic>
              </a:graphicData>
            </a:graphic>
          </wp:inline>
        </w:drawing>
      </w:r>
    </w:p>
    <w:p w14:paraId="023EEF0B">
      <w:pPr>
        <w:spacing w:line="12908" w:lineRule="exact"/>
        <w:sectPr>
          <w:pgSz w:w="11906" w:h="16838"/>
          <w:pgMar w:top="400" w:right="1421" w:bottom="400" w:left="1190" w:header="0" w:footer="0" w:gutter="0"/>
          <w:cols w:space="720" w:num="1"/>
        </w:sectPr>
      </w:pPr>
    </w:p>
    <w:p w14:paraId="01CFB650">
      <w:pPr>
        <w:pStyle w:val="18"/>
        <w:jc w:val="center"/>
      </w:pPr>
      <w:r>
        <w:rPr>
          <w:position w:val="-336"/>
        </w:rPr>
        <w:drawing>
          <wp:inline distT="0" distB="0" distL="0" distR="0">
            <wp:extent cx="6690995" cy="825563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99"/>
                    <a:srcRect t="-5271" r="-14470"/>
                    <a:stretch>
                      <a:fillRect/>
                    </a:stretch>
                  </pic:blipFill>
                  <pic:spPr>
                    <a:xfrm>
                      <a:off x="0" y="0"/>
                      <a:ext cx="6690995" cy="8255635"/>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EE537">
    <w:pPr>
      <w:widowControl w:val="0"/>
      <w:overflowPunct w:val="0"/>
      <w:autoSpaceDE w:val="0"/>
      <w:autoSpaceDN w:val="0"/>
      <w:adjustRightInd w:val="0"/>
      <w:snapToGrid w:val="0"/>
      <w:spacing w:before="0" w:after="0" w:line="500" w:lineRule="exact"/>
      <w:ind w:left="0" w:right="0" w:firstLine="360" w:firstLineChars="200"/>
      <w:jc w:val="left"/>
      <w:rPr>
        <w:rFonts w:ascii="Times New Roman" w:hAnsi="Times New Roman" w:eastAsia="宋体" w:cs="宋体"/>
        <w:sz w:val="18"/>
        <w:szCs w:val="22"/>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73587">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1C773587">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71A8F">
    <w:pPr>
      <w:ind w:right="16"/>
      <w:jc w:val="right"/>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103"/>
        <w:sz w:val="30"/>
        <w:szCs w:val="30"/>
      </w:rPr>
      <w:t xml:space="preserve"> </w:t>
    </w:r>
    <w:r>
      <w:rPr>
        <w:rFonts w:ascii="宋体" w:hAnsi="宋体" w:eastAsia="宋体" w:cs="宋体"/>
        <w:spacing w:val="-6"/>
        <w:sz w:val="30"/>
        <w:szCs w:val="30"/>
      </w:rPr>
      <w:t>由 扫描全能王</w:t>
    </w:r>
    <w:r>
      <w:rPr>
        <w:rFonts w:ascii="宋体" w:hAnsi="宋体" w:eastAsia="宋体" w:cs="宋体"/>
        <w:spacing w:val="15"/>
        <w:sz w:val="30"/>
        <w:szCs w:val="30"/>
      </w:rPr>
      <w:t xml:space="preserve"> </w:t>
    </w:r>
    <w:r>
      <w:rPr>
        <w:rFonts w:ascii="宋体" w:hAnsi="宋体" w:eastAsia="宋体" w:cs="宋体"/>
        <w:spacing w:val="-6"/>
        <w:sz w:val="30"/>
        <w:szCs w:val="30"/>
      </w:rPr>
      <w:t>扫描创建</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7DBB3">
    <w:pPr>
      <w:ind w:left="7200"/>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59" name="IM 86"/>
          <wp:cNvGraphicFramePr/>
          <a:graphic xmlns:a="http://schemas.openxmlformats.org/drawingml/2006/main">
            <a:graphicData uri="http://schemas.openxmlformats.org/drawingml/2006/picture">
              <pic:pic xmlns:pic="http://schemas.openxmlformats.org/drawingml/2006/picture">
                <pic:nvPicPr>
                  <pic:cNvPr id="59" name="IM 86"/>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103"/>
        <w:sz w:val="30"/>
        <w:szCs w:val="30"/>
      </w:rPr>
      <w:t xml:space="preserve"> </w:t>
    </w:r>
    <w:r>
      <w:rPr>
        <w:rFonts w:ascii="宋体" w:hAnsi="宋体" w:eastAsia="宋体" w:cs="宋体"/>
        <w:spacing w:val="-6"/>
        <w:sz w:val="30"/>
        <w:szCs w:val="30"/>
      </w:rPr>
      <w:t>由 扫描全能王</w:t>
    </w:r>
    <w:r>
      <w:rPr>
        <w:rFonts w:ascii="宋体" w:hAnsi="宋体" w:eastAsia="宋体" w:cs="宋体"/>
        <w:spacing w:val="15"/>
        <w:sz w:val="30"/>
        <w:szCs w:val="30"/>
      </w:rPr>
      <w:t xml:space="preserve"> </w:t>
    </w:r>
    <w:r>
      <w:rPr>
        <w:rFonts w:ascii="宋体" w:hAnsi="宋体" w:eastAsia="宋体" w:cs="宋体"/>
        <w:spacing w:val="-6"/>
        <w:sz w:val="30"/>
        <w:szCs w:val="30"/>
      </w:rPr>
      <w:t>扫描创建</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E0665">
    <w:pPr>
      <w:ind w:right="16"/>
      <w:jc w:val="right"/>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61" name="IM 94"/>
          <wp:cNvGraphicFramePr/>
          <a:graphic xmlns:a="http://schemas.openxmlformats.org/drawingml/2006/main">
            <a:graphicData uri="http://schemas.openxmlformats.org/drawingml/2006/picture">
              <pic:pic xmlns:pic="http://schemas.openxmlformats.org/drawingml/2006/picture">
                <pic:nvPicPr>
                  <pic:cNvPr id="61" name="IM 94"/>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103"/>
        <w:sz w:val="30"/>
        <w:szCs w:val="30"/>
      </w:rPr>
      <w:t xml:space="preserve"> </w:t>
    </w:r>
    <w:r>
      <w:rPr>
        <w:rFonts w:ascii="宋体" w:hAnsi="宋体" w:eastAsia="宋体" w:cs="宋体"/>
        <w:spacing w:val="-6"/>
        <w:sz w:val="30"/>
        <w:szCs w:val="30"/>
      </w:rPr>
      <w:t>由 扫描全能王</w:t>
    </w:r>
    <w:r>
      <w:rPr>
        <w:rFonts w:ascii="宋体" w:hAnsi="宋体" w:eastAsia="宋体" w:cs="宋体"/>
        <w:spacing w:val="15"/>
        <w:sz w:val="30"/>
        <w:szCs w:val="30"/>
      </w:rPr>
      <w:t xml:space="preserve"> </w:t>
    </w:r>
    <w:r>
      <w:rPr>
        <w:rFonts w:ascii="宋体" w:hAnsi="宋体" w:eastAsia="宋体" w:cs="宋体"/>
        <w:spacing w:val="-6"/>
        <w:sz w:val="30"/>
        <w:szCs w:val="30"/>
      </w:rPr>
      <w:t>扫描创建</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AD8FE">
    <w:pPr>
      <w:ind w:left="7200"/>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103"/>
        <w:sz w:val="30"/>
        <w:szCs w:val="30"/>
      </w:rPr>
      <w:t xml:space="preserve"> </w:t>
    </w:r>
    <w:r>
      <w:rPr>
        <w:rFonts w:ascii="宋体" w:hAnsi="宋体" w:eastAsia="宋体" w:cs="宋体"/>
        <w:spacing w:val="-6"/>
        <w:sz w:val="30"/>
        <w:szCs w:val="30"/>
      </w:rPr>
      <w:t>由 扫描全能王</w:t>
    </w:r>
    <w:r>
      <w:rPr>
        <w:rFonts w:ascii="宋体" w:hAnsi="宋体" w:eastAsia="宋体" w:cs="宋体"/>
        <w:spacing w:val="15"/>
        <w:sz w:val="30"/>
        <w:szCs w:val="30"/>
      </w:rPr>
      <w:t xml:space="preserve"> </w:t>
    </w:r>
    <w:r>
      <w:rPr>
        <w:rFonts w:ascii="宋体" w:hAnsi="宋体" w:eastAsia="宋体" w:cs="宋体"/>
        <w:spacing w:val="-6"/>
        <w:sz w:val="30"/>
        <w:szCs w:val="30"/>
      </w:rPr>
      <w:t>扫描创建</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C1CE0">
    <w:pPr>
      <w:ind w:left="7300"/>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103"/>
        <w:sz w:val="30"/>
        <w:szCs w:val="30"/>
      </w:rPr>
      <w:t xml:space="preserve"> </w:t>
    </w:r>
    <w:r>
      <w:rPr>
        <w:rFonts w:ascii="宋体" w:hAnsi="宋体" w:eastAsia="宋体" w:cs="宋体"/>
        <w:spacing w:val="-6"/>
        <w:sz w:val="30"/>
        <w:szCs w:val="30"/>
      </w:rPr>
      <w:t>由 扫描全能王</w:t>
    </w:r>
    <w:r>
      <w:rPr>
        <w:rFonts w:ascii="宋体" w:hAnsi="宋体" w:eastAsia="宋体" w:cs="宋体"/>
        <w:spacing w:val="15"/>
        <w:sz w:val="30"/>
        <w:szCs w:val="30"/>
      </w:rPr>
      <w:t xml:space="preserve"> </w:t>
    </w:r>
    <w:r>
      <w:rPr>
        <w:rFonts w:ascii="宋体" w:hAnsi="宋体" w:eastAsia="宋体" w:cs="宋体"/>
        <w:spacing w:val="-6"/>
        <w:sz w:val="30"/>
        <w:szCs w:val="30"/>
      </w:rPr>
      <w:t>扫描创建</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B8D80">
    <w:pPr>
      <w:jc w:val="right"/>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63" name="IM 110"/>
          <wp:cNvGraphicFramePr/>
          <a:graphic xmlns:a="http://schemas.openxmlformats.org/drawingml/2006/main">
            <a:graphicData uri="http://schemas.openxmlformats.org/drawingml/2006/picture">
              <pic:pic xmlns:pic="http://schemas.openxmlformats.org/drawingml/2006/picture">
                <pic:nvPicPr>
                  <pic:cNvPr id="63" name="IM 110"/>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99"/>
        <w:sz w:val="30"/>
        <w:szCs w:val="30"/>
      </w:rPr>
      <w:t xml:space="preserve"> </w:t>
    </w:r>
    <w:r>
      <w:rPr>
        <w:rFonts w:ascii="宋体" w:hAnsi="宋体" w:eastAsia="宋体" w:cs="宋体"/>
        <w:spacing w:val="-6"/>
        <w:sz w:val="30"/>
        <w:szCs w:val="30"/>
      </w:rPr>
      <w:t>由 扫描全能王</w:t>
    </w:r>
    <w:r>
      <w:rPr>
        <w:rFonts w:ascii="宋体" w:hAnsi="宋体" w:eastAsia="宋体" w:cs="宋体"/>
        <w:spacing w:val="16"/>
        <w:sz w:val="30"/>
        <w:szCs w:val="30"/>
      </w:rPr>
      <w:t xml:space="preserve"> </w:t>
    </w:r>
    <w:r>
      <w:rPr>
        <w:rFonts w:ascii="宋体" w:hAnsi="宋体" w:eastAsia="宋体" w:cs="宋体"/>
        <w:spacing w:val="-6"/>
        <w:sz w:val="30"/>
        <w:szCs w:val="30"/>
      </w:rPr>
      <w:t>扫描创建</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6DA0">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817D2">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D67EA">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6Pn47AgAAc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BXo+fjsCAABzBAAADgAAAAAAAAABACAAAAAfAQAAZHJzL2Uyb0Rv&#10;Yy54bWxQSwUGAAAAAAYABgBZAQAAzAUAAAAA&#10;">
              <v:fill on="f" focussize="0,0"/>
              <v:stroke on="f" weight="0.5pt"/>
              <v:imagedata o:title=""/>
              <o:lock v:ext="edit" aspectratio="f"/>
              <v:textbox inset="0mm,0mm,0mm,0mm" style="mso-fit-shape-to-text:t;">
                <w:txbxContent>
                  <w:p w14:paraId="33CD67EA">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B0FBB">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C1EF3">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NHjo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nNHjo5AgAAcwQAAA4AAAAAAAAAAQAgAAAAHwEAAGRycy9lMm9Eb2Mu&#10;eG1sUEsFBgAAAAAGAAYAWQEAAMoFAAAAAA==&#10;">
              <v:fill on="f" focussize="0,0"/>
              <v:stroke on="f" weight="0.5pt"/>
              <v:imagedata o:title=""/>
              <o:lock v:ext="edit" aspectratio="f"/>
              <v:textbox inset="0mm,0mm,0mm,0mm" style="mso-fit-shape-to-text:t;">
                <w:txbxContent>
                  <w:p w14:paraId="01FC1EF3">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4E369">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4B932">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xtI5A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xtI5A5AgAAcQQAAA4AAAAAAAAAAQAgAAAAHwEAAGRycy9lMm9Eb2Mu&#10;eG1sUEsFBgAAAAAGAAYAWQEAAMoFAAAAAA==&#10;">
              <v:fill on="f" focussize="0,0"/>
              <v:stroke on="f" weight="0.5pt"/>
              <v:imagedata o:title=""/>
              <o:lock v:ext="edit" aspectratio="f"/>
              <v:textbox inset="0mm,0mm,0mm,0mm" style="mso-fit-shape-to-text:t;">
                <w:txbxContent>
                  <w:p w14:paraId="7DA4B932">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E961A">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AF55E">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ZkQM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MZkQM5AgAAcQQAAA4AAAAAAAAAAQAgAAAAHwEAAGRycy9lMm9Eb2Mu&#10;eG1sUEsFBgAAAAAGAAYAWQEAAMoFAAAAAA==&#10;">
              <v:fill on="f" focussize="0,0"/>
              <v:stroke on="f" weight="0.5pt"/>
              <v:imagedata o:title=""/>
              <o:lock v:ext="edit" aspectratio="f"/>
              <v:textbox inset="0mm,0mm,0mm,0mm" style="mso-fit-shape-to-text:t;">
                <w:txbxContent>
                  <w:p w14:paraId="2B9AF55E">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A8B39">
    <w:pPr>
      <w:pStyle w:val="7"/>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45A47">
    <w:pPr>
      <w:jc w:val="right"/>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99"/>
        <w:sz w:val="30"/>
        <w:szCs w:val="30"/>
      </w:rPr>
      <w:t xml:space="preserve"> </w:t>
    </w:r>
    <w:r>
      <w:rPr>
        <w:rFonts w:ascii="宋体" w:hAnsi="宋体" w:eastAsia="宋体" w:cs="宋体"/>
        <w:spacing w:val="-6"/>
        <w:sz w:val="30"/>
        <w:szCs w:val="30"/>
      </w:rPr>
      <w:t>由 扫描全能王</w:t>
    </w:r>
    <w:r>
      <w:rPr>
        <w:rFonts w:ascii="宋体" w:hAnsi="宋体" w:eastAsia="宋体" w:cs="宋体"/>
        <w:spacing w:val="16"/>
        <w:sz w:val="30"/>
        <w:szCs w:val="30"/>
      </w:rPr>
      <w:t xml:space="preserve"> </w:t>
    </w:r>
    <w:r>
      <w:rPr>
        <w:rFonts w:ascii="宋体" w:hAnsi="宋体" w:eastAsia="宋体" w:cs="宋体"/>
        <w:spacing w:val="-6"/>
        <w:sz w:val="30"/>
        <w:szCs w:val="30"/>
      </w:rPr>
      <w:t>扫描创建</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C9296">
    <w:pPr>
      <w:ind w:left="7200"/>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103"/>
        <w:sz w:val="30"/>
        <w:szCs w:val="30"/>
      </w:rPr>
      <w:t xml:space="preserve"> </w:t>
    </w:r>
    <w:r>
      <w:rPr>
        <w:rFonts w:ascii="宋体" w:hAnsi="宋体" w:eastAsia="宋体" w:cs="宋体"/>
        <w:spacing w:val="-6"/>
        <w:sz w:val="30"/>
        <w:szCs w:val="30"/>
      </w:rPr>
      <w:t>由 扫描全能王</w:t>
    </w:r>
    <w:r>
      <w:rPr>
        <w:rFonts w:ascii="宋体" w:hAnsi="宋体" w:eastAsia="宋体" w:cs="宋体"/>
        <w:spacing w:val="15"/>
        <w:sz w:val="30"/>
        <w:szCs w:val="30"/>
      </w:rPr>
      <w:t xml:space="preserve"> </w:t>
    </w:r>
    <w:r>
      <w:rPr>
        <w:rFonts w:ascii="宋体" w:hAnsi="宋体" w:eastAsia="宋体" w:cs="宋体"/>
        <w:spacing w:val="-6"/>
        <w:sz w:val="30"/>
        <w:szCs w:val="30"/>
      </w:rPr>
      <w:t>扫描创建</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A490">
    <w:pPr>
      <w:ind w:left="7280"/>
      <w:rPr>
        <w:rFonts w:ascii="宋体" w:hAnsi="宋体" w:eastAsia="宋体" w:cs="宋体"/>
        <w:sz w:val="30"/>
        <w:szCs w:val="30"/>
      </w:rPr>
    </w:pPr>
    <w:r>
      <w:rPr>
        <w:rFonts w:ascii="宋体" w:hAnsi="宋体" w:eastAsia="宋体" w:cs="宋体"/>
        <w:position w:val="-29"/>
        <w:sz w:val="30"/>
        <w:szCs w:val="30"/>
      </w:rPr>
      <w:drawing>
        <wp:inline distT="0" distB="0" distL="0" distR="0">
          <wp:extent cx="508000" cy="501650"/>
          <wp:effectExtent l="0" t="0" r="6350" b="3175"/>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08000" cy="501650"/>
                  </a:xfrm>
                  <a:prstGeom prst="rect">
                    <a:avLst/>
                  </a:prstGeom>
                </pic:spPr>
              </pic:pic>
            </a:graphicData>
          </a:graphic>
        </wp:inline>
      </w:drawing>
    </w:r>
    <w:r>
      <w:rPr>
        <w:rFonts w:ascii="宋体" w:hAnsi="宋体" w:eastAsia="宋体" w:cs="宋体"/>
        <w:spacing w:val="103"/>
        <w:sz w:val="30"/>
        <w:szCs w:val="30"/>
      </w:rPr>
      <w:t xml:space="preserve"> </w:t>
    </w:r>
    <w:r>
      <w:rPr>
        <w:rFonts w:ascii="宋体" w:hAnsi="宋体" w:eastAsia="宋体" w:cs="宋体"/>
        <w:spacing w:val="-6"/>
        <w:sz w:val="30"/>
        <w:szCs w:val="30"/>
      </w:rPr>
      <w:t>由 扫描全能王</w:t>
    </w:r>
    <w:r>
      <w:rPr>
        <w:rFonts w:ascii="宋体" w:hAnsi="宋体" w:eastAsia="宋体" w:cs="宋体"/>
        <w:spacing w:val="15"/>
        <w:sz w:val="30"/>
        <w:szCs w:val="30"/>
      </w:rPr>
      <w:t xml:space="preserve"> </w:t>
    </w:r>
    <w:r>
      <w:rPr>
        <w:rFonts w:ascii="宋体" w:hAnsi="宋体" w:eastAsia="宋体" w:cs="宋体"/>
        <w:spacing w:val="-6"/>
        <w:sz w:val="30"/>
        <w:szCs w:val="30"/>
      </w:rPr>
      <w:t>扫描创建</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4255B">
    <w:pPr>
      <w:widowControl w:val="0"/>
      <w:pBdr>
        <w:bottom w:val="none" w:color="auto" w:sz="0" w:space="1"/>
      </w:pBdr>
      <w:overflowPunct w:val="0"/>
      <w:autoSpaceDE w:val="0"/>
      <w:autoSpaceDN w:val="0"/>
      <w:adjustRightInd w:val="0"/>
      <w:snapToGrid w:val="0"/>
      <w:spacing w:before="0" w:after="0" w:line="240" w:lineRule="atLeast"/>
      <w:ind w:left="0" w:right="0" w:firstLine="360" w:firstLineChars="200"/>
      <w:jc w:val="center"/>
      <w:rPr>
        <w:rFonts w:ascii="Times New Roman" w:hAnsi="Times New Roman" w:eastAsia="宋体" w:cs="宋体"/>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562F">
    <w:pPr>
      <w:widowControl w:val="0"/>
      <w:pBdr>
        <w:bottom w:val="none" w:color="auto" w:sz="0" w:space="1"/>
      </w:pBdr>
      <w:overflowPunct w:val="0"/>
      <w:autoSpaceDE w:val="0"/>
      <w:autoSpaceDN w:val="0"/>
      <w:adjustRightInd w:val="0"/>
      <w:snapToGrid w:val="0"/>
      <w:spacing w:before="0" w:after="0" w:line="240" w:lineRule="atLeast"/>
      <w:ind w:left="0" w:right="0" w:firstLine="360" w:firstLineChars="200"/>
      <w:jc w:val="center"/>
      <w:rPr>
        <w:rFonts w:ascii="Times New Roman" w:hAnsi="Times New Roman" w:eastAsia="宋体" w:cs="宋体"/>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AB3C">
    <w:pPr>
      <w:pStyle w:val="7"/>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BA895">
    <w:pPr>
      <w:pStyle w:val="7"/>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4010">
    <w:pPr>
      <w:pStyle w:val="7"/>
      <w:spacing w:line="14" w:lineRule="auto"/>
      <w:rPr>
        <w:sz w:val="2"/>
      </w:rPr>
    </w:pPr>
    <w:r>
      <mc:AlternateContent>
        <mc:Choice Requires="wps">
          <w:drawing>
            <wp:anchor distT="0" distB="0" distL="114300" distR="114300" simplePos="0" relativeHeight="251670528" behindDoc="0" locked="0" layoutInCell="0" allowOverlap="1">
              <wp:simplePos x="0" y="0"/>
              <wp:positionH relativeFrom="page">
                <wp:posOffset>1689100</wp:posOffset>
              </wp:positionH>
              <wp:positionV relativeFrom="page">
                <wp:posOffset>6245860</wp:posOffset>
              </wp:positionV>
              <wp:extent cx="222250" cy="22987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222250" cy="229870"/>
                      </a:xfrm>
                      <a:prstGeom prst="rect">
                        <a:avLst/>
                      </a:prstGeom>
                      <a:noFill/>
                      <a:ln>
                        <a:noFill/>
                      </a:ln>
                    </wps:spPr>
                    <wps:txbx>
                      <w:txbxContent>
                        <w:p w14:paraId="1AC5FFE0">
                          <w:pPr>
                            <w:spacing w:before="20" w:line="321"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wps:txbx>
                    <wps:bodyPr lIns="0" tIns="0" rIns="0" bIns="0" upright="1"/>
                  </wps:wsp>
                </a:graphicData>
              </a:graphic>
            </wp:anchor>
          </w:drawing>
        </mc:Choice>
        <mc:Fallback>
          <w:pict>
            <v:shape id="_x0000_s1026" o:spid="_x0000_s1026" o:spt="202" type="#_x0000_t202" style="position:absolute;left:0pt;margin-left:133pt;margin-top:491.8pt;height:18.1pt;width:17.5pt;mso-position-horizontal-relative:page;mso-position-vertical-relative:page;z-index:251670528;mso-width-relative:page;mso-height-relative:page;" filled="f" stroked="f" coordsize="21600,21600" o:allowincell="f" o:gfxdata="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jQdoAAAAMAQAADwAAAAAAAAABACAAAAAiAAAAZHJzL2Rvd25yZXYueG1sUEsB&#10;AhQAFAAAAAgAh07iQO9Rbya6AQAAdQMAAA4AAAAAAAAAAQAgAAAAKQEAAGRycy9lMm9Eb2MueG1s&#10;UEsFBgAAAAAGAAYAWQEAAFUFAAAAAA==&#10;">
              <v:fill on="f" focussize="0,0"/>
              <v:stroke on="f"/>
              <v:imagedata o:title=""/>
              <o:lock v:ext="edit" aspectratio="f"/>
              <v:textbox inset="0mm,0mm,0mm,0mm">
                <w:txbxContent>
                  <w:p w14:paraId="1AC5FFE0">
                    <w:pPr>
                      <w:spacing w:before="20" w:line="321" w:lineRule="exact"/>
                      <w:ind w:left="20"/>
                      <w:rPr>
                        <w:rFonts w:ascii="微软雅黑" w:hAnsi="微软雅黑" w:eastAsia="微软雅黑" w:cs="微软雅黑"/>
                        <w:sz w:val="37"/>
                        <w:szCs w:val="37"/>
                      </w:rPr>
                    </w:pPr>
                    <w:r>
                      <w:rPr>
                        <w:rFonts w:ascii="微软雅黑" w:hAnsi="微软雅黑" w:eastAsia="微软雅黑" w:cs="微软雅黑"/>
                        <w:color w:val="FF0000"/>
                        <w:spacing w:val="7"/>
                        <w:position w:val="-4"/>
                        <w:sz w:val="37"/>
                        <w:szCs w:val="37"/>
                      </w:rPr>
                      <w:t>★</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D727D">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4F237"/>
    <w:multiLevelType w:val="singleLevel"/>
    <w:tmpl w:val="B044F237"/>
    <w:lvl w:ilvl="0" w:tentative="0">
      <w:start w:val="1"/>
      <w:numFmt w:val="decimal"/>
      <w:suff w:val="nothing"/>
      <w:lvlText w:val="（%1）"/>
      <w:lvlJc w:val="left"/>
    </w:lvl>
  </w:abstractNum>
  <w:abstractNum w:abstractNumId="1">
    <w:nsid w:val="CC033BEC"/>
    <w:multiLevelType w:val="singleLevel"/>
    <w:tmpl w:val="CC033BEC"/>
    <w:lvl w:ilvl="0" w:tentative="0">
      <w:start w:val="1"/>
      <w:numFmt w:val="decimal"/>
      <w:suff w:val="nothing"/>
      <w:lvlText w:val="（%1）"/>
      <w:lvlJc w:val="left"/>
    </w:lvl>
  </w:abstractNum>
  <w:abstractNum w:abstractNumId="2">
    <w:nsid w:val="215BDC7C"/>
    <w:multiLevelType w:val="singleLevel"/>
    <w:tmpl w:val="215BDC7C"/>
    <w:lvl w:ilvl="0" w:tentative="0">
      <w:start w:val="2"/>
      <w:numFmt w:val="chineseCounting"/>
      <w:suff w:val="nothing"/>
      <w:lvlText w:val="%1、"/>
      <w:lvlJc w:val="left"/>
      <w:rPr>
        <w:rFonts w:hint="eastAsia"/>
      </w:rPr>
    </w:lvl>
  </w:abstractNum>
  <w:abstractNum w:abstractNumId="3">
    <w:nsid w:val="35ACAF6C"/>
    <w:multiLevelType w:val="singleLevel"/>
    <w:tmpl w:val="35ACAF6C"/>
    <w:lvl w:ilvl="0" w:tentative="0">
      <w:start w:val="1"/>
      <w:numFmt w:val="decimal"/>
      <w:suff w:val="nothing"/>
      <w:lvlText w:val="%1、"/>
      <w:lvlJc w:val="left"/>
    </w:lvl>
  </w:abstractNum>
  <w:abstractNum w:abstractNumId="4">
    <w:nsid w:val="5E2B1243"/>
    <w:multiLevelType w:val="singleLevel"/>
    <w:tmpl w:val="5E2B1243"/>
    <w:lvl w:ilvl="0" w:tentative="0">
      <w:start w:val="3"/>
      <w:numFmt w:val="chineseCounting"/>
      <w:suff w:val="nothing"/>
      <w:lvlText w:val="%1、"/>
      <w:lvlJc w:val="left"/>
      <w:rPr>
        <w:rFonts w:hint="eastAsia"/>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5E4E01"/>
    <w:rsid w:val="00333205"/>
    <w:rsid w:val="02A824AD"/>
    <w:rsid w:val="02B5573F"/>
    <w:rsid w:val="03E9550E"/>
    <w:rsid w:val="042A6F0E"/>
    <w:rsid w:val="055E4AD2"/>
    <w:rsid w:val="0614666C"/>
    <w:rsid w:val="06CF19A6"/>
    <w:rsid w:val="07BF3D34"/>
    <w:rsid w:val="08267AF3"/>
    <w:rsid w:val="082C4FE6"/>
    <w:rsid w:val="08992218"/>
    <w:rsid w:val="094E5430"/>
    <w:rsid w:val="0A2B46BA"/>
    <w:rsid w:val="0A2D5046"/>
    <w:rsid w:val="0A8235E3"/>
    <w:rsid w:val="0ABB4D47"/>
    <w:rsid w:val="0B0C0600"/>
    <w:rsid w:val="0D0A46D0"/>
    <w:rsid w:val="0D307327"/>
    <w:rsid w:val="0DF14A7B"/>
    <w:rsid w:val="0DF53E6A"/>
    <w:rsid w:val="0E920B06"/>
    <w:rsid w:val="0EAE2A4C"/>
    <w:rsid w:val="105A46BB"/>
    <w:rsid w:val="10710382"/>
    <w:rsid w:val="108A31F2"/>
    <w:rsid w:val="10FC52E9"/>
    <w:rsid w:val="113C1840"/>
    <w:rsid w:val="11E20E0C"/>
    <w:rsid w:val="13345697"/>
    <w:rsid w:val="145E0C1D"/>
    <w:rsid w:val="14B96857"/>
    <w:rsid w:val="14E45B63"/>
    <w:rsid w:val="150F739E"/>
    <w:rsid w:val="161F618A"/>
    <w:rsid w:val="16551BAC"/>
    <w:rsid w:val="16A82624"/>
    <w:rsid w:val="173914CE"/>
    <w:rsid w:val="17AB109A"/>
    <w:rsid w:val="186A6260"/>
    <w:rsid w:val="187C14BE"/>
    <w:rsid w:val="1A187AC0"/>
    <w:rsid w:val="1A9A3051"/>
    <w:rsid w:val="1B2A1FB6"/>
    <w:rsid w:val="1BAD45B4"/>
    <w:rsid w:val="1BFB1448"/>
    <w:rsid w:val="1CE971DA"/>
    <w:rsid w:val="1D7414B2"/>
    <w:rsid w:val="1E262080"/>
    <w:rsid w:val="1ECB5101"/>
    <w:rsid w:val="1F3D2249"/>
    <w:rsid w:val="20A539F4"/>
    <w:rsid w:val="20E26732"/>
    <w:rsid w:val="226338A3"/>
    <w:rsid w:val="23641680"/>
    <w:rsid w:val="237F295E"/>
    <w:rsid w:val="23F50AC9"/>
    <w:rsid w:val="240F561C"/>
    <w:rsid w:val="24B959FC"/>
    <w:rsid w:val="259C18FC"/>
    <w:rsid w:val="26167F24"/>
    <w:rsid w:val="26855848"/>
    <w:rsid w:val="27075144"/>
    <w:rsid w:val="28CE76FE"/>
    <w:rsid w:val="297E72AD"/>
    <w:rsid w:val="29EA360A"/>
    <w:rsid w:val="2B196D86"/>
    <w:rsid w:val="2BFA5278"/>
    <w:rsid w:val="2CB72AEC"/>
    <w:rsid w:val="2E8D6EB8"/>
    <w:rsid w:val="2F371F0B"/>
    <w:rsid w:val="2F782F6C"/>
    <w:rsid w:val="2F8D1F5F"/>
    <w:rsid w:val="2FD302BA"/>
    <w:rsid w:val="3102072B"/>
    <w:rsid w:val="33AE0869"/>
    <w:rsid w:val="33DD0B38"/>
    <w:rsid w:val="343C73EF"/>
    <w:rsid w:val="35D22DC1"/>
    <w:rsid w:val="36EA541C"/>
    <w:rsid w:val="37647A49"/>
    <w:rsid w:val="38DD575A"/>
    <w:rsid w:val="392E030F"/>
    <w:rsid w:val="3AC54CA3"/>
    <w:rsid w:val="3BAD11A5"/>
    <w:rsid w:val="3C6672ED"/>
    <w:rsid w:val="3D1C4922"/>
    <w:rsid w:val="3D1E4B3E"/>
    <w:rsid w:val="3D82105B"/>
    <w:rsid w:val="3EB6261F"/>
    <w:rsid w:val="3F06588A"/>
    <w:rsid w:val="3F4F333E"/>
    <w:rsid w:val="40D0614F"/>
    <w:rsid w:val="40EE5627"/>
    <w:rsid w:val="42277E78"/>
    <w:rsid w:val="423F490B"/>
    <w:rsid w:val="43B6787E"/>
    <w:rsid w:val="43FF30EF"/>
    <w:rsid w:val="445B73F6"/>
    <w:rsid w:val="4473767C"/>
    <w:rsid w:val="46D52711"/>
    <w:rsid w:val="4821343B"/>
    <w:rsid w:val="48651873"/>
    <w:rsid w:val="48B06F92"/>
    <w:rsid w:val="496B4C67"/>
    <w:rsid w:val="4DF74D1B"/>
    <w:rsid w:val="4E210366"/>
    <w:rsid w:val="4E41243B"/>
    <w:rsid w:val="4E603B78"/>
    <w:rsid w:val="4EBE1CDD"/>
    <w:rsid w:val="4F5E4E01"/>
    <w:rsid w:val="4FDD483B"/>
    <w:rsid w:val="4FE811D3"/>
    <w:rsid w:val="50385B1F"/>
    <w:rsid w:val="50546455"/>
    <w:rsid w:val="51302D40"/>
    <w:rsid w:val="51B33440"/>
    <w:rsid w:val="524A3FB4"/>
    <w:rsid w:val="52D41ACF"/>
    <w:rsid w:val="530B2144"/>
    <w:rsid w:val="532D2513"/>
    <w:rsid w:val="53FC3639"/>
    <w:rsid w:val="54E533E7"/>
    <w:rsid w:val="55545149"/>
    <w:rsid w:val="5559450E"/>
    <w:rsid w:val="56073F6A"/>
    <w:rsid w:val="5630620C"/>
    <w:rsid w:val="581103B7"/>
    <w:rsid w:val="58D34DB5"/>
    <w:rsid w:val="59E02F43"/>
    <w:rsid w:val="5B707F92"/>
    <w:rsid w:val="5B7E7291"/>
    <w:rsid w:val="5BA55C1C"/>
    <w:rsid w:val="5BEA6A68"/>
    <w:rsid w:val="5C51754A"/>
    <w:rsid w:val="5C59754F"/>
    <w:rsid w:val="5F1B6A89"/>
    <w:rsid w:val="60785B0D"/>
    <w:rsid w:val="60CF38D6"/>
    <w:rsid w:val="60DF1D6B"/>
    <w:rsid w:val="625215D4"/>
    <w:rsid w:val="6280757E"/>
    <w:rsid w:val="631B72A6"/>
    <w:rsid w:val="631F1D2E"/>
    <w:rsid w:val="6328643C"/>
    <w:rsid w:val="644235B9"/>
    <w:rsid w:val="65C34918"/>
    <w:rsid w:val="66342560"/>
    <w:rsid w:val="667834E6"/>
    <w:rsid w:val="67317098"/>
    <w:rsid w:val="679B2764"/>
    <w:rsid w:val="681E0C30"/>
    <w:rsid w:val="6864524C"/>
    <w:rsid w:val="68DB3760"/>
    <w:rsid w:val="691C6699"/>
    <w:rsid w:val="693D1D24"/>
    <w:rsid w:val="69430FB2"/>
    <w:rsid w:val="696A4AE4"/>
    <w:rsid w:val="6BEA5A68"/>
    <w:rsid w:val="6F141779"/>
    <w:rsid w:val="70A657A4"/>
    <w:rsid w:val="711C2B67"/>
    <w:rsid w:val="71233EF6"/>
    <w:rsid w:val="731F249B"/>
    <w:rsid w:val="73337CF4"/>
    <w:rsid w:val="73762DAC"/>
    <w:rsid w:val="74275AAB"/>
    <w:rsid w:val="759C45ED"/>
    <w:rsid w:val="766F54E7"/>
    <w:rsid w:val="767B0330"/>
    <w:rsid w:val="77375282"/>
    <w:rsid w:val="77811976"/>
    <w:rsid w:val="78CC6C21"/>
    <w:rsid w:val="78F737F9"/>
    <w:rsid w:val="79110AD8"/>
    <w:rsid w:val="7956473D"/>
    <w:rsid w:val="7B226605"/>
    <w:rsid w:val="7D043F8E"/>
    <w:rsid w:val="7D5E1E12"/>
    <w:rsid w:val="7F0703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20" w:lineRule="exact"/>
      <w:jc w:val="both"/>
    </w:pPr>
    <w:rPr>
      <w:rFonts w:ascii="Times New Roman" w:hAnsi="Times New Roman" w:eastAsia="宋体" w:cs="宋体"/>
      <w:color w:val="auto"/>
      <w:sz w:val="24"/>
      <w:szCs w:val="22"/>
      <w:lang w:val="en-US" w:eastAsia="zh-CN" w:bidi="ar-SA"/>
    </w:rPr>
  </w:style>
  <w:style w:type="paragraph" w:styleId="2">
    <w:name w:val="heading 2"/>
    <w:basedOn w:val="1"/>
    <w:next w:val="1"/>
    <w:qFormat/>
    <w:uiPriority w:val="0"/>
    <w:pPr>
      <w:keepNext w:val="0"/>
      <w:keepLines w:val="0"/>
      <w:overflowPunct w:val="0"/>
      <w:spacing w:line="560" w:lineRule="exact"/>
      <w:outlineLvl w:val="1"/>
    </w:pPr>
    <w:rPr>
      <w:b/>
      <w:bCs/>
      <w:sz w:val="28"/>
      <w:szCs w:val="32"/>
    </w:rPr>
  </w:style>
  <w:style w:type="paragraph" w:styleId="3">
    <w:name w:val="heading 3"/>
    <w:basedOn w:val="1"/>
    <w:next w:val="1"/>
    <w:qFormat/>
    <w:uiPriority w:val="9"/>
    <w:pPr>
      <w:overflowPunct w:val="0"/>
      <w:spacing w:beforeAutospacing="0" w:afterAutospacing="0"/>
      <w:jc w:val="left"/>
      <w:outlineLvl w:val="2"/>
    </w:pPr>
    <w:rPr>
      <w:rFonts w:hint="default" w:ascii="Times New Roman" w:hAnsi="Times New Roman" w:cs="宋体"/>
      <w:b/>
      <w:kern w:val="0"/>
      <w:sz w:val="24"/>
      <w:szCs w:val="27"/>
      <w:lang w:bidi="ar"/>
    </w:rPr>
  </w:style>
  <w:style w:type="paragraph" w:styleId="4">
    <w:name w:val="heading 4"/>
    <w:basedOn w:val="1"/>
    <w:next w:val="1"/>
    <w:qFormat/>
    <w:uiPriority w:val="0"/>
    <w:pPr>
      <w:keepNext/>
      <w:keepLines/>
      <w:widowControl/>
      <w:spacing w:before="280" w:after="290" w:line="376" w:lineRule="atLeast"/>
      <w:outlineLvl w:val="3"/>
    </w:pPr>
    <w:rPr>
      <w:rFonts w:ascii="Arial" w:hAnsi="Arial"/>
      <w:b/>
      <w:bCs/>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4"/>
    </w:rPr>
  </w:style>
  <w:style w:type="paragraph" w:styleId="6">
    <w:name w:val="annotation text"/>
    <w:basedOn w:val="1"/>
    <w:qFormat/>
    <w:uiPriority w:val="0"/>
    <w:pPr>
      <w:jc w:val="left"/>
    </w:pPr>
  </w:style>
  <w:style w:type="paragraph" w:styleId="7">
    <w:name w:val="Body Text"/>
    <w:basedOn w:val="1"/>
    <w:qFormat/>
    <w:uiPriority w:val="1"/>
    <w:rPr>
      <w:rFonts w:ascii="宋体" w:hAnsi="宋体"/>
      <w:szCs w:val="24"/>
    </w:rPr>
  </w:style>
  <w:style w:type="paragraph" w:styleId="8">
    <w:name w:val="Body Text Indent 2"/>
    <w:basedOn w:val="1"/>
    <w:qFormat/>
    <w:uiPriority w:val="0"/>
    <w:pPr>
      <w:spacing w:after="120" w:afterLines="0" w:line="480" w:lineRule="auto"/>
      <w:ind w:left="420" w:left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List"/>
    <w:basedOn w:val="1"/>
    <w:next w:val="1"/>
    <w:qFormat/>
    <w:uiPriority w:val="0"/>
    <w:pPr>
      <w:widowControl w:val="0"/>
      <w:overflowPunct w:val="0"/>
      <w:autoSpaceDE w:val="0"/>
      <w:autoSpaceDN w:val="0"/>
      <w:adjustRightInd w:val="0"/>
      <w:snapToGrid w:val="0"/>
      <w:spacing w:line="360" w:lineRule="atLeast"/>
      <w:ind w:left="0" w:firstLine="0" w:firstLineChars="0"/>
      <w:jc w:val="center"/>
    </w:pPr>
    <w:rPr>
      <w:rFonts w:ascii="Times New Roman" w:hAnsi="Times New Roman" w:eastAsia="宋体" w:cs="Times New Roman"/>
      <w:kern w:val="2"/>
      <w:sz w:val="21"/>
      <w:szCs w:val="24"/>
      <w:lang w:val="en-US" w:eastAsia="zh-CN" w:bidi="ar-SA"/>
    </w:rPr>
  </w:style>
  <w:style w:type="paragraph" w:styleId="13">
    <w:name w:val="Body Text 2"/>
    <w:basedOn w:val="1"/>
    <w:qFormat/>
    <w:uiPriority w:val="0"/>
    <w:pPr>
      <w:spacing w:after="120" w:afterLines="0" w:line="480" w:lineRule="auto"/>
    </w:pPr>
    <w:rPr>
      <w:rFonts w:eastAsia="仿宋_GB2312"/>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Default"/>
    <w:basedOn w:val="19"/>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paragraph" w:customStyle="1" w:styleId="20">
    <w:name w:val="表格内"/>
    <w:basedOn w:val="21"/>
    <w:autoRedefine/>
    <w:qFormat/>
    <w:uiPriority w:val="0"/>
    <w:pPr>
      <w:spacing w:line="360" w:lineRule="exact"/>
      <w:jc w:val="center"/>
    </w:pPr>
    <w:rPr>
      <w:snapToGrid w:val="0"/>
      <w:szCs w:val="21"/>
    </w:rPr>
  </w:style>
  <w:style w:type="paragraph" w:customStyle="1" w:styleId="21">
    <w:name w:val="表文字"/>
    <w:basedOn w:val="1"/>
    <w:autoRedefine/>
    <w:qFormat/>
    <w:uiPriority w:val="0"/>
    <w:pPr>
      <w:overflowPunct w:val="0"/>
      <w:autoSpaceDE w:val="0"/>
      <w:autoSpaceDN w:val="0"/>
      <w:adjustRightInd w:val="0"/>
      <w:spacing w:line="240" w:lineRule="atLeast"/>
      <w:jc w:val="center"/>
      <w:textAlignment w:val="baseline"/>
    </w:pPr>
    <w:rPr>
      <w:rFonts w:eastAsia="仿宋_GB2312"/>
      <w:kern w:val="0"/>
      <w:sz w:val="24"/>
      <w:szCs w:val="20"/>
    </w:rPr>
  </w:style>
  <w:style w:type="paragraph" w:customStyle="1" w:styleId="22">
    <w:name w:val="纯文本1"/>
    <w:basedOn w:val="1"/>
    <w:autoRedefine/>
    <w:qFormat/>
    <w:uiPriority w:val="0"/>
    <w:rPr>
      <w:rFonts w:ascii="宋体" w:hAnsi="Courier New" w:cs="Courier New"/>
      <w:kern w:val="2"/>
      <w:sz w:val="21"/>
      <w:szCs w:val="21"/>
    </w:rPr>
  </w:style>
  <w:style w:type="paragraph" w:customStyle="1" w:styleId="23">
    <w:name w:val="表格中字"/>
    <w:autoRedefine/>
    <w:qFormat/>
    <w:uiPriority w:val="0"/>
    <w:pPr>
      <w:widowControl w:val="0"/>
      <w:overflowPunct w:val="0"/>
      <w:autoSpaceDE w:val="0"/>
      <w:autoSpaceDN w:val="0"/>
      <w:adjustRightInd w:val="0"/>
      <w:snapToGrid w:val="0"/>
      <w:spacing w:line="300" w:lineRule="atLeast"/>
      <w:jc w:val="center"/>
      <w:textAlignment w:val="baseline"/>
    </w:pPr>
    <w:rPr>
      <w:rFonts w:ascii="Times New Roman" w:hAnsi="Times New Roman" w:eastAsia="宋体" w:cs="Times New Roman"/>
      <w:sz w:val="21"/>
      <w:lang w:val="en-US" w:eastAsia="zh-CN" w:bidi="ar-SA"/>
    </w:rPr>
  </w:style>
  <w:style w:type="paragraph" w:customStyle="1" w:styleId="24">
    <w:name w:val="报告表正文"/>
    <w:basedOn w:val="1"/>
    <w:autoRedefine/>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25">
    <w:name w:val="表内字"/>
    <w:basedOn w:val="1"/>
    <w:qFormat/>
    <w:uiPriority w:val="0"/>
    <w:pPr>
      <w:spacing w:line="320" w:lineRule="exact"/>
      <w:jc w:val="center"/>
    </w:pPr>
    <w:rPr>
      <w:rFonts w:ascii="Times New Roman" w:hAnsi="Times New Roman" w:eastAsia="宋体" w:cs="Times New Roman"/>
      <w:kern w:val="0"/>
      <w:sz w:val="21"/>
      <w:szCs w:val="24"/>
    </w:rPr>
  </w:style>
  <w:style w:type="character" w:customStyle="1" w:styleId="26">
    <w:name w:val="font51"/>
    <w:basedOn w:val="17"/>
    <w:autoRedefine/>
    <w:qFormat/>
    <w:uiPriority w:val="0"/>
    <w:rPr>
      <w:rFonts w:hint="eastAsia" w:ascii="宋体" w:hAnsi="宋体" w:eastAsia="宋体" w:cs="宋体"/>
      <w:color w:val="000000"/>
      <w:sz w:val="21"/>
      <w:szCs w:val="21"/>
      <w:u w:val="none"/>
    </w:rPr>
  </w:style>
  <w:style w:type="character" w:customStyle="1" w:styleId="27">
    <w:name w:val="font21"/>
    <w:basedOn w:val="17"/>
    <w:autoRedefine/>
    <w:qFormat/>
    <w:uiPriority w:val="0"/>
    <w:rPr>
      <w:rFonts w:hint="default" w:ascii="Times New Roman" w:hAnsi="Times New Roman" w:cs="Times New Roman"/>
      <w:color w:val="000000"/>
      <w:sz w:val="21"/>
      <w:szCs w:val="21"/>
      <w:u w:val="none"/>
    </w:rPr>
  </w:style>
  <w:style w:type="paragraph" w:customStyle="1" w:styleId="28">
    <w:name w:val="表头A"/>
    <w:basedOn w:val="29"/>
    <w:autoRedefine/>
    <w:qFormat/>
    <w:uiPriority w:val="0"/>
    <w:pPr>
      <w:spacing w:line="400" w:lineRule="exact"/>
      <w:ind w:firstLine="0" w:firstLineChars="0"/>
    </w:pPr>
    <w:rPr>
      <w:rFonts w:ascii="Times New Roman" w:hAnsi="Times New Roman"/>
    </w:rPr>
  </w:style>
  <w:style w:type="paragraph" w:customStyle="1" w:styleId="29">
    <w:name w:val="表头"/>
    <w:basedOn w:val="5"/>
    <w:next w:val="1"/>
    <w:autoRedefine/>
    <w:qFormat/>
    <w:uiPriority w:val="0"/>
    <w:pPr>
      <w:spacing w:line="320" w:lineRule="atLeast"/>
      <w:jc w:val="center"/>
    </w:pPr>
    <w:rPr>
      <w:rFonts w:ascii="宋体" w:hAnsi="宋体"/>
      <w:b/>
      <w:color w:val="000000"/>
    </w:rPr>
  </w:style>
  <w:style w:type="paragraph" w:customStyle="1" w:styleId="30">
    <w:name w:val="表中文字"/>
    <w:basedOn w:val="31"/>
    <w:next w:val="1"/>
    <w:autoRedefine/>
    <w:qFormat/>
    <w:uiPriority w:val="0"/>
    <w:pPr>
      <w:spacing w:line="360" w:lineRule="exact"/>
      <w:ind w:firstLine="0" w:firstLineChars="0"/>
      <w:jc w:val="center"/>
    </w:pPr>
    <w:rPr>
      <w:rFonts w:ascii="Times New Roman" w:hAnsi="Times New Roman" w:eastAsia="宋体"/>
      <w:sz w:val="21"/>
    </w:rPr>
  </w:style>
  <w:style w:type="paragraph" w:customStyle="1" w:styleId="31">
    <w:name w:val="环评正文"/>
    <w:basedOn w:val="1"/>
    <w:qFormat/>
    <w:uiPriority w:val="0"/>
    <w:pPr>
      <w:spacing w:line="360" w:lineRule="auto"/>
      <w:ind w:firstLine="480" w:firstLineChars="200"/>
    </w:pPr>
    <w:rPr>
      <w:rFonts w:hAnsi="宋体"/>
      <w:sz w:val="24"/>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paragraph" w:customStyle="1" w:styleId="33">
    <w:name w:val="Table Text"/>
    <w:basedOn w:val="1"/>
    <w:autoRedefine/>
    <w:semiHidden/>
    <w:qFormat/>
    <w:uiPriority w:val="0"/>
    <w:rPr>
      <w:rFonts w:ascii="微软雅黑" w:hAnsi="微软雅黑" w:eastAsia="微软雅黑" w:cs="微软雅黑"/>
      <w:sz w:val="22"/>
      <w:szCs w:val="22"/>
      <w:lang w:val="en-US" w:eastAsia="en-US" w:bidi="ar-SA"/>
    </w:rPr>
  </w:style>
  <w:style w:type="paragraph" w:customStyle="1" w:styleId="34">
    <w:name w:val="正文(首行缩进)"/>
    <w:basedOn w:val="1"/>
    <w:next w:val="1"/>
    <w:qFormat/>
    <w:uiPriority w:val="0"/>
    <w:pPr>
      <w:spacing w:line="360" w:lineRule="auto"/>
      <w:ind w:firstLine="540" w:firstLineChars="225"/>
    </w:pPr>
    <w:rPr>
      <w:rFonts w:ascii="Calibri" w:hAnsi="Calibri"/>
      <w:snapToGrid w:val="0"/>
      <w:color w:val="000000"/>
      <w:kern w:val="0"/>
      <w:sz w:val="24"/>
      <w:szCs w:val="24"/>
    </w:rPr>
  </w:style>
  <w:style w:type="paragraph" w:customStyle="1" w:styleId="35">
    <w:name w:val="表格文字"/>
    <w:basedOn w:val="1"/>
    <w:next w:val="1"/>
    <w:qFormat/>
    <w:uiPriority w:val="0"/>
    <w:pPr>
      <w:overflowPunct w:val="0"/>
      <w:adjustRightInd w:val="0"/>
      <w:spacing w:line="400" w:lineRule="exact"/>
      <w:ind w:firstLine="0" w:firstLineChars="0"/>
      <w:jc w:val="center"/>
      <w:textAlignment w:val="baseline"/>
    </w:pPr>
    <w:rPr>
      <w:rFonts w:ascii="Times New Roman" w:hAnsi="Times New Roman"/>
      <w:sz w:val="21"/>
      <w:szCs w:val="21"/>
    </w:rPr>
  </w:style>
  <w:style w:type="paragraph" w:customStyle="1" w:styleId="36">
    <w:name w:val="Table Paragraph"/>
    <w:basedOn w:val="1"/>
    <w:qFormat/>
    <w:uiPriority w:val="1"/>
    <w:rPr>
      <w:rFonts w:ascii="宋体" w:hAnsi="宋体" w:eastAsia="宋体" w:cs="宋体"/>
      <w:lang w:val="zh-CN" w:eastAsia="zh-CN" w:bidi="zh-CN"/>
    </w:rPr>
  </w:style>
  <w:style w:type="character" w:customStyle="1" w:styleId="37">
    <w:name w:val="font13"/>
    <w:basedOn w:val="17"/>
    <w:qFormat/>
    <w:uiPriority w:val="0"/>
    <w:rPr>
      <w:rFonts w:hint="eastAsia" w:ascii="黑体" w:hAnsi="宋体" w:eastAsia="黑体" w:cs="黑体"/>
      <w:color w:val="000000"/>
      <w:sz w:val="20"/>
      <w:szCs w:val="20"/>
      <w:u w:val="none"/>
    </w:rPr>
  </w:style>
  <w:style w:type="character" w:customStyle="1" w:styleId="38">
    <w:name w:val="font141"/>
    <w:basedOn w:val="17"/>
    <w:qFormat/>
    <w:uiPriority w:val="0"/>
    <w:rPr>
      <w:rFonts w:hint="eastAsia" w:ascii="黑体" w:hAnsi="宋体" w:eastAsia="黑体" w:cs="黑体"/>
      <w:color w:val="000000"/>
      <w:sz w:val="20"/>
      <w:szCs w:val="20"/>
      <w:u w:val="none"/>
      <w:vertAlign w:val="superscript"/>
    </w:rPr>
  </w:style>
  <w:style w:type="character" w:customStyle="1" w:styleId="39">
    <w:name w:val="font151"/>
    <w:basedOn w:val="17"/>
    <w:qFormat/>
    <w:uiPriority w:val="0"/>
    <w:rPr>
      <w:rFonts w:hint="eastAsia" w:ascii="宋体" w:hAnsi="宋体" w:eastAsia="宋体" w:cs="宋体"/>
      <w:color w:val="000000"/>
      <w:sz w:val="20"/>
      <w:szCs w:val="20"/>
      <w:u w:val="none"/>
    </w:rPr>
  </w:style>
  <w:style w:type="character" w:customStyle="1" w:styleId="40">
    <w:name w:val="font61"/>
    <w:basedOn w:val="17"/>
    <w:qFormat/>
    <w:uiPriority w:val="0"/>
    <w:rPr>
      <w:rFonts w:hint="eastAsia" w:ascii="黑体" w:hAnsi="宋体" w:eastAsia="黑体" w:cs="黑体"/>
      <w:b/>
      <w:bCs/>
      <w:color w:val="000000"/>
      <w:sz w:val="20"/>
      <w:szCs w:val="20"/>
      <w:u w:val="none"/>
    </w:rPr>
  </w:style>
  <w:style w:type="character" w:customStyle="1" w:styleId="41">
    <w:name w:val="font121"/>
    <w:basedOn w:val="17"/>
    <w:qFormat/>
    <w:uiPriority w:val="0"/>
    <w:rPr>
      <w:rFonts w:hint="eastAsia" w:ascii="黑体" w:hAnsi="宋体" w:eastAsia="黑体" w:cs="黑体"/>
      <w:b/>
      <w:bCs/>
      <w:color w:val="FF0000"/>
      <w:sz w:val="20"/>
      <w:szCs w:val="20"/>
      <w:u w:val="none"/>
    </w:rPr>
  </w:style>
  <w:style w:type="character" w:customStyle="1" w:styleId="42">
    <w:name w:val="font71"/>
    <w:basedOn w:val="17"/>
    <w:qFormat/>
    <w:uiPriority w:val="0"/>
    <w:rPr>
      <w:rFonts w:hint="eastAsia" w:ascii="黑体" w:hAnsi="宋体" w:eastAsia="黑体" w:cs="黑体"/>
      <w:color w:val="FF0000"/>
      <w:sz w:val="20"/>
      <w:szCs w:val="20"/>
      <w:u w:val="none"/>
    </w:rPr>
  </w:style>
  <w:style w:type="paragraph" w:customStyle="1" w:styleId="43">
    <w:name w:val="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44">
    <w:name w:val="正文A"/>
    <w:basedOn w:val="45"/>
    <w:qFormat/>
    <w:uiPriority w:val="0"/>
    <w:pPr>
      <w:spacing w:line="500" w:lineRule="exact"/>
      <w:ind w:firstLine="480" w:firstLineChars="200"/>
    </w:pPr>
    <w:rPr>
      <w:rFonts w:cs="华文仿宋"/>
      <w:sz w:val="24"/>
      <w:szCs w:val="24"/>
    </w:rPr>
  </w:style>
  <w:style w:type="paragraph" w:customStyle="1" w:styleId="45">
    <w:name w:val="正文!!!!!!!!!!!"/>
    <w:basedOn w:val="46"/>
    <w:qFormat/>
    <w:uiPriority w:val="0"/>
    <w:pPr>
      <w:ind w:firstLine="480"/>
    </w:pPr>
    <w:rPr>
      <w:rFonts w:ascii="Times New Roman" w:hAnsi="Times New Roman" w:eastAsia="宋体" w:cs="Times New Roman"/>
    </w:rPr>
  </w:style>
  <w:style w:type="paragraph" w:customStyle="1" w:styleId="46">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47">
    <w:name w:val="AA正文"/>
    <w:qFormat/>
    <w:uiPriority w:val="0"/>
    <w:pPr>
      <w:widowControl w:val="0"/>
      <w:adjustRightInd w:val="0"/>
      <w:snapToGrid w:val="0"/>
      <w:spacing w:line="360" w:lineRule="auto"/>
      <w:ind w:firstLine="200" w:firstLineChars="20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2.jpeg"/><Relationship Id="rId98" Type="http://schemas.openxmlformats.org/officeDocument/2006/relationships/image" Target="media/image71.jpeg"/><Relationship Id="rId97" Type="http://schemas.openxmlformats.org/officeDocument/2006/relationships/image" Target="media/image70.jpeg"/><Relationship Id="rId96" Type="http://schemas.openxmlformats.org/officeDocument/2006/relationships/image" Target="media/image69.jpeg"/><Relationship Id="rId95" Type="http://schemas.openxmlformats.org/officeDocument/2006/relationships/image" Target="media/image68.jpeg"/><Relationship Id="rId94" Type="http://schemas.openxmlformats.org/officeDocument/2006/relationships/image" Target="media/image67.jpeg"/><Relationship Id="rId93" Type="http://schemas.openxmlformats.org/officeDocument/2006/relationships/image" Target="media/image66.jpeg"/><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image" Target="media/image63.jpeg"/><Relationship Id="rId9" Type="http://schemas.openxmlformats.org/officeDocument/2006/relationships/footer" Target="footer4.xml"/><Relationship Id="rId89" Type="http://schemas.openxmlformats.org/officeDocument/2006/relationships/image" Target="media/image62.jpeg"/><Relationship Id="rId88" Type="http://schemas.openxmlformats.org/officeDocument/2006/relationships/image" Target="media/image61.jpeg"/><Relationship Id="rId87" Type="http://schemas.openxmlformats.org/officeDocument/2006/relationships/image" Target="media/image60.jpeg"/><Relationship Id="rId86" Type="http://schemas.openxmlformats.org/officeDocument/2006/relationships/image" Target="media/image59.jpeg"/><Relationship Id="rId85" Type="http://schemas.openxmlformats.org/officeDocument/2006/relationships/image" Target="media/image58.jpeg"/><Relationship Id="rId84" Type="http://schemas.openxmlformats.org/officeDocument/2006/relationships/image" Target="media/image57.jpeg"/><Relationship Id="rId83" Type="http://schemas.openxmlformats.org/officeDocument/2006/relationships/image" Target="media/image56.jpeg"/><Relationship Id="rId82" Type="http://schemas.openxmlformats.org/officeDocument/2006/relationships/image" Target="media/image55.jpeg"/><Relationship Id="rId81" Type="http://schemas.openxmlformats.org/officeDocument/2006/relationships/image" Target="media/image54.jpeg"/><Relationship Id="rId80" Type="http://schemas.openxmlformats.org/officeDocument/2006/relationships/image" Target="media/image53.jpeg"/><Relationship Id="rId8" Type="http://schemas.openxmlformats.org/officeDocument/2006/relationships/footer" Target="footer3.xml"/><Relationship Id="rId79" Type="http://schemas.openxmlformats.org/officeDocument/2006/relationships/image" Target="media/image52.jpeg"/><Relationship Id="rId78" Type="http://schemas.openxmlformats.org/officeDocument/2006/relationships/image" Target="media/image51.jpeg"/><Relationship Id="rId77" Type="http://schemas.openxmlformats.org/officeDocument/2006/relationships/image" Target="media/image50.jpeg"/><Relationship Id="rId76" Type="http://schemas.openxmlformats.org/officeDocument/2006/relationships/image" Target="media/image1.jpeg"/><Relationship Id="rId75" Type="http://schemas.openxmlformats.org/officeDocument/2006/relationships/image" Target="media/image49.jpeg"/><Relationship Id="rId74" Type="http://schemas.openxmlformats.org/officeDocument/2006/relationships/image" Target="media/image48.jpeg"/><Relationship Id="rId73" Type="http://schemas.openxmlformats.org/officeDocument/2006/relationships/image" Target="media/image47.jpeg"/><Relationship Id="rId72" Type="http://schemas.openxmlformats.org/officeDocument/2006/relationships/image" Target="media/image46.jpeg"/><Relationship Id="rId71" Type="http://schemas.openxmlformats.org/officeDocument/2006/relationships/image" Target="media/image45.jpeg"/><Relationship Id="rId70" Type="http://schemas.openxmlformats.org/officeDocument/2006/relationships/image" Target="media/image44.jpeg"/><Relationship Id="rId7" Type="http://schemas.openxmlformats.org/officeDocument/2006/relationships/footer" Target="footer2.xml"/><Relationship Id="rId69" Type="http://schemas.openxmlformats.org/officeDocument/2006/relationships/image" Target="media/image43.jpeg"/><Relationship Id="rId68" Type="http://schemas.openxmlformats.org/officeDocument/2006/relationships/image" Target="media/image42.jpeg"/><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png"/><Relationship Id="rId64" Type="http://schemas.openxmlformats.org/officeDocument/2006/relationships/image" Target="media/image38.jpe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header" Target="header1.xml"/><Relationship Id="rId59" Type="http://schemas.openxmlformats.org/officeDocument/2006/relationships/image" Target="media/image33.jpe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jpe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jpeg"/><Relationship Id="rId43" Type="http://schemas.openxmlformats.org/officeDocument/2006/relationships/image" Target="media/image17.png"/><Relationship Id="rId42" Type="http://schemas.openxmlformats.org/officeDocument/2006/relationships/image" Target="media/image16.jpeg"/><Relationship Id="rId41" Type="http://schemas.openxmlformats.org/officeDocument/2006/relationships/image" Target="media/image15.png"/><Relationship Id="rId40" Type="http://schemas.openxmlformats.org/officeDocument/2006/relationships/image" Target="media/image14.wmf"/><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wmf"/><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theme" Target="theme/theme1.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5.xml"/><Relationship Id="rId102" Type="http://schemas.openxmlformats.org/officeDocument/2006/relationships/fontTable" Target="fontTable.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header" Target="header2.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27957</Words>
  <Characters>29889</Characters>
  <Lines>0</Lines>
  <Paragraphs>0</Paragraphs>
  <TotalTime>8</TotalTime>
  <ScaleCrop>false</ScaleCrop>
  <LinksUpToDate>false</LinksUpToDate>
  <CharactersWithSpaces>30199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2025-06-09T10:42:00Z</dcterms:created>
  <dc:creator>Alessandra＊</dc:creator>
  <cp:lastModifiedBy>qzuser</cp:lastModifiedBy>
  <dcterms:modified xsi:type="dcterms:W3CDTF">2025-09-25T09:21:11Z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27208C20C2EE4C909D90AA5CBB22DAAF_13</vt:lpwstr>
  </property>
  <property fmtid="{D5CDD505-2E9C-101B-9397-08002B2CF9AE}" pid="4" name="KSOTemplateDocerSaveRecord">
    <vt:lpwstr>eyJoZGlkIjoiMjgzY2Q4YzRmYjkyODc1OGJlZDM2YWFkNmZkNWEzODAiLCJ1c2VySWQiOiIzMDk4NzcxMjgifQ==</vt:lpwstr>
  </property>
</Properties>
</file>